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4BC01">
      <w:pPr>
        <w:spacing w:line="360" w:lineRule="auto"/>
        <w:ind w:firstLine="883"/>
        <w:jc w:val="center"/>
        <w:outlineLvl w:val="0"/>
        <w:rPr>
          <w:rFonts w:ascii="方正小标宋_GBK" w:hAnsi="方正小标宋_GBK" w:eastAsia="方正小标宋_GBK" w:cs="方正小标宋_GBK"/>
          <w:color w:val="000000"/>
          <w:kern w:val="2"/>
          <w:sz w:val="44"/>
          <w:szCs w:val="44"/>
        </w:rPr>
      </w:pPr>
      <w:bookmarkStart w:id="0" w:name="_Toc150538845"/>
      <w:r>
        <w:rPr>
          <w:rFonts w:hint="eastAsia" w:ascii="方正小标宋_GBK" w:hAnsi="方正小标宋_GBK" w:eastAsia="方正小标宋_GBK" w:cs="方正小标宋_GBK"/>
          <w:color w:val="000000"/>
          <w:kern w:val="2"/>
          <w:sz w:val="44"/>
          <w:szCs w:val="44"/>
          <w:lang w:val="zh-CN"/>
        </w:rPr>
        <w:t>采购需求</w:t>
      </w:r>
      <w:bookmarkEnd w:id="0"/>
    </w:p>
    <w:p w14:paraId="060F64BD">
      <w:pPr>
        <w:spacing w:line="360" w:lineRule="auto"/>
        <w:rPr>
          <w:rFonts w:ascii="宋体" w:hAnsi="宋体" w:cs="宋体"/>
          <w:szCs w:val="21"/>
          <w:lang w:val="zh-CN"/>
        </w:rPr>
      </w:pPr>
    </w:p>
    <w:p w14:paraId="4056CA47">
      <w:pPr>
        <w:spacing w:line="360" w:lineRule="auto"/>
        <w:ind w:firstLine="482" w:firstLineChars="200"/>
        <w:rPr>
          <w:rFonts w:ascii="宋体" w:hAnsi="宋体"/>
          <w:b/>
          <w:sz w:val="24"/>
          <w:szCs w:val="24"/>
        </w:rPr>
      </w:pPr>
      <w:r>
        <w:rPr>
          <w:rFonts w:hint="eastAsia" w:ascii="宋体" w:hAnsi="宋体"/>
          <w:b/>
          <w:sz w:val="24"/>
          <w:szCs w:val="24"/>
        </w:rPr>
        <w:t>一、项目概况</w:t>
      </w:r>
    </w:p>
    <w:p w14:paraId="63D6E426">
      <w:pPr>
        <w:spacing w:line="360" w:lineRule="auto"/>
        <w:ind w:firstLine="480" w:firstLineChars="200"/>
        <w:rPr>
          <w:rFonts w:ascii="宋体" w:hAnsi="宋体"/>
          <w:sz w:val="24"/>
          <w:szCs w:val="24"/>
        </w:rPr>
      </w:pPr>
      <w:r>
        <w:rPr>
          <w:rFonts w:hint="eastAsia" w:ascii="宋体" w:hAnsi="宋体"/>
          <w:sz w:val="24"/>
          <w:szCs w:val="24"/>
        </w:rPr>
        <w:t>中医执业助理医师资格考试的性质是行业准入考试，是评价申请中医执业助理医师资格者是否具备从事医师工作所必须的专业知识与技能的考试。目前我院中医学专业尚未配置中医执考训练系统，不利于组织学生进行高效练习。</w:t>
      </w:r>
    </w:p>
    <w:p w14:paraId="7BF2A4E5">
      <w:pPr>
        <w:spacing w:line="360" w:lineRule="auto"/>
        <w:ind w:firstLine="482" w:firstLineChars="200"/>
        <w:rPr>
          <w:rFonts w:ascii="宋体" w:hAnsi="宋体"/>
          <w:b/>
          <w:sz w:val="24"/>
          <w:szCs w:val="24"/>
        </w:rPr>
      </w:pPr>
      <w:r>
        <w:rPr>
          <w:rFonts w:hint="eastAsia" w:ascii="宋体" w:hAnsi="宋体"/>
          <w:b/>
          <w:sz w:val="24"/>
          <w:szCs w:val="24"/>
        </w:rPr>
        <w:t>二、技术要求</w:t>
      </w:r>
    </w:p>
    <w:p w14:paraId="0BB1AE4B">
      <w:pPr>
        <w:spacing w:line="440" w:lineRule="exact"/>
        <w:ind w:firstLine="482" w:firstLineChars="200"/>
        <w:rPr>
          <w:b/>
          <w:sz w:val="24"/>
          <w:szCs w:val="24"/>
        </w:rPr>
      </w:pPr>
      <w:r>
        <w:rPr>
          <w:rFonts w:hint="eastAsia"/>
          <w:b/>
          <w:sz w:val="24"/>
          <w:szCs w:val="24"/>
        </w:rPr>
        <w:t>1.系统适配需求</w:t>
      </w:r>
    </w:p>
    <w:p w14:paraId="27B508B8">
      <w:pPr>
        <w:spacing w:line="440" w:lineRule="exact"/>
        <w:ind w:firstLine="480" w:firstLineChars="200"/>
        <w:rPr>
          <w:bCs/>
          <w:sz w:val="24"/>
          <w:szCs w:val="24"/>
        </w:rPr>
      </w:pPr>
      <w:r>
        <w:rPr>
          <w:rFonts w:hint="eastAsia"/>
          <w:bCs/>
          <w:sz w:val="24"/>
          <w:szCs w:val="24"/>
        </w:rPr>
        <w:t>软件可在手机、平板、PC等任意终端打开，无需预先安装软件，实现无线连接和数据通讯，兼容IOS、Android、Windows、MacOS、Linux等主流操作系统。</w:t>
      </w:r>
    </w:p>
    <w:p w14:paraId="439B5BFC">
      <w:pPr>
        <w:spacing w:line="440" w:lineRule="exact"/>
        <w:ind w:firstLine="482" w:firstLineChars="200"/>
        <w:rPr>
          <w:b/>
          <w:sz w:val="24"/>
          <w:szCs w:val="24"/>
        </w:rPr>
      </w:pPr>
      <w:r>
        <w:rPr>
          <w:rFonts w:hint="eastAsia"/>
          <w:b/>
          <w:sz w:val="24"/>
          <w:szCs w:val="24"/>
        </w:rPr>
        <w:t>2.系统功能需求</w:t>
      </w:r>
    </w:p>
    <w:p w14:paraId="65ADED1C">
      <w:pPr>
        <w:spacing w:line="440" w:lineRule="exact"/>
        <w:ind w:firstLine="480" w:firstLineChars="200"/>
        <w:rPr>
          <w:bCs/>
          <w:sz w:val="24"/>
          <w:szCs w:val="24"/>
        </w:rPr>
      </w:pPr>
      <w:r>
        <w:rPr>
          <w:rFonts w:hint="eastAsia"/>
          <w:bCs/>
          <w:sz w:val="24"/>
          <w:szCs w:val="24"/>
        </w:rPr>
        <w:t>（1）用户信息管理：支持人员信息查询，支持批量导入、导出；支持专业、姓名、级别、角色、账号有效期等复式条件检索查询；支持密码恢复、修改、删除人员信息功能。</w:t>
      </w:r>
    </w:p>
    <w:p w14:paraId="182B817A">
      <w:pPr>
        <w:spacing w:line="440" w:lineRule="exact"/>
        <w:ind w:firstLine="480" w:firstLineChars="200"/>
        <w:rPr>
          <w:bCs/>
          <w:sz w:val="24"/>
          <w:szCs w:val="24"/>
        </w:rPr>
      </w:pPr>
      <w:r>
        <w:rPr>
          <w:rFonts w:hint="eastAsia"/>
          <w:bCs/>
          <w:sz w:val="24"/>
          <w:szCs w:val="24"/>
        </w:rPr>
        <w:t>（2）提供多种试卷类型：能满足日常教学、基础阶段学习、毕业综合评测要求。</w:t>
      </w:r>
    </w:p>
    <w:p w14:paraId="61CD0611">
      <w:pPr>
        <w:spacing w:line="440" w:lineRule="exact"/>
        <w:ind w:firstLine="480" w:firstLineChars="200"/>
        <w:rPr>
          <w:bCs/>
          <w:sz w:val="24"/>
          <w:szCs w:val="24"/>
        </w:rPr>
      </w:pPr>
      <w:r>
        <w:rPr>
          <w:rFonts w:hint="eastAsia"/>
          <w:bCs/>
          <w:sz w:val="24"/>
          <w:szCs w:val="24"/>
        </w:rPr>
        <w:t>（3）学生答题评测分析：对每个学生个人的答题情况给出细致分析，分析包含各种难度题目正答率及综合试卷中各课程来源题目的正答率。</w:t>
      </w:r>
    </w:p>
    <w:p w14:paraId="16395E79">
      <w:pPr>
        <w:spacing w:line="440" w:lineRule="exact"/>
        <w:ind w:firstLine="480" w:firstLineChars="200"/>
        <w:rPr>
          <w:bCs/>
          <w:sz w:val="24"/>
          <w:szCs w:val="24"/>
        </w:rPr>
      </w:pPr>
      <w:r>
        <w:rPr>
          <w:rFonts w:hint="eastAsia"/>
          <w:bCs/>
          <w:sz w:val="24"/>
          <w:szCs w:val="24"/>
        </w:rPr>
        <w:t>（4）学生错题收集与练习：记录每位学生的错题情况，学生可以自主进行错题训练。</w:t>
      </w:r>
    </w:p>
    <w:p w14:paraId="3E613D9C">
      <w:pPr>
        <w:spacing w:line="440" w:lineRule="exact"/>
        <w:ind w:firstLine="480" w:firstLineChars="200"/>
        <w:rPr>
          <w:bCs/>
          <w:sz w:val="24"/>
          <w:szCs w:val="24"/>
        </w:rPr>
      </w:pPr>
      <w:r>
        <w:rPr>
          <w:rFonts w:hint="eastAsia"/>
          <w:bCs/>
          <w:sz w:val="24"/>
          <w:szCs w:val="24"/>
        </w:rPr>
        <w:t>★（5）组卷功能：满足学校教务和各二级学院的各类组卷功能要求，设计各种策略，提高组卷效率；根据教学安排，自由组织学生进行阶段测试、模拟考试，考试时间和考试内容均可按照实际需求制定。</w:t>
      </w:r>
    </w:p>
    <w:p w14:paraId="408F7ACF">
      <w:pPr>
        <w:spacing w:line="440" w:lineRule="exact"/>
        <w:ind w:firstLine="480" w:firstLineChars="200"/>
        <w:rPr>
          <w:bCs/>
          <w:sz w:val="24"/>
          <w:szCs w:val="24"/>
        </w:rPr>
      </w:pPr>
      <w:r>
        <w:rPr>
          <w:rFonts w:hint="eastAsia"/>
          <w:bCs/>
          <w:sz w:val="24"/>
          <w:szCs w:val="24"/>
        </w:rPr>
        <w:t>（6）具有输入需要查询试题的关键字，进行试题查询功能，可以对资源库中重复或相似题目进行检测。</w:t>
      </w:r>
    </w:p>
    <w:p w14:paraId="5E704F9F">
      <w:pPr>
        <w:spacing w:line="440" w:lineRule="exact"/>
        <w:ind w:firstLine="480" w:firstLineChars="200"/>
        <w:rPr>
          <w:bCs/>
          <w:sz w:val="24"/>
          <w:szCs w:val="24"/>
        </w:rPr>
      </w:pPr>
      <w:r>
        <w:rPr>
          <w:rFonts w:hint="eastAsia"/>
          <w:bCs/>
          <w:sz w:val="24"/>
          <w:szCs w:val="24"/>
        </w:rPr>
        <w:t>（7）组好的试卷可直接通过计算机或移动终端答题。</w:t>
      </w:r>
    </w:p>
    <w:p w14:paraId="1FCF63A6">
      <w:pPr>
        <w:spacing w:line="440" w:lineRule="exact"/>
        <w:ind w:firstLine="480" w:firstLineChars="200"/>
        <w:rPr>
          <w:bCs/>
          <w:sz w:val="24"/>
          <w:szCs w:val="24"/>
        </w:rPr>
      </w:pPr>
      <w:r>
        <w:rPr>
          <w:rFonts w:hint="eastAsia"/>
          <w:bCs/>
          <w:sz w:val="24"/>
          <w:szCs w:val="24"/>
        </w:rPr>
        <w:t>★（8）支持管理角色或者联系供货商对试题进行编辑、新增、删除试题，原始题库有备份，可以单独恢复某一科或者全部题库的原始状态。支持将试题批量复制到指定科目中，支持筛选审核功能，方便单个课程建库管理。</w:t>
      </w:r>
    </w:p>
    <w:p w14:paraId="57A1612D">
      <w:pPr>
        <w:spacing w:line="440" w:lineRule="exact"/>
        <w:ind w:firstLine="480" w:firstLineChars="200"/>
        <w:rPr>
          <w:bCs/>
          <w:sz w:val="24"/>
          <w:szCs w:val="24"/>
        </w:rPr>
      </w:pPr>
      <w:r>
        <w:rPr>
          <w:rFonts w:hint="eastAsia"/>
          <w:bCs/>
          <w:sz w:val="24"/>
          <w:szCs w:val="24"/>
        </w:rPr>
        <w:t>★（9）考试保障和监控功能：支持管理员对试卷进行参考人员设定，默认状态时对所辖人员发布、设置后只对所设人员发布。具有对考试页面监控、截屏以及防切屏、切屏或小窗报警等防作弊功能。支持限制学员考试的屏幕退出/切换次数，超出设定次数后需密码解锁、扫码解锁、强制交卷操作。管理员可以进行可对学生考试页面退出或切换操作进行强制收卷、试卷锁定等设置。</w:t>
      </w:r>
    </w:p>
    <w:p w14:paraId="06F7BA02">
      <w:pPr>
        <w:spacing w:line="440" w:lineRule="exact"/>
        <w:ind w:firstLine="480" w:firstLineChars="200"/>
        <w:rPr>
          <w:bCs/>
          <w:sz w:val="24"/>
          <w:szCs w:val="24"/>
        </w:rPr>
      </w:pPr>
      <w:r>
        <w:rPr>
          <w:rFonts w:hint="eastAsia"/>
          <w:bCs/>
          <w:sz w:val="24"/>
          <w:szCs w:val="24"/>
        </w:rPr>
        <w:t>（10）资源授权：要求管理角色包括管理员、学院领导、教研室主任、任课教师、班主任等。除学生外其他都可设为管理角色，要求管理角色有权对下一级用户进行课程、试卷等资源的授权、查看和回收操作。未经授权的学生无法通过计算机或移动终端学习、答题。</w:t>
      </w:r>
    </w:p>
    <w:p w14:paraId="4EBE8AA9">
      <w:pPr>
        <w:spacing w:line="440" w:lineRule="exact"/>
        <w:ind w:firstLine="480" w:firstLineChars="200"/>
        <w:rPr>
          <w:bCs/>
          <w:sz w:val="24"/>
          <w:szCs w:val="24"/>
        </w:rPr>
      </w:pPr>
      <w:r>
        <w:rPr>
          <w:rFonts w:hint="eastAsia"/>
          <w:bCs/>
          <w:sz w:val="24"/>
          <w:szCs w:val="24"/>
        </w:rPr>
        <w:t>（11）监控进度：对学生集体或个体，可以监管其学习进度，了解并可干预其学习动态。</w:t>
      </w:r>
    </w:p>
    <w:p w14:paraId="082FBB5E">
      <w:pPr>
        <w:spacing w:line="440" w:lineRule="exact"/>
        <w:ind w:firstLine="480" w:firstLineChars="200"/>
        <w:rPr>
          <w:bCs/>
          <w:sz w:val="24"/>
          <w:szCs w:val="24"/>
        </w:rPr>
      </w:pPr>
      <w:r>
        <w:rPr>
          <w:rFonts w:hint="eastAsia"/>
          <w:bCs/>
          <w:sz w:val="24"/>
          <w:szCs w:val="24"/>
        </w:rPr>
        <w:t>（12）考情分析反馈：针对有管理权的学生集体，生成精细化的考试分析报告，以国家医学资格考试试卷要求的各项测量指标为基础，提供多种考核分析结果。</w:t>
      </w:r>
    </w:p>
    <w:p w14:paraId="3A6BBA72">
      <w:pPr>
        <w:spacing w:line="440" w:lineRule="exact"/>
        <w:ind w:firstLine="480" w:firstLineChars="200"/>
        <w:rPr>
          <w:bCs/>
          <w:sz w:val="24"/>
          <w:szCs w:val="24"/>
        </w:rPr>
      </w:pPr>
      <w:r>
        <w:rPr>
          <w:rFonts w:hint="eastAsia"/>
          <w:bCs/>
          <w:sz w:val="24"/>
          <w:szCs w:val="24"/>
        </w:rPr>
        <w:t>（13）系统能够满足自主导入技能考核成绩，便于统计查询使用。</w:t>
      </w:r>
    </w:p>
    <w:p w14:paraId="66A977E5">
      <w:pPr>
        <w:spacing w:line="440" w:lineRule="exact"/>
        <w:ind w:firstLine="480" w:firstLineChars="200"/>
        <w:rPr>
          <w:bCs/>
          <w:sz w:val="24"/>
          <w:szCs w:val="24"/>
        </w:rPr>
      </w:pPr>
      <w:r>
        <w:rPr>
          <w:rFonts w:hint="eastAsia"/>
          <w:bCs/>
          <w:sz w:val="24"/>
          <w:szCs w:val="24"/>
        </w:rPr>
        <w:t>（14）云端应用：针对不在校的实习学生，实现通过移动端学习，和分散式考试。教师通过管理后台同样可以监控、授权与管理。</w:t>
      </w:r>
    </w:p>
    <w:p w14:paraId="341FBAFE">
      <w:pPr>
        <w:spacing w:line="440" w:lineRule="exact"/>
        <w:ind w:firstLine="480" w:firstLineChars="200"/>
        <w:rPr>
          <w:bCs/>
          <w:sz w:val="24"/>
          <w:szCs w:val="24"/>
        </w:rPr>
      </w:pPr>
      <w:r>
        <w:rPr>
          <w:rFonts w:hint="eastAsia"/>
          <w:bCs/>
          <w:sz w:val="24"/>
          <w:szCs w:val="24"/>
        </w:rPr>
        <w:t>3.辅导系统资源内容及要求</w:t>
      </w:r>
    </w:p>
    <w:p w14:paraId="7FDD9052">
      <w:pPr>
        <w:spacing w:line="440" w:lineRule="exact"/>
        <w:ind w:firstLine="480" w:firstLineChars="200"/>
        <w:rPr>
          <w:bCs/>
          <w:sz w:val="24"/>
          <w:szCs w:val="24"/>
        </w:rPr>
      </w:pPr>
      <w:r>
        <w:rPr>
          <w:rFonts w:hint="eastAsia"/>
          <w:bCs/>
          <w:sz w:val="24"/>
          <w:szCs w:val="24"/>
        </w:rPr>
        <w:t>（1）题量要求</w:t>
      </w:r>
    </w:p>
    <w:p w14:paraId="07F3E58A">
      <w:pPr>
        <w:spacing w:line="440" w:lineRule="exact"/>
        <w:ind w:firstLine="480" w:firstLineChars="200"/>
        <w:rPr>
          <w:bCs/>
          <w:sz w:val="24"/>
          <w:szCs w:val="24"/>
        </w:rPr>
      </w:pPr>
      <w:r>
        <w:rPr>
          <w:rFonts w:hint="eastAsia"/>
          <w:bCs/>
          <w:sz w:val="24"/>
          <w:szCs w:val="24"/>
        </w:rPr>
        <w:t>★总题量≥22000题，各课程题量要求如下。</w:t>
      </w:r>
    </w:p>
    <w:p w14:paraId="633EE618">
      <w:pPr>
        <w:spacing w:line="440" w:lineRule="exact"/>
        <w:ind w:firstLine="480" w:firstLineChars="200"/>
        <w:jc w:val="center"/>
        <w:rPr>
          <w:bCs/>
          <w:sz w:val="24"/>
          <w:szCs w:val="24"/>
        </w:rPr>
      </w:pPr>
      <w:r>
        <w:rPr>
          <w:rFonts w:hint="eastAsia"/>
          <w:bCs/>
          <w:sz w:val="24"/>
          <w:szCs w:val="24"/>
        </w:rPr>
        <w:t>表1  各课程题量要求</w:t>
      </w:r>
    </w:p>
    <w:tbl>
      <w:tblPr>
        <w:tblStyle w:val="2"/>
        <w:tblW w:w="4596" w:type="pct"/>
        <w:tblInd w:w="399" w:type="dxa"/>
        <w:tblLayout w:type="fixed"/>
        <w:tblCellMar>
          <w:top w:w="0" w:type="dxa"/>
          <w:left w:w="108" w:type="dxa"/>
          <w:bottom w:w="0" w:type="dxa"/>
          <w:right w:w="108" w:type="dxa"/>
        </w:tblCellMar>
      </w:tblPr>
      <w:tblGrid>
        <w:gridCol w:w="5449"/>
        <w:gridCol w:w="2384"/>
      </w:tblGrid>
      <w:tr w14:paraId="32C3CC8A">
        <w:trPr>
          <w:trHeight w:val="270" w:hRule="atLeast"/>
        </w:trPr>
        <w:tc>
          <w:tcPr>
            <w:tcW w:w="3478" w:type="pct"/>
            <w:tcBorders>
              <w:top w:val="single" w:color="auto" w:sz="4" w:space="0"/>
              <w:left w:val="single" w:color="auto" w:sz="4" w:space="0"/>
              <w:bottom w:val="single" w:color="auto" w:sz="4" w:space="0"/>
              <w:right w:val="single" w:color="auto" w:sz="4" w:space="0"/>
            </w:tcBorders>
            <w:vAlign w:val="bottom"/>
          </w:tcPr>
          <w:p w14:paraId="3C21595B">
            <w:pPr>
              <w:spacing w:line="276" w:lineRule="auto"/>
              <w:ind w:firstLine="480" w:firstLineChars="200"/>
              <w:rPr>
                <w:sz w:val="24"/>
                <w:szCs w:val="24"/>
              </w:rPr>
            </w:pPr>
            <w:r>
              <w:rPr>
                <w:rFonts w:hint="eastAsia"/>
                <w:sz w:val="24"/>
                <w:szCs w:val="24"/>
              </w:rPr>
              <w:t>科目</w:t>
            </w:r>
          </w:p>
        </w:tc>
        <w:tc>
          <w:tcPr>
            <w:tcW w:w="1522" w:type="pct"/>
            <w:tcBorders>
              <w:top w:val="single" w:color="auto" w:sz="4" w:space="0"/>
              <w:left w:val="nil"/>
              <w:bottom w:val="single" w:color="auto" w:sz="4" w:space="0"/>
              <w:right w:val="single" w:color="auto" w:sz="4" w:space="0"/>
            </w:tcBorders>
            <w:vAlign w:val="bottom"/>
          </w:tcPr>
          <w:p w14:paraId="689E97AA">
            <w:pPr>
              <w:spacing w:line="276" w:lineRule="auto"/>
              <w:ind w:firstLine="480" w:firstLineChars="200"/>
              <w:rPr>
                <w:sz w:val="24"/>
                <w:szCs w:val="24"/>
              </w:rPr>
            </w:pPr>
            <w:r>
              <w:rPr>
                <w:rFonts w:hint="eastAsia"/>
                <w:sz w:val="24"/>
                <w:szCs w:val="24"/>
              </w:rPr>
              <w:t>题量（道）</w:t>
            </w:r>
          </w:p>
        </w:tc>
      </w:tr>
      <w:tr w14:paraId="17E0F4A6">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0F72378B">
            <w:pPr>
              <w:spacing w:line="276" w:lineRule="auto"/>
              <w:ind w:firstLine="480" w:firstLineChars="200"/>
              <w:rPr>
                <w:sz w:val="24"/>
                <w:szCs w:val="24"/>
              </w:rPr>
            </w:pPr>
            <w:r>
              <w:rPr>
                <w:rFonts w:hint="eastAsia"/>
                <w:sz w:val="24"/>
                <w:szCs w:val="24"/>
              </w:rPr>
              <w:t>中医基础理论</w:t>
            </w:r>
          </w:p>
        </w:tc>
        <w:tc>
          <w:tcPr>
            <w:tcW w:w="1522" w:type="pct"/>
            <w:tcBorders>
              <w:top w:val="nil"/>
              <w:left w:val="nil"/>
              <w:bottom w:val="single" w:color="auto" w:sz="4" w:space="0"/>
              <w:right w:val="single" w:color="auto" w:sz="4" w:space="0"/>
            </w:tcBorders>
          </w:tcPr>
          <w:p w14:paraId="7BB97AAB">
            <w:pPr>
              <w:spacing w:line="276" w:lineRule="auto"/>
              <w:ind w:firstLine="480" w:firstLineChars="200"/>
              <w:rPr>
                <w:sz w:val="24"/>
                <w:szCs w:val="24"/>
              </w:rPr>
            </w:pPr>
            <w:r>
              <w:rPr>
                <w:rFonts w:hint="eastAsia"/>
                <w:sz w:val="24"/>
                <w:szCs w:val="24"/>
              </w:rPr>
              <w:t>不低于1400</w:t>
            </w:r>
          </w:p>
        </w:tc>
      </w:tr>
      <w:tr w14:paraId="597F9B90">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59623245">
            <w:pPr>
              <w:spacing w:line="276" w:lineRule="auto"/>
              <w:ind w:firstLine="480" w:firstLineChars="200"/>
              <w:rPr>
                <w:sz w:val="24"/>
                <w:szCs w:val="24"/>
              </w:rPr>
            </w:pPr>
            <w:r>
              <w:rPr>
                <w:rFonts w:hint="eastAsia"/>
                <w:sz w:val="24"/>
                <w:szCs w:val="24"/>
              </w:rPr>
              <w:t>中医诊断学</w:t>
            </w:r>
          </w:p>
        </w:tc>
        <w:tc>
          <w:tcPr>
            <w:tcW w:w="1522" w:type="pct"/>
            <w:tcBorders>
              <w:top w:val="nil"/>
              <w:left w:val="nil"/>
              <w:bottom w:val="single" w:color="auto" w:sz="4" w:space="0"/>
              <w:right w:val="single" w:color="auto" w:sz="4" w:space="0"/>
            </w:tcBorders>
          </w:tcPr>
          <w:p w14:paraId="361E5444">
            <w:pPr>
              <w:spacing w:line="276" w:lineRule="auto"/>
              <w:ind w:firstLine="480" w:firstLineChars="200"/>
              <w:rPr>
                <w:sz w:val="24"/>
                <w:szCs w:val="24"/>
              </w:rPr>
            </w:pPr>
            <w:r>
              <w:rPr>
                <w:rFonts w:hint="eastAsia"/>
                <w:sz w:val="24"/>
                <w:szCs w:val="24"/>
              </w:rPr>
              <w:t>不低于1500</w:t>
            </w:r>
          </w:p>
        </w:tc>
      </w:tr>
      <w:tr w14:paraId="29741CD6">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796ECFEC">
            <w:pPr>
              <w:spacing w:line="276" w:lineRule="auto"/>
              <w:ind w:firstLine="480" w:firstLineChars="200"/>
              <w:rPr>
                <w:sz w:val="24"/>
                <w:szCs w:val="24"/>
              </w:rPr>
            </w:pPr>
            <w:r>
              <w:rPr>
                <w:rFonts w:hint="eastAsia"/>
                <w:sz w:val="24"/>
                <w:szCs w:val="24"/>
              </w:rPr>
              <w:t>中药学</w:t>
            </w:r>
          </w:p>
        </w:tc>
        <w:tc>
          <w:tcPr>
            <w:tcW w:w="1522" w:type="pct"/>
            <w:tcBorders>
              <w:top w:val="nil"/>
              <w:left w:val="nil"/>
              <w:bottom w:val="single" w:color="auto" w:sz="4" w:space="0"/>
              <w:right w:val="single" w:color="auto" w:sz="4" w:space="0"/>
            </w:tcBorders>
          </w:tcPr>
          <w:p w14:paraId="7A405261">
            <w:pPr>
              <w:spacing w:line="276" w:lineRule="auto"/>
              <w:ind w:firstLine="480" w:firstLineChars="200"/>
              <w:rPr>
                <w:sz w:val="24"/>
                <w:szCs w:val="24"/>
              </w:rPr>
            </w:pPr>
            <w:r>
              <w:rPr>
                <w:rFonts w:hint="eastAsia"/>
                <w:sz w:val="24"/>
                <w:szCs w:val="24"/>
              </w:rPr>
              <w:t>不低于2000</w:t>
            </w:r>
          </w:p>
        </w:tc>
      </w:tr>
      <w:tr w14:paraId="56B5B406">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454F2711">
            <w:pPr>
              <w:spacing w:line="276" w:lineRule="auto"/>
              <w:ind w:firstLine="480" w:firstLineChars="200"/>
              <w:rPr>
                <w:sz w:val="24"/>
                <w:szCs w:val="24"/>
              </w:rPr>
            </w:pPr>
            <w:r>
              <w:rPr>
                <w:rFonts w:hint="eastAsia"/>
                <w:sz w:val="24"/>
                <w:szCs w:val="24"/>
              </w:rPr>
              <w:t>方剂学</w:t>
            </w:r>
          </w:p>
        </w:tc>
        <w:tc>
          <w:tcPr>
            <w:tcW w:w="1522" w:type="pct"/>
            <w:tcBorders>
              <w:top w:val="nil"/>
              <w:left w:val="nil"/>
              <w:bottom w:val="single" w:color="auto" w:sz="4" w:space="0"/>
              <w:right w:val="single" w:color="auto" w:sz="4" w:space="0"/>
            </w:tcBorders>
          </w:tcPr>
          <w:p w14:paraId="3CB7386D">
            <w:pPr>
              <w:spacing w:line="276" w:lineRule="auto"/>
              <w:ind w:firstLine="480" w:firstLineChars="200"/>
              <w:rPr>
                <w:sz w:val="24"/>
                <w:szCs w:val="24"/>
              </w:rPr>
            </w:pPr>
            <w:r>
              <w:rPr>
                <w:rFonts w:hint="eastAsia"/>
                <w:sz w:val="24"/>
                <w:szCs w:val="24"/>
              </w:rPr>
              <w:t>不低于2000</w:t>
            </w:r>
          </w:p>
        </w:tc>
      </w:tr>
      <w:tr w14:paraId="7DBDBE7C">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39AF2CD1">
            <w:pPr>
              <w:spacing w:line="276" w:lineRule="auto"/>
              <w:ind w:firstLine="480" w:firstLineChars="200"/>
              <w:rPr>
                <w:sz w:val="24"/>
                <w:szCs w:val="24"/>
              </w:rPr>
            </w:pPr>
            <w:r>
              <w:rPr>
                <w:rFonts w:hint="eastAsia"/>
                <w:sz w:val="24"/>
                <w:szCs w:val="24"/>
              </w:rPr>
              <w:t>针灸学</w:t>
            </w:r>
          </w:p>
        </w:tc>
        <w:tc>
          <w:tcPr>
            <w:tcW w:w="1522" w:type="pct"/>
            <w:tcBorders>
              <w:top w:val="nil"/>
              <w:left w:val="nil"/>
              <w:bottom w:val="single" w:color="auto" w:sz="4" w:space="0"/>
              <w:right w:val="single" w:color="auto" w:sz="4" w:space="0"/>
            </w:tcBorders>
          </w:tcPr>
          <w:p w14:paraId="6EAF09F4">
            <w:pPr>
              <w:spacing w:line="276" w:lineRule="auto"/>
              <w:ind w:firstLine="480" w:firstLineChars="200"/>
              <w:rPr>
                <w:sz w:val="24"/>
                <w:szCs w:val="24"/>
              </w:rPr>
            </w:pPr>
            <w:r>
              <w:rPr>
                <w:rFonts w:hint="eastAsia"/>
                <w:sz w:val="24"/>
                <w:szCs w:val="24"/>
              </w:rPr>
              <w:t>不低于2000</w:t>
            </w:r>
          </w:p>
        </w:tc>
      </w:tr>
      <w:tr w14:paraId="691E8974">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5E92F0B6">
            <w:pPr>
              <w:spacing w:line="276" w:lineRule="auto"/>
              <w:ind w:firstLine="480" w:firstLineChars="200"/>
              <w:rPr>
                <w:sz w:val="24"/>
                <w:szCs w:val="24"/>
              </w:rPr>
            </w:pPr>
            <w:r>
              <w:rPr>
                <w:rFonts w:hint="eastAsia"/>
                <w:sz w:val="24"/>
                <w:szCs w:val="24"/>
              </w:rPr>
              <w:t>中医内科学</w:t>
            </w:r>
          </w:p>
        </w:tc>
        <w:tc>
          <w:tcPr>
            <w:tcW w:w="1522" w:type="pct"/>
            <w:tcBorders>
              <w:top w:val="nil"/>
              <w:left w:val="nil"/>
              <w:bottom w:val="single" w:color="auto" w:sz="4" w:space="0"/>
              <w:right w:val="single" w:color="auto" w:sz="4" w:space="0"/>
            </w:tcBorders>
          </w:tcPr>
          <w:p w14:paraId="7B7D14F3">
            <w:pPr>
              <w:spacing w:line="276" w:lineRule="auto"/>
              <w:ind w:firstLine="480" w:firstLineChars="200"/>
              <w:rPr>
                <w:sz w:val="24"/>
                <w:szCs w:val="24"/>
              </w:rPr>
            </w:pPr>
            <w:r>
              <w:rPr>
                <w:rFonts w:hint="eastAsia"/>
                <w:sz w:val="24"/>
                <w:szCs w:val="24"/>
              </w:rPr>
              <w:t>不低于2800</w:t>
            </w:r>
          </w:p>
        </w:tc>
      </w:tr>
      <w:tr w14:paraId="19437BFC">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2378FEE5">
            <w:pPr>
              <w:spacing w:line="276" w:lineRule="auto"/>
              <w:ind w:firstLine="480" w:firstLineChars="200"/>
              <w:rPr>
                <w:sz w:val="24"/>
                <w:szCs w:val="24"/>
              </w:rPr>
            </w:pPr>
            <w:r>
              <w:rPr>
                <w:rFonts w:hint="eastAsia"/>
                <w:sz w:val="24"/>
                <w:szCs w:val="24"/>
              </w:rPr>
              <w:t>中医外科学</w:t>
            </w:r>
          </w:p>
        </w:tc>
        <w:tc>
          <w:tcPr>
            <w:tcW w:w="1522" w:type="pct"/>
            <w:tcBorders>
              <w:top w:val="nil"/>
              <w:left w:val="nil"/>
              <w:bottom w:val="single" w:color="auto" w:sz="4" w:space="0"/>
              <w:right w:val="single" w:color="auto" w:sz="4" w:space="0"/>
            </w:tcBorders>
          </w:tcPr>
          <w:p w14:paraId="69AB4F9B">
            <w:pPr>
              <w:spacing w:line="276" w:lineRule="auto"/>
              <w:ind w:firstLine="480" w:firstLineChars="200"/>
              <w:rPr>
                <w:sz w:val="24"/>
                <w:szCs w:val="24"/>
              </w:rPr>
            </w:pPr>
            <w:r>
              <w:rPr>
                <w:rFonts w:hint="eastAsia"/>
                <w:sz w:val="24"/>
                <w:szCs w:val="24"/>
              </w:rPr>
              <w:t>不低于1500</w:t>
            </w:r>
          </w:p>
        </w:tc>
      </w:tr>
      <w:tr w14:paraId="6A2F342D">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4C146FEF">
            <w:pPr>
              <w:spacing w:line="276" w:lineRule="auto"/>
              <w:ind w:firstLine="480" w:firstLineChars="200"/>
              <w:rPr>
                <w:sz w:val="24"/>
                <w:szCs w:val="24"/>
              </w:rPr>
            </w:pPr>
            <w:r>
              <w:rPr>
                <w:rFonts w:hint="eastAsia"/>
                <w:sz w:val="24"/>
                <w:szCs w:val="24"/>
              </w:rPr>
              <w:t>中医妇科学</w:t>
            </w:r>
          </w:p>
        </w:tc>
        <w:tc>
          <w:tcPr>
            <w:tcW w:w="1522" w:type="pct"/>
            <w:tcBorders>
              <w:top w:val="nil"/>
              <w:left w:val="nil"/>
              <w:bottom w:val="single" w:color="auto" w:sz="4" w:space="0"/>
              <w:right w:val="single" w:color="auto" w:sz="4" w:space="0"/>
            </w:tcBorders>
          </w:tcPr>
          <w:p w14:paraId="71799868">
            <w:pPr>
              <w:spacing w:line="276" w:lineRule="auto"/>
              <w:ind w:firstLine="480" w:firstLineChars="200"/>
              <w:rPr>
                <w:sz w:val="24"/>
                <w:szCs w:val="24"/>
              </w:rPr>
            </w:pPr>
            <w:r>
              <w:rPr>
                <w:rFonts w:hint="eastAsia"/>
                <w:sz w:val="24"/>
                <w:szCs w:val="24"/>
              </w:rPr>
              <w:t>不低于1500</w:t>
            </w:r>
          </w:p>
        </w:tc>
      </w:tr>
      <w:tr w14:paraId="3A013A53">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56C8CE1E">
            <w:pPr>
              <w:spacing w:line="276" w:lineRule="auto"/>
              <w:ind w:firstLine="480" w:firstLineChars="200"/>
              <w:rPr>
                <w:sz w:val="24"/>
                <w:szCs w:val="24"/>
              </w:rPr>
            </w:pPr>
            <w:r>
              <w:rPr>
                <w:rFonts w:hint="eastAsia"/>
                <w:sz w:val="24"/>
                <w:szCs w:val="24"/>
              </w:rPr>
              <w:t>中医儿科学</w:t>
            </w:r>
          </w:p>
        </w:tc>
        <w:tc>
          <w:tcPr>
            <w:tcW w:w="1522" w:type="pct"/>
            <w:tcBorders>
              <w:top w:val="nil"/>
              <w:left w:val="nil"/>
              <w:bottom w:val="single" w:color="auto" w:sz="4" w:space="0"/>
              <w:right w:val="single" w:color="auto" w:sz="4" w:space="0"/>
            </w:tcBorders>
          </w:tcPr>
          <w:p w14:paraId="423AD2C3">
            <w:pPr>
              <w:spacing w:line="276" w:lineRule="auto"/>
              <w:ind w:firstLine="480" w:firstLineChars="200"/>
              <w:rPr>
                <w:sz w:val="24"/>
                <w:szCs w:val="24"/>
              </w:rPr>
            </w:pPr>
            <w:r>
              <w:rPr>
                <w:rFonts w:hint="eastAsia"/>
                <w:sz w:val="24"/>
                <w:szCs w:val="24"/>
              </w:rPr>
              <w:t>不低于1500</w:t>
            </w:r>
          </w:p>
        </w:tc>
      </w:tr>
      <w:tr w14:paraId="4A8A327A">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3E35B092">
            <w:pPr>
              <w:spacing w:line="276" w:lineRule="auto"/>
              <w:ind w:firstLine="480" w:firstLineChars="200"/>
              <w:rPr>
                <w:sz w:val="24"/>
                <w:szCs w:val="24"/>
              </w:rPr>
            </w:pPr>
            <w:r>
              <w:rPr>
                <w:rFonts w:hint="eastAsia"/>
                <w:sz w:val="24"/>
                <w:szCs w:val="24"/>
              </w:rPr>
              <w:t>诊断学基础</w:t>
            </w:r>
          </w:p>
        </w:tc>
        <w:tc>
          <w:tcPr>
            <w:tcW w:w="1522" w:type="pct"/>
            <w:tcBorders>
              <w:top w:val="nil"/>
              <w:left w:val="nil"/>
              <w:bottom w:val="single" w:color="auto" w:sz="4" w:space="0"/>
              <w:right w:val="single" w:color="auto" w:sz="4" w:space="0"/>
            </w:tcBorders>
          </w:tcPr>
          <w:p w14:paraId="17786594">
            <w:pPr>
              <w:spacing w:line="276" w:lineRule="auto"/>
              <w:ind w:firstLine="480" w:firstLineChars="200"/>
              <w:rPr>
                <w:sz w:val="24"/>
                <w:szCs w:val="24"/>
              </w:rPr>
            </w:pPr>
            <w:r>
              <w:rPr>
                <w:rFonts w:hint="eastAsia"/>
                <w:sz w:val="24"/>
                <w:szCs w:val="24"/>
              </w:rPr>
              <w:t>不低于2000</w:t>
            </w:r>
          </w:p>
        </w:tc>
      </w:tr>
      <w:tr w14:paraId="0291228A">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12C8B2B4">
            <w:pPr>
              <w:spacing w:line="276" w:lineRule="auto"/>
              <w:ind w:firstLine="480" w:firstLineChars="200"/>
              <w:rPr>
                <w:sz w:val="24"/>
                <w:szCs w:val="24"/>
              </w:rPr>
            </w:pPr>
            <w:r>
              <w:rPr>
                <w:rFonts w:hint="eastAsia"/>
                <w:sz w:val="24"/>
                <w:szCs w:val="24"/>
              </w:rPr>
              <w:t>西医内科学</w:t>
            </w:r>
          </w:p>
        </w:tc>
        <w:tc>
          <w:tcPr>
            <w:tcW w:w="1522" w:type="pct"/>
            <w:tcBorders>
              <w:top w:val="nil"/>
              <w:left w:val="nil"/>
              <w:bottom w:val="single" w:color="auto" w:sz="4" w:space="0"/>
              <w:right w:val="single" w:color="auto" w:sz="4" w:space="0"/>
            </w:tcBorders>
          </w:tcPr>
          <w:p w14:paraId="454136C5">
            <w:pPr>
              <w:spacing w:line="276" w:lineRule="auto"/>
              <w:ind w:firstLine="480" w:firstLineChars="200"/>
              <w:rPr>
                <w:sz w:val="24"/>
                <w:szCs w:val="24"/>
              </w:rPr>
            </w:pPr>
            <w:r>
              <w:rPr>
                <w:rFonts w:hint="eastAsia"/>
                <w:sz w:val="24"/>
                <w:szCs w:val="24"/>
              </w:rPr>
              <w:t>不低于2500</w:t>
            </w:r>
          </w:p>
        </w:tc>
      </w:tr>
      <w:tr w14:paraId="7E797307">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7E1F4ECE">
            <w:pPr>
              <w:spacing w:line="276" w:lineRule="auto"/>
              <w:ind w:firstLine="480" w:firstLineChars="200"/>
              <w:rPr>
                <w:sz w:val="24"/>
                <w:szCs w:val="24"/>
              </w:rPr>
            </w:pPr>
            <w:r>
              <w:rPr>
                <w:rFonts w:hint="eastAsia"/>
                <w:sz w:val="24"/>
                <w:szCs w:val="24"/>
              </w:rPr>
              <w:t>传染病学</w:t>
            </w:r>
          </w:p>
        </w:tc>
        <w:tc>
          <w:tcPr>
            <w:tcW w:w="1522" w:type="pct"/>
            <w:tcBorders>
              <w:top w:val="nil"/>
              <w:left w:val="nil"/>
              <w:bottom w:val="single" w:color="auto" w:sz="4" w:space="0"/>
              <w:right w:val="single" w:color="auto" w:sz="4" w:space="0"/>
            </w:tcBorders>
          </w:tcPr>
          <w:p w14:paraId="0A5C3A27">
            <w:pPr>
              <w:spacing w:line="276" w:lineRule="auto"/>
              <w:ind w:firstLine="480" w:firstLineChars="200"/>
              <w:rPr>
                <w:sz w:val="24"/>
                <w:szCs w:val="24"/>
              </w:rPr>
            </w:pPr>
            <w:r>
              <w:rPr>
                <w:rFonts w:hint="eastAsia"/>
                <w:sz w:val="24"/>
                <w:szCs w:val="24"/>
              </w:rPr>
              <w:t>不低于700</w:t>
            </w:r>
          </w:p>
        </w:tc>
      </w:tr>
      <w:tr w14:paraId="60770E54">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33260082">
            <w:pPr>
              <w:spacing w:line="276" w:lineRule="auto"/>
              <w:ind w:firstLine="480" w:firstLineChars="200"/>
              <w:rPr>
                <w:sz w:val="24"/>
                <w:szCs w:val="24"/>
              </w:rPr>
            </w:pPr>
            <w:r>
              <w:rPr>
                <w:rFonts w:hint="eastAsia"/>
                <w:sz w:val="24"/>
                <w:szCs w:val="24"/>
              </w:rPr>
              <w:t>卫生法规</w:t>
            </w:r>
          </w:p>
        </w:tc>
        <w:tc>
          <w:tcPr>
            <w:tcW w:w="1522" w:type="pct"/>
            <w:tcBorders>
              <w:top w:val="nil"/>
              <w:left w:val="nil"/>
              <w:bottom w:val="single" w:color="auto" w:sz="4" w:space="0"/>
              <w:right w:val="single" w:color="auto" w:sz="4" w:space="0"/>
            </w:tcBorders>
          </w:tcPr>
          <w:p w14:paraId="4255E020">
            <w:pPr>
              <w:spacing w:line="276" w:lineRule="auto"/>
              <w:ind w:firstLine="480" w:firstLineChars="200"/>
              <w:rPr>
                <w:sz w:val="24"/>
                <w:szCs w:val="24"/>
              </w:rPr>
            </w:pPr>
            <w:r>
              <w:rPr>
                <w:rFonts w:hint="eastAsia"/>
                <w:sz w:val="24"/>
                <w:szCs w:val="24"/>
              </w:rPr>
              <w:t>不低于300</w:t>
            </w:r>
          </w:p>
        </w:tc>
      </w:tr>
      <w:tr w14:paraId="55B91879">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728698FC">
            <w:pPr>
              <w:spacing w:line="276" w:lineRule="auto"/>
              <w:ind w:firstLine="480" w:firstLineChars="200"/>
              <w:rPr>
                <w:sz w:val="24"/>
                <w:szCs w:val="24"/>
              </w:rPr>
            </w:pPr>
            <w:r>
              <w:rPr>
                <w:rFonts w:hint="eastAsia"/>
                <w:sz w:val="24"/>
                <w:szCs w:val="24"/>
              </w:rPr>
              <w:t>医学伦理学</w:t>
            </w:r>
          </w:p>
        </w:tc>
        <w:tc>
          <w:tcPr>
            <w:tcW w:w="1522" w:type="pct"/>
            <w:tcBorders>
              <w:top w:val="nil"/>
              <w:left w:val="nil"/>
              <w:bottom w:val="single" w:color="auto" w:sz="4" w:space="0"/>
              <w:right w:val="single" w:color="auto" w:sz="4" w:space="0"/>
            </w:tcBorders>
          </w:tcPr>
          <w:p w14:paraId="118F83AB">
            <w:pPr>
              <w:spacing w:line="276" w:lineRule="auto"/>
              <w:ind w:firstLine="480" w:firstLineChars="200"/>
              <w:rPr>
                <w:sz w:val="24"/>
                <w:szCs w:val="24"/>
              </w:rPr>
            </w:pPr>
            <w:r>
              <w:rPr>
                <w:rFonts w:hint="eastAsia"/>
                <w:sz w:val="24"/>
                <w:szCs w:val="24"/>
              </w:rPr>
              <w:t>不低于300</w:t>
            </w:r>
          </w:p>
        </w:tc>
      </w:tr>
      <w:tr w14:paraId="5F2514D3">
        <w:tblPrEx>
          <w:tblCellMar>
            <w:top w:w="0" w:type="dxa"/>
            <w:left w:w="108" w:type="dxa"/>
            <w:bottom w:w="0" w:type="dxa"/>
            <w:right w:w="108" w:type="dxa"/>
          </w:tblCellMar>
        </w:tblPrEx>
        <w:trPr>
          <w:trHeight w:val="270" w:hRule="atLeast"/>
        </w:trPr>
        <w:tc>
          <w:tcPr>
            <w:tcW w:w="3478" w:type="pct"/>
            <w:tcBorders>
              <w:top w:val="nil"/>
              <w:left w:val="single" w:color="auto" w:sz="4" w:space="0"/>
              <w:bottom w:val="single" w:color="auto" w:sz="4" w:space="0"/>
              <w:right w:val="single" w:color="auto" w:sz="4" w:space="0"/>
            </w:tcBorders>
          </w:tcPr>
          <w:p w14:paraId="3C37C264">
            <w:pPr>
              <w:spacing w:line="276" w:lineRule="auto"/>
              <w:ind w:firstLine="480" w:firstLineChars="200"/>
              <w:rPr>
                <w:sz w:val="24"/>
                <w:szCs w:val="24"/>
              </w:rPr>
            </w:pPr>
            <w:r>
              <w:rPr>
                <w:rFonts w:hint="eastAsia"/>
                <w:sz w:val="24"/>
                <w:szCs w:val="24"/>
              </w:rPr>
              <w:t>合计</w:t>
            </w:r>
          </w:p>
        </w:tc>
        <w:tc>
          <w:tcPr>
            <w:tcW w:w="1522" w:type="pct"/>
            <w:tcBorders>
              <w:top w:val="nil"/>
              <w:left w:val="nil"/>
              <w:bottom w:val="single" w:color="auto" w:sz="4" w:space="0"/>
              <w:right w:val="single" w:color="auto" w:sz="4" w:space="0"/>
            </w:tcBorders>
          </w:tcPr>
          <w:p w14:paraId="55EC6C3C">
            <w:pPr>
              <w:spacing w:line="276" w:lineRule="auto"/>
              <w:ind w:firstLine="480" w:firstLineChars="200"/>
              <w:rPr>
                <w:sz w:val="24"/>
                <w:szCs w:val="24"/>
              </w:rPr>
            </w:pPr>
            <w:r>
              <w:rPr>
                <w:rFonts w:hint="eastAsia"/>
                <w:sz w:val="24"/>
                <w:szCs w:val="24"/>
              </w:rPr>
              <w:t>不低于22000</w:t>
            </w:r>
          </w:p>
        </w:tc>
      </w:tr>
    </w:tbl>
    <w:p w14:paraId="2AB6802F">
      <w:pPr>
        <w:spacing w:line="276" w:lineRule="auto"/>
        <w:ind w:firstLine="480" w:firstLineChars="200"/>
        <w:rPr>
          <w:sz w:val="24"/>
          <w:szCs w:val="24"/>
        </w:rPr>
      </w:pPr>
    </w:p>
    <w:p w14:paraId="69EBB5E2">
      <w:pPr>
        <w:spacing w:line="440" w:lineRule="exact"/>
        <w:ind w:firstLine="480" w:firstLineChars="200"/>
        <w:rPr>
          <w:bCs/>
          <w:sz w:val="24"/>
          <w:szCs w:val="24"/>
        </w:rPr>
      </w:pPr>
      <w:r>
        <w:rPr>
          <w:rFonts w:hint="eastAsia"/>
          <w:bCs/>
          <w:sz w:val="24"/>
          <w:szCs w:val="24"/>
        </w:rPr>
        <w:t>★（2）版权要求：要求所有试题内容为制造商自有版权。如有涉及非自有试题内容的，需提供该部分试题来源方的版权授权文件。</w:t>
      </w:r>
    </w:p>
    <w:p w14:paraId="074AE132">
      <w:pPr>
        <w:spacing w:line="440" w:lineRule="exact"/>
        <w:ind w:firstLine="480" w:firstLineChars="200"/>
        <w:rPr>
          <w:bCs/>
          <w:sz w:val="24"/>
          <w:szCs w:val="24"/>
        </w:rPr>
      </w:pPr>
      <w:r>
        <w:rPr>
          <w:rFonts w:hint="eastAsia"/>
          <w:bCs/>
          <w:sz w:val="24"/>
          <w:szCs w:val="24"/>
        </w:rPr>
        <w:t>★（3）试题资源质量要求：要求从试卷类型、试题类型、试题难度各方面，全方位与中医执业助理医师资格考试对接</w:t>
      </w:r>
      <w:bookmarkStart w:id="1" w:name="_GoBack"/>
      <w:bookmarkEnd w:id="1"/>
      <w:r>
        <w:rPr>
          <w:rFonts w:hint="eastAsia"/>
          <w:bCs/>
          <w:sz w:val="24"/>
          <w:szCs w:val="24"/>
        </w:rPr>
        <w:t>，并按照日常教学的要求，按学科对试题资源重新分类。</w:t>
      </w:r>
    </w:p>
    <w:p w14:paraId="19439C9A">
      <w:pPr>
        <w:spacing w:line="440" w:lineRule="exact"/>
        <w:ind w:firstLine="480" w:firstLineChars="200"/>
        <w:rPr>
          <w:bCs/>
          <w:sz w:val="24"/>
          <w:szCs w:val="24"/>
        </w:rPr>
      </w:pPr>
      <w:r>
        <w:rPr>
          <w:rFonts w:hint="eastAsia"/>
          <w:bCs/>
          <w:sz w:val="24"/>
          <w:szCs w:val="24"/>
        </w:rPr>
        <w:t>三、质量和服务要求</w:t>
      </w:r>
    </w:p>
    <w:p w14:paraId="28086050">
      <w:pPr>
        <w:spacing w:line="440" w:lineRule="exact"/>
        <w:ind w:firstLine="480" w:firstLineChars="200"/>
        <w:rPr>
          <w:bCs/>
          <w:sz w:val="24"/>
          <w:szCs w:val="24"/>
        </w:rPr>
      </w:pPr>
      <w:r>
        <w:rPr>
          <w:rFonts w:hint="eastAsia"/>
          <w:bCs/>
          <w:sz w:val="24"/>
          <w:szCs w:val="24"/>
        </w:rPr>
        <w:t>1.质量要求</w:t>
      </w:r>
    </w:p>
    <w:p w14:paraId="4F9A2BC3">
      <w:pPr>
        <w:spacing w:line="440" w:lineRule="exact"/>
        <w:ind w:firstLine="480" w:firstLineChars="200"/>
        <w:rPr>
          <w:bCs/>
          <w:sz w:val="24"/>
          <w:szCs w:val="24"/>
        </w:rPr>
      </w:pPr>
      <w:r>
        <w:rPr>
          <w:rFonts w:hint="eastAsia"/>
          <w:bCs/>
          <w:sz w:val="24"/>
          <w:szCs w:val="24"/>
        </w:rPr>
        <w:t>（1）标准规范体系：在应用系统建设中，应遵循已颁布的国际标准、国家标准或行业标准及学校相应的标准和规范。</w:t>
      </w:r>
    </w:p>
    <w:p w14:paraId="48548D33">
      <w:pPr>
        <w:spacing w:line="440" w:lineRule="exact"/>
        <w:ind w:firstLine="480" w:firstLineChars="200"/>
        <w:rPr>
          <w:bCs/>
          <w:sz w:val="24"/>
          <w:szCs w:val="24"/>
        </w:rPr>
      </w:pPr>
      <w:r>
        <w:rPr>
          <w:rFonts w:hint="eastAsia"/>
          <w:bCs/>
          <w:sz w:val="24"/>
          <w:szCs w:val="24"/>
        </w:rPr>
        <w:t>（2）应用安全体系：应用系统在开发和使用中将受到许多来自外部使用不当、恶意攻击、破坏性使用和系统本身内部的一些缺陷带来的干扰，因此，在进行应用系统建设时，要从设计、开发、使用和维护等几个方面考虑了应用系统的安全问题。</w:t>
      </w:r>
    </w:p>
    <w:p w14:paraId="75C37D1A">
      <w:pPr>
        <w:spacing w:line="440" w:lineRule="exact"/>
        <w:ind w:firstLine="480" w:firstLineChars="200"/>
        <w:rPr>
          <w:bCs/>
          <w:sz w:val="24"/>
          <w:szCs w:val="24"/>
        </w:rPr>
      </w:pPr>
      <w:r>
        <w:rPr>
          <w:rFonts w:hint="eastAsia"/>
          <w:bCs/>
          <w:sz w:val="24"/>
          <w:szCs w:val="24"/>
        </w:rPr>
        <w:t>（3）运行保障体系：应用建设项目的正常运行不只是技术上的问题，还有管理上的问题，要建立一套包括管理的规章制度、业务流程和人员配备等方案在内的应用运行保障体系。</w:t>
      </w:r>
    </w:p>
    <w:p w14:paraId="1CA06F0D">
      <w:pPr>
        <w:spacing w:line="440" w:lineRule="exact"/>
        <w:ind w:firstLine="480" w:firstLineChars="200"/>
        <w:rPr>
          <w:bCs/>
          <w:sz w:val="24"/>
          <w:szCs w:val="24"/>
        </w:rPr>
      </w:pPr>
      <w:r>
        <w:rPr>
          <w:rFonts w:hint="eastAsia"/>
          <w:bCs/>
          <w:sz w:val="24"/>
          <w:szCs w:val="24"/>
        </w:rPr>
        <w:t>（4）系统设计开发原则：</w:t>
      </w:r>
    </w:p>
    <w:p w14:paraId="310A4196">
      <w:pPr>
        <w:spacing w:line="440" w:lineRule="exact"/>
        <w:ind w:firstLine="480" w:firstLineChars="200"/>
        <w:rPr>
          <w:bCs/>
          <w:sz w:val="24"/>
          <w:szCs w:val="24"/>
        </w:rPr>
      </w:pPr>
      <w:r>
        <w:rPr>
          <w:rFonts w:hint="eastAsia"/>
          <w:bCs/>
          <w:sz w:val="24"/>
          <w:szCs w:val="24"/>
        </w:rPr>
        <w:t>①符合国家有关规定</w:t>
      </w:r>
    </w:p>
    <w:p w14:paraId="54D62FD0">
      <w:pPr>
        <w:spacing w:line="440" w:lineRule="exact"/>
        <w:ind w:firstLine="480" w:firstLineChars="200"/>
        <w:rPr>
          <w:bCs/>
          <w:sz w:val="24"/>
          <w:szCs w:val="24"/>
        </w:rPr>
      </w:pPr>
      <w:r>
        <w:rPr>
          <w:rFonts w:hint="eastAsia"/>
          <w:bCs/>
          <w:sz w:val="24"/>
          <w:szCs w:val="24"/>
        </w:rPr>
        <w:t>系统建设必须符合我国相关部门制订的标准，对安全策略、密码与安全设备选用、网络互联、安全管理等必须符合我国信息安全法律法规。</w:t>
      </w:r>
    </w:p>
    <w:p w14:paraId="7664AC63">
      <w:pPr>
        <w:spacing w:line="440" w:lineRule="exact"/>
        <w:ind w:firstLine="480" w:firstLineChars="200"/>
        <w:rPr>
          <w:bCs/>
          <w:sz w:val="24"/>
          <w:szCs w:val="24"/>
        </w:rPr>
      </w:pPr>
      <w:r>
        <w:rPr>
          <w:rFonts w:hint="eastAsia"/>
          <w:bCs/>
          <w:sz w:val="24"/>
          <w:szCs w:val="24"/>
        </w:rPr>
        <w:t>②易操作性原则</w:t>
      </w:r>
    </w:p>
    <w:p w14:paraId="0564AE22">
      <w:pPr>
        <w:spacing w:line="440" w:lineRule="exact"/>
        <w:ind w:firstLine="480" w:firstLineChars="200"/>
        <w:rPr>
          <w:bCs/>
          <w:sz w:val="24"/>
          <w:szCs w:val="24"/>
        </w:rPr>
      </w:pPr>
      <w:r>
        <w:rPr>
          <w:rFonts w:hint="eastAsia"/>
          <w:bCs/>
          <w:sz w:val="24"/>
          <w:szCs w:val="24"/>
        </w:rPr>
        <w:t>易操作性主要表现在以下几个方面：易管理、易使用、方便开发、易学习。</w:t>
      </w:r>
    </w:p>
    <w:p w14:paraId="207F5749">
      <w:pPr>
        <w:spacing w:line="440" w:lineRule="exact"/>
        <w:ind w:firstLine="480" w:firstLineChars="200"/>
        <w:rPr>
          <w:bCs/>
          <w:sz w:val="24"/>
          <w:szCs w:val="24"/>
        </w:rPr>
      </w:pPr>
      <w:r>
        <w:rPr>
          <w:rFonts w:hint="eastAsia"/>
          <w:bCs/>
          <w:sz w:val="24"/>
          <w:szCs w:val="24"/>
        </w:rPr>
        <w:t>③使用、高效、可扩展原则</w:t>
      </w:r>
    </w:p>
    <w:p w14:paraId="7F4BABAD">
      <w:pPr>
        <w:spacing w:line="440" w:lineRule="exact"/>
        <w:ind w:firstLine="480" w:firstLineChars="200"/>
        <w:rPr>
          <w:bCs/>
          <w:sz w:val="24"/>
          <w:szCs w:val="24"/>
        </w:rPr>
      </w:pPr>
      <w:r>
        <w:rPr>
          <w:rFonts w:hint="eastAsia"/>
          <w:bCs/>
          <w:sz w:val="24"/>
          <w:szCs w:val="24"/>
        </w:rPr>
        <w:t>本项目中所采用的产品，要便于操作、实用高效。同时，随着IT技术和教学业务的不断发展，信息化系统将会发生各种变化，系统设计必须能适应这种变化，在系统实施过程中，系统的结构、配置也会发生这样或那样的变化，该平台要有一定的灵活性来适应这种变化。</w:t>
      </w:r>
    </w:p>
    <w:p w14:paraId="07D6CEB6">
      <w:pPr>
        <w:spacing w:line="440" w:lineRule="exact"/>
        <w:ind w:firstLine="480" w:firstLineChars="200"/>
        <w:rPr>
          <w:bCs/>
          <w:sz w:val="24"/>
          <w:szCs w:val="24"/>
        </w:rPr>
      </w:pPr>
      <w:r>
        <w:rPr>
          <w:rFonts w:hint="eastAsia"/>
          <w:bCs/>
          <w:sz w:val="24"/>
          <w:szCs w:val="24"/>
        </w:rPr>
        <w:t>④标准化与一致性原则</w:t>
      </w:r>
    </w:p>
    <w:p w14:paraId="3E6293E5">
      <w:pPr>
        <w:spacing w:line="440" w:lineRule="exact"/>
        <w:ind w:firstLine="480" w:firstLineChars="200"/>
        <w:rPr>
          <w:bCs/>
          <w:sz w:val="24"/>
          <w:szCs w:val="24"/>
        </w:rPr>
      </w:pPr>
      <w:r>
        <w:rPr>
          <w:rFonts w:hint="eastAsia"/>
          <w:bCs/>
          <w:sz w:val="24"/>
          <w:szCs w:val="24"/>
        </w:rPr>
        <w:t>数字化是一个庞大的系统工程，其体系的设计必须遵循一系列的标准，确保各个分系统的一致性，整个系统能安全地互联互通、信息共享。</w:t>
      </w:r>
    </w:p>
    <w:p w14:paraId="0F2CE943">
      <w:pPr>
        <w:spacing w:line="440" w:lineRule="exact"/>
        <w:ind w:firstLine="480" w:firstLineChars="200"/>
        <w:rPr>
          <w:bCs/>
          <w:sz w:val="24"/>
          <w:szCs w:val="24"/>
        </w:rPr>
      </w:pPr>
      <w:r>
        <w:rPr>
          <w:rFonts w:hint="eastAsia"/>
          <w:bCs/>
          <w:sz w:val="24"/>
          <w:szCs w:val="24"/>
        </w:rPr>
        <w:t>⑤基本技术路线</w:t>
      </w:r>
    </w:p>
    <w:p w14:paraId="70BF1ED8">
      <w:pPr>
        <w:spacing w:line="440" w:lineRule="exact"/>
        <w:ind w:firstLine="480" w:firstLineChars="200"/>
        <w:rPr>
          <w:bCs/>
          <w:sz w:val="24"/>
          <w:szCs w:val="24"/>
        </w:rPr>
      </w:pPr>
      <w:r>
        <w:rPr>
          <w:rFonts w:hint="eastAsia"/>
          <w:bCs/>
          <w:sz w:val="24"/>
          <w:szCs w:val="24"/>
        </w:rPr>
        <w:t>系统采用NET或JAVA技术，B/S架构，数据库采用SQL Server 或oracle等主流数据库。</w:t>
      </w:r>
    </w:p>
    <w:p w14:paraId="183485B8">
      <w:pPr>
        <w:spacing w:line="440" w:lineRule="exact"/>
        <w:ind w:firstLine="480" w:firstLineChars="200"/>
        <w:rPr>
          <w:bCs/>
          <w:sz w:val="24"/>
          <w:szCs w:val="24"/>
        </w:rPr>
      </w:pPr>
      <w:r>
        <w:rPr>
          <w:rFonts w:hint="eastAsia"/>
          <w:bCs/>
          <w:sz w:val="24"/>
          <w:szCs w:val="24"/>
        </w:rPr>
        <w:t>（2）供货方式、时间及地点要求：</w:t>
      </w:r>
    </w:p>
    <w:p w14:paraId="0E82540F">
      <w:pPr>
        <w:spacing w:line="440" w:lineRule="exact"/>
        <w:ind w:firstLine="480" w:firstLineChars="200"/>
        <w:rPr>
          <w:bCs/>
          <w:sz w:val="24"/>
          <w:szCs w:val="24"/>
        </w:rPr>
      </w:pPr>
      <w:r>
        <w:rPr>
          <w:rFonts w:hint="eastAsia"/>
          <w:bCs/>
          <w:sz w:val="24"/>
          <w:szCs w:val="24"/>
        </w:rPr>
        <w:t>合同签订后，在接到采购方安装通知后，供货方应在15天内完成设备的安装及调试。</w:t>
      </w:r>
    </w:p>
    <w:p w14:paraId="1D10AE54">
      <w:pPr>
        <w:spacing w:line="440" w:lineRule="exact"/>
        <w:ind w:firstLine="480" w:firstLineChars="200"/>
        <w:rPr>
          <w:bCs/>
          <w:sz w:val="24"/>
          <w:szCs w:val="24"/>
        </w:rPr>
      </w:pPr>
      <w:r>
        <w:rPr>
          <w:rFonts w:hint="eastAsia"/>
          <w:bCs/>
          <w:sz w:val="24"/>
          <w:szCs w:val="24"/>
        </w:rPr>
        <w:t>（3）质保期及服务要求：</w:t>
      </w:r>
    </w:p>
    <w:p w14:paraId="67CD1D6B">
      <w:pPr>
        <w:spacing w:line="440" w:lineRule="exact"/>
        <w:ind w:firstLine="480" w:firstLineChars="200"/>
        <w:rPr>
          <w:bCs/>
          <w:sz w:val="24"/>
          <w:szCs w:val="24"/>
        </w:rPr>
      </w:pPr>
      <w:r>
        <w:rPr>
          <w:rFonts w:hint="eastAsia"/>
          <w:bCs/>
          <w:sz w:val="24"/>
          <w:szCs w:val="24"/>
        </w:rPr>
        <w:t>①培训及售后服务：现场完成安装、调试之后，由中标方工程师提供免费操作培训。培训内容主要包括设备原理、基本操作要领、设备简易故障排除和维护保养知识等，直至用户熟练操作。</w:t>
      </w:r>
    </w:p>
    <w:p w14:paraId="1683F446">
      <w:pPr>
        <w:spacing w:line="440" w:lineRule="exact"/>
        <w:ind w:firstLine="480" w:firstLineChars="200"/>
        <w:rPr>
          <w:bCs/>
          <w:sz w:val="24"/>
          <w:szCs w:val="24"/>
        </w:rPr>
      </w:pPr>
      <w:r>
        <w:rPr>
          <w:rFonts w:hint="eastAsia"/>
          <w:bCs/>
          <w:sz w:val="24"/>
          <w:szCs w:val="24"/>
        </w:rPr>
        <w:t>②须提供售后服务团队人员名单清单和联系方式。</w:t>
      </w:r>
    </w:p>
    <w:p w14:paraId="0B8AF99B">
      <w:pPr>
        <w:spacing w:line="440" w:lineRule="exact"/>
        <w:ind w:firstLine="480" w:firstLineChars="200"/>
        <w:rPr>
          <w:bCs/>
          <w:sz w:val="24"/>
          <w:szCs w:val="24"/>
        </w:rPr>
      </w:pPr>
      <w:r>
        <w:rPr>
          <w:rFonts w:hint="eastAsia"/>
          <w:bCs/>
          <w:sz w:val="24"/>
          <w:szCs w:val="24"/>
        </w:rPr>
        <w:t>③质保期：提供至少2年的免费质保期，自验收合格之日起计算。在质保期内，若系统因质量或设备本身问题出现故障，由中标方进行免费维修。对于采购方的服务通知，中标方必须在接到通知后24小时内予以响应，若有必要，中标方工程师必须48小时内到达现场，72小时内处理完毕。若在72小时内未能有效解决，中标方须免费提供同档次的设备予采购方临时使用。质保期外，服务响应时间与质保期内一致，维保费用不超过中标价的5%。</w:t>
      </w:r>
    </w:p>
    <w:p w14:paraId="12D531BA">
      <w:pPr>
        <w:spacing w:line="440" w:lineRule="exact"/>
        <w:ind w:firstLine="480" w:firstLineChars="200"/>
        <w:rPr>
          <w:bCs/>
          <w:sz w:val="24"/>
          <w:szCs w:val="24"/>
        </w:rPr>
      </w:pPr>
      <w:r>
        <w:rPr>
          <w:rFonts w:hint="eastAsia"/>
          <w:bCs/>
          <w:sz w:val="24"/>
          <w:szCs w:val="24"/>
        </w:rPr>
        <w:t>④验收方法及验收标准：</w:t>
      </w:r>
    </w:p>
    <w:p w14:paraId="2E7CB3EF">
      <w:pPr>
        <w:spacing w:line="440" w:lineRule="exact"/>
        <w:ind w:firstLine="480" w:firstLineChars="200"/>
        <w:rPr>
          <w:bCs/>
          <w:sz w:val="24"/>
          <w:szCs w:val="24"/>
        </w:rPr>
      </w:pPr>
      <w:r>
        <w:rPr>
          <w:rFonts w:hint="eastAsia"/>
          <w:bCs/>
          <w:sz w:val="24"/>
          <w:szCs w:val="24"/>
        </w:rPr>
        <w:t>系统发运前，必须对系统的质量、规格、性能等方面的技术数据进行综合检验，系统现场安装、调试结束后，中标方和采购方相关人员按验收标准进行验收。验收标准为招标文件、投标文件、合同中的相关技术及服务条款内容。如验收达不到规定要求，采购人有权要求更换货物或拒绝付款，供应商若违约，采购人将依法追究相应法律责任。</w:t>
      </w:r>
    </w:p>
    <w:p w14:paraId="0C994D79">
      <w:pPr>
        <w:spacing w:line="440" w:lineRule="exact"/>
        <w:ind w:firstLine="480" w:firstLineChars="200"/>
        <w:rPr>
          <w:bCs/>
          <w:sz w:val="24"/>
          <w:szCs w:val="24"/>
        </w:rPr>
      </w:pPr>
      <w:r>
        <w:rPr>
          <w:rFonts w:hint="eastAsia"/>
          <w:bCs/>
          <w:sz w:val="24"/>
          <w:szCs w:val="24"/>
        </w:rPr>
        <w:t>⑤其他需要明确的内容：</w:t>
      </w:r>
    </w:p>
    <w:p w14:paraId="6CF7A6E7">
      <w:pPr>
        <w:spacing w:line="440" w:lineRule="exact"/>
        <w:ind w:firstLine="480" w:firstLineChars="200"/>
        <w:rPr>
          <w:bCs/>
          <w:sz w:val="24"/>
          <w:szCs w:val="24"/>
        </w:rPr>
      </w:pPr>
      <w:r>
        <w:rPr>
          <w:rFonts w:hint="eastAsia"/>
          <w:bCs/>
          <w:sz w:val="24"/>
          <w:szCs w:val="24"/>
        </w:rPr>
        <w:t>供方交货时提供货物所必备的各种证书及相关证明材料、技术资料；</w:t>
      </w:r>
    </w:p>
    <w:p w14:paraId="5DEE5239">
      <w:pPr>
        <w:spacing w:line="440" w:lineRule="exact"/>
        <w:ind w:firstLine="480" w:firstLineChars="200"/>
        <w:rPr>
          <w:bCs/>
          <w:sz w:val="24"/>
          <w:szCs w:val="24"/>
        </w:rPr>
      </w:pPr>
      <w:r>
        <w:rPr>
          <w:rFonts w:hint="eastAsia"/>
          <w:bCs/>
          <w:sz w:val="24"/>
          <w:szCs w:val="24"/>
        </w:rPr>
        <w:t>提供优质的售后服务和技术支持。</w:t>
      </w:r>
    </w:p>
    <w:p w14:paraId="59F86942">
      <w:pPr>
        <w:spacing w:line="440" w:lineRule="exact"/>
        <w:ind w:firstLine="480" w:firstLineChars="200"/>
        <w:rPr>
          <w:bCs/>
          <w:sz w:val="24"/>
          <w:szCs w:val="24"/>
        </w:rPr>
      </w:pPr>
      <w:r>
        <w:rPr>
          <w:rFonts w:hint="eastAsia"/>
          <w:bCs/>
          <w:sz w:val="24"/>
          <w:szCs w:val="24"/>
        </w:rPr>
        <w:t>校方提供服务器及网络环境，要求如下：</w:t>
      </w:r>
    </w:p>
    <w:p w14:paraId="4F94FD09">
      <w:pPr>
        <w:spacing w:line="440" w:lineRule="exact"/>
        <w:ind w:firstLine="480" w:firstLineChars="200"/>
        <w:rPr>
          <w:bCs/>
          <w:sz w:val="24"/>
          <w:szCs w:val="24"/>
        </w:rPr>
      </w:pPr>
      <w:r>
        <w:rPr>
          <w:rFonts w:hint="eastAsia"/>
          <w:bCs/>
          <w:sz w:val="24"/>
          <w:szCs w:val="24"/>
        </w:rPr>
        <w:t>（4）系统安装在校内服务器、校园网、服务器及网络配置要求：</w:t>
      </w:r>
    </w:p>
    <w:p w14:paraId="47521B14">
      <w:pPr>
        <w:spacing w:line="440" w:lineRule="exact"/>
        <w:ind w:firstLine="480" w:firstLineChars="200"/>
        <w:rPr>
          <w:bCs/>
          <w:sz w:val="24"/>
          <w:szCs w:val="24"/>
        </w:rPr>
      </w:pPr>
      <w:r>
        <w:rPr>
          <w:rFonts w:hint="eastAsia"/>
          <w:bCs/>
          <w:sz w:val="24"/>
          <w:szCs w:val="24"/>
        </w:rPr>
        <w:t>处理器：Intel至强Xeon银牌</w:t>
      </w:r>
    </w:p>
    <w:p w14:paraId="7ABA2285">
      <w:pPr>
        <w:spacing w:line="440" w:lineRule="exact"/>
        <w:ind w:firstLine="480" w:firstLineChars="200"/>
        <w:rPr>
          <w:bCs/>
          <w:sz w:val="24"/>
          <w:szCs w:val="24"/>
        </w:rPr>
      </w:pPr>
      <w:r>
        <w:rPr>
          <w:rFonts w:hint="eastAsia"/>
          <w:bCs/>
          <w:sz w:val="24"/>
          <w:szCs w:val="24"/>
        </w:rPr>
        <w:t>CPU核心：8核及以上</w:t>
      </w:r>
    </w:p>
    <w:p w14:paraId="6877D87E">
      <w:pPr>
        <w:spacing w:line="440" w:lineRule="exact"/>
        <w:ind w:firstLine="480" w:firstLineChars="200"/>
        <w:rPr>
          <w:bCs/>
          <w:sz w:val="24"/>
          <w:szCs w:val="24"/>
        </w:rPr>
      </w:pPr>
      <w:r>
        <w:rPr>
          <w:rFonts w:hint="eastAsia"/>
          <w:bCs/>
          <w:sz w:val="24"/>
          <w:szCs w:val="24"/>
        </w:rPr>
        <w:t>CPU总线程数：16线程及以上</w:t>
      </w:r>
    </w:p>
    <w:p w14:paraId="0C6EBDC5">
      <w:pPr>
        <w:spacing w:line="440" w:lineRule="exact"/>
        <w:ind w:firstLine="480" w:firstLineChars="200"/>
        <w:rPr>
          <w:bCs/>
          <w:sz w:val="24"/>
          <w:szCs w:val="24"/>
        </w:rPr>
      </w:pPr>
      <w:r>
        <w:rPr>
          <w:rFonts w:hint="eastAsia"/>
          <w:bCs/>
          <w:sz w:val="24"/>
          <w:szCs w:val="24"/>
        </w:rPr>
        <w:t>内存大小：32GB及以上</w:t>
      </w:r>
    </w:p>
    <w:p w14:paraId="7C84DD67">
      <w:pPr>
        <w:spacing w:line="440" w:lineRule="exact"/>
        <w:ind w:firstLine="480" w:firstLineChars="200"/>
        <w:rPr>
          <w:bCs/>
          <w:sz w:val="24"/>
          <w:szCs w:val="24"/>
        </w:rPr>
      </w:pPr>
      <w:r>
        <w:rPr>
          <w:rFonts w:hint="eastAsia"/>
          <w:bCs/>
          <w:sz w:val="24"/>
          <w:szCs w:val="24"/>
        </w:rPr>
        <w:t>磁盘大小：1TB [系统盘:200G 数据盘:800G]</w:t>
      </w:r>
    </w:p>
    <w:p w14:paraId="7DCED318">
      <w:pPr>
        <w:spacing w:line="440" w:lineRule="exact"/>
        <w:ind w:firstLine="480" w:firstLineChars="200"/>
        <w:rPr>
          <w:bCs/>
          <w:sz w:val="24"/>
          <w:szCs w:val="24"/>
        </w:rPr>
      </w:pPr>
      <w:r>
        <w:rPr>
          <w:rFonts w:hint="eastAsia"/>
          <w:bCs/>
          <w:sz w:val="24"/>
          <w:szCs w:val="24"/>
        </w:rPr>
        <w:t>网络带宽：20m/s及以上</w:t>
      </w:r>
    </w:p>
    <w:p w14:paraId="5F85A0B5">
      <w:pPr>
        <w:spacing w:line="440" w:lineRule="exact"/>
        <w:ind w:firstLine="480" w:firstLineChars="200"/>
        <w:rPr>
          <w:sz w:val="24"/>
          <w:szCs w:val="24"/>
        </w:rPr>
      </w:pPr>
      <w:r>
        <w:rPr>
          <w:rFonts w:hint="eastAsia"/>
          <w:bCs/>
          <w:sz w:val="24"/>
          <w:szCs w:val="24"/>
        </w:rPr>
        <w:t>操作系统：Windows Server 2012R2及以上</w:t>
      </w:r>
    </w:p>
    <w:p w14:paraId="18E8FB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9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2025-10-21T07:11:53Z</dcterms:created>
  <dc:creator>1</dc:creator>
  <cp:lastModifiedBy>刘伟</cp:lastModifiedBy>
  <dcterms:modified xsi:type="dcterms:W3CDTF">2025-10-21T07:17:31Z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eyJoZGlkIjoiYTlkYTA5ZWExZWNjNzE4ODNmZTIwZDVmMWU5OTJjYjYiLCJ1c2VySWQiOiIxNTY2MDA5Mjc3In0=</vt:lpwstr>
  </property>
  <property fmtid="{D5CDD505-2E9C-101B-9397-08002B2CF9AE}" pid="4" name="ICV">
    <vt:lpwstr>0F0F1CDB3E0F4D87B942F572DAD7B227_12</vt:lpwstr>
  </property>
</Properties>
</file>