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1"/>
      </w:pPr>
      <w:bookmarkStart w:id="0" w:name="_Toc12776"/>
      <w:r>
        <w:rPr>
          <w:rFonts w:hint="eastAsia" w:ascii="宋体" w:hAnsi="宋体" w:cs="宋体"/>
          <w:b/>
          <w:szCs w:val="21"/>
        </w:rPr>
        <w:t>第一项：采购需求</w:t>
      </w:r>
      <w:bookmarkEnd w:id="0"/>
    </w:p>
    <w:p>
      <w:pPr>
        <w:spacing w:line="276" w:lineRule="auto"/>
        <w:ind w:firstLine="422" w:firstLineChars="200"/>
        <w:outlineLvl w:val="1"/>
        <w:rPr>
          <w:rFonts w:ascii="宋体" w:hAnsi="宋体" w:cs="宋体"/>
          <w:b/>
          <w:szCs w:val="21"/>
        </w:rPr>
      </w:pPr>
      <w:bookmarkStart w:id="1" w:name="_Toc13935"/>
      <w:r>
        <w:rPr>
          <w:rFonts w:hint="eastAsia" w:ascii="宋体" w:hAnsi="宋体" w:cs="宋体"/>
          <w:b/>
          <w:szCs w:val="21"/>
        </w:rPr>
        <w:t>一、项目概况</w:t>
      </w:r>
      <w:bookmarkEnd w:id="1"/>
    </w:p>
    <w:p>
      <w:pPr>
        <w:spacing w:line="276" w:lineRule="auto"/>
        <w:ind w:firstLine="420" w:firstLineChars="200"/>
        <w:rPr>
          <w:rFonts w:ascii="宋体" w:hAnsi="宋体" w:cs="宋体"/>
          <w:bCs/>
          <w:szCs w:val="21"/>
        </w:rPr>
      </w:pPr>
      <w:r>
        <w:rPr>
          <w:rFonts w:hint="eastAsia" w:ascii="宋体" w:hAnsi="宋体" w:cs="宋体"/>
          <w:bCs/>
          <w:szCs w:val="21"/>
        </w:rPr>
        <w:t>为满足广大师生的停车需求及保障电动自行车的有序充电，本项目将在西园食堂西侧新建2个停车棚，在食堂东侧新建1个停车棚。详见施工图纸和工程量清单。</w:t>
      </w:r>
    </w:p>
    <w:p>
      <w:pPr>
        <w:spacing w:line="276" w:lineRule="auto"/>
        <w:ind w:firstLine="420" w:firstLineChars="200"/>
        <w:rPr>
          <w:rFonts w:ascii="宋体" w:hAnsi="宋体" w:cs="宋体"/>
          <w:bCs/>
          <w:szCs w:val="21"/>
        </w:rPr>
      </w:pPr>
      <w:r>
        <w:rPr>
          <w:rFonts w:hint="eastAsia" w:ascii="宋体" w:hAnsi="宋体" w:cs="宋体"/>
          <w:bCs/>
          <w:szCs w:val="21"/>
        </w:rPr>
        <w:t>本工程需严格遵守《建设工程安全生产管理条例》、《中华人民共和国安全生产法》《中华人民共和国建筑法》、《中华人民共和国消防法》、《特种设备安全法》、《安全生产许可证条例》、《生产安全事故报告和调查处理条例》、《工伤保险条例》、《特种设备安全监察条例》等国家相关规定进行安全文明施工。</w:t>
      </w:r>
    </w:p>
    <w:p>
      <w:pPr>
        <w:spacing w:line="276" w:lineRule="auto"/>
        <w:ind w:firstLine="422" w:firstLineChars="200"/>
        <w:outlineLvl w:val="1"/>
        <w:rPr>
          <w:rFonts w:ascii="宋体" w:hAnsi="宋体" w:cs="宋体"/>
          <w:b/>
          <w:szCs w:val="21"/>
        </w:rPr>
      </w:pPr>
      <w:bookmarkStart w:id="2" w:name="_Toc14708"/>
      <w:r>
        <w:rPr>
          <w:rFonts w:hint="eastAsia" w:ascii="宋体" w:hAnsi="宋体" w:cs="宋体"/>
          <w:b/>
          <w:szCs w:val="21"/>
        </w:rPr>
        <w:t>二、项目要求及规范</w:t>
      </w:r>
      <w:bookmarkEnd w:id="2"/>
    </w:p>
    <w:p>
      <w:pPr>
        <w:pStyle w:val="9"/>
        <w:spacing w:line="360" w:lineRule="auto"/>
        <w:ind w:firstLine="422"/>
        <w:rPr>
          <w:rFonts w:ascii="宋体" w:hAnsi="宋体" w:cs="宋体"/>
          <w:b/>
          <w:bCs/>
          <w:color w:val="000000"/>
          <w:sz w:val="21"/>
          <w:szCs w:val="21"/>
          <w:lang w:bidi="ar"/>
        </w:rPr>
      </w:pPr>
      <w:r>
        <w:rPr>
          <w:rFonts w:hint="eastAsia" w:ascii="宋体" w:hAnsi="宋体" w:cs="宋体"/>
          <w:b/>
          <w:bCs/>
          <w:color w:val="000000"/>
          <w:sz w:val="21"/>
          <w:szCs w:val="21"/>
          <w:lang w:bidi="ar"/>
        </w:rPr>
        <w:t>（一）改造要求</w:t>
      </w:r>
    </w:p>
    <w:p>
      <w:pPr>
        <w:spacing w:line="276" w:lineRule="auto"/>
        <w:ind w:firstLine="420" w:firstLineChars="200"/>
        <w:rPr>
          <w:rFonts w:ascii="宋体" w:hAnsi="宋体" w:cs="宋体"/>
          <w:bCs/>
          <w:szCs w:val="21"/>
        </w:rPr>
      </w:pPr>
      <w:r>
        <w:rPr>
          <w:rFonts w:hint="eastAsia" w:ascii="宋体" w:hAnsi="宋体" w:cs="宋体"/>
          <w:bCs/>
          <w:szCs w:val="21"/>
        </w:rPr>
        <w:t>1、本工程为膜结构工程，顶部覆盖建筑膜材的膜结构建筑；</w:t>
      </w:r>
    </w:p>
    <w:p>
      <w:pPr>
        <w:spacing w:line="276" w:lineRule="auto"/>
        <w:ind w:firstLine="420" w:firstLineChars="200"/>
        <w:rPr>
          <w:rFonts w:ascii="宋体" w:hAnsi="宋体" w:cs="宋体"/>
          <w:bCs/>
          <w:szCs w:val="21"/>
        </w:rPr>
      </w:pPr>
      <w:r>
        <w:rPr>
          <w:rFonts w:hint="eastAsia" w:ascii="宋体" w:hAnsi="宋体" w:cs="宋体"/>
          <w:bCs/>
          <w:szCs w:val="21"/>
        </w:rPr>
        <w:t>2、本建筑结构安全等级为二级，建筑类别为丙类,抗震设防烈度为7度，设计基本地震加速度值为0.10g，第三组；</w:t>
      </w:r>
    </w:p>
    <w:p>
      <w:pPr>
        <w:spacing w:line="276" w:lineRule="auto"/>
        <w:ind w:firstLine="420" w:firstLineChars="200"/>
        <w:rPr>
          <w:rFonts w:ascii="宋体" w:hAnsi="宋体" w:cs="宋体"/>
          <w:bCs/>
          <w:szCs w:val="21"/>
        </w:rPr>
      </w:pPr>
      <w:r>
        <w:rPr>
          <w:rFonts w:hint="eastAsia" w:ascii="宋体" w:hAnsi="宋体" w:cs="宋体"/>
          <w:bCs/>
          <w:szCs w:val="21"/>
        </w:rPr>
        <w:t>3、本工程钢结构构件采用Q235B钢,其机械性能和化学成分应符合国家现行规范要求；</w:t>
      </w:r>
    </w:p>
    <w:p>
      <w:pPr>
        <w:spacing w:line="276" w:lineRule="auto"/>
        <w:ind w:firstLine="420" w:firstLineChars="200"/>
        <w:rPr>
          <w:rFonts w:ascii="宋体" w:hAnsi="宋体" w:cs="宋体"/>
          <w:bCs/>
          <w:szCs w:val="21"/>
        </w:rPr>
      </w:pPr>
      <w:r>
        <w:rPr>
          <w:rFonts w:hint="eastAsia" w:ascii="宋体" w:hAnsi="宋体" w:cs="宋体"/>
          <w:bCs/>
          <w:szCs w:val="21"/>
        </w:rPr>
        <w:t>4、本工程膜材采用PVDF建筑膜材，膜材抗拉强度不低于4000N/5CM；钢丝绳采用 6x37+1包塑，破断强度 1670/MPA；锚头采用45#钢制作，最小截面处破断拉力不低于钢丝绳破断拉力；钢索选用无油镀锌、无油镀锌涂塑钢索；钢索锚具使用热镀锌防腐处理；钢结构和膜节点涂装采用防锈底漆两道，乐化白瓷面漆两道；</w:t>
      </w:r>
    </w:p>
    <w:p>
      <w:pPr>
        <w:spacing w:line="276" w:lineRule="auto"/>
        <w:ind w:firstLine="420" w:firstLineChars="200"/>
        <w:rPr>
          <w:rFonts w:ascii="宋体" w:hAnsi="宋体" w:cs="宋体"/>
          <w:bCs/>
          <w:szCs w:val="21"/>
        </w:rPr>
      </w:pPr>
      <w:r>
        <w:rPr>
          <w:rFonts w:hint="eastAsia" w:ascii="宋体" w:hAnsi="宋体" w:cs="宋体"/>
          <w:bCs/>
          <w:szCs w:val="21"/>
        </w:rPr>
        <w:t>5、依据图纸在现有基础上进行结构的制作与安装和索膜的制作与安装，所有焊接均为满焊；</w:t>
      </w:r>
    </w:p>
    <w:p>
      <w:pPr>
        <w:spacing w:line="276" w:lineRule="auto"/>
        <w:ind w:firstLine="420" w:firstLineChars="200"/>
        <w:rPr>
          <w:rFonts w:ascii="宋体" w:hAnsi="宋体" w:cs="宋体"/>
          <w:bCs/>
          <w:szCs w:val="21"/>
        </w:rPr>
      </w:pPr>
      <w:r>
        <w:rPr>
          <w:rFonts w:hint="eastAsia" w:ascii="宋体" w:hAnsi="宋体" w:cs="宋体"/>
          <w:bCs/>
          <w:szCs w:val="21"/>
        </w:rPr>
        <w:t>6、就近引入电源，在停车棚安装配电箱及空开，后期由专业厂家安装充电装置。</w:t>
      </w:r>
    </w:p>
    <w:p>
      <w:pPr>
        <w:spacing w:line="276" w:lineRule="auto"/>
        <w:ind w:firstLine="422" w:firstLineChars="200"/>
        <w:jc w:val="left"/>
      </w:pPr>
      <w:r>
        <w:rPr>
          <w:rFonts w:hint="eastAsia" w:ascii="宋体" w:hAnsi="宋体" w:cs="等线 Light"/>
          <w:b/>
          <w:szCs w:val="21"/>
        </w:rPr>
        <w:t>具体清单及图纸详见附件</w:t>
      </w:r>
    </w:p>
    <w:p>
      <w:pPr>
        <w:pStyle w:val="9"/>
        <w:spacing w:line="360" w:lineRule="auto"/>
        <w:ind w:firstLine="0" w:firstLineChars="0"/>
        <w:outlineLvl w:val="1"/>
        <w:rPr>
          <w:rFonts w:ascii="宋体" w:hAnsi="宋体" w:cs="宋体"/>
          <w:b/>
          <w:bCs/>
          <w:color w:val="000000"/>
          <w:sz w:val="21"/>
          <w:szCs w:val="21"/>
          <w:lang w:bidi="ar"/>
        </w:rPr>
      </w:pPr>
      <w:bookmarkStart w:id="3" w:name="_Toc17368"/>
      <w:r>
        <w:rPr>
          <w:rFonts w:hint="eastAsia" w:ascii="宋体" w:hAnsi="宋体" w:cs="宋体"/>
          <w:b/>
          <w:bCs/>
          <w:color w:val="000000"/>
          <w:sz w:val="21"/>
          <w:szCs w:val="21"/>
          <w:lang w:bidi="ar"/>
        </w:rPr>
        <w:t>（二）主要材料（设备）推荐品牌表</w:t>
      </w:r>
      <w:bookmarkEnd w:id="3"/>
    </w:p>
    <w:tbl>
      <w:tblPr>
        <w:tblStyle w:val="7"/>
        <w:tblW w:w="997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4"/>
        <w:gridCol w:w="2660"/>
        <w:gridCol w:w="2743"/>
        <w:gridCol w:w="39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7" w:hRule="atLeast"/>
        </w:trPr>
        <w:tc>
          <w:tcPr>
            <w:tcW w:w="664" w:type="dxa"/>
            <w:tcBorders>
              <w:top w:val="single" w:color="000000" w:sz="4" w:space="0"/>
              <w:left w:val="single" w:color="000000" w:sz="4" w:space="0"/>
              <w:bottom w:val="single" w:color="auto" w:sz="4" w:space="0"/>
              <w:right w:val="single" w:color="auto" w:sz="4" w:space="0"/>
            </w:tcBorders>
            <w:vAlign w:val="center"/>
          </w:tcPr>
          <w:p>
            <w:pPr>
              <w:jc w:val="center"/>
              <w:rPr>
                <w:rFonts w:cs="宋体"/>
                <w:b/>
                <w:bCs/>
              </w:rPr>
            </w:pPr>
            <w:bookmarkStart w:id="4" w:name="_Toc11426"/>
            <w:r>
              <w:rPr>
                <w:rFonts w:hint="eastAsia" w:cs="宋体"/>
                <w:b/>
                <w:bCs/>
              </w:rPr>
              <w:t>序号</w:t>
            </w:r>
          </w:p>
        </w:tc>
        <w:tc>
          <w:tcPr>
            <w:tcW w:w="2660" w:type="dxa"/>
            <w:tcBorders>
              <w:top w:val="single" w:color="000000" w:sz="4" w:space="0"/>
              <w:left w:val="single" w:color="auto" w:sz="4" w:space="0"/>
              <w:bottom w:val="single" w:color="auto" w:sz="4" w:space="0"/>
              <w:right w:val="single" w:color="000000" w:sz="4" w:space="0"/>
            </w:tcBorders>
            <w:vAlign w:val="center"/>
          </w:tcPr>
          <w:p>
            <w:pPr>
              <w:jc w:val="center"/>
              <w:rPr>
                <w:rFonts w:cs="宋体"/>
                <w:b/>
                <w:bCs/>
              </w:rPr>
            </w:pPr>
            <w:r>
              <w:rPr>
                <w:rFonts w:hint="eastAsia" w:cs="宋体"/>
                <w:b/>
                <w:bCs/>
              </w:rPr>
              <w:t>材料设备名称</w:t>
            </w:r>
          </w:p>
        </w:tc>
        <w:tc>
          <w:tcPr>
            <w:tcW w:w="2743" w:type="dxa"/>
            <w:tcBorders>
              <w:top w:val="single" w:color="000000" w:sz="4" w:space="0"/>
              <w:left w:val="single" w:color="000000" w:sz="4" w:space="0"/>
              <w:bottom w:val="single" w:color="auto" w:sz="4" w:space="0"/>
              <w:right w:val="single" w:color="000000" w:sz="4" w:space="0"/>
            </w:tcBorders>
            <w:vAlign w:val="center"/>
          </w:tcPr>
          <w:p>
            <w:pPr>
              <w:jc w:val="center"/>
              <w:rPr>
                <w:rFonts w:cs="宋体"/>
                <w:b/>
                <w:bCs/>
              </w:rPr>
            </w:pPr>
            <w:r>
              <w:rPr>
                <w:rFonts w:hint="eastAsia" w:cs="宋体"/>
                <w:b/>
                <w:bCs/>
              </w:rPr>
              <w:t>材料主要性能要求</w:t>
            </w:r>
          </w:p>
        </w:tc>
        <w:tc>
          <w:tcPr>
            <w:tcW w:w="3911" w:type="dxa"/>
            <w:tcBorders>
              <w:top w:val="single" w:color="000000" w:sz="4" w:space="0"/>
              <w:left w:val="single" w:color="000000" w:sz="4" w:space="0"/>
              <w:bottom w:val="single" w:color="auto" w:sz="4" w:space="0"/>
              <w:right w:val="single" w:color="000000" w:sz="4" w:space="0"/>
            </w:tcBorders>
            <w:vAlign w:val="center"/>
          </w:tcPr>
          <w:p>
            <w:pPr>
              <w:jc w:val="center"/>
              <w:rPr>
                <w:rFonts w:cs="宋体"/>
                <w:b/>
                <w:bCs/>
              </w:rPr>
            </w:pPr>
            <w:r>
              <w:rPr>
                <w:rFonts w:hint="eastAsia" w:ascii="宋体" w:hAnsi="宋体" w:cs="宋体"/>
                <w:b/>
                <w:bCs/>
                <w:szCs w:val="21"/>
              </w:rPr>
              <w:t>参照或相当于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9" w:hRule="atLeast"/>
        </w:trPr>
        <w:tc>
          <w:tcPr>
            <w:tcW w:w="664"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1</w:t>
            </w:r>
          </w:p>
        </w:tc>
        <w:tc>
          <w:tcPr>
            <w:tcW w:w="2660"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电线电缆</w:t>
            </w:r>
          </w:p>
        </w:tc>
        <w:tc>
          <w:tcPr>
            <w:tcW w:w="2743"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合格品及其以上等级</w:t>
            </w:r>
          </w:p>
        </w:tc>
        <w:tc>
          <w:tcPr>
            <w:tcW w:w="3911"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远东、江南、上上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9" w:hRule="atLeast"/>
        </w:trPr>
        <w:tc>
          <w:tcPr>
            <w:tcW w:w="664"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2</w:t>
            </w:r>
          </w:p>
        </w:tc>
        <w:tc>
          <w:tcPr>
            <w:tcW w:w="2660"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给水管、排水管、电线管</w:t>
            </w:r>
          </w:p>
        </w:tc>
        <w:tc>
          <w:tcPr>
            <w:tcW w:w="2743"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合格品及其以上等级</w:t>
            </w:r>
          </w:p>
        </w:tc>
        <w:tc>
          <w:tcPr>
            <w:tcW w:w="3911"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公元、中财、联塑、日丰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9" w:hRule="atLeast"/>
        </w:trPr>
        <w:tc>
          <w:tcPr>
            <w:tcW w:w="664"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3</w:t>
            </w:r>
          </w:p>
        </w:tc>
        <w:tc>
          <w:tcPr>
            <w:tcW w:w="2660"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szCs w:val="21"/>
              </w:rPr>
              <w:t>配电箱和内元器件</w:t>
            </w:r>
          </w:p>
        </w:tc>
        <w:tc>
          <w:tcPr>
            <w:tcW w:w="2743"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rFonts w:hint="eastAsia" w:cs="宋体"/>
                <w:szCs w:val="21"/>
              </w:rPr>
              <w:t>合格品及其以上等级</w:t>
            </w:r>
          </w:p>
        </w:tc>
        <w:tc>
          <w:tcPr>
            <w:tcW w:w="39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rFonts w:hint="eastAsia"/>
                <w:szCs w:val="21"/>
              </w:rPr>
              <w:t>施耐德、ABB、西门子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8" w:hRule="atLeast"/>
        </w:trPr>
        <w:tc>
          <w:tcPr>
            <w:tcW w:w="664"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4</w:t>
            </w:r>
          </w:p>
        </w:tc>
        <w:tc>
          <w:tcPr>
            <w:tcW w:w="2660"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rFonts w:hint="eastAsia"/>
                <w:szCs w:val="21"/>
              </w:rPr>
              <w:t>钢材</w:t>
            </w:r>
          </w:p>
        </w:tc>
        <w:tc>
          <w:tcPr>
            <w:tcW w:w="2743" w:type="dxa"/>
            <w:tcBorders>
              <w:top w:val="single" w:color="000000" w:sz="4" w:space="0"/>
              <w:left w:val="single" w:color="000000" w:sz="4" w:space="0"/>
              <w:bottom w:val="single" w:color="000000" w:sz="4" w:space="0"/>
              <w:right w:val="single" w:color="000000" w:sz="4" w:space="0"/>
            </w:tcBorders>
            <w:vAlign w:val="center"/>
          </w:tcPr>
          <w:p>
            <w:pPr>
              <w:jc w:val="center"/>
              <w:rPr>
                <w:rFonts w:cs="宋体"/>
                <w:szCs w:val="21"/>
              </w:rPr>
            </w:pPr>
            <w:r>
              <w:rPr>
                <w:rFonts w:hint="eastAsia" w:cs="宋体"/>
                <w:szCs w:val="21"/>
              </w:rPr>
              <w:t>合格品及其以上等级</w:t>
            </w:r>
          </w:p>
        </w:tc>
        <w:tc>
          <w:tcPr>
            <w:tcW w:w="3911" w:type="dxa"/>
            <w:tcBorders>
              <w:top w:val="single" w:color="000000" w:sz="4" w:space="0"/>
              <w:left w:val="single" w:color="000000" w:sz="4" w:space="0"/>
              <w:bottom w:val="single" w:color="000000" w:sz="4" w:space="0"/>
              <w:right w:val="single" w:color="000000" w:sz="4" w:space="0"/>
            </w:tcBorders>
            <w:vAlign w:val="center"/>
          </w:tcPr>
          <w:p>
            <w:pPr>
              <w:jc w:val="center"/>
              <w:rPr>
                <w:szCs w:val="21"/>
              </w:rPr>
            </w:pPr>
            <w:r>
              <w:rPr>
                <w:rFonts w:hint="eastAsia"/>
                <w:szCs w:val="21"/>
              </w:rPr>
              <w:t>宝钢、首钢、沙钢、南钢、马钢、永钢</w:t>
            </w:r>
          </w:p>
        </w:tc>
      </w:tr>
    </w:tbl>
    <w:p>
      <w:pPr>
        <w:spacing w:line="276" w:lineRule="auto"/>
        <w:jc w:val="left"/>
        <w:rPr>
          <w:rFonts w:cs="宋体"/>
          <w:b/>
          <w:bCs/>
          <w:szCs w:val="21"/>
        </w:rPr>
      </w:pPr>
      <w:r>
        <w:rPr>
          <w:rFonts w:hint="eastAsia" w:cs="宋体"/>
          <w:b/>
          <w:bCs/>
          <w:szCs w:val="21"/>
        </w:rPr>
        <w:t>注：</w:t>
      </w:r>
    </w:p>
    <w:p>
      <w:pPr>
        <w:spacing w:line="276" w:lineRule="auto"/>
        <w:ind w:firstLine="422" w:firstLineChars="200"/>
        <w:jc w:val="left"/>
        <w:rPr>
          <w:rFonts w:ascii="宋体" w:hAnsi="宋体" w:cs="宋体"/>
          <w:b/>
          <w:bCs/>
          <w:szCs w:val="21"/>
        </w:rPr>
      </w:pPr>
      <w:r>
        <w:rPr>
          <w:rFonts w:hint="eastAsia" w:ascii="宋体" w:hAnsi="宋体" w:cs="宋体"/>
          <w:b/>
          <w:bCs/>
          <w:szCs w:val="21"/>
        </w:rPr>
        <w:t>1、以上材料在进场前须经建设单位和设计单位认可，建设单位有权在颜色、样式、用量、材质、配置等方面做出适当调整，但价格不予调整。</w:t>
      </w:r>
    </w:p>
    <w:p>
      <w:pPr>
        <w:spacing w:line="276" w:lineRule="auto"/>
        <w:ind w:firstLine="422" w:firstLineChars="200"/>
        <w:jc w:val="left"/>
        <w:rPr>
          <w:b/>
        </w:rPr>
      </w:pPr>
      <w:r>
        <w:rPr>
          <w:rFonts w:hint="eastAsia" w:ascii="宋体" w:hAnsi="宋体" w:cs="宋体"/>
          <w:b/>
          <w:bCs/>
          <w:szCs w:val="21"/>
        </w:rPr>
        <w:t>2、投标供应商投标时需选择某一具体品牌。如投标供应商采用推荐品牌以外的其他产品供货的，质量和性能等技术指标</w:t>
      </w:r>
      <w:r>
        <w:rPr>
          <w:rFonts w:hint="eastAsia" w:cs="宋体"/>
          <w:b/>
          <w:bCs/>
          <w:szCs w:val="21"/>
        </w:rPr>
        <w:t>必须优于或者相当于推荐品牌。一旦成交，成交供</w:t>
      </w:r>
      <w:r>
        <w:rPr>
          <w:rFonts w:hint="eastAsia" w:cs="宋体"/>
          <w:b/>
          <w:szCs w:val="21"/>
        </w:rPr>
        <w:t>应商不得以任何理由更换推荐品牌，并于领取成交通知书后三天内向采购人提供样品，经采购人认可后方可签订合同。</w:t>
      </w:r>
    </w:p>
    <w:bookmarkEnd w:id="4"/>
    <w:p>
      <w:pPr>
        <w:spacing w:line="276" w:lineRule="auto"/>
        <w:ind w:firstLine="211" w:firstLineChars="100"/>
        <w:outlineLvl w:val="1"/>
        <w:rPr>
          <w:b/>
        </w:rPr>
      </w:pPr>
      <w:bookmarkStart w:id="5" w:name="_Toc1349"/>
      <w:r>
        <w:rPr>
          <w:rFonts w:hint="eastAsia"/>
          <w:b/>
        </w:rPr>
        <w:t>三、其他要求</w:t>
      </w:r>
      <w:bookmarkEnd w:id="5"/>
    </w:p>
    <w:p>
      <w:pPr>
        <w:spacing w:line="276" w:lineRule="auto"/>
        <w:ind w:firstLine="420" w:firstLineChars="200"/>
        <w:rPr>
          <w:rFonts w:ascii="宋体" w:hAnsi="宋体" w:cs="宋体"/>
          <w:bCs/>
        </w:rPr>
      </w:pPr>
      <w:r>
        <w:rPr>
          <w:rFonts w:hint="eastAsia" w:ascii="宋体" w:hAnsi="宋体" w:cs="宋体"/>
          <w:bCs/>
        </w:rPr>
        <w:t>1、现场踏勘：本项目采购人不组织集体勘查现场，投标供应商须自行与采购人联系踏勘现场，充分了解项目现场情况。熟悉了解一切可能影响施工、投标报价的因素，投标供应商踏勘现场发生的费用自理。采购人在踏勘现场中介绍的工程场地和相关的周边环境情况，供投标供应商在编制投标文件时参考，采购人不对投标供应商据此作出的判断和决策负责</w:t>
      </w:r>
      <w:r>
        <w:rPr>
          <w:rFonts w:hint="eastAsia" w:ascii="宋体" w:hAnsi="宋体" w:cs="宋体"/>
          <w:b/>
        </w:rPr>
        <w:t>（踏勘联系方式详见前附表）</w:t>
      </w:r>
      <w:r>
        <w:rPr>
          <w:rFonts w:hint="eastAsia" w:ascii="宋体" w:hAnsi="宋体" w:cs="宋体"/>
          <w:bCs/>
        </w:rPr>
        <w:t>。</w:t>
      </w:r>
    </w:p>
    <w:p>
      <w:pPr>
        <w:spacing w:line="276" w:lineRule="auto"/>
        <w:ind w:firstLine="420" w:firstLineChars="200"/>
        <w:rPr>
          <w:bCs/>
        </w:rPr>
      </w:pPr>
      <w:r>
        <w:rPr>
          <w:rFonts w:hint="eastAsia" w:ascii="宋体" w:hAnsi="宋体" w:cs="宋体"/>
          <w:bCs/>
        </w:rPr>
        <w:t>采购人不安排成交供应商在现场及学校内食宿；成交供应商凭成交通知书或合同到学校保卫处办理出入证和签定安全责任书，施工许可证等相关手续。</w:t>
      </w:r>
    </w:p>
    <w:p>
      <w:pPr>
        <w:spacing w:line="276" w:lineRule="auto"/>
        <w:ind w:firstLine="420" w:firstLineChars="200"/>
        <w:rPr>
          <w:rFonts w:ascii="宋体" w:hAnsi="宋体" w:cs="宋体"/>
        </w:rPr>
      </w:pPr>
      <w:bookmarkStart w:id="6" w:name="_Toc19326"/>
      <w:r>
        <w:rPr>
          <w:rFonts w:hint="eastAsia" w:ascii="宋体" w:hAnsi="宋体" w:cs="宋体"/>
        </w:rPr>
        <w:t>2、</w:t>
      </w:r>
      <w:r>
        <w:rPr>
          <w:rFonts w:hint="eastAsia" w:ascii="宋体" w:hAnsi="宋体" w:cs="宋体"/>
          <w:bCs/>
        </w:rPr>
        <w:t>成交供应商</w:t>
      </w:r>
      <w:r>
        <w:rPr>
          <w:rFonts w:hint="eastAsia" w:ascii="宋体" w:hAnsi="宋体" w:cs="宋体"/>
        </w:rPr>
        <w:t>应按本合同约定的时间和要求完成以下工作：</w:t>
      </w:r>
      <w:bookmarkEnd w:id="6"/>
    </w:p>
    <w:p>
      <w:pPr>
        <w:spacing w:line="276" w:lineRule="auto"/>
        <w:ind w:firstLine="420" w:firstLineChars="200"/>
        <w:rPr>
          <w:rFonts w:ascii="宋体" w:hAnsi="宋体" w:cs="宋体"/>
        </w:rPr>
      </w:pPr>
      <w:r>
        <w:rPr>
          <w:rFonts w:hint="eastAsia" w:ascii="宋体" w:hAnsi="宋体" w:cs="宋体"/>
        </w:rPr>
        <w:t xml:space="preserve">2.1应提供计划、报表的名称及完成时间：按采购人和监理工程师的要求。         </w:t>
      </w:r>
    </w:p>
    <w:p>
      <w:pPr>
        <w:spacing w:line="276" w:lineRule="auto"/>
        <w:ind w:firstLine="420" w:firstLineChars="200"/>
        <w:rPr>
          <w:rFonts w:ascii="宋体" w:hAnsi="宋体" w:cs="宋体"/>
        </w:rPr>
      </w:pPr>
      <w:r>
        <w:rPr>
          <w:rFonts w:hint="eastAsia" w:ascii="宋体" w:hAnsi="宋体" w:cs="宋体"/>
        </w:rPr>
        <w:t>2.2承担施工安全保卫工作和非夜间施工照明的责任和要求：</w:t>
      </w:r>
    </w:p>
    <w:p>
      <w:pPr>
        <w:spacing w:line="276" w:lineRule="auto"/>
        <w:ind w:firstLine="420" w:firstLineChars="200"/>
        <w:rPr>
          <w:rFonts w:ascii="宋体" w:hAnsi="宋体" w:cs="宋体"/>
        </w:rPr>
      </w:pPr>
      <w:r>
        <w:rPr>
          <w:rFonts w:hint="eastAsia" w:ascii="宋体" w:hAnsi="宋体" w:cs="宋体"/>
        </w:rPr>
        <w:t>①本工程必须确保安全，</w:t>
      </w:r>
      <w:r>
        <w:rPr>
          <w:rFonts w:hint="eastAsia" w:ascii="宋体" w:hAnsi="宋体" w:cs="宋体"/>
          <w:bCs/>
        </w:rPr>
        <w:t>成交供应商</w:t>
      </w:r>
      <w:r>
        <w:rPr>
          <w:rFonts w:hint="eastAsia" w:ascii="宋体" w:hAnsi="宋体" w:cs="宋体"/>
        </w:rPr>
        <w:t>自行承担工程施工过程中的工程质量、任何状况下的安全责任。非采购人原因，发生的一切问题和责任与采购人无关，相关一切费用或民事、刑事责任均由</w:t>
      </w:r>
      <w:r>
        <w:rPr>
          <w:rFonts w:hint="eastAsia" w:ascii="宋体" w:hAnsi="宋体" w:cs="宋体"/>
          <w:bCs/>
        </w:rPr>
        <w:t>成交供应商</w:t>
      </w:r>
      <w:r>
        <w:rPr>
          <w:rFonts w:hint="eastAsia" w:ascii="宋体" w:hAnsi="宋体" w:cs="宋体"/>
        </w:rPr>
        <w:t>自理。</w:t>
      </w:r>
    </w:p>
    <w:p>
      <w:pPr>
        <w:spacing w:line="276" w:lineRule="auto"/>
        <w:ind w:firstLine="420" w:firstLineChars="200"/>
        <w:rPr>
          <w:rFonts w:ascii="宋体" w:hAnsi="宋体" w:cs="宋体"/>
        </w:rPr>
      </w:pPr>
      <w:r>
        <w:rPr>
          <w:rFonts w:hint="eastAsia" w:ascii="宋体" w:hAnsi="宋体" w:cs="宋体"/>
        </w:rPr>
        <w:t>②</w:t>
      </w:r>
      <w:r>
        <w:rPr>
          <w:rFonts w:hint="eastAsia" w:ascii="宋体" w:hAnsi="宋体" w:cs="宋体"/>
          <w:bCs/>
        </w:rPr>
        <w:t>成交供应商</w:t>
      </w:r>
      <w:r>
        <w:rPr>
          <w:rFonts w:hint="eastAsia" w:ascii="宋体" w:hAnsi="宋体" w:cs="宋体"/>
        </w:rPr>
        <w:t>必须遵守江苏省建设厅及盐城市建设主管部门颁布的《建设工程施工安全管理规定》和《建设工程文明施工管理规定》。</w:t>
      </w:r>
    </w:p>
    <w:p>
      <w:pPr>
        <w:spacing w:line="276" w:lineRule="auto"/>
        <w:ind w:firstLine="420" w:firstLineChars="200"/>
        <w:rPr>
          <w:rFonts w:ascii="宋体" w:hAnsi="宋体" w:cs="宋体"/>
        </w:rPr>
      </w:pPr>
      <w:r>
        <w:rPr>
          <w:rFonts w:hint="eastAsia" w:ascii="宋体" w:hAnsi="宋体" w:cs="宋体"/>
        </w:rPr>
        <w:t>③</w:t>
      </w:r>
      <w:r>
        <w:rPr>
          <w:rFonts w:hint="eastAsia" w:ascii="宋体" w:hAnsi="宋体" w:cs="宋体"/>
          <w:bCs/>
        </w:rPr>
        <w:t>成交供应商</w:t>
      </w:r>
      <w:r>
        <w:rPr>
          <w:rFonts w:hint="eastAsia" w:ascii="宋体" w:hAnsi="宋体" w:cs="宋体"/>
        </w:rPr>
        <w:t>进场后，必须服从采购人、监理单位对施工场地总平面的规划，服从采购人、监理单位的统一调度和指挥。</w:t>
      </w:r>
    </w:p>
    <w:p>
      <w:pPr>
        <w:spacing w:line="276" w:lineRule="auto"/>
        <w:ind w:firstLine="420" w:firstLineChars="200"/>
        <w:rPr>
          <w:rFonts w:ascii="宋体" w:hAnsi="宋体" w:cs="宋体"/>
        </w:rPr>
      </w:pPr>
      <w:r>
        <w:rPr>
          <w:rFonts w:hint="eastAsia" w:ascii="宋体" w:hAnsi="宋体" w:cs="宋体"/>
        </w:rPr>
        <w:t>④采购人、监理单位将不定期对投标供应商的施工质量、安全、文明施工进行检查，如发现工程现场及生活区内安全、文明施工管理较差，有权要求承包单位整改并通报批评，如发生二次通报批评情况，可按现场有关规定进行处罚。</w:t>
      </w:r>
    </w:p>
    <w:p>
      <w:pPr>
        <w:spacing w:line="276" w:lineRule="auto"/>
        <w:ind w:firstLine="420" w:firstLineChars="200"/>
        <w:rPr>
          <w:rFonts w:ascii="宋体" w:hAnsi="宋体" w:cs="宋体"/>
        </w:rPr>
      </w:pPr>
      <w:r>
        <w:rPr>
          <w:rFonts w:hint="eastAsia" w:ascii="宋体" w:hAnsi="宋体" w:cs="宋体"/>
        </w:rPr>
        <w:t>⑤</w:t>
      </w:r>
      <w:r>
        <w:rPr>
          <w:rFonts w:hint="eastAsia" w:ascii="宋体" w:hAnsi="宋体" w:cs="宋体"/>
          <w:bCs/>
        </w:rPr>
        <w:t>成交供应商</w:t>
      </w:r>
      <w:r>
        <w:rPr>
          <w:rFonts w:hint="eastAsia" w:ascii="宋体" w:hAnsi="宋体" w:cs="宋体"/>
        </w:rPr>
        <w:t>在组织施工时需及时清运施工废弃物，材料堆放整齐有序，保持施工场地整洁、交通畅顺。服从采购人及相关主管部门的管理要求，主动协调、解决问题，若在施工期间出现因场地脏乱、交通不顺等违反文明施工管理规定的情况，所发生的一切费用均由</w:t>
      </w:r>
      <w:r>
        <w:rPr>
          <w:rFonts w:hint="eastAsia" w:ascii="宋体" w:hAnsi="宋体" w:cs="宋体"/>
          <w:bCs/>
        </w:rPr>
        <w:t>成交供应商</w:t>
      </w:r>
      <w:r>
        <w:rPr>
          <w:rFonts w:hint="eastAsia" w:ascii="宋体" w:hAnsi="宋体" w:cs="宋体"/>
        </w:rPr>
        <w:t xml:space="preserve">承担，同时还须接受采购人的经济处罚。   </w:t>
      </w:r>
    </w:p>
    <w:p>
      <w:pPr>
        <w:spacing w:line="276" w:lineRule="auto"/>
        <w:ind w:firstLine="420" w:firstLineChars="200"/>
        <w:rPr>
          <w:rFonts w:ascii="宋体" w:hAnsi="宋体" w:cs="宋体"/>
        </w:rPr>
      </w:pPr>
      <w:r>
        <w:rPr>
          <w:rFonts w:hint="eastAsia" w:ascii="宋体" w:hAnsi="宋体" w:cs="宋体"/>
        </w:rPr>
        <w:t>2.3承担协调解决工程实施中的各种矛盾及费用。</w:t>
      </w:r>
    </w:p>
    <w:p>
      <w:pPr>
        <w:spacing w:line="276" w:lineRule="auto"/>
        <w:ind w:firstLine="420" w:firstLineChars="200"/>
        <w:rPr>
          <w:rFonts w:ascii="宋体" w:hAnsi="宋体" w:cs="宋体"/>
        </w:rPr>
      </w:pPr>
      <w:r>
        <w:rPr>
          <w:rFonts w:hint="eastAsia" w:ascii="宋体" w:hAnsi="宋体" w:cs="宋体"/>
        </w:rPr>
        <w:t>2.4需</w:t>
      </w:r>
      <w:r>
        <w:rPr>
          <w:rFonts w:hint="eastAsia" w:ascii="宋体" w:hAnsi="宋体" w:cs="宋体"/>
          <w:bCs/>
        </w:rPr>
        <w:t>成交供应商</w:t>
      </w:r>
      <w:r>
        <w:rPr>
          <w:rFonts w:hint="eastAsia" w:ascii="宋体" w:hAnsi="宋体" w:cs="宋体"/>
        </w:rPr>
        <w:t>办理的有关施工场地交通环卫和施工噪音管理等手续： 根据现场情况，</w:t>
      </w:r>
      <w:r>
        <w:rPr>
          <w:rFonts w:hint="eastAsia" w:ascii="宋体" w:hAnsi="宋体" w:cs="宋体"/>
          <w:bCs/>
        </w:rPr>
        <w:t>成交供应商</w:t>
      </w:r>
      <w:r>
        <w:rPr>
          <w:rFonts w:hint="eastAsia" w:ascii="宋体" w:hAnsi="宋体" w:cs="宋体"/>
        </w:rPr>
        <w:t>自行协调解决 ，并承担由此发生的费用。</w:t>
      </w:r>
    </w:p>
    <w:p>
      <w:pPr>
        <w:spacing w:line="276" w:lineRule="auto"/>
        <w:ind w:firstLine="420" w:firstLineChars="200"/>
        <w:rPr>
          <w:rFonts w:ascii="宋体" w:hAnsi="宋体" w:cs="宋体"/>
        </w:rPr>
      </w:pPr>
      <w:r>
        <w:rPr>
          <w:rFonts w:hint="eastAsia" w:ascii="宋体" w:hAnsi="宋体" w:cs="宋体"/>
        </w:rPr>
        <w:t>2.5承担费用负责已竣工但未交付采购人之前的工程保护工作；对工程成品保护的特殊要求及费用承担：</w:t>
      </w:r>
      <w:r>
        <w:rPr>
          <w:rFonts w:hint="eastAsia" w:ascii="宋体" w:hAnsi="宋体" w:cs="宋体"/>
          <w:bCs/>
        </w:rPr>
        <w:t>成交供应商</w:t>
      </w:r>
      <w:r>
        <w:rPr>
          <w:rFonts w:hint="eastAsia" w:ascii="宋体" w:hAnsi="宋体" w:cs="宋体"/>
        </w:rPr>
        <w:t>负责做好工程成品保护，并承担相应的费用。</w:t>
      </w:r>
    </w:p>
    <w:p>
      <w:pPr>
        <w:spacing w:line="276" w:lineRule="auto"/>
        <w:ind w:firstLine="420" w:firstLineChars="200"/>
        <w:rPr>
          <w:rFonts w:ascii="宋体" w:hAnsi="宋体" w:cs="宋体"/>
        </w:rPr>
      </w:pPr>
      <w:r>
        <w:rPr>
          <w:rFonts w:hint="eastAsia" w:ascii="宋体" w:hAnsi="宋体" w:cs="宋体"/>
        </w:rPr>
        <w:t xml:space="preserve">2.6保障施工场地清洁符合环境卫生管理的有关规定，并且做到：文明施工，施工垃圾随产随清。 </w:t>
      </w:r>
    </w:p>
    <w:p>
      <w:pPr>
        <w:spacing w:line="276" w:lineRule="auto"/>
        <w:ind w:firstLine="420" w:firstLineChars="200"/>
        <w:rPr>
          <w:rFonts w:ascii="宋体" w:hAnsi="宋体" w:cs="宋体"/>
        </w:rPr>
      </w:pPr>
      <w:r>
        <w:rPr>
          <w:rFonts w:hint="eastAsia" w:ascii="宋体" w:hAnsi="宋体" w:cs="宋体"/>
        </w:rPr>
        <w:t>2.7双方约定的</w:t>
      </w:r>
      <w:r>
        <w:rPr>
          <w:rFonts w:hint="eastAsia" w:ascii="宋体" w:hAnsi="宋体" w:cs="宋体"/>
          <w:bCs/>
        </w:rPr>
        <w:t>成交供应商</w:t>
      </w:r>
      <w:r>
        <w:rPr>
          <w:rFonts w:hint="eastAsia" w:ascii="宋体" w:hAnsi="宋体" w:cs="宋体"/>
        </w:rPr>
        <w:t>应做的其他工作：招标时，采购人已要求投标供应商自行到施工现场踏勘。采购人仅提供现有的施工场地现状，施工用水、电手续由</w:t>
      </w:r>
      <w:r>
        <w:rPr>
          <w:rFonts w:hint="eastAsia" w:ascii="宋体" w:hAnsi="宋体" w:cs="宋体"/>
          <w:bCs/>
        </w:rPr>
        <w:t>成交供应商</w:t>
      </w:r>
      <w:r>
        <w:rPr>
          <w:rFonts w:hint="eastAsia" w:ascii="宋体" w:hAnsi="宋体" w:cs="宋体"/>
        </w:rPr>
        <w:t>自行办理，其费用由</w:t>
      </w:r>
      <w:r>
        <w:rPr>
          <w:rFonts w:hint="eastAsia" w:ascii="宋体" w:hAnsi="宋体" w:cs="宋体"/>
          <w:bCs/>
        </w:rPr>
        <w:t>成交供应商</w:t>
      </w:r>
      <w:r>
        <w:rPr>
          <w:rFonts w:hint="eastAsia" w:ascii="宋体" w:hAnsi="宋体" w:cs="宋体"/>
        </w:rPr>
        <w:t xml:space="preserve">自行挂表并到相关部门缴纳，此费用已经包含在合同价中，结算时不另行调整。 </w:t>
      </w:r>
    </w:p>
    <w:p>
      <w:pPr>
        <w:spacing w:line="276" w:lineRule="auto"/>
        <w:ind w:firstLine="420" w:firstLineChars="200"/>
        <w:rPr>
          <w:rFonts w:ascii="宋体" w:hAnsi="宋体" w:cs="宋体"/>
        </w:rPr>
      </w:pPr>
      <w:bookmarkStart w:id="7" w:name="_Toc4749"/>
      <w:r>
        <w:rPr>
          <w:rFonts w:hint="eastAsia" w:ascii="宋体" w:hAnsi="宋体" w:cs="宋体"/>
        </w:rPr>
        <w:t>3、安全施工</w:t>
      </w:r>
      <w:bookmarkEnd w:id="7"/>
    </w:p>
    <w:p>
      <w:pPr>
        <w:spacing w:line="276" w:lineRule="auto"/>
        <w:ind w:firstLine="420" w:firstLineChars="200"/>
        <w:rPr>
          <w:rFonts w:ascii="宋体" w:hAnsi="宋体" w:cs="宋体"/>
        </w:rPr>
      </w:pPr>
      <w:r>
        <w:rPr>
          <w:rFonts w:hint="eastAsia" w:ascii="宋体" w:hAnsi="宋体" w:cs="宋体"/>
        </w:rPr>
        <w:t>3.1</w:t>
      </w:r>
      <w:r>
        <w:rPr>
          <w:rFonts w:hint="eastAsia" w:ascii="宋体" w:hAnsi="宋体" w:cs="宋体"/>
          <w:bCs/>
        </w:rPr>
        <w:t>成交供应商</w:t>
      </w:r>
      <w:r>
        <w:rPr>
          <w:rFonts w:hint="eastAsia" w:ascii="宋体" w:hAnsi="宋体" w:cs="宋体"/>
        </w:rPr>
        <w:t>应遵守工程建设安全生产有关管理规定，严格按安全标准组织施工，并随时接受行业安全检查人员依法实施的监督检查，采取必要的安全防护措施，消除事故隐患。由于</w:t>
      </w:r>
      <w:r>
        <w:rPr>
          <w:rFonts w:hint="eastAsia" w:ascii="宋体" w:hAnsi="宋体" w:cs="宋体"/>
          <w:bCs/>
        </w:rPr>
        <w:t>成交供应商</w:t>
      </w:r>
      <w:r>
        <w:rPr>
          <w:rFonts w:hint="eastAsia" w:ascii="宋体" w:hAnsi="宋体" w:cs="宋体"/>
        </w:rPr>
        <w:t>安全措施不力造成事故的责任和因此发生的费用，由</w:t>
      </w:r>
      <w:r>
        <w:rPr>
          <w:rFonts w:hint="eastAsia" w:ascii="宋体" w:hAnsi="宋体" w:cs="宋体"/>
          <w:bCs/>
        </w:rPr>
        <w:t>成交供应商</w:t>
      </w:r>
      <w:r>
        <w:rPr>
          <w:rFonts w:hint="eastAsia" w:ascii="宋体" w:hAnsi="宋体" w:cs="宋体"/>
        </w:rPr>
        <w:t>承担。</w:t>
      </w:r>
    </w:p>
    <w:p>
      <w:pPr>
        <w:spacing w:line="276" w:lineRule="auto"/>
        <w:ind w:firstLine="420" w:firstLineChars="200"/>
        <w:rPr>
          <w:rFonts w:ascii="宋体" w:hAnsi="宋体" w:cs="宋体"/>
        </w:rPr>
      </w:pPr>
      <w:r>
        <w:rPr>
          <w:rFonts w:hint="eastAsia" w:ascii="宋体" w:hAnsi="宋体" w:cs="宋体"/>
        </w:rPr>
        <w:t>3.2</w:t>
      </w:r>
      <w:r>
        <w:rPr>
          <w:rFonts w:hint="eastAsia" w:ascii="宋体" w:hAnsi="宋体" w:cs="宋体"/>
          <w:bCs/>
        </w:rPr>
        <w:t>成交供应商</w:t>
      </w:r>
      <w:r>
        <w:rPr>
          <w:rFonts w:hint="eastAsia" w:ascii="宋体" w:hAnsi="宋体" w:cs="宋体"/>
        </w:rPr>
        <w:t>应对其在施工场地的工作人员进行安全教育，并对他们的安全负责。采购人不得要求</w:t>
      </w:r>
      <w:r>
        <w:rPr>
          <w:rFonts w:hint="eastAsia" w:ascii="宋体" w:hAnsi="宋体" w:cs="宋体"/>
          <w:bCs/>
        </w:rPr>
        <w:t>成交供应商</w:t>
      </w:r>
      <w:r>
        <w:rPr>
          <w:rFonts w:hint="eastAsia" w:ascii="宋体" w:hAnsi="宋体" w:cs="宋体"/>
        </w:rPr>
        <w:t>违反安全管理的规定进行施工。</w:t>
      </w:r>
    </w:p>
    <w:p>
      <w:pPr>
        <w:spacing w:line="276" w:lineRule="auto"/>
        <w:ind w:firstLine="420" w:firstLineChars="200"/>
        <w:rPr>
          <w:rFonts w:ascii="宋体" w:hAnsi="宋体" w:cs="宋体"/>
        </w:rPr>
      </w:pPr>
      <w:r>
        <w:rPr>
          <w:rFonts w:hint="eastAsia" w:ascii="宋体" w:hAnsi="宋体" w:cs="宋体"/>
        </w:rPr>
        <w:t>3.3发生重大伤亡及其他安全事故，</w:t>
      </w:r>
      <w:r>
        <w:rPr>
          <w:rFonts w:hint="eastAsia" w:ascii="宋体" w:hAnsi="宋体" w:cs="宋体"/>
          <w:bCs/>
        </w:rPr>
        <w:t>成交供应商</w:t>
      </w:r>
      <w:r>
        <w:rPr>
          <w:rFonts w:hint="eastAsia" w:ascii="宋体" w:hAnsi="宋体" w:cs="宋体"/>
        </w:rPr>
        <w:t>应按有关规定立即通知采购人并上报有关部门，同时按政府有关部门要求处理，由</w:t>
      </w:r>
      <w:r>
        <w:rPr>
          <w:rFonts w:hint="eastAsia" w:ascii="宋体" w:hAnsi="宋体" w:cs="宋体"/>
          <w:bCs/>
        </w:rPr>
        <w:t>成交供应商</w:t>
      </w:r>
      <w:r>
        <w:rPr>
          <w:rFonts w:hint="eastAsia" w:ascii="宋体" w:hAnsi="宋体" w:cs="宋体"/>
        </w:rPr>
        <w:t>承担发生的费用。</w:t>
      </w:r>
    </w:p>
    <w:p>
      <w:pPr>
        <w:spacing w:line="276" w:lineRule="auto"/>
        <w:ind w:firstLine="420" w:firstLineChars="200"/>
        <w:rPr>
          <w:rFonts w:ascii="宋体" w:hAnsi="宋体" w:cs="宋体"/>
        </w:rPr>
      </w:pPr>
      <w:r>
        <w:rPr>
          <w:rFonts w:hint="eastAsia" w:ascii="宋体" w:hAnsi="宋体" w:cs="宋体"/>
        </w:rPr>
        <w:t>3.4采购人、</w:t>
      </w:r>
      <w:r>
        <w:rPr>
          <w:rFonts w:hint="eastAsia" w:ascii="宋体" w:hAnsi="宋体" w:cs="宋体"/>
          <w:bCs/>
        </w:rPr>
        <w:t>成交供应商</w:t>
      </w:r>
      <w:r>
        <w:rPr>
          <w:rFonts w:hint="eastAsia" w:ascii="宋体" w:hAnsi="宋体" w:cs="宋体"/>
        </w:rPr>
        <w:t>对事故责任有争议时，应按政府有关部门认定处理。</w:t>
      </w:r>
    </w:p>
    <w:p>
      <w:pPr>
        <w:spacing w:line="276" w:lineRule="auto"/>
        <w:ind w:firstLine="422" w:firstLineChars="200"/>
        <w:rPr>
          <w:rFonts w:ascii="宋体" w:hAnsi="宋体" w:cs="宋体"/>
          <w:b/>
          <w:bCs/>
        </w:rPr>
      </w:pPr>
      <w:r>
        <w:rPr>
          <w:rFonts w:hint="eastAsia" w:ascii="宋体" w:hAnsi="宋体" w:cs="宋体"/>
          <w:b/>
          <w:bCs/>
        </w:rPr>
        <w:t>4、验收标准：工程质量要求按照国家质量验收标准，综合评定指标达到国家质量验收合格标准。若质量验收评定不能达到合格，所造成的一切损失由施工单位承担。</w:t>
      </w:r>
    </w:p>
    <w:p>
      <w:pPr>
        <w:spacing w:line="276" w:lineRule="auto"/>
        <w:ind w:firstLine="422" w:firstLineChars="200"/>
        <w:textAlignment w:val="baseline"/>
        <w:outlineLvl w:val="1"/>
        <w:rPr>
          <w:rFonts w:ascii="宋体" w:hAnsi="宋体" w:cs="宋体"/>
          <w:b/>
          <w:bCs/>
          <w:szCs w:val="21"/>
        </w:rPr>
      </w:pPr>
      <w:bookmarkStart w:id="8" w:name="_Toc1451"/>
      <w:r>
        <w:rPr>
          <w:rFonts w:hint="eastAsia" w:ascii="宋体" w:hAnsi="宋体" w:cs="宋体"/>
          <w:b/>
          <w:bCs/>
          <w:szCs w:val="21"/>
        </w:rPr>
        <w:t>四、投标报价说明</w:t>
      </w:r>
      <w:bookmarkEnd w:id="8"/>
    </w:p>
    <w:p>
      <w:pPr>
        <w:tabs>
          <w:tab w:val="left" w:pos="5250"/>
        </w:tabs>
        <w:spacing w:line="276" w:lineRule="auto"/>
        <w:ind w:firstLine="422" w:firstLineChars="200"/>
        <w:textAlignment w:val="baseline"/>
        <w:rPr>
          <w:rFonts w:ascii="宋体" w:hAnsi="宋体" w:cs="宋体"/>
          <w:szCs w:val="21"/>
        </w:rPr>
      </w:pPr>
      <w:r>
        <w:rPr>
          <w:rFonts w:hint="eastAsia" w:ascii="宋体" w:hAnsi="宋体" w:cs="宋体"/>
          <w:b/>
          <w:szCs w:val="21"/>
        </w:rPr>
        <w:t>1、投标限价</w:t>
      </w:r>
      <w:r>
        <w:rPr>
          <w:rFonts w:hint="eastAsia" w:ascii="宋体" w:hAnsi="宋体" w:cs="宋体"/>
          <w:szCs w:val="21"/>
        </w:rPr>
        <w:t xml:space="preserve">（招标控制价）是采购人根据国家或省级、行业建设主管部门颁发的有关计价依据和办法，以及本采购文件和招标工程量清单，结合工程具体情况编制的本次招标工程的最高投标限价。   </w:t>
      </w:r>
    </w:p>
    <w:p>
      <w:pPr>
        <w:widowControl/>
        <w:spacing w:line="276" w:lineRule="auto"/>
        <w:ind w:firstLine="422" w:firstLineChars="200"/>
        <w:rPr>
          <w:rFonts w:ascii="宋体" w:hAnsi="宋体" w:cs="宋体"/>
          <w:szCs w:val="21"/>
        </w:rPr>
      </w:pPr>
      <w:bookmarkStart w:id="9" w:name="_Toc26260"/>
      <w:r>
        <w:rPr>
          <w:rFonts w:hint="eastAsia" w:ascii="宋体" w:hAnsi="宋体" w:cs="宋体"/>
          <w:b/>
          <w:szCs w:val="21"/>
        </w:rPr>
        <w:t>2、投标报价要求</w:t>
      </w:r>
      <w:bookmarkEnd w:id="9"/>
    </w:p>
    <w:p>
      <w:pPr>
        <w:widowControl/>
        <w:spacing w:line="276" w:lineRule="auto"/>
        <w:ind w:firstLine="420" w:firstLineChars="200"/>
        <w:rPr>
          <w:rFonts w:ascii="宋体" w:hAnsi="宋体" w:cs="宋体"/>
          <w:szCs w:val="21"/>
        </w:rPr>
      </w:pPr>
      <w:r>
        <w:rPr>
          <w:rFonts w:hint="eastAsia" w:ascii="宋体" w:hAnsi="宋体" w:cs="宋体"/>
          <w:szCs w:val="21"/>
        </w:rPr>
        <w:t>2.1 投标报价范围</w:t>
      </w:r>
    </w:p>
    <w:p>
      <w:pPr>
        <w:widowControl/>
        <w:spacing w:line="276" w:lineRule="auto"/>
        <w:ind w:firstLine="420" w:firstLineChars="200"/>
        <w:rPr>
          <w:rFonts w:ascii="宋体" w:hAnsi="宋体" w:cs="宋体"/>
          <w:szCs w:val="21"/>
        </w:rPr>
      </w:pPr>
      <w:r>
        <w:rPr>
          <w:rFonts w:hint="eastAsia" w:ascii="宋体" w:hAnsi="宋体" w:cs="宋体"/>
          <w:szCs w:val="21"/>
        </w:rPr>
        <w:t>2.1.1投标报价为投标供应商在投标文件中提出的各项支付金额的总和。投标报价应包括投标供应商在承诺工期内，达到投标供应商所承诺的质量标准，为完成本工程施工图纸、招标文件及招标工程量清单所确定的招标范围内的全部内容，所需要支付的一切费用和拟获得的利润、税金，并考虑了应承担的风险。投标供应商应充分考虑为完成上述内容所必须的附属工程、临时工程、交通状况、夜间施工、现场材料堆放、环境保护、特殊条件施工、地方矛盾处理、直接和间接成本、利润、税金、风险费、材料损耗、劳务、现场施工围栏、施工用水、用电、竣工面的清理、垃圾清运、成品保护以及各种管线、建筑物、构筑物的围护以及政策性文件规定等所需的全部费用，并计入投标报价中，凡漏项或少计均视为已包含在本次投标报价的范围内，采购人不再另行增加费用，竣工结算时均不调整。</w:t>
      </w:r>
    </w:p>
    <w:p>
      <w:pPr>
        <w:widowControl/>
        <w:spacing w:line="276" w:lineRule="auto"/>
        <w:ind w:firstLine="420" w:firstLineChars="200"/>
        <w:rPr>
          <w:rFonts w:ascii="宋体" w:hAnsi="宋体" w:cs="宋体"/>
          <w:szCs w:val="21"/>
        </w:rPr>
      </w:pPr>
      <w:r>
        <w:rPr>
          <w:rFonts w:hint="eastAsia" w:ascii="宋体" w:hAnsi="宋体" w:cs="宋体"/>
          <w:szCs w:val="21"/>
        </w:rPr>
        <w:t>2.1.2投标报价清单中的单价和合价包括由投标供应商承担的直接费、间接费、计划利润、税金、其它费用、地方矛盾等全部费用以及应由投标供应商承担的义务、责任和风险所发生的一切费用。</w:t>
      </w:r>
    </w:p>
    <w:p>
      <w:pPr>
        <w:widowControl/>
        <w:spacing w:line="276" w:lineRule="auto"/>
        <w:ind w:firstLine="422" w:firstLineChars="200"/>
        <w:outlineLvl w:val="1"/>
        <w:rPr>
          <w:rFonts w:ascii="宋体" w:hAnsi="宋体" w:cs="宋体"/>
          <w:b/>
          <w:szCs w:val="21"/>
        </w:rPr>
      </w:pPr>
      <w:bookmarkStart w:id="10" w:name="_Toc12281"/>
      <w:r>
        <w:rPr>
          <w:rFonts w:hint="eastAsia" w:ascii="宋体" w:hAnsi="宋体" w:cs="宋体"/>
          <w:b/>
          <w:szCs w:val="21"/>
        </w:rPr>
        <w:t>五、主要合同条款</w:t>
      </w:r>
      <w:bookmarkEnd w:id="10"/>
    </w:p>
    <w:p>
      <w:pPr>
        <w:widowControl/>
        <w:spacing w:line="276" w:lineRule="auto"/>
        <w:ind w:firstLine="420" w:firstLineChars="200"/>
        <w:rPr>
          <w:rFonts w:ascii="宋体" w:hAnsi="宋体" w:cs="宋体"/>
          <w:szCs w:val="21"/>
        </w:rPr>
      </w:pPr>
      <w:r>
        <w:rPr>
          <w:rFonts w:hint="eastAsia" w:ascii="宋体" w:hAnsi="宋体" w:cs="宋体"/>
          <w:szCs w:val="21"/>
        </w:rPr>
        <w:t>1、投标承诺的项目负责人（项目经理）及项目组成员必须全部到场，投标中标的项目负责人（项目经理）必须到现场组织指挥施工，否则，按违约处理。</w:t>
      </w:r>
    </w:p>
    <w:p>
      <w:pPr>
        <w:widowControl/>
        <w:spacing w:line="276" w:lineRule="auto"/>
        <w:ind w:firstLine="420" w:firstLineChars="200"/>
        <w:rPr>
          <w:rFonts w:ascii="宋体" w:hAnsi="宋体" w:cs="宋体"/>
          <w:szCs w:val="21"/>
        </w:rPr>
      </w:pPr>
      <w:r>
        <w:rPr>
          <w:rFonts w:hint="eastAsia" w:ascii="宋体" w:hAnsi="宋体" w:cs="宋体"/>
          <w:szCs w:val="21"/>
        </w:rPr>
        <w:t>2、质量：国家“合格”标准且满足采购人要求。</w:t>
      </w:r>
    </w:p>
    <w:p>
      <w:pPr>
        <w:pStyle w:val="6"/>
        <w:ind w:firstLine="420" w:firstLineChars="200"/>
        <w:rPr>
          <w:rFonts w:hAnsi="宋体" w:cs="宋体"/>
          <w:kern w:val="2"/>
          <w:sz w:val="21"/>
          <w:szCs w:val="21"/>
        </w:rPr>
      </w:pPr>
      <w:r>
        <w:rPr>
          <w:rFonts w:hint="eastAsia" w:hAnsi="宋体" w:cs="宋体"/>
          <w:kern w:val="2"/>
          <w:sz w:val="21"/>
          <w:szCs w:val="21"/>
        </w:rPr>
        <w:t>3、工期：20日历天（具体开工日期以采购人的通知为准）。</w:t>
      </w:r>
    </w:p>
    <w:p>
      <w:pPr>
        <w:pStyle w:val="6"/>
        <w:ind w:firstLine="422" w:firstLineChars="200"/>
        <w:rPr>
          <w:rFonts w:hAnsi="宋体" w:cs="宋体"/>
          <w:b/>
          <w:kern w:val="2"/>
          <w:sz w:val="21"/>
          <w:szCs w:val="21"/>
        </w:rPr>
      </w:pPr>
      <w:r>
        <w:rPr>
          <w:rFonts w:hint="eastAsia" w:hAnsi="宋体" w:cs="宋体"/>
          <w:b/>
          <w:kern w:val="2"/>
          <w:sz w:val="21"/>
          <w:szCs w:val="21"/>
        </w:rPr>
        <w:t>注：如因施工单位自身施工组织问题造成工期延误的，延误时间如超过3天，每延误一天，处罚1000元，如因工期延误，造成学校重大影响的，学校有权追究责任。（工程延误处罚款项在审计时直接扣除）。</w:t>
      </w:r>
    </w:p>
    <w:p>
      <w:pPr>
        <w:widowControl/>
        <w:spacing w:line="276" w:lineRule="auto"/>
        <w:ind w:firstLine="420" w:firstLineChars="200"/>
        <w:rPr>
          <w:rFonts w:ascii="宋体" w:hAnsi="宋体" w:cs="宋体"/>
          <w:szCs w:val="21"/>
        </w:rPr>
      </w:pPr>
      <w:r>
        <w:rPr>
          <w:rFonts w:hint="eastAsia" w:ascii="宋体" w:hAnsi="宋体" w:cs="宋体"/>
          <w:szCs w:val="21"/>
        </w:rPr>
        <w:t>4、安全施工： 此工程必须确保安全，若因成交供应商原因发生的不安全问题，由成交供应商自行负责处理并承担一切责任。</w:t>
      </w:r>
    </w:p>
    <w:p>
      <w:pPr>
        <w:widowControl/>
        <w:spacing w:line="276" w:lineRule="auto"/>
        <w:ind w:firstLine="420" w:firstLineChars="200"/>
        <w:rPr>
          <w:rFonts w:ascii="宋体" w:hAnsi="宋体" w:cs="宋体"/>
          <w:szCs w:val="21"/>
        </w:rPr>
      </w:pPr>
      <w:bookmarkStart w:id="11" w:name="_Toc14858"/>
      <w:r>
        <w:rPr>
          <w:rFonts w:hint="eastAsia" w:ascii="宋体" w:hAnsi="宋体" w:cs="宋体"/>
          <w:szCs w:val="21"/>
        </w:rPr>
        <w:t>5、工程结算：</w:t>
      </w:r>
      <w:bookmarkEnd w:id="11"/>
    </w:p>
    <w:p>
      <w:pPr>
        <w:widowControl/>
        <w:spacing w:line="276" w:lineRule="auto"/>
        <w:ind w:firstLine="420" w:firstLineChars="200"/>
        <w:rPr>
          <w:rFonts w:ascii="宋体" w:hAnsi="宋体" w:cs="宋体"/>
          <w:szCs w:val="21"/>
        </w:rPr>
      </w:pPr>
      <w:r>
        <w:rPr>
          <w:rFonts w:hint="eastAsia" w:ascii="宋体" w:hAnsi="宋体" w:cs="宋体"/>
          <w:szCs w:val="21"/>
        </w:rPr>
        <w:t>5.1本工程采用限定总价审计结算方法，按合同以中标单价和实际工作量计算总价，经审计后确认合同审计总价，但合同审计总价不得高于中标总价（不包含签证变更部分）。</w:t>
      </w:r>
    </w:p>
    <w:p>
      <w:pPr>
        <w:widowControl/>
        <w:spacing w:line="276" w:lineRule="auto"/>
        <w:ind w:firstLine="420" w:firstLineChars="200"/>
        <w:rPr>
          <w:rFonts w:ascii="宋体" w:hAnsi="宋体" w:cs="宋体"/>
          <w:szCs w:val="21"/>
        </w:rPr>
      </w:pPr>
      <w:r>
        <w:rPr>
          <w:rFonts w:hint="eastAsia" w:ascii="宋体" w:hAnsi="宋体" w:cs="宋体"/>
          <w:szCs w:val="21"/>
        </w:rPr>
        <w:t>5.2工程结算方式：</w:t>
      </w:r>
    </w:p>
    <w:p>
      <w:pPr>
        <w:widowControl/>
        <w:spacing w:line="276" w:lineRule="auto"/>
        <w:ind w:firstLine="420" w:firstLineChars="200"/>
        <w:rPr>
          <w:rFonts w:ascii="宋体" w:hAnsi="宋体" w:cs="宋体"/>
          <w:szCs w:val="21"/>
        </w:rPr>
      </w:pPr>
      <w:r>
        <w:rPr>
          <w:rFonts w:hint="eastAsia" w:ascii="宋体" w:hAnsi="宋体" w:cs="宋体"/>
          <w:szCs w:val="21"/>
        </w:rPr>
        <w:t>5.2.1本工程采用限定总价审计结算方法，按合同以中标单价和实际工作量计算总价，经审计后确认合同审计总价，但合同审计总价不得高于中标总价（不包含签证变更部分）。</w:t>
      </w:r>
    </w:p>
    <w:p>
      <w:pPr>
        <w:widowControl/>
        <w:spacing w:line="276" w:lineRule="auto"/>
        <w:ind w:firstLine="420" w:firstLineChars="200"/>
        <w:rPr>
          <w:rFonts w:ascii="宋体" w:hAnsi="宋体" w:cs="宋体"/>
          <w:szCs w:val="21"/>
        </w:rPr>
      </w:pPr>
      <w:r>
        <w:rPr>
          <w:rFonts w:hint="eastAsia" w:ascii="宋体" w:hAnsi="宋体" w:cs="宋体"/>
          <w:szCs w:val="21"/>
        </w:rPr>
        <w:t>5.2.2结算总价=合同审计总价+签证变更的审计总价。</w:t>
      </w:r>
    </w:p>
    <w:p>
      <w:pPr>
        <w:widowControl/>
        <w:spacing w:line="276" w:lineRule="auto"/>
        <w:ind w:firstLine="420" w:firstLineChars="200"/>
        <w:rPr>
          <w:rFonts w:ascii="宋体" w:hAnsi="宋体" w:cs="宋体"/>
          <w:szCs w:val="21"/>
        </w:rPr>
      </w:pPr>
      <w:r>
        <w:rPr>
          <w:rFonts w:hint="eastAsia" w:ascii="宋体" w:hAnsi="宋体" w:cs="宋体"/>
          <w:szCs w:val="21"/>
        </w:rPr>
        <w:t>5.2.3工程竣工验收合格后乙方应提交工程结算资料，要求资料齐全，计算准确，若本工程审计核减率(含复审)达10%(含10%以上的)，全部审计费用由施工单位承担，并由学校从施工单位的工程款中扣除；若核减率在5%-10%之间的，其审计费用由施工单位和建设单位各承担50%；若核减率(含复审)为5%及其以下的审计费用，由学校承担。</w:t>
      </w:r>
    </w:p>
    <w:p>
      <w:pPr>
        <w:widowControl/>
        <w:spacing w:line="276" w:lineRule="auto"/>
        <w:ind w:firstLine="420" w:firstLineChars="200"/>
        <w:rPr>
          <w:rFonts w:ascii="宋体" w:hAnsi="宋体" w:cs="宋体"/>
          <w:szCs w:val="21"/>
        </w:rPr>
      </w:pPr>
      <w:r>
        <w:rPr>
          <w:rFonts w:hint="eastAsia" w:ascii="宋体" w:hAnsi="宋体" w:cs="宋体"/>
          <w:szCs w:val="21"/>
        </w:rPr>
        <w:t>6、保修：本工程质保期</w:t>
      </w:r>
      <w:r>
        <w:rPr>
          <w:rFonts w:hint="eastAsia" w:ascii="宋体" w:hAnsi="宋体" w:cs="宋体"/>
          <w:b/>
          <w:bCs/>
          <w:szCs w:val="21"/>
          <w:u w:val="single"/>
        </w:rPr>
        <w:t>贰</w:t>
      </w:r>
      <w:r>
        <w:rPr>
          <w:rFonts w:hint="eastAsia" w:ascii="宋体" w:hAnsi="宋体" w:cs="宋体"/>
          <w:szCs w:val="21"/>
        </w:rPr>
        <w:t>年。质量保修期从工程竣工验收合格之日起计算，具体保修范围、保修期限、保修责任、保修金的支付、返还应按《建设工程质量管理条例》和《房屋建筑工程质量保修办法》及双方约定执行；</w:t>
      </w:r>
    </w:p>
    <w:p>
      <w:pPr>
        <w:widowControl/>
        <w:spacing w:line="276" w:lineRule="auto"/>
        <w:ind w:firstLine="420" w:firstLineChars="200"/>
        <w:rPr>
          <w:rFonts w:ascii="宋体" w:hAnsi="宋体" w:cs="宋体"/>
          <w:szCs w:val="21"/>
        </w:rPr>
      </w:pPr>
      <w:r>
        <w:rPr>
          <w:rFonts w:hint="eastAsia" w:ascii="宋体" w:hAnsi="宋体" w:cs="宋体"/>
          <w:szCs w:val="21"/>
        </w:rPr>
        <w:t>6.1在质保期内，若设备因质量或设备本身问题出现故障，由成交供应商进行免费更换。对于采购人的保修服务通知，成交供应商必须在接到通知后4小时内予以响应，若有必要，成交供应商工程维修人员必须8小时内到达现场，48小时内处理完毕。若在48小时内未能有效解决，成交供应商须免费提供同档次的设备予采购人临时使用。</w:t>
      </w:r>
    </w:p>
    <w:p>
      <w:pPr>
        <w:widowControl/>
        <w:spacing w:line="276" w:lineRule="auto"/>
        <w:ind w:firstLine="420" w:firstLineChars="200"/>
      </w:pPr>
      <w:r>
        <w:rPr>
          <w:rFonts w:hint="eastAsia" w:ascii="宋体" w:hAnsi="宋体" w:cs="宋体"/>
          <w:szCs w:val="21"/>
        </w:rPr>
        <w:t>质保期外，服务响应时间与质保期内一致，同时备品备件以合理优惠价格供应。</w:t>
      </w:r>
    </w:p>
    <w:p>
      <w:pPr>
        <w:widowControl/>
        <w:spacing w:line="276" w:lineRule="auto"/>
        <w:ind w:firstLine="420" w:firstLineChars="200"/>
        <w:rPr>
          <w:rFonts w:ascii="宋体" w:hAnsi="宋体" w:cs="宋体"/>
          <w:szCs w:val="21"/>
        </w:rPr>
      </w:pPr>
      <w:r>
        <w:rPr>
          <w:rFonts w:hint="eastAsia" w:ascii="宋体" w:hAnsi="宋体" w:cs="宋体"/>
          <w:szCs w:val="21"/>
        </w:rPr>
        <w:t>7、分包：招标人不允许成交供应商将工程转包和违法分包给任何第三方，如发现转包或违法分包行为，限令改正，否则招标人有权立即中止合同，扣除履约担保，成交供应商负违约责任。</w:t>
      </w:r>
    </w:p>
    <w:p>
      <w:pPr>
        <w:widowControl/>
        <w:spacing w:line="276" w:lineRule="auto"/>
        <w:ind w:firstLine="420" w:firstLineChars="200"/>
        <w:rPr>
          <w:rFonts w:ascii="宋体" w:hAnsi="宋体" w:cs="宋体"/>
          <w:szCs w:val="21"/>
        </w:rPr>
      </w:pPr>
      <w:r>
        <w:rPr>
          <w:rFonts w:hint="eastAsia" w:ascii="宋体" w:hAnsi="宋体" w:cs="宋体"/>
          <w:szCs w:val="21"/>
        </w:rPr>
        <w:t>8、违约责任：按《民法典》执行。</w:t>
      </w:r>
    </w:p>
    <w:p>
      <w:pPr>
        <w:widowControl/>
        <w:spacing w:line="276" w:lineRule="auto"/>
        <w:ind w:firstLine="420" w:firstLineChars="200"/>
        <w:rPr>
          <w:rFonts w:ascii="宋体" w:hAnsi="宋体" w:cs="宋体"/>
          <w:szCs w:val="21"/>
        </w:rPr>
      </w:pPr>
      <w:r>
        <w:rPr>
          <w:rFonts w:hint="eastAsia" w:ascii="宋体" w:hAnsi="宋体" w:cs="宋体"/>
          <w:szCs w:val="21"/>
        </w:rPr>
        <w:t>9、特别说明</w:t>
      </w:r>
    </w:p>
    <w:p>
      <w:pPr>
        <w:widowControl/>
        <w:spacing w:line="276" w:lineRule="auto"/>
        <w:ind w:firstLine="420" w:firstLineChars="200"/>
        <w:rPr>
          <w:rFonts w:ascii="宋体" w:hAnsi="宋体" w:cs="宋体"/>
          <w:szCs w:val="21"/>
        </w:rPr>
      </w:pPr>
      <w:r>
        <w:rPr>
          <w:rFonts w:hint="eastAsia" w:ascii="宋体" w:hAnsi="宋体" w:cs="宋体"/>
          <w:szCs w:val="21"/>
        </w:rPr>
        <w:t>9.1该工程施工过程中项目经理和投标时确认的项目部人员必须常驻现场实施施工管理，并参与建设单位的日常考勤。中途项目经理和项目部人员需离岗必须履行书面请假手续并经招标人同意。若未经招标人同意而擅自离岗的，将处以每人每天 500 元的违约金，在支付工程款时从应付的工程款中扣除。若擅自离岗连续达7 天以上的，经招标人提出仍未改正的，招标人有权终止合同，因此给招标人造成损失的，招标人将依法追偿。</w:t>
      </w:r>
    </w:p>
    <w:p>
      <w:pPr>
        <w:widowControl/>
        <w:spacing w:line="276" w:lineRule="auto"/>
        <w:ind w:firstLine="420" w:firstLineChars="200"/>
        <w:rPr>
          <w:rFonts w:ascii="宋体" w:hAnsi="宋体" w:cs="宋体"/>
          <w:szCs w:val="21"/>
        </w:rPr>
      </w:pPr>
      <w:r>
        <w:rPr>
          <w:rFonts w:hint="eastAsia" w:ascii="宋体" w:hAnsi="宋体" w:cs="宋体"/>
          <w:szCs w:val="21"/>
        </w:rPr>
        <w:t>9.2成交供应商在选择材料、设备时，应在满足本项目设计标准、质量和使用要求的前提下，选用同档次的优质优价的产品。</w:t>
      </w:r>
    </w:p>
    <w:p>
      <w:pPr>
        <w:widowControl/>
        <w:spacing w:line="276" w:lineRule="auto"/>
        <w:ind w:firstLine="420" w:firstLineChars="200"/>
        <w:rPr>
          <w:rFonts w:ascii="宋体" w:hAnsi="宋体" w:cs="宋体"/>
          <w:szCs w:val="21"/>
        </w:rPr>
      </w:pPr>
      <w:r>
        <w:rPr>
          <w:rFonts w:hint="eastAsia" w:ascii="宋体" w:hAnsi="宋体" w:cs="宋体"/>
          <w:szCs w:val="21"/>
        </w:rPr>
        <w:t>9.3成交供应商已对现场进行了充分勘察，并将临时施工便道考虑在投标报价中，费用包干，成交供应商提出与此有关费用的索赔招标人不予支付。</w:t>
      </w:r>
    </w:p>
    <w:p>
      <w:pPr>
        <w:widowControl/>
        <w:spacing w:line="276" w:lineRule="auto"/>
        <w:ind w:firstLine="420" w:firstLineChars="200"/>
        <w:rPr>
          <w:rFonts w:ascii="宋体" w:hAnsi="宋体" w:cs="宋体"/>
          <w:szCs w:val="21"/>
        </w:rPr>
      </w:pPr>
      <w:r>
        <w:rPr>
          <w:rFonts w:hint="eastAsia" w:ascii="宋体" w:hAnsi="宋体" w:cs="宋体"/>
          <w:szCs w:val="21"/>
        </w:rPr>
        <w:t>9.4成交供应商已进行现场勘察，并将从招标人指定的水、电接口接至施工现场的电缆、水管等材料及施工费用考虑在投标报价中，费用包干；施工过程中所用水、电向建设单位协调，费用交建设单位。水电费损耗按所用水、电量占总用水、电量比率分摊。</w:t>
      </w:r>
    </w:p>
    <w:p>
      <w:pPr>
        <w:widowControl/>
        <w:spacing w:line="276" w:lineRule="auto"/>
        <w:ind w:firstLine="420" w:firstLineChars="200"/>
        <w:rPr>
          <w:rFonts w:ascii="宋体" w:hAnsi="宋体" w:cs="宋体"/>
          <w:szCs w:val="21"/>
        </w:rPr>
      </w:pPr>
      <w:r>
        <w:rPr>
          <w:rFonts w:hint="eastAsia" w:ascii="宋体" w:hAnsi="宋体" w:cs="宋体"/>
          <w:szCs w:val="21"/>
        </w:rPr>
        <w:t>9.5成交供应商在投标时已充分考虑在施工期间必须设置醒目的交通安全标志、标牌及警示灯，同时保证道路正常通行。</w:t>
      </w:r>
    </w:p>
    <w:p>
      <w:pPr>
        <w:widowControl/>
        <w:spacing w:line="276" w:lineRule="auto"/>
        <w:ind w:firstLine="420" w:firstLineChars="200"/>
        <w:rPr>
          <w:rFonts w:ascii="宋体" w:hAnsi="宋体" w:cs="宋体"/>
          <w:szCs w:val="21"/>
        </w:rPr>
      </w:pPr>
      <w:r>
        <w:rPr>
          <w:rFonts w:hint="eastAsia" w:ascii="宋体" w:hAnsi="宋体" w:cs="宋体"/>
          <w:szCs w:val="21"/>
        </w:rPr>
        <w:t>9.6成交供应商必须到现场进行勘察向招标人了解施工现状，充分考虑本工程施工中可预见或不可预见的情况，各项事宜必须服从招标人安排和管理。</w:t>
      </w:r>
    </w:p>
    <w:p>
      <w:pPr>
        <w:widowControl/>
        <w:spacing w:line="276" w:lineRule="auto"/>
        <w:ind w:firstLine="420" w:firstLineChars="200"/>
        <w:rPr>
          <w:rFonts w:ascii="宋体" w:hAnsi="宋体" w:cs="宋体"/>
          <w:szCs w:val="21"/>
        </w:rPr>
      </w:pPr>
      <w:r>
        <w:rPr>
          <w:rFonts w:hint="eastAsia" w:ascii="宋体" w:hAnsi="宋体" w:cs="宋体"/>
          <w:szCs w:val="21"/>
        </w:rPr>
        <w:t>9.7工程价款一律通过银行非现金结算。</w:t>
      </w:r>
    </w:p>
    <w:p>
      <w:bookmarkStart w:id="12" w:name="_GoBack"/>
      <w:bookmarkEnd w:id="1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Y2Y5YTYwZjJhZjQxNWNlYmI3ZjJmMzI3ZjUxNjEifQ=="/>
  </w:docVars>
  <w:rsids>
    <w:rsidRoot w:val="48667874"/>
    <w:rsid w:val="0A5A5DF2"/>
    <w:rsid w:val="13D10788"/>
    <w:rsid w:val="173F457C"/>
    <w:rsid w:val="17561FE9"/>
    <w:rsid w:val="17B434BC"/>
    <w:rsid w:val="187C5464"/>
    <w:rsid w:val="1A990915"/>
    <w:rsid w:val="1DDF07C4"/>
    <w:rsid w:val="35F544A8"/>
    <w:rsid w:val="36DB69B2"/>
    <w:rsid w:val="3B974838"/>
    <w:rsid w:val="46976E9A"/>
    <w:rsid w:val="46C16952"/>
    <w:rsid w:val="48667874"/>
    <w:rsid w:val="49924986"/>
    <w:rsid w:val="4DD45406"/>
    <w:rsid w:val="56595270"/>
    <w:rsid w:val="5B155F33"/>
    <w:rsid w:val="646F4133"/>
    <w:rsid w:val="65CF0E53"/>
    <w:rsid w:val="79436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rPr>
      <w:rFonts w:ascii="楷体_GB2312" w:hAnsi="Arial" w:eastAsia="楷体_GB2312"/>
      <w:kern w:val="0"/>
      <w:sz w:val="28"/>
      <w:szCs w:val="20"/>
    </w:rPr>
  </w:style>
  <w:style w:type="paragraph" w:customStyle="1" w:styleId="3">
    <w:name w:val="一级条标题"/>
    <w:basedOn w:val="4"/>
    <w:next w:val="5"/>
    <w:qFormat/>
    <w:uiPriority w:val="99"/>
    <w:pPr>
      <w:tabs>
        <w:tab w:val="left" w:pos="810"/>
        <w:tab w:val="left" w:pos="907"/>
        <w:tab w:val="left" w:pos="1265"/>
      </w:tabs>
      <w:spacing w:before="0" w:after="0"/>
      <w:ind w:left="907" w:hanging="907"/>
      <w:outlineLvl w:val="2"/>
    </w:pPr>
    <w:rPr>
      <w:rFonts w:hAnsi="宋体"/>
      <w:kern w:val="0"/>
      <w:sz w:val="20"/>
      <w:szCs w:val="20"/>
    </w:rPr>
  </w:style>
  <w:style w:type="paragraph" w:customStyle="1" w:styleId="4">
    <w:name w:val="章标题"/>
    <w:next w:val="1"/>
    <w:qFormat/>
    <w:uiPriority w:val="0"/>
    <w:pPr>
      <w:tabs>
        <w:tab w:val="left" w:pos="810"/>
        <w:tab w:val="left" w:pos="1265"/>
      </w:tabs>
      <w:spacing w:before="50" w:after="50"/>
      <w:ind w:left="810" w:hanging="810"/>
      <w:jc w:val="both"/>
      <w:outlineLvl w:val="1"/>
    </w:pPr>
    <w:rPr>
      <w:rFonts w:ascii="黑体" w:hAnsi="Times New Roman" w:eastAsia="黑体" w:cs="Times New Roman"/>
      <w:kern w:val="2"/>
      <w:sz w:val="21"/>
      <w:szCs w:val="22"/>
      <w:lang w:val="en-US" w:eastAsia="zh-CN" w:bidi="ar-SA"/>
    </w:rPr>
  </w:style>
  <w:style w:type="paragraph" w:customStyle="1" w:styleId="5">
    <w:name w:val="段"/>
    <w:next w:val="1"/>
    <w:qFormat/>
    <w:uiPriority w:val="0"/>
    <w:pPr>
      <w:widowControl w:val="0"/>
      <w:ind w:firstLine="200"/>
      <w:jc w:val="both"/>
    </w:pPr>
    <w:rPr>
      <w:rFonts w:ascii="宋体" w:hAnsi="宋体" w:eastAsia="宋体" w:cs="宋体"/>
      <w:color w:val="000000"/>
      <w:sz w:val="21"/>
      <w:szCs w:val="21"/>
      <w:lang w:val="en-US" w:eastAsia="zh-CN" w:bidi="ar-SA"/>
    </w:rPr>
  </w:style>
  <w:style w:type="paragraph" w:styleId="6">
    <w:name w:val="Plain Text"/>
    <w:basedOn w:val="1"/>
    <w:qFormat/>
    <w:uiPriority w:val="0"/>
    <w:rPr>
      <w:rFonts w:ascii="宋体" w:hAnsi="Courier New"/>
      <w:kern w:val="0"/>
      <w:sz w:val="20"/>
      <w:szCs w:val="20"/>
    </w:rPr>
  </w:style>
  <w:style w:type="paragraph" w:styleId="9">
    <w:name w:val="List Paragraph"/>
    <w:basedOn w:val="1"/>
    <w:qFormat/>
    <w:uiPriority w:val="34"/>
    <w:pPr>
      <w:ind w:firstLine="420" w:firstLineChars="200"/>
    </w:pPr>
    <w:rPr>
      <w:rFonts w:ascii="Calibri" w:hAnsi="Calibri"/>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2023-08-31T09:04:00Z</dcterms:created>
  <dc:creator>WPS_1665191703</dc:creator>
  <cp:lastModifiedBy>WPS_1665191703</cp:lastModifiedBy>
  <dcterms:modified xsi:type="dcterms:W3CDTF">2023-08-31T09:05:15Z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1EEE7E63927342AEB09A83968356E6DC_11</vt:lpwstr>
  </property>
</Properties>
</file>