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A86A2">
      <w:pPr>
        <w:widowControl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</w:pPr>
      <w:bookmarkStart w:id="0" w:name="OLE_LINK24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项目需求</w:t>
      </w:r>
    </w:p>
    <w:p w14:paraId="622BAAC9">
      <w:pPr>
        <w:spacing w:line="360" w:lineRule="auto"/>
        <w:ind w:firstLine="480"/>
        <w:rPr>
          <w:color w:val="auto"/>
          <w:sz w:val="24"/>
          <w:szCs w:val="24"/>
          <w:highlight w:val="none"/>
          <w:u w:val="none"/>
        </w:rPr>
      </w:pPr>
      <w:bookmarkStart w:id="1" w:name="OLE_LINK25"/>
      <w:r>
        <w:rPr>
          <w:b/>
          <w:bCs/>
          <w:color w:val="auto"/>
          <w:sz w:val="24"/>
          <w:szCs w:val="24"/>
          <w:highlight w:val="none"/>
          <w:u w:val="none"/>
        </w:rPr>
        <w:t>一、项目名称：</w:t>
      </w:r>
      <w:bookmarkStart w:id="3" w:name="_GoBack"/>
      <w:r>
        <w:rPr>
          <w:color w:val="auto"/>
          <w:sz w:val="24"/>
          <w:szCs w:val="24"/>
          <w:highlight w:val="none"/>
          <w:u w:val="none"/>
        </w:rPr>
        <w:t>视频光谱仪（文检仪）采购项目</w:t>
      </w:r>
      <w:r>
        <w:rPr>
          <w:rFonts w:hint="eastAsia"/>
          <w:color w:val="auto"/>
          <w:sz w:val="24"/>
          <w:szCs w:val="24"/>
          <w:highlight w:val="none"/>
          <w:u w:val="none"/>
        </w:rPr>
        <w:t xml:space="preserve"> </w:t>
      </w:r>
    </w:p>
    <w:bookmarkEnd w:id="3"/>
    <w:p w14:paraId="14391AEB">
      <w:pPr>
        <w:spacing w:line="360" w:lineRule="auto"/>
        <w:ind w:firstLine="480"/>
        <w:rPr>
          <w:color w:val="auto"/>
          <w:sz w:val="24"/>
          <w:szCs w:val="24"/>
          <w:highlight w:val="none"/>
          <w:u w:val="none"/>
        </w:rPr>
      </w:pPr>
      <w:r>
        <w:rPr>
          <w:b/>
          <w:bCs/>
          <w:color w:val="auto"/>
          <w:sz w:val="24"/>
          <w:szCs w:val="24"/>
          <w:highlight w:val="none"/>
          <w:u w:val="none"/>
        </w:rPr>
        <w:t>二、项目概况：</w:t>
      </w:r>
      <w:r>
        <w:rPr>
          <w:color w:val="auto"/>
          <w:sz w:val="24"/>
          <w:szCs w:val="24"/>
          <w:highlight w:val="none"/>
          <w:u w:val="none"/>
        </w:rPr>
        <w:t>本设备主要用于</w:t>
      </w:r>
      <w:r>
        <w:rPr>
          <w:rFonts w:hint="eastAsia"/>
          <w:color w:val="auto"/>
          <w:sz w:val="24"/>
          <w:szCs w:val="24"/>
          <w:highlight w:val="none"/>
          <w:u w:val="none"/>
        </w:rPr>
        <w:t>笔迹鉴定技术</w:t>
      </w:r>
      <w:r>
        <w:rPr>
          <w:color w:val="auto"/>
          <w:sz w:val="24"/>
          <w:szCs w:val="24"/>
          <w:highlight w:val="none"/>
          <w:u w:val="none"/>
        </w:rPr>
        <w:t>和</w:t>
      </w:r>
      <w:r>
        <w:rPr>
          <w:rFonts w:hint="eastAsia"/>
          <w:color w:val="auto"/>
          <w:sz w:val="24"/>
          <w:szCs w:val="24"/>
          <w:highlight w:val="none"/>
          <w:u w:val="none"/>
        </w:rPr>
        <w:t>文件鉴定技术课程</w:t>
      </w:r>
      <w:r>
        <w:rPr>
          <w:color w:val="auto"/>
          <w:sz w:val="24"/>
          <w:szCs w:val="24"/>
          <w:highlight w:val="none"/>
          <w:u w:val="none"/>
        </w:rPr>
        <w:t>实训教学，对可疑文件上的手写字迹、印章印文、票证证件防伪特征以及变造、涂改、消退、拼补痕迹进行多波段光学检验和图像比对分析，为司法鉴定业务和</w:t>
      </w:r>
      <w:r>
        <w:rPr>
          <w:rFonts w:hint="eastAsia"/>
          <w:color w:val="auto"/>
          <w:sz w:val="24"/>
          <w:szCs w:val="24"/>
          <w:highlight w:val="none"/>
          <w:u w:val="none"/>
        </w:rPr>
        <w:t>笔迹鉴定技术、文件鉴定技术</w:t>
      </w:r>
      <w:r>
        <w:rPr>
          <w:color w:val="auto"/>
          <w:sz w:val="24"/>
          <w:szCs w:val="24"/>
          <w:highlight w:val="none"/>
          <w:u w:val="none"/>
        </w:rPr>
        <w:t>课程实验教学提供设备支撑。</w:t>
      </w:r>
    </w:p>
    <w:p w14:paraId="33D857DC">
      <w:pPr>
        <w:spacing w:line="360" w:lineRule="auto"/>
        <w:ind w:firstLine="480"/>
        <w:rPr>
          <w:color w:val="auto"/>
          <w:sz w:val="24"/>
          <w:szCs w:val="24"/>
          <w:highlight w:val="none"/>
          <w:u w:val="none"/>
        </w:rPr>
      </w:pPr>
      <w:r>
        <w:rPr>
          <w:b/>
          <w:bCs/>
          <w:color w:val="auto"/>
          <w:sz w:val="24"/>
          <w:szCs w:val="24"/>
          <w:highlight w:val="none"/>
          <w:u w:val="none"/>
        </w:rPr>
        <w:t>三、预算金额：</w:t>
      </w:r>
      <w:r>
        <w:rPr>
          <w:rFonts w:hint="eastAsia"/>
          <w:color w:val="auto"/>
          <w:sz w:val="24"/>
          <w:szCs w:val="24"/>
          <w:highlight w:val="none"/>
          <w:u w:val="none"/>
        </w:rPr>
        <w:t>10</w:t>
      </w:r>
      <w:r>
        <w:rPr>
          <w:color w:val="auto"/>
          <w:sz w:val="24"/>
          <w:szCs w:val="24"/>
          <w:highlight w:val="none"/>
          <w:u w:val="none"/>
        </w:rPr>
        <w:t xml:space="preserve"> 万元。</w:t>
      </w:r>
    </w:p>
    <w:p w14:paraId="165EA38C">
      <w:pPr>
        <w:spacing w:line="360" w:lineRule="auto"/>
        <w:ind w:firstLine="480"/>
        <w:rPr>
          <w:color w:val="auto"/>
          <w:sz w:val="24"/>
          <w:szCs w:val="24"/>
          <w:highlight w:val="none"/>
        </w:rPr>
      </w:pPr>
      <w:r>
        <w:rPr>
          <w:rFonts w:hint="eastAsia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四</w:t>
      </w:r>
      <w:r>
        <w:rPr>
          <w:b/>
          <w:bCs/>
          <w:color w:val="auto"/>
          <w:sz w:val="24"/>
          <w:szCs w:val="24"/>
          <w:highlight w:val="none"/>
          <w:u w:val="none"/>
        </w:rPr>
        <w:t>、核心产品：</w:t>
      </w:r>
      <w:r>
        <w:rPr>
          <w:color w:val="auto"/>
          <w:sz w:val="24"/>
          <w:szCs w:val="24"/>
          <w:highlight w:val="none"/>
          <w:u w:val="none"/>
        </w:rPr>
        <w:t>视频光谱仪（文检仪）</w:t>
      </w:r>
    </w:p>
    <w:p w14:paraId="0A122386">
      <w:pPr>
        <w:spacing w:line="360" w:lineRule="auto"/>
        <w:ind w:firstLine="482" w:firstLineChars="200"/>
        <w:rPr>
          <w:rFonts w:hint="eastAsia" w:ascii="宋体" w:hAnsi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  <w:lang w:val="en-US" w:eastAsia="zh-CN"/>
        </w:rPr>
        <w:t>五</w:t>
      </w:r>
      <w:r>
        <w:rPr>
          <w:rFonts w:hint="eastAsia" w:ascii="宋体" w:hAnsi="宋体"/>
          <w:b/>
          <w:color w:val="auto"/>
          <w:sz w:val="24"/>
          <w:szCs w:val="24"/>
          <w:highlight w:val="none"/>
        </w:rPr>
        <w:t>、技术参数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val="en-US" w:eastAsia="zh-CN"/>
        </w:rPr>
        <w:t>及要求</w:t>
      </w:r>
      <w:r>
        <w:rPr>
          <w:rFonts w:hint="eastAsia" w:ascii="宋体" w:hAnsi="宋体"/>
          <w:b/>
          <w:color w:val="auto"/>
          <w:sz w:val="24"/>
          <w:szCs w:val="24"/>
          <w:highlight w:val="none"/>
        </w:rPr>
        <w:t>：</w:t>
      </w:r>
    </w:p>
    <w:tbl>
      <w:tblPr>
        <w:tblStyle w:val="4"/>
        <w:tblW w:w="89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81"/>
        <w:gridCol w:w="1112"/>
        <w:gridCol w:w="4377"/>
        <w:gridCol w:w="588"/>
        <w:gridCol w:w="588"/>
        <w:gridCol w:w="1639"/>
      </w:tblGrid>
      <w:tr w14:paraId="49387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8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B2EC9F">
            <w:pPr>
              <w:jc w:val="center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highlight w:val="none"/>
              </w:rPr>
              <w:t>序号</w:t>
            </w:r>
          </w:p>
        </w:tc>
        <w:tc>
          <w:tcPr>
            <w:tcW w:w="111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5F632D">
            <w:pPr>
              <w:jc w:val="center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highlight w:val="none"/>
              </w:rPr>
              <w:t>名称</w:t>
            </w:r>
          </w:p>
        </w:tc>
        <w:tc>
          <w:tcPr>
            <w:tcW w:w="437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7EEA3F">
            <w:pPr>
              <w:jc w:val="center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技术参数及要求</w:t>
            </w:r>
          </w:p>
        </w:tc>
        <w:tc>
          <w:tcPr>
            <w:tcW w:w="58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C22606">
            <w:pPr>
              <w:jc w:val="center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highlight w:val="none"/>
              </w:rPr>
              <w:t>数量</w:t>
            </w:r>
          </w:p>
        </w:tc>
        <w:tc>
          <w:tcPr>
            <w:tcW w:w="58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89394A">
            <w:pPr>
              <w:jc w:val="center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highlight w:val="none"/>
              </w:rPr>
              <w:t>单位</w:t>
            </w:r>
          </w:p>
        </w:tc>
        <w:tc>
          <w:tcPr>
            <w:tcW w:w="16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59540A">
            <w:pPr>
              <w:jc w:val="center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highlight w:val="none"/>
              </w:rPr>
              <w:t>备注</w:t>
            </w:r>
          </w:p>
        </w:tc>
      </w:tr>
      <w:tr w14:paraId="2327E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8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61C4CA">
            <w:pPr>
              <w:spacing w:line="320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11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1CAAB7">
            <w:pPr>
              <w:spacing w:line="320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视频光谱仪（文检仪）</w:t>
            </w:r>
          </w:p>
        </w:tc>
        <w:tc>
          <w:tcPr>
            <w:tcW w:w="437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F0BF36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1、主机系统</w:t>
            </w:r>
          </w:p>
          <w:p w14:paraId="12FFA9B2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（1）一体化工作站结构，具备遮光检验空间，可减少环境杂光干扰检验观察；</w:t>
            </w:r>
          </w:p>
          <w:p w14:paraId="5CACB088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（2）检验空间可容纳A3及以下幅面检材；</w:t>
            </w:r>
          </w:p>
          <w:p w14:paraId="15F6623E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（3）检材载物台有效幅面不小于A4（210mm×297mm），台面位置可调节；</w:t>
            </w:r>
          </w:p>
          <w:p w14:paraId="4C5185E6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（4）通过专用软件统一控制光源切换、滤光片切换、调焦、图像采集与图像处理。</w:t>
            </w:r>
          </w:p>
          <w:p w14:paraId="6FBDBC6A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2、成像系统</w:t>
            </w:r>
          </w:p>
          <w:p w14:paraId="60643B55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（1）配置高灵敏度成像装置，支持微弱荧光和红外图像采集；</w:t>
            </w:r>
          </w:p>
          <w:p w14:paraId="7C61B144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★（2）成像光谱响应范围覆盖400nm-1000nm；</w:t>
            </w:r>
          </w:p>
          <w:p w14:paraId="40F4D505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（3）系统总放大倍率上限不低于100倍（含数字放大），支持常用放大档位存储与调用；</w:t>
            </w:r>
          </w:p>
          <w:p w14:paraId="2CEF8D46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（4）支持手动对焦；</w:t>
            </w:r>
          </w:p>
          <w:p w14:paraId="01A5E1E9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（5）最大观察视场不小于140mm×105mm。</w:t>
            </w:r>
          </w:p>
          <w:p w14:paraId="25AE088E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3、光源系统</w:t>
            </w:r>
          </w:p>
          <w:p w14:paraId="5A334D23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（1）配置可见光照明光源；</w:t>
            </w:r>
          </w:p>
          <w:p w14:paraId="2357353B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（2）配置紫外光源，波长包含254nm和365nm；</w:t>
            </w:r>
          </w:p>
          <w:p w14:paraId="59D4E132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（3）配置红外光源，在780nm-980nm范围内不少于2种波长；</w:t>
            </w:r>
          </w:p>
          <w:p w14:paraId="4532FF01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★（4）同时配置紫外透射光源、白光透射光源、照射角度可调的侧光源和同轴光源；</w:t>
            </w:r>
          </w:p>
          <w:p w14:paraId="29F51319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（5）配置荧光激发光源，可配合激发滤光片进行荧光检验。</w:t>
            </w:r>
          </w:p>
          <w:p w14:paraId="52652D05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4、滤光片系统</w:t>
            </w:r>
          </w:p>
          <w:p w14:paraId="2A5E73DE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（1）激发滤光片不少于6组，波长覆盖400nm-560nm；</w:t>
            </w:r>
          </w:p>
          <w:p w14:paraId="155F727D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（2）接收滤光片不少于8组；</w:t>
            </w:r>
          </w:p>
          <w:p w14:paraId="3D6289FB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（3）激发滤光片与接收滤光片可组合形成不少于40种光谱观察条件；</w:t>
            </w:r>
          </w:p>
          <w:p w14:paraId="0964DC9B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（4）滤光片可组合切换，满足不同激发、接收条件下的快速转换。</w:t>
            </w:r>
          </w:p>
          <w:p w14:paraId="4666AA54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5、图像处理与分析软件</w:t>
            </w:r>
          </w:p>
          <w:p w14:paraId="4A0E3AB5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（1）支持实时动态观察、图像采集与存储，图像属性保存观察条件（光源种类、滤光片组合、放大倍率等）；</w:t>
            </w:r>
          </w:p>
          <w:p w14:paraId="06771393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（2）具备动态比对、并排比对、重叠比对功能；</w:t>
            </w:r>
          </w:p>
          <w:p w14:paraId="1EEAE6DD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（3）具备灰度调节、伪彩色处理、滤波、锐化等图像增强功能；</w:t>
            </w:r>
          </w:p>
          <w:p w14:paraId="6C83BBCA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（4）具备长度、角度、面积测量与特征标注功能；</w:t>
            </w:r>
          </w:p>
          <w:p w14:paraId="4E7A487D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（5）支持检验记录生成与检验报告输出。</w:t>
            </w:r>
          </w:p>
          <w:p w14:paraId="00C8315C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6、配置要求</w:t>
            </w:r>
          </w:p>
          <w:p w14:paraId="61388902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（1）视频光谱仪主机（含成像系统、光源系统、滤光片系统）：1台；</w:t>
            </w:r>
          </w:p>
          <w:p w14:paraId="33FEF55A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（2）系统运行不可分割的专用控制计算机及显示器：1套；</w:t>
            </w:r>
          </w:p>
          <w:p w14:paraId="49219B75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（3）专用图像处理与分析软件：1套；</w:t>
            </w:r>
          </w:p>
          <w:p w14:paraId="32422E79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（4）备用光源组件及常用易损件：1套；</w:t>
            </w:r>
          </w:p>
          <w:p w14:paraId="0B33A75F">
            <w:pPr>
              <w:spacing w:line="36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（5）校准板及标准检材样品：1套。</w:t>
            </w:r>
          </w:p>
        </w:tc>
        <w:tc>
          <w:tcPr>
            <w:tcW w:w="58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281DF">
            <w:pPr>
              <w:spacing w:line="320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58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123A29">
            <w:pPr>
              <w:spacing w:line="320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台</w:t>
            </w:r>
          </w:p>
        </w:tc>
        <w:tc>
          <w:tcPr>
            <w:tcW w:w="16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C8D89A">
            <w:pPr>
              <w:spacing w:line="360" w:lineRule="auto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本项目设备参考国内文件检验实训教学主流国产设备技术水平，采购国产视频光谱仪（文检仪），不采购进口产品。</w:t>
            </w:r>
          </w:p>
          <w:p w14:paraId="74EA245B">
            <w:pPr>
              <w:spacing w:line="320" w:lineRule="auto"/>
              <w:rPr>
                <w:color w:val="auto"/>
                <w:highlight w:val="none"/>
              </w:rPr>
            </w:pPr>
          </w:p>
        </w:tc>
      </w:tr>
    </w:tbl>
    <w:p w14:paraId="7F02AE33">
      <w:pPr>
        <w:rPr>
          <w:color w:val="auto"/>
          <w:highlight w:val="none"/>
        </w:rPr>
      </w:pPr>
    </w:p>
    <w:p w14:paraId="74BF1E41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281" w:firstLineChars="1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bookmarkStart w:id="2" w:name="OLE_LINK20"/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六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、质量和服务要求</w:t>
      </w:r>
    </w:p>
    <w:p w14:paraId="1CE42822">
      <w:pPr>
        <w:spacing w:line="360" w:lineRule="auto"/>
        <w:ind w:firstLine="48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1、所供产品必须符合国家标准，设备和配件为全新原装，功能符合使用要求，保证为正规渠道供货的正宗原厂产品。须提供良好的售后服务，终身提供技术支持。</w:t>
      </w:r>
    </w:p>
    <w:p w14:paraId="39B0CA05">
      <w:pPr>
        <w:spacing w:line="360" w:lineRule="auto"/>
        <w:ind w:firstLine="48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2、供货方式、时间及地点要求：合同签订后30天内设备运抵采购人校内指定地点，在接到采购人安装通知后，供货方应在15天内完成设备的安装及调试。</w:t>
      </w:r>
    </w:p>
    <w:p w14:paraId="120BDEF4">
      <w:pPr>
        <w:spacing w:line="360" w:lineRule="auto"/>
        <w:ind w:firstLine="48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3、质保期及服务要求：</w:t>
      </w:r>
    </w:p>
    <w:p w14:paraId="7EFF1F57">
      <w:pPr>
        <w:spacing w:line="360" w:lineRule="auto"/>
        <w:ind w:firstLine="48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（1）培训及售后服务：现场完成安装、调试之后，由中标方工程师提供免费操作培训。培训内容主要包括设备原理、基本操作要领、设备简易故障排除和维护保养知识等，直至用户熟练操作。</w:t>
      </w:r>
    </w:p>
    <w:p w14:paraId="0B702707">
      <w:pPr>
        <w:spacing w:line="360" w:lineRule="auto"/>
        <w:ind w:firstLine="48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（2）须提供售后服务团队人员名单清单和联系方式。</w:t>
      </w:r>
    </w:p>
    <w:p w14:paraId="3FD2DF0A">
      <w:pPr>
        <w:spacing w:line="360" w:lineRule="auto"/>
        <w:ind w:firstLine="48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（3）质保期：提供至少2年的免费质保期，自验收合格之日起计算。在质保期内，若仪器设备因质量或设备本身问题出现故障，由中标方进行免费更换。对于采购方的服务通知，中标方必须在接到通知后4小时内予以响应，若有必要，中标方工程师必须8小时内到达现场，48小时内处理完毕。若在48小时内未能有效解决，中标方须免费提供同档次的设备予采购方临时使用。质保期外，服务响应时间与质保期内一致，同时备品备件以合理优惠价格供应。</w:t>
      </w:r>
    </w:p>
    <w:p w14:paraId="0BC69EF9">
      <w:pPr>
        <w:spacing w:line="360" w:lineRule="auto"/>
        <w:ind w:firstLine="48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4、验收方法及验收标准：货物发运前，必须对设备的质量、规格、性能等方面的技术数据进行综合检验，需随设备提供检验合格证书和原产地证明书。设备现场安装、调试结束后，中标方和采购方相关人员按验收标准进行验收。验收标准为招标文件、投标文件、合同中的相关技术及服务条款内容。如验收达不到规定要求，采购人有权要求更换货物或拒绝付款，供应商若违约，采购人将依法追究相应法律责任。</w:t>
      </w:r>
    </w:p>
    <w:p w14:paraId="33048BA7">
      <w:pPr>
        <w:spacing w:line="360" w:lineRule="auto"/>
        <w:ind w:firstLine="48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5、其他需要明确的内容：</w:t>
      </w:r>
    </w:p>
    <w:p w14:paraId="59D36355">
      <w:pPr>
        <w:spacing w:line="360" w:lineRule="auto"/>
        <w:ind w:firstLine="48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（1）供方交货时提供货物所必备的各种证书及相关证明材料、技术资料；</w:t>
      </w:r>
    </w:p>
    <w:p w14:paraId="27099429">
      <w:pPr>
        <w:spacing w:line="360" w:lineRule="auto"/>
        <w:ind w:firstLine="48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（2）提供优质的售后服务和技术支持。</w:t>
      </w:r>
    </w:p>
    <w:p w14:paraId="2DE535E6">
      <w:pPr>
        <w:pStyle w:val="7"/>
        <w:numPr>
          <w:ilvl w:val="0"/>
          <w:numId w:val="0"/>
        </w:numPr>
        <w:spacing w:line="360" w:lineRule="auto"/>
        <w:ind w:left="357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项目实施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方案及其他</w:t>
      </w:r>
    </w:p>
    <w:p w14:paraId="0C0920C8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6.1投标人应根据采购需求和本项目实际，制定相应的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项目实施</w:t>
      </w:r>
      <w:r>
        <w:rPr>
          <w:rFonts w:hint="eastAsia"/>
          <w:color w:val="auto"/>
          <w:sz w:val="24"/>
          <w:szCs w:val="24"/>
          <w:highlight w:val="none"/>
        </w:rPr>
        <w:t>方案，方案至少包含：</w:t>
      </w:r>
    </w:p>
    <w:p w14:paraId="67020893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6.1.1供货总体实施方案</w:t>
      </w:r>
    </w:p>
    <w:p w14:paraId="0DE93EB1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①项目供货组织架构：列明本项目专属项目负责人、供货对接人、安装工程师、售后技术人员名单、联系方式、岗位职责；说明项目内部管控流程、沟通对接机制。</w:t>
      </w:r>
    </w:p>
    <w:p w14:paraId="1AE523C1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②供货周期计划：明确承诺总供货周期、到货时间、进场安装时间、调试完成时间，提供细化时间节点计划表，说明保障按期交货的保障措施（货源保障、排产、备货、应急供货预案等）。</w:t>
      </w:r>
    </w:p>
    <w:p w14:paraId="3CE18B53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③供货范围说明：对照采购清单，说明供货范围、原厂供货渠道、货源管控方式，承诺所有货物为全新原厂正品、非翻新、非样机、非贴牌产品。</w:t>
      </w:r>
    </w:p>
    <w:p w14:paraId="1D07234D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6.1.2包装、运输、到货及开箱验收方案</w:t>
      </w:r>
    </w:p>
    <w:p w14:paraId="5093B5FF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①包装方案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</w:rPr>
        <w:t>：本项目货物为精密光学检验设备（视频光谱仪主机、多波段光源模组、成像镜头、载物台、滤光片组件、校准板、专用控制电脑、软件介质及各类小件配件），严格执行政府采购包装标准，采取三层分级防护，全面满足防震、防潮、防锈、防磕碰、防强光损伤要求。</w:t>
      </w:r>
    </w:p>
    <w:p w14:paraId="3F3CF897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②运输方案：运输方式、保险安排、到货前通知机制，到货前提前告知采购人到货时间、货物明细、进场条件。</w:t>
      </w:r>
    </w:p>
    <w:p w14:paraId="34AF6DA2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③到货及开箱初验方案：到货后清点核对流程、验收资料同步交付清单（合格证、检测证明、原厂证明、说明书、软件介质等）；对短缺、破损、型号不符等异常情况的处置方案、更换补货时限及违约责任承诺。</w:t>
      </w:r>
    </w:p>
    <w:p w14:paraId="2644612E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6.1.3安装调试实施方案</w:t>
      </w:r>
    </w:p>
    <w:p w14:paraId="5D5F5213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①进场准备：进场前对接实施方案，包含现场勘查、场地空间、供电条件、计算机软硬件运行环境确认、进场实施条件确认、进场安全及实训实验室现场管理措施。乙方提前与采购人对接设备进场时间，确认检验工位摆放位置、供电插座功率、接地条件、配套控制计算机安装环境，确认无强光、粉尘等影响文检仪器工作的现场因素；做好进场人员安全管理，遵守采购人实验室管理规章制度，确认全部进场条件满足后方可进场开展实施工作。</w:t>
      </w:r>
    </w:p>
    <w:p w14:paraId="023ACAC9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②硬件安装调试：视频光谱仪主机（一体化遮光工作站、载物台、成像系统、多组光源系统、滤光片模组）、专用控制计算机及显示器、备用光源组件、校准板、标准检材样品等设备开箱清点、就位安装、线路连接布线、部件固定；完成光源模块、成像模组各项参数标定，开展可见光、紫外 254nm/365nm、多波段红外光源、透射光源、侧光源、同轴光源、荧光激发光源逐项性能调试；完成载物台位置调节、对焦机构调试，整机硬件状态校验。</w:t>
      </w:r>
    </w:p>
    <w:p w14:paraId="3716887B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③软件部署调试：专用视频光谱仪图像处理与分析软件安装部署，完成与控制计算机软硬件环境适配调试；对光源切换控制、滤光片切换控制、图像采集存储模块开展调试；调试动态比对、并排比对、重叠比对图像比对功能；调试灰度调节、伪彩色处理、滤波、锐化等图像增强功能；完成长度、角度、面积测量、特征标注功能调试；完成检验记录生成、检验报告输出功能调试，保障全部软件功能可正常稳定运行。</w:t>
      </w:r>
    </w:p>
    <w:p w14:paraId="232C494A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④联调测试方案：整套系统整机协同联动测试方法、测试内容、判定标准。整机通电后开展全流程联调，依次测试各波段光源切换、滤光片组合切换、不同倍率成像采集、荧光检验、红外图像采集、检材图像比对测量、报告输出全部业务流程；逐条核对招标文件全部技术参数，重点对带★关键指标（成像光谱响应范围 400nm‑1000nm 等）进行实测验证；系统连续运行稳定性测试，无死机、图像异常、光源故障等问题。所有技术参数全部达标，设备可正常开展可疑文件、笔迹印文、变造消退痕迹光学检验实训工作，具备课程实训教学使用条件。</w:t>
      </w:r>
    </w:p>
    <w:p w14:paraId="2624EDB7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6.1.4培训实施方案</w:t>
      </w:r>
    </w:p>
    <w:p w14:paraId="29702984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①现场培训方案：培训对象为采购人实训授课教师、实验管理人员及设备操作人员；培训安排在设备安装调试、整机联调验收合格后实施，培训地点为采购人实训实验室；由原厂专业技术工程师担任培训讲师，现场培训总课时不少于4课时。</w:t>
      </w:r>
    </w:p>
    <w:p w14:paraId="4CD2B270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②培训大纲：</w:t>
      </w:r>
    </w:p>
    <w:p w14:paraId="34A522F4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・硬件设备操作、安全操作要点：设备开关机流程、载物台、成像系统、多波段光源、滤光片组件操作；光学光源安全使用规范，防尘、防潮、避光等设备防护要求；</w:t>
      </w:r>
    </w:p>
    <w:p w14:paraId="008BC5DA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・图像采集、参数设置、图像处理、检验报告导出：各波段图像采集、成像参数调整、图像增强、特征比对、测量标注、检材档案保存、检验报告导出；</w:t>
      </w:r>
    </w:p>
    <w:p w14:paraId="7C8B8D1E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・软件功能模块操作：光源控制、图像比对、测量标注、文件管理等软件各功能模块实操；</w:t>
      </w:r>
    </w:p>
    <w:p w14:paraId="1085CA44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・日常检查、简易故障识别：设备日常巡检内容，光源、成像、软件通讯类常见故障识别与基础排查；</w:t>
      </w:r>
    </w:p>
    <w:p w14:paraId="119EA03D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・培训成果交付：提供培训课件、操作视频、电子操作手册，留存培训签到表；培训后组织实操考核，承诺培训至采购人相关人员可独立熟练操作整套设备开展文检实训。</w:t>
      </w:r>
    </w:p>
    <w:p w14:paraId="4C7D4460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6.1.5履约验收配合方案</w:t>
      </w:r>
    </w:p>
    <w:p w14:paraId="20CF298C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①出厂预检验：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货物发运前，乙方须完成设备整机出厂自检工作，对照招标文件技术参数逐项开展检测，自检内容包含设备外观、多波段光源系统、成像系统、滤光组件、软件功能、测量精度、整机连续运行稳定性等，形成完整出厂自检记录。乙方须随货提交出厂自检记录，自检记录作为到货验收资料之一</w:t>
      </w:r>
      <w:r>
        <w:rPr>
          <w:rFonts w:hint="eastAsia"/>
          <w:color w:val="auto"/>
          <w:sz w:val="24"/>
          <w:szCs w:val="24"/>
          <w:highlight w:val="none"/>
        </w:rPr>
        <w:t>。</w:t>
      </w:r>
    </w:p>
    <w:p w14:paraId="1B942BF7">
      <w:pPr>
        <w:widowControl/>
        <w:spacing w:line="360" w:lineRule="auto"/>
        <w:ind w:firstLine="480" w:firstLineChars="200"/>
        <w:jc w:val="left"/>
        <w:rPr>
          <w:rFonts w:hint="eastAsia" w:eastAsia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/>
          <w:color w:val="auto"/>
          <w:sz w:val="24"/>
          <w:szCs w:val="24"/>
          <w:highlight w:val="none"/>
        </w:rPr>
        <w:t>②现场验收配合方案：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设备安装调试完毕后，乙方须安排原厂技术人员到场，全程配合甲方履约验收小组开展验收工作。按验收清单逐项开展功能实测，对标注★的关键技术指标进行现场核验；配合验收小组核查全部技术资料、证明文件；根据验收要求开展全流程操作演示，及时提供验收所需佐证材料，配合做好验收记录、数据留存及签字确认工作。</w:t>
      </w:r>
    </w:p>
    <w:p w14:paraId="058E9B50">
      <w:pPr>
        <w:widowControl/>
        <w:spacing w:line="360" w:lineRule="auto"/>
        <w:ind w:firstLine="480" w:firstLineChars="200"/>
        <w:jc w:val="left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③验收不合格处置方案：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验收如发现技术指标不达标、功能异常、资料缺失等不合格情形，乙方须立即落实整改。属于调试原因的，2 个日历天内完成重新调试；属于设备硬件质量问题的，7 个日历天内完成免费换货，重新供货、安装调试并复测，直至验收合格，由此产生的一切费用由乙方自行承担，并按合同约定承担相应违约责任。</w:t>
      </w:r>
    </w:p>
    <w:p w14:paraId="54E2762E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④归档配合承诺：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项目验收完成后，乙方须配合甲方完成项目资料归档，按甲方或审计要求及时提供供货台账、出厂检验材料、验收佐证材料、履约相关资料等，配合做好审计、核查等相关工作</w:t>
      </w:r>
      <w:r>
        <w:rPr>
          <w:rFonts w:hint="eastAsia"/>
          <w:color w:val="auto"/>
          <w:sz w:val="24"/>
          <w:szCs w:val="24"/>
          <w:highlight w:val="none"/>
        </w:rPr>
        <w:t>。</w:t>
      </w:r>
    </w:p>
    <w:p w14:paraId="2E5739A1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6.1.6质量保证及售后服务方案</w:t>
      </w:r>
    </w:p>
    <w:p w14:paraId="1DF4A4DD">
      <w:pPr>
        <w:widowControl/>
        <w:spacing w:line="360" w:lineRule="auto"/>
        <w:ind w:firstLine="480" w:firstLineChars="200"/>
        <w:jc w:val="left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①质保承诺：本项目视频光谱仪（文检仪）整机质保期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不少于</w:t>
      </w:r>
      <w:r>
        <w:rPr>
          <w:rStyle w:val="6"/>
          <w:rFonts w:ascii="宋体" w:hAnsi="宋体" w:eastAsia="宋体" w:cs="宋体"/>
          <w:color w:val="auto"/>
          <w:sz w:val="24"/>
          <w:szCs w:val="24"/>
          <w:highlight w:val="none"/>
        </w:rPr>
        <w:t>2 年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，自项目履约验收合格之日起计算；配套控制计算机、光源模组、成像组件、滤光片组件、校准板等所有配套设备、原厂配件质保期限同整机质保期；质保期内提供配套图像处理分析软件免费升级服务，包含软件功能优化、算法迭代、图像比对功能更新等。</w:t>
      </w:r>
    </w:p>
    <w:p w14:paraId="189FE67D">
      <w:pPr>
        <w:widowControl/>
        <w:spacing w:line="360" w:lineRule="auto"/>
        <w:ind w:firstLine="480" w:firstLineChars="200"/>
        <w:jc w:val="left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 xml:space="preserve"> ②故障响应机制：乙方提供 7×24 小时报修受理渠道（电话、微信、邮件）；接到甲方服务通知后 4 小时内响应；确需现场处置的，工程师 8 小时内到达现场，48 小时内完成故障处置。若 48 小时内故障未能有效解决，乙方须免费提供同档次设备供甲方临时使用，保障实训教学工作正常开展。</w:t>
      </w:r>
    </w:p>
    <w:p w14:paraId="2D95B8F7">
      <w:pPr>
        <w:widowControl/>
        <w:spacing w:line="360" w:lineRule="auto"/>
        <w:ind w:firstLine="480" w:firstLineChars="200"/>
        <w:jc w:val="left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 xml:space="preserve"> ③质保期内服务内容：质保期内提供免费上门维修服务，故障涉及零配件更换的，零配件免费提供；质保期内乙方每半年安排一次主动上门巡检，对设备光源、成像系统、软件运行状态、线路连接等进行检测、清洁、校准，排查潜在隐患，做好巡检记录并提交甲方。</w:t>
      </w:r>
    </w:p>
    <w:p w14:paraId="59112149">
      <w:pPr>
        <w:widowControl/>
        <w:spacing w:line="360" w:lineRule="auto"/>
        <w:ind w:firstLine="480" w:firstLineChars="200"/>
        <w:jc w:val="left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 xml:space="preserve"> ④质保期满后服务方案：质保期满后，故障响应时效标准与质保期内保持一致，乙方提供本设备终身维修技术支持；备品备件按照合理优惠价格供应，配件报价透明；维修仅收取备品备件成本费用，上门检测、技术指导等技术服务提供优惠支持。</w:t>
      </w:r>
    </w:p>
    <w:p w14:paraId="2720839E">
      <w:pPr>
        <w:widowControl/>
        <w:spacing w:line="360" w:lineRule="auto"/>
        <w:ind w:firstLine="480" w:firstLineChars="200"/>
        <w:jc w:val="left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 xml:space="preserve"> ⑤质量跟踪与反馈 （1）定期回访：乙方每季度对甲方开展使用回访，了解设备运行状况、使用需求及服务满意度，形成书面回访记录提交甲方留存。（2）问题闭环：乙方建立服务问题跟踪台账，对所有报修、咨询问题登记建档，实现问题上报、处置、验证全流程可追溯；故障处置完成后 2 个工作日内向甲方反馈处理结果，完成闭环管理。</w:t>
      </w:r>
    </w:p>
    <w:p w14:paraId="1770ED11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6.1.7风险应对及保障措施</w:t>
      </w:r>
    </w:p>
    <w:p w14:paraId="440C4F1B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投标人结合本项目特点，列明风险预判及应对预案，至少包含：</w:t>
      </w:r>
    </w:p>
    <w:p w14:paraId="0064C162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供货延期风险、运输损坏风险、现场安装环境不匹配风险、设备故障影响教学使用风险、人员变动风险等。</w:t>
      </w:r>
    </w:p>
    <w:p w14:paraId="633797CA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6.2业绩</w:t>
      </w:r>
    </w:p>
    <w:p w14:paraId="63A69AE4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投标人需要具备丰富的采购项目相关承接经验，确保本项目的顺利实施，投标人自2021年7月1日以来（以合同签订时间为准）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承接过</w:t>
      </w:r>
      <w:r>
        <w:rPr>
          <w:rFonts w:hint="eastAsia"/>
          <w:color w:val="auto"/>
          <w:sz w:val="24"/>
          <w:szCs w:val="24"/>
          <w:highlight w:val="none"/>
        </w:rPr>
        <w:t>类似项目的优先。</w:t>
      </w:r>
    </w:p>
    <w:p w14:paraId="0C8B25D9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6.3体系认证</w:t>
      </w:r>
    </w:p>
    <w:p w14:paraId="7674DDF0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6.3.1质量管理体系认证</w:t>
      </w:r>
    </w:p>
    <w:p w14:paraId="5D19EAF3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确保注重服务质量、节点处理规范性。投标时提供质量管理体系认证证书的优先。</w:t>
      </w:r>
    </w:p>
    <w:p w14:paraId="2530B86C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6.3.2环境管理体系认证</w:t>
      </w:r>
    </w:p>
    <w:p w14:paraId="7A3BE770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确保环境保护。投标时提供环境管理体系认证证书的优先。</w:t>
      </w:r>
    </w:p>
    <w:p w14:paraId="2C5CC0CD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6.3.3职业健康安全管理体系认证</w:t>
      </w:r>
    </w:p>
    <w:p w14:paraId="7F69EE7A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确保安全服务，人员安全等操作。投标时提供职业健康安全管理体系认证证书的优先。</w:t>
      </w:r>
    </w:p>
    <w:p w14:paraId="3820030C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6.4质保期承诺</w:t>
      </w:r>
    </w:p>
    <w:p w14:paraId="33555127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</w:rPr>
        <w:t>质保期不小于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/>
          <w:color w:val="auto"/>
          <w:sz w:val="24"/>
          <w:szCs w:val="24"/>
          <w:highlight w:val="none"/>
        </w:rPr>
        <w:t>年，质保期内、外的服务质量满足招标文件要求</w:t>
      </w:r>
      <w:r>
        <w:rPr>
          <w:rFonts w:hint="eastAsia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投标人承诺更优、更长质保期的优先。</w:t>
      </w:r>
    </w:p>
    <w:p w14:paraId="034ACE7B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6.5技术响应</w:t>
      </w:r>
    </w:p>
    <w:p w14:paraId="4D5A13DC">
      <w:pPr>
        <w:widowControl/>
        <w:spacing w:line="360" w:lineRule="auto"/>
        <w:ind w:firstLine="480" w:firstLineChars="200"/>
        <w:jc w:val="left"/>
        <w:rPr>
          <w:rFonts w:hint="default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全部满足招标文件第四章中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的技术参数及要求的优先。</w:t>
      </w:r>
    </w:p>
    <w:bookmarkEnd w:id="0"/>
    <w:bookmarkEnd w:id="1"/>
    <w:bookmarkEnd w:id="2"/>
    <w:p w14:paraId="4C3E20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4621E5"/>
    <w:multiLevelType w:val="multilevel"/>
    <w:tmpl w:val="004621E5"/>
    <w:lvl w:ilvl="0" w:tentative="0">
      <w:start w:val="1"/>
      <w:numFmt w:val="decimal"/>
      <w:pStyle w:val="7"/>
      <w:suff w:val="space"/>
      <w:lvlText w:val="%1"/>
      <w:lvlJc w:val="left"/>
      <w:pPr>
        <w:tabs>
          <w:tab w:val="left" w:pos="7019"/>
        </w:tabs>
        <w:ind w:left="7019" w:hanging="357"/>
      </w:pPr>
      <w:rPr>
        <w:b/>
      </w:rPr>
    </w:lvl>
    <w:lvl w:ilvl="1" w:tentative="0">
      <w:start w:val="1"/>
      <w:numFmt w:val="decimal"/>
      <w:suff w:val="space"/>
      <w:lvlText w:val="%1.%2"/>
      <w:lvlJc w:val="left"/>
      <w:pPr>
        <w:tabs>
          <w:tab w:val="left" w:pos="7019"/>
        </w:tabs>
        <w:ind w:left="7019" w:hanging="357"/>
      </w:pPr>
      <w:rPr>
        <w:b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7019"/>
        </w:tabs>
        <w:ind w:left="7019" w:hanging="357"/>
      </w:pPr>
      <w:rPr>
        <w:b/>
      </w:rPr>
    </w:lvl>
    <w:lvl w:ilvl="3" w:tentative="0">
      <w:start w:val="1"/>
      <w:numFmt w:val="decimal"/>
      <w:suff w:val="space"/>
      <w:lvlText w:val="%1.%2.%3.%4"/>
      <w:lvlJc w:val="left"/>
      <w:pPr>
        <w:tabs>
          <w:tab w:val="left" w:pos="7019"/>
        </w:tabs>
        <w:ind w:left="7019" w:hanging="357"/>
      </w:pPr>
      <w:rPr>
        <w:b/>
      </w:rPr>
    </w:lvl>
    <w:lvl w:ilvl="4" w:tentative="0">
      <w:start w:val="1"/>
      <w:numFmt w:val="decimal"/>
      <w:lvlText w:val="%1.%2.%3.%4.%5"/>
      <w:lvlJc w:val="left"/>
      <w:pPr>
        <w:ind w:left="9213" w:hanging="850"/>
      </w:pPr>
    </w:lvl>
    <w:lvl w:ilvl="5" w:tentative="0">
      <w:start w:val="1"/>
      <w:numFmt w:val="decimal"/>
      <w:lvlText w:val="%1.%2.%3.%4.%5.%6"/>
      <w:lvlJc w:val="left"/>
      <w:pPr>
        <w:ind w:left="9922" w:hanging="1134"/>
      </w:pPr>
    </w:lvl>
    <w:lvl w:ilvl="6" w:tentative="0">
      <w:start w:val="1"/>
      <w:numFmt w:val="decimal"/>
      <w:lvlText w:val="%1.%2.%3.%4.%5.%6.%7"/>
      <w:lvlJc w:val="left"/>
      <w:pPr>
        <w:ind w:left="10489" w:hanging="1276"/>
      </w:pPr>
    </w:lvl>
    <w:lvl w:ilvl="7" w:tentative="0">
      <w:start w:val="1"/>
      <w:numFmt w:val="decimal"/>
      <w:lvlText w:val="%1.%2.%3.%4.%5.%6.%7.%8"/>
      <w:lvlJc w:val="left"/>
      <w:pPr>
        <w:ind w:left="11056" w:hanging="1418"/>
      </w:pPr>
    </w:lvl>
    <w:lvl w:ilvl="8" w:tentative="0">
      <w:start w:val="1"/>
      <w:numFmt w:val="decimal"/>
      <w:lvlText w:val="%1.%2.%3.%4.%5.%6.%7.%8.%9"/>
      <w:lvlJc w:val="left"/>
      <w:pPr>
        <w:ind w:left="11764" w:hanging="17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C743C"/>
    <w:rsid w:val="04AE18FF"/>
    <w:rsid w:val="1AA10814"/>
    <w:rsid w:val="367C09AD"/>
    <w:rsid w:val="3D737B06"/>
    <w:rsid w:val="490435A1"/>
    <w:rsid w:val="53C45145"/>
    <w:rsid w:val="5E6C743C"/>
    <w:rsid w:val="684A387F"/>
    <w:rsid w:val="6BFC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rFonts w:ascii="楷体_GB2312" w:eastAsia="楷体_GB2312"/>
      <w:sz w:val="28"/>
      <w:szCs w:val="2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Arial" w:hAnsi="Arial" w:eastAsia="幼圆" w:cs="Arial"/>
      <w:b/>
      <w:bCs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qFormat/>
    <w:uiPriority w:val="0"/>
    <w:rPr>
      <w:b/>
      <w:bCs/>
    </w:rPr>
  </w:style>
  <w:style w:type="paragraph" w:customStyle="1" w:styleId="7">
    <w:name w:val="e3fb8205-adf9-4d0d-85d1-1a84f91ab844"/>
    <w:basedOn w:val="2"/>
    <w:next w:val="1"/>
    <w:qFormat/>
    <w:uiPriority w:val="0"/>
    <w:pPr>
      <w:keepLines/>
      <w:numPr>
        <w:ilvl w:val="0"/>
        <w:numId w:val="1"/>
      </w:numPr>
      <w:tabs>
        <w:tab w:val="left" w:pos="360"/>
      </w:tabs>
      <w:adjustRightInd w:val="0"/>
      <w:spacing w:line="288" w:lineRule="auto"/>
      <w:jc w:val="left"/>
    </w:pPr>
    <w:rPr>
      <w:rFonts w:ascii="微软雅黑" w:hAnsi="微软雅黑" w:eastAsia="微软雅黑" w:cstheme="majorBidi"/>
      <w:b/>
      <w:bCs/>
      <w:color w:val="000000"/>
      <w:sz w:val="32"/>
      <w:szCs w:val="4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2026-10-30T08:04:00Z</dcterms:created>
  <dc:creator>中海物业</dc:creator>
  <cp:lastModifiedBy>中海物业</cp:lastModifiedBy>
  <dcterms:modified xsi:type="dcterms:W3CDTF">2026-10-30T08:06:54Z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54C9B6B8F3F146338BF6FB5E487E7D41_11</vt:lpwstr>
  </property>
  <property fmtid="{D5CDD505-2E9C-101B-9397-08002B2CF9AE}" pid="4" name="KSOTemplateDocerSaveRecord">
    <vt:lpwstr>eyJoZGlkIjoiMjIxNTk2NGNkMjA3MTVlMzA1NWM0YWYyZWU3YzhhYmEiLCJ1c2VySWQiOiIzNzM2NTc5NjYifQ==</vt:lpwstr>
  </property>
</Properties>
</file>