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ind w:firstLine="0"/>
        <w:jc w:val="center"/>
        <w:rPr>
          <w:rFonts w:ascii="宋体" w:hAnsi="宋体" w:cs="宋体"/>
          <w:b/>
          <w:bCs/>
          <w:sz w:val="21"/>
          <w:szCs w:val="21"/>
        </w:rPr>
      </w:pPr>
      <w:r>
        <w:rPr>
          <w:rFonts w:hint="eastAsia" w:ascii="宋体" w:hAnsi="宋体" w:cs="宋体"/>
          <w:b/>
          <w:color w:val="000000"/>
          <w:sz w:val="21"/>
          <w:szCs w:val="21"/>
        </w:rPr>
        <w:drawing>
          <wp:anchor distT="0" distB="0" distL="114300" distR="114300" simplePos="0" relativeHeight="251659264" behindDoc="1" locked="0" layoutInCell="1" allowOverlap="1">
            <wp:simplePos x="0" y="0"/>
            <wp:positionH relativeFrom="column">
              <wp:posOffset>3214370</wp:posOffset>
            </wp:positionH>
            <wp:positionV relativeFrom="paragraph">
              <wp:posOffset>-842010</wp:posOffset>
            </wp:positionV>
            <wp:extent cx="2297430" cy="2003425"/>
            <wp:effectExtent l="0" t="0" r="7620" b="1587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9" cstate="print"/>
                    <a:srcRect r="7275"/>
                    <a:stretch>
                      <a:fillRect/>
                    </a:stretch>
                  </pic:blipFill>
                  <pic:spPr>
                    <a:xfrm>
                      <a:off x="0" y="0"/>
                      <a:ext cx="2297430" cy="2003425"/>
                    </a:xfrm>
                    <a:prstGeom prst="rect">
                      <a:avLst/>
                    </a:prstGeom>
                    <a:noFill/>
                    <a:ln w="9525" cmpd="sng">
                      <a:noFill/>
                      <a:miter lim="800000"/>
                      <a:headEnd/>
                      <a:tailEnd/>
                    </a:ln>
                  </pic:spPr>
                </pic:pic>
              </a:graphicData>
            </a:graphic>
          </wp:anchor>
        </w:drawing>
      </w:r>
      <w:r>
        <w:rPr>
          <w:rFonts w:hint="eastAsia" w:ascii="宋体" w:hAnsi="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-1216660</wp:posOffset>
                </wp:positionV>
                <wp:extent cx="2752725" cy="2762250"/>
                <wp:effectExtent l="0" t="0" r="9525" b="0"/>
                <wp:wrapNone/>
                <wp:docPr id="39" name="椭圆 39"/>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alpha val="59999"/>
                              </a:srgbClr>
                            </a:gs>
                          </a:gsLst>
                          <a:lin ang="5400000" scaled="1"/>
                          <a:tileRect/>
                        </a:gradFill>
                        <a:ln>
                          <a:noFill/>
                        </a:ln>
                        <a:effectLst/>
                      </wps:spPr>
                      <wps:txbx>
                        <w:txbxContent>
                          <w:p>
                            <w:pPr>
                              <w:jc w:val="center"/>
                            </w:pPr>
                          </w:p>
                        </w:txbxContent>
                      </wps:txbx>
                      <wps:bodyPr upright="1"/>
                    </wps:wsp>
                  </a:graphicData>
                </a:graphic>
              </wp:anchor>
            </w:drawing>
          </mc:Choice>
          <mc:Fallback>
            <w:pict>
              <v:shape id="_x0000_s1026" o:spid="_x0000_s1026" o:spt="3" type="#_x0000_t3" style="position:absolute;left:0pt;margin-left:-85.7pt;margin-top:-95.8pt;height:217.5pt;width:216.75pt;z-index:251660288;mso-width-relative:page;mso-height-relative:page;" fillcolor="#C00000" filled="t" stroked="f" coordsize="21600,21600" o:gfxdata="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MrkS3AAAAA0BAAAP&#10;AAAAAAAAAAEAIAAAACIAAABkcnMvZG93bnJldi54bWxQSwECFAAUAAAACACHTuJAJGCDKBQCAABU&#10;BAAADgAAAAAAAAABACAAAAArAQAAZHJzL2Uyb0RvYy54bWxQSwUGAAAAAAYABgBZAQAAsQUAAAAA&#10;">
                <v:fill type="gradient" on="t" color2="#FFFFFF" opacity="0f" o:opacity2="39320f" focus="100%" focussize="0,0"/>
                <v:stroke on="f"/>
                <v:imagedata o:title=""/>
                <o:lock v:ext="edit" aspectratio="f"/>
                <v:textbox>
                  <w:txbxContent>
                    <w:p>
                      <w:pPr>
                        <w:jc w:val="center"/>
                      </w:pPr>
                    </w:p>
                  </w:txbxContent>
                </v:textbox>
              </v:shape>
            </w:pict>
          </mc:Fallback>
        </mc:AlternateContent>
      </w:r>
    </w:p>
    <w:p>
      <w:pPr>
        <w:ind w:leftChars="-695" w:hanging="1459" w:hangingChars="695"/>
        <w:jc w:val="right"/>
        <w:rPr>
          <w:rFonts w:ascii="宋体" w:hAnsi="宋体" w:cs="宋体"/>
          <w:b/>
          <w:bCs/>
          <w:szCs w:val="21"/>
          <w:lang w:val="zh-CN"/>
        </w:rPr>
      </w:pPr>
      <w:r>
        <w:rPr>
          <w:rFonts w:hint="eastAsia" w:ascii="宋体" w:hAnsi="宋体" w:cs="宋体"/>
          <w:szCs w:val="21"/>
        </w:rPr>
        <mc:AlternateContent>
          <mc:Choice Requires="wps">
            <w:drawing>
              <wp:anchor distT="0" distB="0" distL="114300" distR="114300" simplePos="0" relativeHeight="251673600" behindDoc="0" locked="0" layoutInCell="1" allowOverlap="1">
                <wp:simplePos x="0" y="0"/>
                <wp:positionH relativeFrom="column">
                  <wp:posOffset>3300730</wp:posOffset>
                </wp:positionH>
                <wp:positionV relativeFrom="paragraph">
                  <wp:posOffset>5857875</wp:posOffset>
                </wp:positionV>
                <wp:extent cx="2752725" cy="2762250"/>
                <wp:effectExtent l="0" t="0" r="9525" b="0"/>
                <wp:wrapNone/>
                <wp:docPr id="41" name="椭圆 41"/>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3" type="#_x0000_t3" style="position:absolute;left:0pt;margin-left:259.9pt;margin-top:461.25pt;height:217.5pt;width:216.75pt;z-index:251673600;mso-width-relative:page;mso-height-relative:page;" fillcolor="#C00000" filled="t" stroked="f" coordsize="21600,21600" o:gfxdata="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0lOS2QAAAAwBAAAPAAAAAAAAAAEAIAAA&#10;ACIAAABkcnMvZG93bnJldi54bWxQSwECFAAUAAAACACHTuJAw4GoswsCAAAzBAAADgAAAAAAAAAB&#10;ACAAAAAoAQAAZHJzL2Uyb0RvYy54bWxQSwUGAAAAAAYABgBZAQAApQUAAAAA&#10;">
                <v:fill type="gradient" on="t" color2="#FFFFFF" opacity="0f" focus="100%" focussize="0,0"/>
                <v:stroke on="f"/>
                <v:imagedata o:title=""/>
                <o:lock v:ext="edit" aspectratio="f"/>
                <v:textbox>
                  <w:txbxContent>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1312" behindDoc="0" locked="0" layoutInCell="1" allowOverlap="1">
                <wp:simplePos x="0" y="0"/>
                <wp:positionH relativeFrom="column">
                  <wp:posOffset>-938530</wp:posOffset>
                </wp:positionH>
                <wp:positionV relativeFrom="paragraph">
                  <wp:posOffset>4803140</wp:posOffset>
                </wp:positionV>
                <wp:extent cx="7013575" cy="3789680"/>
                <wp:effectExtent l="0" t="0" r="15875" b="1270"/>
                <wp:wrapNone/>
                <wp:docPr id="43" name="直角三角形 43"/>
                <wp:cNvGraphicFramePr/>
                <a:graphic xmlns:a="http://schemas.openxmlformats.org/drawingml/2006/main">
                  <a:graphicData uri="http://schemas.microsoft.com/office/word/2010/wordprocessingShape">
                    <wps:wsp>
                      <wps:cNvSpPr/>
                      <wps:spPr>
                        <a:xfrm flipH="1">
                          <a:off x="0" y="0"/>
                          <a:ext cx="7013575" cy="3789680"/>
                        </a:xfrm>
                        <a:prstGeom prst="rtTriangle">
                          <a:avLst/>
                        </a:prstGeom>
                        <a:gradFill rotWithShape="1">
                          <a:gsLst>
                            <a:gs pos="0">
                              <a:srgbClr val="012D86"/>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6" type="#_x0000_t6" style="position:absolute;left:0pt;flip:x;margin-left:-73.9pt;margin-top:378.2pt;height:298.4pt;width:552.25pt;z-index:251661312;mso-width-relative:page;mso-height-relative:page;" fillcolor="#012D86" filled="t" stroked="f" coordsize="21600,21600" o:gfxdata="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PV&#10;PHXcAAAADQEAAA8AAAAAAAAAAQAgAAAAIgAAAGRycy9kb3ducmV2LnhtbFBLAQIUABQAAAAIAIdO&#10;4kCxkhmUHwIAACwEAAAOAAAAAAAAAAEAIAAAACsBAABkcnMvZTJvRG9jLnhtbFBLBQYAAAAABgAG&#10;AFkBAAC8BQAAAAA=&#10;">
                <v:fill type="gradient" on="t" color2="#FFFFFF" focus="100%" focussize="0,0" rotate="t"/>
                <v:stroke on="f"/>
                <v:imagedata o:title=""/>
                <o:lock v:ext="edit" aspectratio="f"/>
                <v:textbox>
                  <w:txbxContent>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70528" behindDoc="0" locked="0" layoutInCell="1" allowOverlap="1">
                <wp:simplePos x="0" y="0"/>
                <wp:positionH relativeFrom="column">
                  <wp:posOffset>1809750</wp:posOffset>
                </wp:positionH>
                <wp:positionV relativeFrom="paragraph">
                  <wp:posOffset>5163820</wp:posOffset>
                </wp:positionV>
                <wp:extent cx="3400425" cy="342900"/>
                <wp:effectExtent l="0" t="0" r="0" b="0"/>
                <wp:wrapNone/>
                <wp:docPr id="67" name="文本框 67"/>
                <wp:cNvGraphicFramePr/>
                <a:graphic xmlns:a="http://schemas.openxmlformats.org/drawingml/2006/main">
                  <a:graphicData uri="http://schemas.microsoft.com/office/word/2010/wordprocessingShape">
                    <wps:wsp>
                      <wps:cNvSpPr txBox="1"/>
                      <wps:spPr>
                        <a:xfrm flipH="1">
                          <a:off x="0" y="0"/>
                          <a:ext cx="3400425" cy="342900"/>
                        </a:xfrm>
                        <a:prstGeom prst="rect">
                          <a:avLst/>
                        </a:prstGeom>
                        <a:noFill/>
                        <a:ln>
                          <a:noFill/>
                        </a:ln>
                        <a:effectLst/>
                      </wps:spPr>
                      <wps:txbx>
                        <w:txbxContent>
                          <w:p>
                            <w:pPr>
                              <w:pStyle w:val="25"/>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wps:txbx>
                      <wps:bodyPr wrap="square" rtlCol="0">
                        <a:noAutofit/>
                      </wps:bodyPr>
                    </wps:wsp>
                  </a:graphicData>
                </a:graphic>
              </wp:anchor>
            </w:drawing>
          </mc:Choice>
          <mc:Fallback>
            <w:pict>
              <v:shape id="_x0000_s1026" o:spid="_x0000_s1026" o:spt="202" type="#_x0000_t202" style="position:absolute;left:0pt;flip:x;margin-left:142.5pt;margin-top:406.6pt;height:27pt;width:267.75pt;z-index:251670528;mso-width-relative:page;mso-height-relative:page;" filled="f" stroked="f" coordsize="21600,21600" o:gfxdata="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MRu82wAAAAsBAAAPAAAAAAAAAAEAIAAA&#10;ACIAAABkcnMvZG93bnJldi54bWxQSwECFAAUAAAACACHTuJAS2SkEdABAACPAwAADgAAAAAAAAAB&#10;ACAAAAAqAQAAZHJzL2Uyb0RvYy54bWxQSwUGAAAAAAYABgBZAQAAbAUAAAAA&#10;">
                <v:fill on="f" focussize="0,0"/>
                <v:stroke on="f"/>
                <v:imagedata o:title=""/>
                <o:lock v:ext="edit" aspectratio="f"/>
                <v:textbox>
                  <w:txbxContent>
                    <w:p>
                      <w:pPr>
                        <w:pStyle w:val="25"/>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9504" behindDoc="0" locked="0" layoutInCell="1" allowOverlap="1">
                <wp:simplePos x="0" y="0"/>
                <wp:positionH relativeFrom="column">
                  <wp:posOffset>1870075</wp:posOffset>
                </wp:positionH>
                <wp:positionV relativeFrom="paragraph">
                  <wp:posOffset>4739005</wp:posOffset>
                </wp:positionV>
                <wp:extent cx="2149475" cy="362585"/>
                <wp:effectExtent l="0" t="0" r="0" b="0"/>
                <wp:wrapNone/>
                <wp:docPr id="66" name="文本框 66"/>
                <wp:cNvGraphicFramePr/>
                <a:graphic xmlns:a="http://schemas.openxmlformats.org/drawingml/2006/main">
                  <a:graphicData uri="http://schemas.microsoft.com/office/word/2010/wordprocessingShape">
                    <wps:wsp>
                      <wps:cNvSpPr txBox="1"/>
                      <wps:spPr>
                        <a:xfrm flipH="1">
                          <a:off x="0" y="0"/>
                          <a:ext cx="2150076" cy="362585"/>
                        </a:xfrm>
                        <a:prstGeom prst="rect">
                          <a:avLst/>
                        </a:prstGeom>
                        <a:noFill/>
                        <a:ln>
                          <a:noFill/>
                        </a:ln>
                        <a:effectLst/>
                      </wps:spPr>
                      <wps:txb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wps:txbx>
                      <wps:bodyPr wrap="square" rtlCol="0">
                        <a:noAutofit/>
                      </wps:bodyPr>
                    </wps:wsp>
                  </a:graphicData>
                </a:graphic>
              </wp:anchor>
            </w:drawing>
          </mc:Choice>
          <mc:Fallback>
            <w:pict>
              <v:shape id="_x0000_s1026" o:spid="_x0000_s1026" o:spt="202" type="#_x0000_t202" style="position:absolute;left:0pt;flip:x;margin-left:147.25pt;margin-top:373.15pt;height:28.55pt;width:169.25pt;z-index:251669504;mso-width-relative:page;mso-height-relative:page;" filled="f" stroked="f" coordsize="21600,21600" o:gfxdata="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zN+INwAAAALAQAADwAAAAAAAAABACAAAAAi&#10;AAAAZHJzL2Rvd25yZXYueG1sUEsBAhQAFAAAAAgAh07iQLzXyZ/NAQAAjwMAAA4AAAAAAAAAAQAg&#10;AAAAKwEAAGRycy9lMm9Eb2MueG1sUEsFBgAAAAAGAAYAWQEAAGoFAAAAAA==&#10;">
                <v:fill on="f" focussize="0,0"/>
                <v:stroke on="f"/>
                <v:imagedata o:title=""/>
                <o:lock v:ext="edit" aspectratio="f"/>
                <v:textbo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3360" behindDoc="0" locked="0" layoutInCell="1" allowOverlap="1">
                <wp:simplePos x="0" y="0"/>
                <wp:positionH relativeFrom="column">
                  <wp:posOffset>160020</wp:posOffset>
                </wp:positionH>
                <wp:positionV relativeFrom="paragraph">
                  <wp:posOffset>1880870</wp:posOffset>
                </wp:positionV>
                <wp:extent cx="5604510" cy="1168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04510" cy="1168400"/>
                        </a:xfrm>
                        <a:prstGeom prst="rect">
                          <a:avLst/>
                        </a:prstGeom>
                        <a:noFill/>
                        <a:ln>
                          <a:noFill/>
                        </a:ln>
                        <a:effectLst/>
                      </wps:spPr>
                      <wps:txbx>
                        <w:txbxContent>
                          <w:p>
                            <w:pPr>
                              <w:pStyle w:val="25"/>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招 标 文 件</w:t>
                            </w:r>
                          </w:p>
                        </w:txbxContent>
                      </wps:txbx>
                      <wps:bodyPr wrap="square" rtlCol="0">
                        <a:noAutofit/>
                      </wps:bodyPr>
                    </wps:wsp>
                  </a:graphicData>
                </a:graphic>
              </wp:anchor>
            </w:drawing>
          </mc:Choice>
          <mc:Fallback>
            <w:pict>
              <v:shape id="_x0000_s1026" o:spid="_x0000_s1026" o:spt="202" type="#_x0000_t202" style="position:absolute;left:0pt;margin-left:12.6pt;margin-top:148.1pt;height:92pt;width:441.3pt;z-index:251663360;mso-width-relative:page;mso-height-relative:page;" filled="f" stroked="f" coordsize="21600,21600" o:gfxdata="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9iiD1wAAAAoBAAAPAAAAAAAAAAEAIAAAACIAAABkcnMvZG93&#10;bnJldi54bWxQSwECFAAUAAAACACHTuJAbg2iKcgBAACGAwAADgAAAAAAAAABACAAAAAmAQAAZHJz&#10;L2Uyb0RvYy54bWxQSwUGAAAAAAYABgBZAQAAYAUAAAAA&#10;">
                <v:fill on="f" focussize="0,0"/>
                <v:stroke on="f"/>
                <v:imagedata o:title=""/>
                <o:lock v:ext="edit" aspectratio="f"/>
                <v:textbox>
                  <w:txbxContent>
                    <w:p>
                      <w:pPr>
                        <w:pStyle w:val="25"/>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招 标 文 件</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2336" behindDoc="0" locked="0" layoutInCell="1" allowOverlap="1">
                <wp:simplePos x="0" y="0"/>
                <wp:positionH relativeFrom="column">
                  <wp:posOffset>1866900</wp:posOffset>
                </wp:positionH>
                <wp:positionV relativeFrom="paragraph">
                  <wp:posOffset>5528945</wp:posOffset>
                </wp:positionV>
                <wp:extent cx="2423795" cy="401955"/>
                <wp:effectExtent l="0" t="0" r="0" b="0"/>
                <wp:wrapNone/>
                <wp:docPr id="6" name="文本框 6"/>
                <wp:cNvGraphicFramePr/>
                <a:graphic xmlns:a="http://schemas.openxmlformats.org/drawingml/2006/main">
                  <a:graphicData uri="http://schemas.microsoft.com/office/word/2010/wordprocessingShape">
                    <wps:wsp>
                      <wps:cNvSpPr txBox="1"/>
                      <wps:spPr>
                        <a:xfrm>
                          <a:off x="1923415" y="6977380"/>
                          <a:ext cx="2423795" cy="401955"/>
                        </a:xfrm>
                        <a:prstGeom prst="rect">
                          <a:avLst/>
                        </a:prstGeom>
                        <a:noFill/>
                        <a:ln w="6350">
                          <a:noFill/>
                        </a:ln>
                        <a:effectLst/>
                      </wps:spPr>
                      <wps:txbx>
                        <w:txbxContent>
                          <w:p>
                            <w:pPr>
                              <w:rPr>
                                <w:rFonts w:ascii="黑体" w:hAnsi="黑体" w:eastAsia="黑体" w:cs="黑体"/>
                                <w:sz w:val="32"/>
                                <w:szCs w:val="32"/>
                              </w:rPr>
                            </w:pPr>
                            <w:r>
                              <w:rPr>
                                <w:rFonts w:hint="eastAsia" w:ascii="黑体" w:hAnsi="黑体" w:eastAsia="黑体" w:cs="黑体"/>
                                <w:sz w:val="32"/>
                                <w:szCs w:val="32"/>
                              </w:rPr>
                              <w:t>2023年</w:t>
                            </w:r>
                            <w:r>
                              <w:rPr>
                                <w:rFonts w:hint="eastAsia" w:ascii="黑体" w:hAnsi="黑体" w:eastAsia="黑体" w:cs="黑体"/>
                                <w:sz w:val="32"/>
                                <w:szCs w:val="32"/>
                                <w:lang w:val="en-US" w:eastAsia="zh-CN"/>
                              </w:rPr>
                              <w:t>12</w:t>
                            </w:r>
                            <w:r>
                              <w:rPr>
                                <w:rFonts w:hint="eastAsia" w:ascii="黑体" w:hAnsi="黑体" w:eastAsia="黑体" w:cs="黑体"/>
                                <w:sz w:val="32"/>
                                <w:szCs w:val="32"/>
                              </w:rPr>
                              <w:t>月</w:t>
                            </w:r>
                            <w:r>
                              <w:rPr>
                                <w:rFonts w:hint="eastAsia" w:ascii="黑体" w:hAnsi="黑体" w:eastAsia="黑体" w:cs="黑体"/>
                                <w:sz w:val="32"/>
                                <w:szCs w:val="32"/>
                                <w:lang w:val="en-US" w:eastAsia="zh-CN"/>
                              </w:rPr>
                              <w:t>04</w:t>
                            </w:r>
                            <w:r>
                              <w:rPr>
                                <w:rFonts w:hint="eastAsia" w:ascii="黑体" w:hAnsi="黑体" w:eastAsia="黑体" w:cs="黑体"/>
                                <w:sz w:val="32"/>
                                <w:szCs w:val="32"/>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pt;margin-top:435.35pt;height:31.65pt;width:190.85pt;z-index:251662336;mso-width-relative:page;mso-height-relative:page;" filled="f" stroked="f" coordsize="21600,21600" o:gfxdata="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9YXdwAAAALAQAADwAA&#10;AAAAAAABACAAAAAiAAAAZHJzL2Rvd25yZXYueG1sUEsBAhQAFAAAAAgAh07iQBc5XeJLAgAAgAQA&#10;AA4AAAAAAAAAAQAgAAAAKwEAAGRycy9lMm9Eb2MueG1sUEsFBgAAAAAGAAYAWQEAAOgFAAAAAA==&#10;">
                <v:fill on="f" focussize="0,0"/>
                <v:stroke on="f" weight="0.5pt"/>
                <v:imagedata o:title=""/>
                <o:lock v:ext="edit" aspectratio="f"/>
                <v:textbox>
                  <w:txbxContent>
                    <w:p>
                      <w:pPr>
                        <w:rPr>
                          <w:rFonts w:ascii="黑体" w:hAnsi="黑体" w:eastAsia="黑体" w:cs="黑体"/>
                          <w:sz w:val="32"/>
                          <w:szCs w:val="32"/>
                        </w:rPr>
                      </w:pPr>
                      <w:r>
                        <w:rPr>
                          <w:rFonts w:hint="eastAsia" w:ascii="黑体" w:hAnsi="黑体" w:eastAsia="黑体" w:cs="黑体"/>
                          <w:sz w:val="32"/>
                          <w:szCs w:val="32"/>
                        </w:rPr>
                        <w:t>2023年</w:t>
                      </w:r>
                      <w:r>
                        <w:rPr>
                          <w:rFonts w:hint="eastAsia" w:ascii="黑体" w:hAnsi="黑体" w:eastAsia="黑体" w:cs="黑体"/>
                          <w:sz w:val="32"/>
                          <w:szCs w:val="32"/>
                          <w:lang w:val="en-US" w:eastAsia="zh-CN"/>
                        </w:rPr>
                        <w:t>12</w:t>
                      </w:r>
                      <w:r>
                        <w:rPr>
                          <w:rFonts w:hint="eastAsia" w:ascii="黑体" w:hAnsi="黑体" w:eastAsia="黑体" w:cs="黑体"/>
                          <w:sz w:val="32"/>
                          <w:szCs w:val="32"/>
                        </w:rPr>
                        <w:t>月</w:t>
                      </w:r>
                      <w:r>
                        <w:rPr>
                          <w:rFonts w:hint="eastAsia" w:ascii="黑体" w:hAnsi="黑体" w:eastAsia="黑体" w:cs="黑体"/>
                          <w:sz w:val="32"/>
                          <w:szCs w:val="32"/>
                          <w:lang w:val="en-US" w:eastAsia="zh-CN"/>
                        </w:rPr>
                        <w:t>04</w:t>
                      </w:r>
                      <w:r>
                        <w:rPr>
                          <w:rFonts w:hint="eastAsia" w:ascii="黑体" w:hAnsi="黑体" w:eastAsia="黑体" w:cs="黑体"/>
                          <w:sz w:val="32"/>
                          <w:szCs w:val="32"/>
                        </w:rPr>
                        <w:t>日</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7456" behindDoc="0" locked="0" layoutInCell="1" allowOverlap="1">
                <wp:simplePos x="0" y="0"/>
                <wp:positionH relativeFrom="column">
                  <wp:posOffset>962025</wp:posOffset>
                </wp:positionH>
                <wp:positionV relativeFrom="paragraph">
                  <wp:posOffset>5515610</wp:posOffset>
                </wp:positionV>
                <wp:extent cx="923925" cy="45402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23925" cy="454025"/>
                        </a:xfrm>
                        <a:prstGeom prst="rect">
                          <a:avLst/>
                        </a:prstGeom>
                        <a:noFill/>
                        <a:ln>
                          <a:noFill/>
                        </a:ln>
                        <a:effectLst/>
                      </wps:spPr>
                      <wps:txbx>
                        <w:txbxContent>
                          <w:p>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wps:txbx>
                      <wps:bodyPr wrap="square" rtlCol="0">
                        <a:noAutofit/>
                      </wps:bodyPr>
                    </wps:wsp>
                  </a:graphicData>
                </a:graphic>
              </wp:anchor>
            </w:drawing>
          </mc:Choice>
          <mc:Fallback>
            <w:pict>
              <v:shape id="_x0000_s1026" o:spid="_x0000_s1026" o:spt="202" type="#_x0000_t202" style="position:absolute;left:0pt;margin-left:75.75pt;margin-top:434.3pt;height:35.75pt;width:72.75pt;z-index:251667456;mso-width-relative:page;mso-height-relative:page;" filled="f" stroked="f" coordsize="21600,21600" o:gfxdata="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mNNsTYAAAACwEAAA8AAAAAAAAAAQAgAAAAIgAAAGRycy9kb3du&#10;cmV2LnhtbFBLAQIUABQAAAAIAIdO4kDmQpD0xgEAAIQDAAAOAAAAAAAAAAEAIAAAACcBAABkcnMv&#10;ZTJvRG9jLnhtbFBLBQYAAAAABgAGAFkBAABfBQAAAAA=&#10;">
                <v:fill on="f" focussize="0,0"/>
                <v:stroke on="f"/>
                <v:imagedata o:title=""/>
                <o:lock v:ext="edit" aspectratio="f"/>
                <v:textbox>
                  <w:txbxContent>
                    <w:p>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6432" behindDoc="0" locked="0" layoutInCell="1" allowOverlap="1">
                <wp:simplePos x="0" y="0"/>
                <wp:positionH relativeFrom="column">
                  <wp:posOffset>167005</wp:posOffset>
                </wp:positionH>
                <wp:positionV relativeFrom="paragraph">
                  <wp:posOffset>5097780</wp:posOffset>
                </wp:positionV>
                <wp:extent cx="1452880" cy="344805"/>
                <wp:effectExtent l="0" t="0" r="0" b="0"/>
                <wp:wrapNone/>
                <wp:docPr id="19" name="文本框 19"/>
                <wp:cNvGraphicFramePr/>
                <a:graphic xmlns:a="http://schemas.openxmlformats.org/drawingml/2006/main">
                  <a:graphicData uri="http://schemas.microsoft.com/office/word/2010/wordprocessingShape">
                    <wps:wsp>
                      <wps:cNvSpPr txBox="1"/>
                      <wps:spPr>
                        <a:xfrm flipH="1">
                          <a:off x="0" y="0"/>
                          <a:ext cx="1452880" cy="345416"/>
                        </a:xfrm>
                        <a:prstGeom prst="rect">
                          <a:avLst/>
                        </a:prstGeom>
                        <a:noFill/>
                        <a:ln>
                          <a:noFill/>
                        </a:ln>
                        <a:effectLst/>
                      </wps:spPr>
                      <wps:txbx>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wps:txbx>
                      <wps:bodyPr wrap="square" rtlCol="0">
                        <a:spAutoFit/>
                      </wps:bodyPr>
                    </wps:wsp>
                  </a:graphicData>
                </a:graphic>
              </wp:anchor>
            </w:drawing>
          </mc:Choice>
          <mc:Fallback>
            <w:pict>
              <v:shape id="_x0000_s1026" o:spid="_x0000_s1026" o:spt="202" type="#_x0000_t202" style="position:absolute;left:0pt;flip:x;margin-left:13.15pt;margin-top:401.4pt;height:27.15pt;width:114.4pt;z-index:251666432;mso-width-relative:page;mso-height-relative:page;" filled="f" stroked="f" coordsize="21600,21600" o:gfxdata="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8fBU2gAAAAoBAAAPAAAAAAAAAAEAIAAAACIA&#10;AABkcnMvZG93bnJldi54bWxQSwECFAAUAAAACACHTuJAb/Dkzs4BAACPAwAADgAAAAAAAAABACAA&#10;AAApAQAAZHJzL2Uyb0RvYy54bWxQSwUGAAAAAAYABgBZAQAAaQUAAAAA&#10;">
                <v:fill on="f" focussize="0,0"/>
                <v:stroke on="f"/>
                <v:imagedata o:title=""/>
                <o:lock v:ext="edit" aspectratio="f"/>
                <v:textbox style="mso-fit-shape-to-text:t;">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5408" behindDoc="0" locked="0" layoutInCell="1" allowOverlap="1">
                <wp:simplePos x="0" y="0"/>
                <wp:positionH relativeFrom="column">
                  <wp:posOffset>786130</wp:posOffset>
                </wp:positionH>
                <wp:positionV relativeFrom="paragraph">
                  <wp:posOffset>4735830</wp:posOffset>
                </wp:positionV>
                <wp:extent cx="1082675" cy="344805"/>
                <wp:effectExtent l="0" t="0" r="0" b="0"/>
                <wp:wrapNone/>
                <wp:docPr id="17" name="文本框 17"/>
                <wp:cNvGraphicFramePr/>
                <a:graphic xmlns:a="http://schemas.openxmlformats.org/drawingml/2006/main">
                  <a:graphicData uri="http://schemas.microsoft.com/office/word/2010/wordprocessingShape">
                    <wps:wsp>
                      <wps:cNvSpPr txBox="1"/>
                      <wps:spPr>
                        <a:xfrm flipH="1">
                          <a:off x="0" y="0"/>
                          <a:ext cx="1083275" cy="345416"/>
                        </a:xfrm>
                        <a:prstGeom prst="rect">
                          <a:avLst/>
                        </a:prstGeom>
                        <a:noFill/>
                        <a:ln>
                          <a:noFill/>
                        </a:ln>
                        <a:effectLst/>
                      </wps:spPr>
                      <wps:txbx>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wps:txbx>
                      <wps:bodyPr wrap="square" rtlCol="0">
                        <a:spAutoFit/>
                      </wps:bodyPr>
                    </wps:wsp>
                  </a:graphicData>
                </a:graphic>
              </wp:anchor>
            </w:drawing>
          </mc:Choice>
          <mc:Fallback>
            <w:pict>
              <v:shape id="_x0000_s1026" o:spid="_x0000_s1026" o:spt="202" type="#_x0000_t202" style="position:absolute;left:0pt;flip:x;margin-left:61.9pt;margin-top:372.9pt;height:27.15pt;width:85.25pt;z-index:251665408;mso-width-relative:page;mso-height-relative:page;" filled="f" stroked="f" coordsize="21600,21600" o:gfxdata="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YrZmjcAAAACwEAAA8AAAAAAAAAAQAgAAAA&#10;IgAAAGRycy9kb3ducmV2LnhtbFBLAQIUABQAAAAIAIdO4kAGQj3QzgEAAI8DAAAOAAAAAAAAAAEA&#10;IAAAACsBAABkcnMvZTJvRG9jLnhtbFBLBQYAAAAABgAGAFkBAABrBQAAAAA=&#10;">
                <v:fill on="f" focussize="0,0"/>
                <v:stroke on="f"/>
                <v:imagedata o:title=""/>
                <o:lock v:ext="edit" aspectratio="f"/>
                <v:textbox style="mso-fit-shape-to-text:t;">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4384" behindDoc="0" locked="0" layoutInCell="1" allowOverlap="1">
                <wp:simplePos x="0" y="0"/>
                <wp:positionH relativeFrom="column">
                  <wp:posOffset>318770</wp:posOffset>
                </wp:positionH>
                <wp:positionV relativeFrom="paragraph">
                  <wp:posOffset>3486785</wp:posOffset>
                </wp:positionV>
                <wp:extent cx="1438910" cy="396240"/>
                <wp:effectExtent l="0" t="0" r="0" b="0"/>
                <wp:wrapNone/>
                <wp:docPr id="15" name="文本框 15"/>
                <wp:cNvGraphicFramePr/>
                <a:graphic xmlns:a="http://schemas.openxmlformats.org/drawingml/2006/main">
                  <a:graphicData uri="http://schemas.microsoft.com/office/word/2010/wordprocessingShape">
                    <wps:wsp>
                      <wps:cNvSpPr txBox="1"/>
                      <wps:spPr>
                        <a:xfrm flipH="1">
                          <a:off x="0" y="0"/>
                          <a:ext cx="1438910" cy="396240"/>
                        </a:xfrm>
                        <a:prstGeom prst="rect">
                          <a:avLst/>
                        </a:prstGeom>
                        <a:noFill/>
                        <a:ln>
                          <a:noFill/>
                        </a:ln>
                        <a:effectLst/>
                      </wps:spPr>
                      <wps:txbx>
                        <w:txbxContent>
                          <w:p>
                            <w:pPr>
                              <w:pStyle w:val="25"/>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wps:txbx>
                      <wps:bodyPr wrap="square" rtlCol="0">
                        <a:noAutofit/>
                      </wps:bodyPr>
                    </wps:wsp>
                  </a:graphicData>
                </a:graphic>
              </wp:anchor>
            </w:drawing>
          </mc:Choice>
          <mc:Fallback>
            <w:pict>
              <v:shape id="_x0000_s1026" o:spid="_x0000_s1026" o:spt="202" type="#_x0000_t202" style="position:absolute;left:0pt;flip:x;margin-left:25.1pt;margin-top:274.55pt;height:31.2pt;width:113.3pt;z-index:251664384;mso-width-relative:page;mso-height-relative:page;" filled="f" stroked="f" coordsize="21600,21600" o:gfxdata="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4Q9l2gAAAAoBAAAPAAAAAAAAAAEAIAAAACIA&#10;AABkcnMvZG93bnJldi54bWxQSwECFAAUAAAACACHTuJADQnwac4BAACPAwAADgAAAAAAAAABACAA&#10;AAApAQAAZHJzL2Uyb0RvYy54bWxQSwUGAAAAAAYABgBZAQAAaQUAAAAA&#10;">
                <v:fill on="f" focussize="0,0"/>
                <v:stroke on="f"/>
                <v:imagedata o:title=""/>
                <o:lock v:ext="edit" aspectratio="f"/>
                <v:textbox>
                  <w:txbxContent>
                    <w:p>
                      <w:pPr>
                        <w:pStyle w:val="25"/>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71552" behindDoc="0" locked="0" layoutInCell="1" allowOverlap="1">
                <wp:simplePos x="0" y="0"/>
                <wp:positionH relativeFrom="column">
                  <wp:posOffset>589915</wp:posOffset>
                </wp:positionH>
                <wp:positionV relativeFrom="paragraph">
                  <wp:posOffset>3944620</wp:posOffset>
                </wp:positionV>
                <wp:extent cx="1028700" cy="409575"/>
                <wp:effectExtent l="0" t="0" r="0" b="0"/>
                <wp:wrapNone/>
                <wp:docPr id="10" name="文本框 10"/>
                <wp:cNvGraphicFramePr/>
                <a:graphic xmlns:a="http://schemas.openxmlformats.org/drawingml/2006/main">
                  <a:graphicData uri="http://schemas.microsoft.com/office/word/2010/wordprocessingShape">
                    <wps:wsp>
                      <wps:cNvSpPr txBox="1"/>
                      <wps:spPr>
                        <a:xfrm>
                          <a:off x="1623060" y="6068695"/>
                          <a:ext cx="1028700" cy="409575"/>
                        </a:xfrm>
                        <a:prstGeom prst="rect">
                          <a:avLst/>
                        </a:prstGeom>
                        <a:noFill/>
                        <a:ln w="6350">
                          <a:noFill/>
                        </a:ln>
                        <a:effectLst/>
                      </wps:spPr>
                      <wps:txb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45pt;margin-top:310.6pt;height:32.25pt;width:81pt;z-index:251671552;mso-width-relative:page;mso-height-relative:page;" filled="f" stroked="f" coordsize="21600,21600" o:gfxdata="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hPU0HbAAAACgEAAA8A&#10;AAAAAAAAAQAgAAAAIgAAAGRycy9kb3ducmV2LnhtbFBLAQIUABQAAAAIAIdO4kAsMqgTTQIAAIIE&#10;AAAOAAAAAAAAAAEAIAAAACoBAABkcnMvZTJvRG9jLnhtbFBLBQYAAAAABgAGAFkBAADpBQAAAAA=&#10;">
                <v:fill on="f" focussize="0,0"/>
                <v:stroke on="f" weight="0.5pt"/>
                <v:imagedata o:title=""/>
                <o:lock v:ext="edit" aspectratio="f"/>
                <v:textbo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v:textbox>
              </v:shape>
            </w:pict>
          </mc:Fallback>
        </mc:AlternateContent>
      </w:r>
    </w:p>
    <w:p>
      <w:pPr>
        <w:rPr>
          <w:rFonts w:ascii="宋体" w:hAnsi="宋体" w:cs="宋体"/>
          <w:szCs w:val="21"/>
          <w:lang w:val="zh-CN"/>
        </w:rPr>
      </w:pPr>
    </w:p>
    <w:p>
      <w:pPr>
        <w:rPr>
          <w:rFonts w:ascii="宋体" w:hAnsi="宋体" w:cs="宋体"/>
          <w:szCs w:val="21"/>
          <w:lang w:val="zh-CN"/>
        </w:rPr>
      </w:pPr>
    </w:p>
    <w:p>
      <w:pPr>
        <w:rPr>
          <w:rFonts w:ascii="宋体" w:hAnsi="宋体" w:cs="宋体"/>
          <w:szCs w:val="21"/>
          <w:lang w:val="zh-CN"/>
        </w:rPr>
      </w:pPr>
    </w:p>
    <w:p>
      <w:pPr>
        <w:rPr>
          <w:rFonts w:ascii="宋体" w:hAnsi="宋体" w:cs="宋体"/>
          <w:szCs w:val="21"/>
          <w:lang w:val="zh-CN"/>
        </w:rPr>
      </w:pPr>
    </w:p>
    <w:p>
      <w:pPr>
        <w:rPr>
          <w:rFonts w:ascii="宋体" w:hAnsi="宋体" w:cs="宋体"/>
          <w:szCs w:val="21"/>
          <w:lang w:val="zh-CN"/>
        </w:rPr>
      </w:pPr>
      <w:r>
        <w:rPr>
          <w:rFonts w:hint="eastAsia" w:ascii="宋体" w:hAnsi="宋体" w:cs="宋体"/>
          <w:szCs w:val="21"/>
        </w:rPr>
        <mc:AlternateContent>
          <mc:Choice Requires="wps">
            <w:drawing>
              <wp:anchor distT="0" distB="0" distL="114300" distR="114300" simplePos="0" relativeHeight="251674624" behindDoc="0" locked="0" layoutInCell="1" allowOverlap="1">
                <wp:simplePos x="0" y="0"/>
                <wp:positionH relativeFrom="column">
                  <wp:posOffset>116205</wp:posOffset>
                </wp:positionH>
                <wp:positionV relativeFrom="paragraph">
                  <wp:posOffset>3175</wp:posOffset>
                </wp:positionV>
                <wp:extent cx="5486400" cy="892175"/>
                <wp:effectExtent l="0" t="0" r="0" b="0"/>
                <wp:wrapNone/>
                <wp:docPr id="1" name="文本框 12"/>
                <wp:cNvGraphicFramePr/>
                <a:graphic xmlns:a="http://schemas.openxmlformats.org/drawingml/2006/main">
                  <a:graphicData uri="http://schemas.microsoft.com/office/word/2010/wordprocessingShape">
                    <wps:wsp>
                      <wps:cNvSpPr txBox="1"/>
                      <wps:spPr>
                        <a:xfrm>
                          <a:off x="0" y="0"/>
                          <a:ext cx="3980815" cy="371475"/>
                        </a:xfrm>
                        <a:prstGeom prst="rect">
                          <a:avLst/>
                        </a:prstGeom>
                        <a:noFill/>
                        <a:ln w="6350">
                          <a:noFill/>
                        </a:ln>
                        <a:effectLst/>
                      </wps:spPr>
                      <wps:txbx>
                        <w:txbxContent>
                          <w:p>
                            <w:pPr>
                              <w:jc w:val="center"/>
                              <w:rPr>
                                <w:rFonts w:hint="default" w:ascii="宋体" w:hAnsi="宋体" w:eastAsia="宋体" w:cs="宋体"/>
                                <w:b/>
                                <w:color w:val="000000" w:themeColor="text1"/>
                                <w:sz w:val="36"/>
                                <w:lang w:val="en-US" w:eastAsia="zh-CN"/>
                                <w14:textFill>
                                  <w14:solidFill>
                                    <w14:schemeClr w14:val="tx1"/>
                                  </w14:solidFill>
                                </w14:textFill>
                              </w:rPr>
                            </w:pPr>
                            <w:r>
                              <w:rPr>
                                <w:rFonts w:hint="eastAsia" w:ascii="宋体" w:hAnsi="宋体" w:cs="宋体"/>
                                <w:b/>
                                <w:color w:val="000000" w:themeColor="text1"/>
                                <w:sz w:val="36"/>
                                <w14:textFill>
                                  <w14:solidFill>
                                    <w14:schemeClr w14:val="tx1"/>
                                  </w14:solidFill>
                                </w14:textFill>
                              </w:rPr>
                              <w:t>江苏医药职业学院多功能酶标仪采购项目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9.15pt;margin-top:0.25pt;height:70.25pt;width:432pt;z-index:251674624;mso-width-relative:page;mso-height-relative:page;" filled="f" stroked="f" coordsize="21600,21600" o:gfxdata="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8I8WHWAAAABwEAAA8AAAAAAAAAAQAgAAAAIgAA&#10;AGRycy9kb3ducmV2LnhtbFBLAQIUABQAAAAIAIdO4kCmTiB7QwIAAHUEAAAOAAAAAAAAAAEAIAAA&#10;ACUBAABkcnMvZTJvRG9jLnhtbFBLBQYAAAAABgAGAFkBAADaBQAAAAA=&#10;">
                <v:fill on="f" focussize="0,0"/>
                <v:stroke on="f" weight="0.5pt"/>
                <v:imagedata o:title=""/>
                <o:lock v:ext="edit" aspectratio="f"/>
                <v:textbox>
                  <w:txbxContent>
                    <w:p>
                      <w:pPr>
                        <w:jc w:val="center"/>
                        <w:rPr>
                          <w:rFonts w:hint="default" w:ascii="宋体" w:hAnsi="宋体" w:eastAsia="宋体" w:cs="宋体"/>
                          <w:b/>
                          <w:color w:val="000000" w:themeColor="text1"/>
                          <w:sz w:val="36"/>
                          <w:lang w:val="en-US" w:eastAsia="zh-CN"/>
                          <w14:textFill>
                            <w14:solidFill>
                              <w14:schemeClr w14:val="tx1"/>
                            </w14:solidFill>
                          </w14:textFill>
                        </w:rPr>
                      </w:pPr>
                      <w:r>
                        <w:rPr>
                          <w:rFonts w:hint="eastAsia" w:ascii="宋体" w:hAnsi="宋体" w:cs="宋体"/>
                          <w:b/>
                          <w:color w:val="000000" w:themeColor="text1"/>
                          <w:sz w:val="36"/>
                          <w14:textFill>
                            <w14:solidFill>
                              <w14:schemeClr w14:val="tx1"/>
                            </w14:solidFill>
                          </w14:textFill>
                        </w:rPr>
                        <w:t>江苏医药职业学院多功能酶标仪采购项目</w:t>
                      </w:r>
                    </w:p>
                  </w:txbxContent>
                </v:textbox>
              </v:shape>
            </w:pict>
          </mc:Fallback>
        </mc:AlternateContent>
      </w:r>
    </w:p>
    <w:p>
      <w:pPr>
        <w:rPr>
          <w:rFonts w:ascii="宋体" w:hAnsi="宋体" w:cs="宋体"/>
          <w:szCs w:val="21"/>
          <w:lang w:val="zh-CN"/>
        </w:rPr>
      </w:pPr>
    </w:p>
    <w:p>
      <w:pPr>
        <w:jc w:val="right"/>
        <w:rPr>
          <w:rFonts w:ascii="宋体" w:hAnsi="宋体" w:cs="宋体"/>
          <w:szCs w:val="21"/>
          <w:lang w:val="zh-CN"/>
        </w:rPr>
      </w:pPr>
    </w:p>
    <w:p>
      <w:pPr>
        <w:rPr>
          <w:rFonts w:ascii="宋体" w:hAnsi="宋体" w:cs="宋体"/>
          <w:szCs w:val="21"/>
          <w:lang w:val="zh-CN"/>
        </w:rPr>
      </w:pPr>
    </w:p>
    <w:p>
      <w:pPr>
        <w:rPr>
          <w:rFonts w:ascii="宋体" w:hAnsi="宋体" w:cs="宋体"/>
          <w:szCs w:val="21"/>
          <w:lang w:val="zh-CN"/>
        </w:rPr>
        <w:sectPr>
          <w:headerReference r:id="rId3" w:type="default"/>
          <w:pgSz w:w="11906" w:h="16838"/>
          <w:pgMar w:top="1701" w:right="1474" w:bottom="1701" w:left="1474" w:header="851" w:footer="1134" w:gutter="0"/>
          <w:cols w:space="720" w:num="1"/>
          <w:docGrid w:linePitch="579" w:charSpace="1229"/>
        </w:sectPr>
      </w:pPr>
      <w:r>
        <w:rPr>
          <w:rFonts w:hint="eastAsia" w:ascii="宋体" w:hAnsi="宋体" w:cs="宋体"/>
          <w:szCs w:val="21"/>
        </w:rPr>
        <mc:AlternateContent>
          <mc:Choice Requires="wps">
            <w:drawing>
              <wp:anchor distT="0" distB="0" distL="114300" distR="114300" simplePos="0" relativeHeight="251672576" behindDoc="0" locked="0" layoutInCell="1" allowOverlap="1">
                <wp:simplePos x="0" y="0"/>
                <wp:positionH relativeFrom="column">
                  <wp:posOffset>1637665</wp:posOffset>
                </wp:positionH>
                <wp:positionV relativeFrom="paragraph">
                  <wp:posOffset>2390140</wp:posOffset>
                </wp:positionV>
                <wp:extent cx="4709795" cy="47815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980815" cy="371475"/>
                        </a:xfrm>
                        <a:prstGeom prst="rect">
                          <a:avLst/>
                        </a:prstGeom>
                        <a:noFill/>
                        <a:ln w="6350">
                          <a:noFill/>
                        </a:ln>
                        <a:effectLst/>
                      </wps:spPr>
                      <wps:txbx>
                        <w:txbxContent>
                          <w:p>
                            <w:pPr>
                              <w:rPr>
                                <w:rFonts w:hint="default" w:ascii="黑体" w:hAnsi="黑体" w:eastAsia="黑体" w:cs="黑体"/>
                                <w:kern w:val="24"/>
                                <w:sz w:val="28"/>
                                <w:szCs w:val="32"/>
                                <w:lang w:val="en-US" w:eastAsia="zh-CN"/>
                              </w:rPr>
                            </w:pPr>
                            <w:r>
                              <w:rPr>
                                <w:rFonts w:hint="eastAsia" w:ascii="黑体" w:hAnsi="黑体" w:eastAsia="黑体" w:cs="黑体"/>
                                <w:kern w:val="24"/>
                                <w:sz w:val="28"/>
                                <w:szCs w:val="32"/>
                              </w:rPr>
                              <w:t>江苏医药职业学院多功能酶标仪采购项目</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95pt;margin-top:188.2pt;height:37.65pt;width:370.85pt;z-index:251672576;mso-width-relative:page;mso-height-relative:page;" filled="f" stroked="f" coordsize="21600,21600" o:gfxdata="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s5C/PdAAAACwEAAA8AAAAAAAAAAQAg&#10;AAAAIgAAAGRycy9kb3ducmV2LnhtbFBLAQIUABQAAAAIAIdO4kDMK5qHQgIAAHYEAAAOAAAAAAAA&#10;AAEAIAAAACwBAABkcnMvZTJvRG9jLnhtbFBLBQYAAAAABgAGAFkBAADgBQAAAAA=&#10;">
                <v:fill on="f" focussize="0,0"/>
                <v:stroke on="f" weight="0.5pt"/>
                <v:imagedata o:title=""/>
                <o:lock v:ext="edit" aspectratio="f"/>
                <v:textbox>
                  <w:txbxContent>
                    <w:p>
                      <w:pPr>
                        <w:rPr>
                          <w:rFonts w:hint="default" w:ascii="黑体" w:hAnsi="黑体" w:eastAsia="黑体" w:cs="黑体"/>
                          <w:kern w:val="24"/>
                          <w:sz w:val="28"/>
                          <w:szCs w:val="32"/>
                          <w:lang w:val="en-US" w:eastAsia="zh-CN"/>
                        </w:rPr>
                      </w:pPr>
                      <w:r>
                        <w:rPr>
                          <w:rFonts w:hint="eastAsia" w:ascii="黑体" w:hAnsi="黑体" w:eastAsia="黑体" w:cs="黑体"/>
                          <w:kern w:val="24"/>
                          <w:sz w:val="28"/>
                          <w:szCs w:val="32"/>
                        </w:rPr>
                        <w:t>江苏医药职业学院多功能酶标仪采购项目</w:t>
                      </w:r>
                    </w:p>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8480" behindDoc="0" locked="0" layoutInCell="1" allowOverlap="1">
                <wp:simplePos x="0" y="0"/>
                <wp:positionH relativeFrom="column">
                  <wp:posOffset>1625600</wp:posOffset>
                </wp:positionH>
                <wp:positionV relativeFrom="paragraph">
                  <wp:posOffset>1898650</wp:posOffset>
                </wp:positionV>
                <wp:extent cx="2952115" cy="383540"/>
                <wp:effectExtent l="0" t="0" r="0" b="0"/>
                <wp:wrapNone/>
                <wp:docPr id="65" name="文本框 65"/>
                <wp:cNvGraphicFramePr/>
                <a:graphic xmlns:a="http://schemas.openxmlformats.org/drawingml/2006/main">
                  <a:graphicData uri="http://schemas.microsoft.com/office/word/2010/wordprocessingShape">
                    <wps:wsp>
                      <wps:cNvSpPr txBox="1"/>
                      <wps:spPr>
                        <a:xfrm flipH="1">
                          <a:off x="0" y="0"/>
                          <a:ext cx="2657475" cy="383540"/>
                        </a:xfrm>
                        <a:prstGeom prst="rect">
                          <a:avLst/>
                        </a:prstGeom>
                        <a:noFill/>
                        <a:ln>
                          <a:noFill/>
                        </a:ln>
                        <a:effectLst/>
                      </wps:spPr>
                      <wps:txbx>
                        <w:txbxContent>
                          <w:p>
                            <w:pPr>
                              <w:rPr>
                                <w:rFonts w:hint="default" w:ascii="黑体" w:hAnsi="黑体" w:eastAsia="黑体" w:cs="黑体"/>
                                <w:kern w:val="24"/>
                                <w:sz w:val="28"/>
                                <w:szCs w:val="32"/>
                                <w:lang w:val="en-US" w:eastAsia="zh-CN"/>
                              </w:rPr>
                            </w:pPr>
                            <w:r>
                              <w:rPr>
                                <w:rFonts w:hint="eastAsia" w:ascii="黑体" w:hAnsi="黑体" w:eastAsia="黑体" w:cs="黑体"/>
                                <w:kern w:val="24"/>
                                <w:sz w:val="28"/>
                                <w:szCs w:val="32"/>
                              </w:rPr>
                              <w:t xml:space="preserve"> SY2023-080-HW-GK</w:t>
                            </w:r>
                          </w:p>
                        </w:txbxContent>
                      </wps:txbx>
                      <wps:bodyPr wrap="square" rtlCol="0">
                        <a:noAutofit/>
                      </wps:bodyPr>
                    </wps:wsp>
                  </a:graphicData>
                </a:graphic>
              </wp:anchor>
            </w:drawing>
          </mc:Choice>
          <mc:Fallback>
            <w:pict>
              <v:shape id="_x0000_s1026" o:spid="_x0000_s1026" o:spt="202" type="#_x0000_t202" style="position:absolute;left:0pt;flip:x;margin-left:128pt;margin-top:149.5pt;height:30.2pt;width:232.45pt;z-index:251668480;mso-width-relative:page;mso-height-relative:page;" filled="f" stroked="f" coordsize="21600,21600" o:gfxdata="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QSma2wAAAAsBAAAPAAAAAAAAAAEAIAAA&#10;ACIAAABkcnMvZG93bnJldi54bWxQSwECFAAUAAAACACHTuJA+FEPutABAACPAwAADgAAAAAAAAAB&#10;ACAAAAAqAQAAZHJzL2Uyb0RvYy54bWxQSwUGAAAAAAYABgBZAQAAbAUAAAAA&#10;">
                <v:fill on="f" focussize="0,0"/>
                <v:stroke on="f"/>
                <v:imagedata o:title=""/>
                <o:lock v:ext="edit" aspectratio="f"/>
                <v:textbox>
                  <w:txbxContent>
                    <w:p>
                      <w:pPr>
                        <w:rPr>
                          <w:rFonts w:hint="default" w:ascii="黑体" w:hAnsi="黑体" w:eastAsia="黑体" w:cs="黑体"/>
                          <w:kern w:val="24"/>
                          <w:sz w:val="28"/>
                          <w:szCs w:val="32"/>
                          <w:lang w:val="en-US" w:eastAsia="zh-CN"/>
                        </w:rPr>
                      </w:pPr>
                      <w:r>
                        <w:rPr>
                          <w:rFonts w:hint="eastAsia" w:ascii="黑体" w:hAnsi="黑体" w:eastAsia="黑体" w:cs="黑体"/>
                          <w:kern w:val="24"/>
                          <w:sz w:val="28"/>
                          <w:szCs w:val="32"/>
                        </w:rPr>
                        <w:t xml:space="preserve"> SY2023-080-HW-GK</w:t>
                      </w:r>
                    </w:p>
                  </w:txbxContent>
                </v:textbox>
              </v:shape>
            </w:pict>
          </mc:Fallback>
        </mc:AlternateContent>
      </w:r>
    </w:p>
    <w:p>
      <w:pPr>
        <w:jc w:val="center"/>
        <w:rPr>
          <w:rFonts w:ascii="宋体" w:hAnsi="宋体" w:cs="宋体"/>
          <w:b/>
          <w:sz w:val="36"/>
          <w:szCs w:val="21"/>
        </w:rPr>
      </w:pPr>
      <w:bookmarkStart w:id="0" w:name="_Toc115881305"/>
      <w:r>
        <w:rPr>
          <w:rFonts w:hint="eastAsia" w:ascii="宋体" w:hAnsi="宋体" w:cs="宋体"/>
          <w:b/>
          <w:sz w:val="36"/>
          <w:szCs w:val="21"/>
        </w:rPr>
        <w:t>目 录</w:t>
      </w:r>
    </w:p>
    <w:p>
      <w:pPr>
        <w:pStyle w:val="23"/>
        <w:ind w:left="3360"/>
        <w:rPr>
          <w:rFonts w:ascii="宋体" w:hAnsi="宋体" w:cs="宋体"/>
          <w:szCs w:val="21"/>
        </w:rPr>
      </w:pPr>
    </w:p>
    <w:p>
      <w:pPr>
        <w:pStyle w:val="21"/>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TOC \o "1-2" \h \u </w:instrText>
      </w:r>
      <w:r>
        <w:rPr>
          <w:rFonts w:hint="eastAsia" w:ascii="宋体" w:hAnsi="宋体" w:cs="宋体"/>
          <w:sz w:val="21"/>
          <w:szCs w:val="21"/>
        </w:rPr>
        <w:fldChar w:fldCharType="separate"/>
      </w:r>
      <w:r>
        <w:rPr>
          <w:rFonts w:hint="eastAsia" w:ascii="宋体" w:hAnsi="宋体" w:cs="宋体"/>
          <w:sz w:val="21"/>
          <w:szCs w:val="21"/>
        </w:rPr>
        <w:fldChar w:fldCharType="begin"/>
      </w:r>
      <w:r>
        <w:rPr>
          <w:rFonts w:hint="eastAsia" w:ascii="宋体" w:hAnsi="宋体" w:cs="宋体"/>
          <w:sz w:val="21"/>
          <w:szCs w:val="21"/>
        </w:rPr>
        <w:instrText xml:space="preserve"> HYPERLINK \l _Toc4812 </w:instrText>
      </w:r>
      <w:r>
        <w:rPr>
          <w:rFonts w:hint="eastAsia" w:ascii="宋体" w:hAnsi="宋体" w:cs="宋体"/>
          <w:sz w:val="21"/>
          <w:szCs w:val="21"/>
        </w:rPr>
        <w:fldChar w:fldCharType="separate"/>
      </w:r>
      <w:r>
        <w:rPr>
          <w:rFonts w:hint="eastAsia" w:ascii="宋体" w:hAnsi="宋体" w:cs="宋体"/>
          <w:sz w:val="21"/>
          <w:szCs w:val="21"/>
        </w:rPr>
        <w:t xml:space="preserve">第一章  </w:t>
      </w:r>
      <w:r>
        <w:rPr>
          <w:rFonts w:hint="eastAsia" w:ascii="宋体" w:hAnsi="宋体" w:cs="宋体"/>
          <w:bCs/>
          <w:sz w:val="21"/>
          <w:szCs w:val="21"/>
        </w:rPr>
        <w:t>招标公告</w:t>
      </w:r>
      <w:r>
        <w:rPr>
          <w:sz w:val="21"/>
          <w:szCs w:val="21"/>
        </w:rPr>
        <w:tab/>
      </w:r>
      <w:r>
        <w:rPr>
          <w:sz w:val="21"/>
          <w:szCs w:val="21"/>
        </w:rPr>
        <w:fldChar w:fldCharType="begin"/>
      </w:r>
      <w:r>
        <w:rPr>
          <w:sz w:val="21"/>
          <w:szCs w:val="21"/>
        </w:rPr>
        <w:instrText xml:space="preserve"> PAGEREF _Toc4812 \h </w:instrText>
      </w:r>
      <w:r>
        <w:rPr>
          <w:sz w:val="21"/>
          <w:szCs w:val="21"/>
        </w:rPr>
        <w:fldChar w:fldCharType="separate"/>
      </w:r>
      <w:r>
        <w:rPr>
          <w:sz w:val="21"/>
          <w:szCs w:val="21"/>
        </w:rPr>
        <w:t>3</w:t>
      </w:r>
      <w:r>
        <w:rPr>
          <w:sz w:val="21"/>
          <w:szCs w:val="21"/>
        </w:rPr>
        <w:fldChar w:fldCharType="end"/>
      </w:r>
      <w:r>
        <w:rPr>
          <w:rFonts w:hint="eastAsia" w:ascii="宋体" w:hAnsi="宋体" w:cs="宋体"/>
          <w:sz w:val="21"/>
          <w:szCs w:val="21"/>
        </w:rPr>
        <w:fldChar w:fldCharType="end"/>
      </w:r>
    </w:p>
    <w:p>
      <w:pPr>
        <w:pStyle w:val="24"/>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_Toc24702 </w:instrText>
      </w:r>
      <w:r>
        <w:rPr>
          <w:rFonts w:hint="eastAsia" w:ascii="宋体" w:hAnsi="宋体" w:cs="宋体"/>
          <w:sz w:val="21"/>
          <w:szCs w:val="21"/>
        </w:rPr>
        <w:fldChar w:fldCharType="separate"/>
      </w:r>
      <w:r>
        <w:rPr>
          <w:rFonts w:hint="eastAsia" w:ascii="宋体" w:hAnsi="宋体" w:cs="宋体"/>
          <w:sz w:val="21"/>
          <w:szCs w:val="21"/>
        </w:rPr>
        <w:t>一、项目基本情况</w:t>
      </w:r>
      <w:r>
        <w:rPr>
          <w:sz w:val="21"/>
          <w:szCs w:val="21"/>
        </w:rPr>
        <w:tab/>
      </w:r>
      <w:r>
        <w:rPr>
          <w:sz w:val="21"/>
          <w:szCs w:val="21"/>
        </w:rPr>
        <w:fldChar w:fldCharType="begin"/>
      </w:r>
      <w:r>
        <w:rPr>
          <w:sz w:val="21"/>
          <w:szCs w:val="21"/>
        </w:rPr>
        <w:instrText xml:space="preserve"> PAGEREF _Toc24702 \h </w:instrText>
      </w:r>
      <w:r>
        <w:rPr>
          <w:sz w:val="21"/>
          <w:szCs w:val="21"/>
        </w:rPr>
        <w:fldChar w:fldCharType="separate"/>
      </w:r>
      <w:r>
        <w:rPr>
          <w:sz w:val="21"/>
          <w:szCs w:val="21"/>
        </w:rPr>
        <w:t>3</w:t>
      </w:r>
      <w:r>
        <w:rPr>
          <w:sz w:val="21"/>
          <w:szCs w:val="21"/>
        </w:rPr>
        <w:fldChar w:fldCharType="end"/>
      </w:r>
      <w:r>
        <w:rPr>
          <w:rFonts w:hint="eastAsia" w:ascii="宋体" w:hAnsi="宋体" w:cs="宋体"/>
          <w:sz w:val="21"/>
          <w:szCs w:val="21"/>
        </w:rPr>
        <w:fldChar w:fldCharType="end"/>
      </w:r>
    </w:p>
    <w:p>
      <w:pPr>
        <w:pStyle w:val="24"/>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_Toc6307 </w:instrText>
      </w:r>
      <w:r>
        <w:rPr>
          <w:rFonts w:hint="eastAsia" w:ascii="宋体" w:hAnsi="宋体" w:cs="宋体"/>
          <w:sz w:val="21"/>
          <w:szCs w:val="21"/>
        </w:rPr>
        <w:fldChar w:fldCharType="separate"/>
      </w:r>
      <w:r>
        <w:rPr>
          <w:rFonts w:hint="eastAsia" w:ascii="宋体" w:hAnsi="宋体" w:eastAsia="宋体" w:cs="宋体"/>
          <w:kern w:val="2"/>
          <w:sz w:val="21"/>
          <w:szCs w:val="21"/>
          <w:lang w:val="en-US" w:eastAsia="zh-CN" w:bidi="ar-SA"/>
        </w:rPr>
        <w:t>二、申请人的资格要求（</w:t>
      </w:r>
      <w:r>
        <w:rPr>
          <w:rFonts w:hint="eastAsia" w:cs="宋体"/>
          <w:kern w:val="2"/>
          <w:sz w:val="21"/>
          <w:szCs w:val="21"/>
          <w:lang w:val="en-US" w:eastAsia="zh-CN" w:bidi="ar-SA"/>
        </w:rPr>
        <w:t>投标供应商</w:t>
      </w:r>
      <w:r>
        <w:rPr>
          <w:rFonts w:hint="eastAsia" w:ascii="宋体" w:hAnsi="宋体" w:eastAsia="宋体" w:cs="宋体"/>
          <w:kern w:val="2"/>
          <w:sz w:val="21"/>
          <w:szCs w:val="21"/>
          <w:lang w:val="en-US" w:eastAsia="zh-CN" w:bidi="ar-SA"/>
        </w:rPr>
        <w:t>的资格要求）：</w:t>
      </w:r>
      <w:r>
        <w:rPr>
          <w:sz w:val="21"/>
          <w:szCs w:val="21"/>
        </w:rPr>
        <w:tab/>
      </w:r>
      <w:r>
        <w:rPr>
          <w:sz w:val="21"/>
          <w:szCs w:val="21"/>
        </w:rPr>
        <w:fldChar w:fldCharType="begin"/>
      </w:r>
      <w:r>
        <w:rPr>
          <w:sz w:val="21"/>
          <w:szCs w:val="21"/>
        </w:rPr>
        <w:instrText xml:space="preserve"> PAGEREF _Toc6307 \h </w:instrText>
      </w:r>
      <w:r>
        <w:rPr>
          <w:sz w:val="21"/>
          <w:szCs w:val="21"/>
        </w:rPr>
        <w:fldChar w:fldCharType="separate"/>
      </w:r>
      <w:r>
        <w:rPr>
          <w:sz w:val="21"/>
          <w:szCs w:val="21"/>
        </w:rPr>
        <w:t>3</w:t>
      </w:r>
      <w:r>
        <w:rPr>
          <w:sz w:val="21"/>
          <w:szCs w:val="21"/>
        </w:rPr>
        <w:fldChar w:fldCharType="end"/>
      </w:r>
      <w:r>
        <w:rPr>
          <w:rFonts w:hint="eastAsia" w:ascii="宋体" w:hAnsi="宋体" w:cs="宋体"/>
          <w:sz w:val="21"/>
          <w:szCs w:val="21"/>
        </w:rPr>
        <w:fldChar w:fldCharType="end"/>
      </w:r>
    </w:p>
    <w:p>
      <w:pPr>
        <w:pStyle w:val="24"/>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_Toc24500 </w:instrText>
      </w:r>
      <w:r>
        <w:rPr>
          <w:rFonts w:hint="eastAsia" w:ascii="宋体" w:hAnsi="宋体" w:cs="宋体"/>
          <w:sz w:val="21"/>
          <w:szCs w:val="21"/>
        </w:rPr>
        <w:fldChar w:fldCharType="separate"/>
      </w:r>
      <w:r>
        <w:rPr>
          <w:rFonts w:hint="eastAsia" w:ascii="宋体" w:hAnsi="宋体" w:cs="宋体"/>
          <w:sz w:val="21"/>
          <w:szCs w:val="21"/>
        </w:rPr>
        <w:t>三、获取招标文件</w:t>
      </w:r>
      <w:r>
        <w:rPr>
          <w:sz w:val="21"/>
          <w:szCs w:val="21"/>
        </w:rPr>
        <w:tab/>
      </w:r>
      <w:r>
        <w:rPr>
          <w:sz w:val="21"/>
          <w:szCs w:val="21"/>
        </w:rPr>
        <w:fldChar w:fldCharType="begin"/>
      </w:r>
      <w:r>
        <w:rPr>
          <w:sz w:val="21"/>
          <w:szCs w:val="21"/>
        </w:rPr>
        <w:instrText xml:space="preserve"> PAGEREF _Toc24500 \h </w:instrText>
      </w:r>
      <w:r>
        <w:rPr>
          <w:sz w:val="21"/>
          <w:szCs w:val="21"/>
        </w:rPr>
        <w:fldChar w:fldCharType="separate"/>
      </w:r>
      <w:r>
        <w:rPr>
          <w:sz w:val="21"/>
          <w:szCs w:val="21"/>
        </w:rPr>
        <w:t>3</w:t>
      </w:r>
      <w:r>
        <w:rPr>
          <w:sz w:val="21"/>
          <w:szCs w:val="21"/>
        </w:rPr>
        <w:fldChar w:fldCharType="end"/>
      </w:r>
      <w:r>
        <w:rPr>
          <w:rFonts w:hint="eastAsia" w:ascii="宋体" w:hAnsi="宋体" w:cs="宋体"/>
          <w:sz w:val="21"/>
          <w:szCs w:val="21"/>
        </w:rPr>
        <w:fldChar w:fldCharType="end"/>
      </w:r>
    </w:p>
    <w:p>
      <w:pPr>
        <w:pStyle w:val="24"/>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_Toc629 </w:instrText>
      </w:r>
      <w:r>
        <w:rPr>
          <w:rFonts w:hint="eastAsia" w:ascii="宋体" w:hAnsi="宋体" w:cs="宋体"/>
          <w:sz w:val="21"/>
          <w:szCs w:val="21"/>
        </w:rPr>
        <w:fldChar w:fldCharType="separate"/>
      </w:r>
      <w:r>
        <w:rPr>
          <w:rFonts w:hint="eastAsia" w:ascii="宋体" w:hAnsi="宋体" w:cs="宋体"/>
          <w:sz w:val="21"/>
          <w:szCs w:val="21"/>
        </w:rPr>
        <w:t>四、提交投标文件截止时间（</w:t>
      </w:r>
      <w:r>
        <w:rPr>
          <w:rFonts w:hint="eastAsia" w:ascii="宋体" w:hAnsi="宋体" w:cs="宋体"/>
          <w:kern w:val="0"/>
          <w:sz w:val="21"/>
          <w:szCs w:val="21"/>
        </w:rPr>
        <w:t>投标截止时间）</w:t>
      </w:r>
      <w:r>
        <w:rPr>
          <w:rFonts w:hint="eastAsia" w:ascii="宋体" w:hAnsi="宋体" w:cs="宋体"/>
          <w:sz w:val="21"/>
          <w:szCs w:val="21"/>
        </w:rPr>
        <w:t>、开标时间和地点</w:t>
      </w:r>
      <w:r>
        <w:rPr>
          <w:sz w:val="21"/>
          <w:szCs w:val="21"/>
        </w:rPr>
        <w:tab/>
      </w:r>
      <w:r>
        <w:rPr>
          <w:sz w:val="21"/>
          <w:szCs w:val="21"/>
        </w:rPr>
        <w:fldChar w:fldCharType="begin"/>
      </w:r>
      <w:r>
        <w:rPr>
          <w:sz w:val="21"/>
          <w:szCs w:val="21"/>
        </w:rPr>
        <w:instrText xml:space="preserve"> PAGEREF _Toc629 \h </w:instrText>
      </w:r>
      <w:r>
        <w:rPr>
          <w:sz w:val="21"/>
          <w:szCs w:val="21"/>
        </w:rPr>
        <w:fldChar w:fldCharType="separate"/>
      </w:r>
      <w:r>
        <w:rPr>
          <w:sz w:val="21"/>
          <w:szCs w:val="21"/>
        </w:rPr>
        <w:t>4</w:t>
      </w:r>
      <w:r>
        <w:rPr>
          <w:sz w:val="21"/>
          <w:szCs w:val="21"/>
        </w:rPr>
        <w:fldChar w:fldCharType="end"/>
      </w:r>
      <w:r>
        <w:rPr>
          <w:rFonts w:hint="eastAsia" w:ascii="宋体" w:hAnsi="宋体" w:cs="宋体"/>
          <w:sz w:val="21"/>
          <w:szCs w:val="21"/>
        </w:rPr>
        <w:fldChar w:fldCharType="end"/>
      </w:r>
    </w:p>
    <w:p>
      <w:pPr>
        <w:pStyle w:val="24"/>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_Toc7943 </w:instrText>
      </w:r>
      <w:r>
        <w:rPr>
          <w:rFonts w:hint="eastAsia" w:ascii="宋体" w:hAnsi="宋体" w:cs="宋体"/>
          <w:sz w:val="21"/>
          <w:szCs w:val="21"/>
        </w:rPr>
        <w:fldChar w:fldCharType="separate"/>
      </w:r>
      <w:r>
        <w:rPr>
          <w:rFonts w:hint="eastAsia" w:ascii="宋体" w:hAnsi="宋体" w:cs="宋体"/>
          <w:sz w:val="21"/>
          <w:szCs w:val="21"/>
        </w:rPr>
        <w:t>五、公告期限</w:t>
      </w:r>
      <w:r>
        <w:rPr>
          <w:sz w:val="21"/>
          <w:szCs w:val="21"/>
        </w:rPr>
        <w:tab/>
      </w:r>
      <w:r>
        <w:rPr>
          <w:sz w:val="21"/>
          <w:szCs w:val="21"/>
        </w:rPr>
        <w:fldChar w:fldCharType="begin"/>
      </w:r>
      <w:r>
        <w:rPr>
          <w:sz w:val="21"/>
          <w:szCs w:val="21"/>
        </w:rPr>
        <w:instrText xml:space="preserve"> PAGEREF _Toc7943 \h </w:instrText>
      </w:r>
      <w:r>
        <w:rPr>
          <w:sz w:val="21"/>
          <w:szCs w:val="21"/>
        </w:rPr>
        <w:fldChar w:fldCharType="separate"/>
      </w:r>
      <w:r>
        <w:rPr>
          <w:sz w:val="21"/>
          <w:szCs w:val="21"/>
        </w:rPr>
        <w:t>4</w:t>
      </w:r>
      <w:r>
        <w:rPr>
          <w:sz w:val="21"/>
          <w:szCs w:val="21"/>
        </w:rPr>
        <w:fldChar w:fldCharType="end"/>
      </w:r>
      <w:r>
        <w:rPr>
          <w:rFonts w:hint="eastAsia" w:ascii="宋体" w:hAnsi="宋体" w:cs="宋体"/>
          <w:sz w:val="21"/>
          <w:szCs w:val="21"/>
        </w:rPr>
        <w:fldChar w:fldCharType="end"/>
      </w:r>
    </w:p>
    <w:p>
      <w:pPr>
        <w:pStyle w:val="24"/>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_Toc13505 </w:instrText>
      </w:r>
      <w:r>
        <w:rPr>
          <w:rFonts w:hint="eastAsia" w:ascii="宋体" w:hAnsi="宋体" w:cs="宋体"/>
          <w:sz w:val="21"/>
          <w:szCs w:val="21"/>
        </w:rPr>
        <w:fldChar w:fldCharType="separate"/>
      </w:r>
      <w:r>
        <w:rPr>
          <w:rFonts w:hint="eastAsia" w:ascii="宋体" w:hAnsi="宋体" w:cs="宋体"/>
          <w:sz w:val="21"/>
          <w:szCs w:val="21"/>
        </w:rPr>
        <w:t>六、对本次招标提出询问，请按以下方式联系</w:t>
      </w:r>
      <w:r>
        <w:rPr>
          <w:sz w:val="21"/>
          <w:szCs w:val="21"/>
        </w:rPr>
        <w:tab/>
      </w:r>
      <w:r>
        <w:rPr>
          <w:sz w:val="21"/>
          <w:szCs w:val="21"/>
        </w:rPr>
        <w:fldChar w:fldCharType="begin"/>
      </w:r>
      <w:r>
        <w:rPr>
          <w:sz w:val="21"/>
          <w:szCs w:val="21"/>
        </w:rPr>
        <w:instrText xml:space="preserve"> PAGEREF _Toc13505 \h </w:instrText>
      </w:r>
      <w:r>
        <w:rPr>
          <w:sz w:val="21"/>
          <w:szCs w:val="21"/>
        </w:rPr>
        <w:fldChar w:fldCharType="separate"/>
      </w:r>
      <w:r>
        <w:rPr>
          <w:sz w:val="21"/>
          <w:szCs w:val="21"/>
        </w:rPr>
        <w:t>4</w:t>
      </w:r>
      <w:r>
        <w:rPr>
          <w:sz w:val="21"/>
          <w:szCs w:val="21"/>
        </w:rPr>
        <w:fldChar w:fldCharType="end"/>
      </w:r>
      <w:r>
        <w:rPr>
          <w:rFonts w:hint="eastAsia" w:ascii="宋体" w:hAnsi="宋体" w:cs="宋体"/>
          <w:sz w:val="21"/>
          <w:szCs w:val="21"/>
        </w:rPr>
        <w:fldChar w:fldCharType="end"/>
      </w:r>
    </w:p>
    <w:p>
      <w:pPr>
        <w:pStyle w:val="24"/>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_Toc886 </w:instrText>
      </w:r>
      <w:r>
        <w:rPr>
          <w:rFonts w:hint="eastAsia" w:ascii="宋体" w:hAnsi="宋体" w:cs="宋体"/>
          <w:sz w:val="21"/>
          <w:szCs w:val="21"/>
        </w:rPr>
        <w:fldChar w:fldCharType="separate"/>
      </w:r>
      <w:r>
        <w:rPr>
          <w:rFonts w:hint="eastAsia" w:ascii="宋体" w:hAnsi="宋体" w:cs="宋体"/>
          <w:sz w:val="21"/>
          <w:szCs w:val="21"/>
        </w:rPr>
        <w:t>七、投标保证金</w:t>
      </w:r>
      <w:r>
        <w:rPr>
          <w:sz w:val="21"/>
          <w:szCs w:val="21"/>
        </w:rPr>
        <w:tab/>
      </w:r>
      <w:r>
        <w:rPr>
          <w:sz w:val="21"/>
          <w:szCs w:val="21"/>
        </w:rPr>
        <w:fldChar w:fldCharType="begin"/>
      </w:r>
      <w:r>
        <w:rPr>
          <w:sz w:val="21"/>
          <w:szCs w:val="21"/>
        </w:rPr>
        <w:instrText xml:space="preserve"> PAGEREF _Toc886 \h </w:instrText>
      </w:r>
      <w:r>
        <w:rPr>
          <w:sz w:val="21"/>
          <w:szCs w:val="21"/>
        </w:rPr>
        <w:fldChar w:fldCharType="separate"/>
      </w:r>
      <w:r>
        <w:rPr>
          <w:sz w:val="21"/>
          <w:szCs w:val="21"/>
        </w:rPr>
        <w:t>4</w:t>
      </w:r>
      <w:r>
        <w:rPr>
          <w:sz w:val="21"/>
          <w:szCs w:val="21"/>
        </w:rPr>
        <w:fldChar w:fldCharType="end"/>
      </w:r>
      <w:r>
        <w:rPr>
          <w:rFonts w:hint="eastAsia" w:ascii="宋体" w:hAnsi="宋体" w:cs="宋体"/>
          <w:sz w:val="21"/>
          <w:szCs w:val="21"/>
        </w:rPr>
        <w:fldChar w:fldCharType="end"/>
      </w:r>
    </w:p>
    <w:p>
      <w:pPr>
        <w:pStyle w:val="24"/>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_Toc12571 </w:instrText>
      </w:r>
      <w:r>
        <w:rPr>
          <w:rFonts w:hint="eastAsia" w:ascii="宋体" w:hAnsi="宋体" w:cs="宋体"/>
          <w:sz w:val="21"/>
          <w:szCs w:val="21"/>
        </w:rPr>
        <w:fldChar w:fldCharType="separate"/>
      </w:r>
      <w:r>
        <w:rPr>
          <w:rFonts w:hint="eastAsia" w:ascii="宋体" w:hAnsi="宋体" w:cs="宋体"/>
          <w:bCs/>
          <w:sz w:val="21"/>
          <w:szCs w:val="21"/>
        </w:rPr>
        <w:t>八、</w:t>
      </w:r>
      <w:r>
        <w:rPr>
          <w:rFonts w:hint="eastAsia" w:ascii="宋体" w:hAnsi="宋体" w:cs="宋体"/>
          <w:sz w:val="21"/>
          <w:szCs w:val="21"/>
        </w:rPr>
        <w:t>其他补充事宜</w:t>
      </w:r>
      <w:r>
        <w:rPr>
          <w:sz w:val="21"/>
          <w:szCs w:val="21"/>
        </w:rPr>
        <w:tab/>
      </w:r>
      <w:r>
        <w:rPr>
          <w:sz w:val="21"/>
          <w:szCs w:val="21"/>
        </w:rPr>
        <w:fldChar w:fldCharType="begin"/>
      </w:r>
      <w:r>
        <w:rPr>
          <w:sz w:val="21"/>
          <w:szCs w:val="21"/>
        </w:rPr>
        <w:instrText xml:space="preserve"> PAGEREF _Toc12571 \h </w:instrText>
      </w:r>
      <w:r>
        <w:rPr>
          <w:sz w:val="21"/>
          <w:szCs w:val="21"/>
        </w:rPr>
        <w:fldChar w:fldCharType="separate"/>
      </w:r>
      <w:r>
        <w:rPr>
          <w:sz w:val="21"/>
          <w:szCs w:val="21"/>
        </w:rPr>
        <w:t>4</w:t>
      </w:r>
      <w:r>
        <w:rPr>
          <w:sz w:val="21"/>
          <w:szCs w:val="21"/>
        </w:rPr>
        <w:fldChar w:fldCharType="end"/>
      </w:r>
      <w:r>
        <w:rPr>
          <w:rFonts w:hint="eastAsia" w:ascii="宋体" w:hAnsi="宋体" w:cs="宋体"/>
          <w:sz w:val="21"/>
          <w:szCs w:val="21"/>
        </w:rPr>
        <w:fldChar w:fldCharType="end"/>
      </w:r>
    </w:p>
    <w:p>
      <w:pPr>
        <w:pStyle w:val="21"/>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_Toc16013 </w:instrText>
      </w:r>
      <w:r>
        <w:rPr>
          <w:rFonts w:hint="eastAsia" w:ascii="宋体" w:hAnsi="宋体" w:cs="宋体"/>
          <w:sz w:val="21"/>
          <w:szCs w:val="21"/>
        </w:rPr>
        <w:fldChar w:fldCharType="separate"/>
      </w:r>
      <w:r>
        <w:rPr>
          <w:rFonts w:hint="eastAsia" w:ascii="宋体" w:hAnsi="宋体" w:cs="宋体"/>
          <w:sz w:val="21"/>
          <w:szCs w:val="21"/>
        </w:rPr>
        <w:t xml:space="preserve">第二章  </w:t>
      </w:r>
      <w:r>
        <w:rPr>
          <w:rFonts w:hint="eastAsia" w:ascii="宋体" w:hAnsi="宋体" w:cs="宋体"/>
          <w:sz w:val="21"/>
          <w:szCs w:val="21"/>
          <w:lang w:eastAsia="zh-CN"/>
        </w:rPr>
        <w:t>投标供应商</w:t>
      </w:r>
      <w:r>
        <w:rPr>
          <w:rFonts w:hint="eastAsia" w:ascii="宋体" w:hAnsi="宋体" w:cs="宋体"/>
          <w:sz w:val="21"/>
          <w:szCs w:val="21"/>
        </w:rPr>
        <w:t>须知</w:t>
      </w:r>
      <w:r>
        <w:rPr>
          <w:sz w:val="21"/>
          <w:szCs w:val="21"/>
        </w:rPr>
        <w:tab/>
      </w:r>
      <w:r>
        <w:rPr>
          <w:sz w:val="21"/>
          <w:szCs w:val="21"/>
        </w:rPr>
        <w:fldChar w:fldCharType="begin"/>
      </w:r>
      <w:r>
        <w:rPr>
          <w:sz w:val="21"/>
          <w:szCs w:val="21"/>
        </w:rPr>
        <w:instrText xml:space="preserve"> PAGEREF _Toc16013 \h </w:instrText>
      </w:r>
      <w:r>
        <w:rPr>
          <w:sz w:val="21"/>
          <w:szCs w:val="21"/>
        </w:rPr>
        <w:fldChar w:fldCharType="separate"/>
      </w:r>
      <w:r>
        <w:rPr>
          <w:sz w:val="21"/>
          <w:szCs w:val="21"/>
        </w:rPr>
        <w:t>5</w:t>
      </w:r>
      <w:r>
        <w:rPr>
          <w:sz w:val="21"/>
          <w:szCs w:val="21"/>
        </w:rPr>
        <w:fldChar w:fldCharType="end"/>
      </w:r>
      <w:r>
        <w:rPr>
          <w:rFonts w:hint="eastAsia" w:ascii="宋体" w:hAnsi="宋体" w:cs="宋体"/>
          <w:sz w:val="21"/>
          <w:szCs w:val="21"/>
        </w:rPr>
        <w:fldChar w:fldCharType="end"/>
      </w:r>
    </w:p>
    <w:p>
      <w:pPr>
        <w:pStyle w:val="24"/>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_Toc26629 </w:instrText>
      </w:r>
      <w:r>
        <w:rPr>
          <w:rFonts w:hint="eastAsia" w:ascii="宋体" w:hAnsi="宋体" w:cs="宋体"/>
          <w:sz w:val="21"/>
          <w:szCs w:val="21"/>
        </w:rPr>
        <w:fldChar w:fldCharType="separate"/>
      </w:r>
      <w:r>
        <w:rPr>
          <w:rFonts w:hint="eastAsia" w:ascii="宋体" w:hAnsi="宋体" w:cs="宋体"/>
          <w:sz w:val="21"/>
          <w:szCs w:val="21"/>
          <w:lang w:eastAsia="zh-CN"/>
        </w:rPr>
        <w:t>投标供应商</w:t>
      </w:r>
      <w:r>
        <w:rPr>
          <w:rFonts w:hint="eastAsia" w:ascii="宋体" w:hAnsi="宋体" w:cs="宋体"/>
          <w:sz w:val="21"/>
          <w:szCs w:val="21"/>
        </w:rPr>
        <w:t>须知资料表</w:t>
      </w:r>
      <w:r>
        <w:rPr>
          <w:sz w:val="21"/>
          <w:szCs w:val="21"/>
        </w:rPr>
        <w:tab/>
      </w:r>
      <w:r>
        <w:rPr>
          <w:sz w:val="21"/>
          <w:szCs w:val="21"/>
        </w:rPr>
        <w:fldChar w:fldCharType="begin"/>
      </w:r>
      <w:r>
        <w:rPr>
          <w:sz w:val="21"/>
          <w:szCs w:val="21"/>
        </w:rPr>
        <w:instrText xml:space="preserve"> PAGEREF _Toc26629 \h </w:instrText>
      </w:r>
      <w:r>
        <w:rPr>
          <w:sz w:val="21"/>
          <w:szCs w:val="21"/>
        </w:rPr>
        <w:fldChar w:fldCharType="separate"/>
      </w:r>
      <w:r>
        <w:rPr>
          <w:sz w:val="21"/>
          <w:szCs w:val="21"/>
        </w:rPr>
        <w:t>5</w:t>
      </w:r>
      <w:r>
        <w:rPr>
          <w:sz w:val="21"/>
          <w:szCs w:val="21"/>
        </w:rPr>
        <w:fldChar w:fldCharType="end"/>
      </w:r>
      <w:r>
        <w:rPr>
          <w:rFonts w:hint="eastAsia" w:ascii="宋体" w:hAnsi="宋体" w:cs="宋体"/>
          <w:sz w:val="21"/>
          <w:szCs w:val="21"/>
        </w:rPr>
        <w:fldChar w:fldCharType="end"/>
      </w:r>
    </w:p>
    <w:p>
      <w:pPr>
        <w:pStyle w:val="24"/>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_Toc30561 </w:instrText>
      </w:r>
      <w:r>
        <w:rPr>
          <w:rFonts w:hint="eastAsia" w:ascii="宋体" w:hAnsi="宋体" w:cs="宋体"/>
          <w:sz w:val="21"/>
          <w:szCs w:val="21"/>
        </w:rPr>
        <w:fldChar w:fldCharType="separate"/>
      </w:r>
      <w:r>
        <w:rPr>
          <w:rFonts w:hint="eastAsia" w:ascii="宋体" w:hAnsi="宋体" w:cs="宋体"/>
          <w:sz w:val="21"/>
          <w:szCs w:val="21"/>
        </w:rPr>
        <w:t>一、总则</w:t>
      </w:r>
      <w:r>
        <w:rPr>
          <w:sz w:val="21"/>
          <w:szCs w:val="21"/>
        </w:rPr>
        <w:tab/>
      </w:r>
      <w:r>
        <w:rPr>
          <w:sz w:val="21"/>
          <w:szCs w:val="21"/>
        </w:rPr>
        <w:fldChar w:fldCharType="begin"/>
      </w:r>
      <w:r>
        <w:rPr>
          <w:sz w:val="21"/>
          <w:szCs w:val="21"/>
        </w:rPr>
        <w:instrText xml:space="preserve"> PAGEREF _Toc30561 \h </w:instrText>
      </w:r>
      <w:r>
        <w:rPr>
          <w:sz w:val="21"/>
          <w:szCs w:val="21"/>
        </w:rPr>
        <w:fldChar w:fldCharType="separate"/>
      </w:r>
      <w:r>
        <w:rPr>
          <w:sz w:val="21"/>
          <w:szCs w:val="21"/>
        </w:rPr>
        <w:t>6</w:t>
      </w:r>
      <w:r>
        <w:rPr>
          <w:sz w:val="21"/>
          <w:szCs w:val="21"/>
        </w:rPr>
        <w:fldChar w:fldCharType="end"/>
      </w:r>
      <w:r>
        <w:rPr>
          <w:rFonts w:hint="eastAsia" w:ascii="宋体" w:hAnsi="宋体" w:cs="宋体"/>
          <w:sz w:val="21"/>
          <w:szCs w:val="21"/>
        </w:rPr>
        <w:fldChar w:fldCharType="end"/>
      </w:r>
    </w:p>
    <w:p>
      <w:pPr>
        <w:pStyle w:val="24"/>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_Toc25200 </w:instrText>
      </w:r>
      <w:r>
        <w:rPr>
          <w:rFonts w:hint="eastAsia" w:ascii="宋体" w:hAnsi="宋体" w:cs="宋体"/>
          <w:sz w:val="21"/>
          <w:szCs w:val="21"/>
        </w:rPr>
        <w:fldChar w:fldCharType="separate"/>
      </w:r>
      <w:r>
        <w:rPr>
          <w:rFonts w:hint="eastAsia" w:ascii="宋体" w:hAnsi="宋体" w:cs="宋体"/>
          <w:sz w:val="21"/>
          <w:szCs w:val="21"/>
        </w:rPr>
        <w:t>二、响应文件的编制及保证金收取</w:t>
      </w:r>
      <w:r>
        <w:rPr>
          <w:sz w:val="21"/>
          <w:szCs w:val="21"/>
        </w:rPr>
        <w:tab/>
      </w:r>
      <w:r>
        <w:rPr>
          <w:sz w:val="21"/>
          <w:szCs w:val="21"/>
        </w:rPr>
        <w:fldChar w:fldCharType="begin"/>
      </w:r>
      <w:r>
        <w:rPr>
          <w:sz w:val="21"/>
          <w:szCs w:val="21"/>
        </w:rPr>
        <w:instrText xml:space="preserve"> PAGEREF _Toc25200 \h </w:instrText>
      </w:r>
      <w:r>
        <w:rPr>
          <w:sz w:val="21"/>
          <w:szCs w:val="21"/>
        </w:rPr>
        <w:fldChar w:fldCharType="separate"/>
      </w:r>
      <w:r>
        <w:rPr>
          <w:sz w:val="21"/>
          <w:szCs w:val="21"/>
        </w:rPr>
        <w:t>6</w:t>
      </w:r>
      <w:r>
        <w:rPr>
          <w:sz w:val="21"/>
          <w:szCs w:val="21"/>
        </w:rPr>
        <w:fldChar w:fldCharType="end"/>
      </w:r>
      <w:r>
        <w:rPr>
          <w:rFonts w:hint="eastAsia" w:ascii="宋体" w:hAnsi="宋体" w:cs="宋体"/>
          <w:sz w:val="21"/>
          <w:szCs w:val="21"/>
        </w:rPr>
        <w:fldChar w:fldCharType="end"/>
      </w:r>
    </w:p>
    <w:p>
      <w:pPr>
        <w:pStyle w:val="24"/>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_Toc24716 </w:instrText>
      </w:r>
      <w:r>
        <w:rPr>
          <w:rFonts w:hint="eastAsia" w:ascii="宋体" w:hAnsi="宋体" w:cs="宋体"/>
          <w:sz w:val="21"/>
          <w:szCs w:val="21"/>
        </w:rPr>
        <w:fldChar w:fldCharType="separate"/>
      </w:r>
      <w:r>
        <w:rPr>
          <w:rFonts w:hint="eastAsia" w:ascii="宋体" w:hAnsi="宋体" w:cs="宋体"/>
          <w:sz w:val="21"/>
          <w:szCs w:val="21"/>
        </w:rPr>
        <w:t>三、招标响应文件的密封、递交</w:t>
      </w:r>
      <w:r>
        <w:rPr>
          <w:sz w:val="21"/>
          <w:szCs w:val="21"/>
        </w:rPr>
        <w:tab/>
      </w:r>
      <w:r>
        <w:rPr>
          <w:sz w:val="21"/>
          <w:szCs w:val="21"/>
        </w:rPr>
        <w:fldChar w:fldCharType="begin"/>
      </w:r>
      <w:r>
        <w:rPr>
          <w:sz w:val="21"/>
          <w:szCs w:val="21"/>
        </w:rPr>
        <w:instrText xml:space="preserve"> PAGEREF _Toc24716 \h </w:instrText>
      </w:r>
      <w:r>
        <w:rPr>
          <w:sz w:val="21"/>
          <w:szCs w:val="21"/>
        </w:rPr>
        <w:fldChar w:fldCharType="separate"/>
      </w:r>
      <w:r>
        <w:rPr>
          <w:sz w:val="21"/>
          <w:szCs w:val="21"/>
        </w:rPr>
        <w:t>8</w:t>
      </w:r>
      <w:r>
        <w:rPr>
          <w:sz w:val="21"/>
          <w:szCs w:val="21"/>
        </w:rPr>
        <w:fldChar w:fldCharType="end"/>
      </w:r>
      <w:r>
        <w:rPr>
          <w:rFonts w:hint="eastAsia" w:ascii="宋体" w:hAnsi="宋体" w:cs="宋体"/>
          <w:sz w:val="21"/>
          <w:szCs w:val="21"/>
        </w:rPr>
        <w:fldChar w:fldCharType="end"/>
      </w:r>
    </w:p>
    <w:p>
      <w:pPr>
        <w:pStyle w:val="24"/>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_Toc18513 </w:instrText>
      </w:r>
      <w:r>
        <w:rPr>
          <w:rFonts w:hint="eastAsia" w:ascii="宋体" w:hAnsi="宋体" w:cs="宋体"/>
          <w:sz w:val="21"/>
          <w:szCs w:val="21"/>
        </w:rPr>
        <w:fldChar w:fldCharType="separate"/>
      </w:r>
      <w:r>
        <w:rPr>
          <w:rFonts w:hint="eastAsia" w:ascii="宋体" w:hAnsi="宋体" w:cs="宋体"/>
          <w:sz w:val="21"/>
          <w:szCs w:val="21"/>
        </w:rPr>
        <w:t>四、招标与评审</w:t>
      </w:r>
      <w:r>
        <w:rPr>
          <w:sz w:val="21"/>
          <w:szCs w:val="21"/>
        </w:rPr>
        <w:tab/>
      </w:r>
      <w:r>
        <w:rPr>
          <w:sz w:val="21"/>
          <w:szCs w:val="21"/>
        </w:rPr>
        <w:fldChar w:fldCharType="begin"/>
      </w:r>
      <w:r>
        <w:rPr>
          <w:sz w:val="21"/>
          <w:szCs w:val="21"/>
        </w:rPr>
        <w:instrText xml:space="preserve"> PAGEREF _Toc18513 \h </w:instrText>
      </w:r>
      <w:r>
        <w:rPr>
          <w:sz w:val="21"/>
          <w:szCs w:val="21"/>
        </w:rPr>
        <w:fldChar w:fldCharType="separate"/>
      </w:r>
      <w:r>
        <w:rPr>
          <w:sz w:val="21"/>
          <w:szCs w:val="21"/>
        </w:rPr>
        <w:t>8</w:t>
      </w:r>
      <w:r>
        <w:rPr>
          <w:sz w:val="21"/>
          <w:szCs w:val="21"/>
        </w:rPr>
        <w:fldChar w:fldCharType="end"/>
      </w:r>
      <w:r>
        <w:rPr>
          <w:rFonts w:hint="eastAsia" w:ascii="宋体" w:hAnsi="宋体" w:cs="宋体"/>
          <w:sz w:val="21"/>
          <w:szCs w:val="21"/>
        </w:rPr>
        <w:fldChar w:fldCharType="end"/>
      </w:r>
    </w:p>
    <w:p>
      <w:pPr>
        <w:pStyle w:val="24"/>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_Toc19170 </w:instrText>
      </w:r>
      <w:r>
        <w:rPr>
          <w:rFonts w:hint="eastAsia" w:ascii="宋体" w:hAnsi="宋体" w:cs="宋体"/>
          <w:sz w:val="21"/>
          <w:szCs w:val="21"/>
        </w:rPr>
        <w:fldChar w:fldCharType="separate"/>
      </w:r>
      <w:r>
        <w:rPr>
          <w:rFonts w:hint="eastAsia" w:ascii="宋体" w:hAnsi="宋体" w:cs="宋体"/>
          <w:sz w:val="21"/>
          <w:szCs w:val="21"/>
        </w:rPr>
        <w:t>五、成交</w:t>
      </w:r>
      <w:r>
        <w:rPr>
          <w:sz w:val="21"/>
          <w:szCs w:val="21"/>
        </w:rPr>
        <w:tab/>
      </w:r>
      <w:r>
        <w:rPr>
          <w:sz w:val="21"/>
          <w:szCs w:val="21"/>
        </w:rPr>
        <w:fldChar w:fldCharType="begin"/>
      </w:r>
      <w:r>
        <w:rPr>
          <w:sz w:val="21"/>
          <w:szCs w:val="21"/>
        </w:rPr>
        <w:instrText xml:space="preserve"> PAGEREF _Toc19170 \h </w:instrText>
      </w:r>
      <w:r>
        <w:rPr>
          <w:sz w:val="21"/>
          <w:szCs w:val="21"/>
        </w:rPr>
        <w:fldChar w:fldCharType="separate"/>
      </w:r>
      <w:r>
        <w:rPr>
          <w:sz w:val="21"/>
          <w:szCs w:val="21"/>
        </w:rPr>
        <w:t>10</w:t>
      </w:r>
      <w:r>
        <w:rPr>
          <w:sz w:val="21"/>
          <w:szCs w:val="21"/>
        </w:rPr>
        <w:fldChar w:fldCharType="end"/>
      </w:r>
      <w:r>
        <w:rPr>
          <w:rFonts w:hint="eastAsia" w:ascii="宋体" w:hAnsi="宋体" w:cs="宋体"/>
          <w:sz w:val="21"/>
          <w:szCs w:val="21"/>
        </w:rPr>
        <w:fldChar w:fldCharType="end"/>
      </w:r>
    </w:p>
    <w:p>
      <w:pPr>
        <w:pStyle w:val="24"/>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_Toc13564 </w:instrText>
      </w:r>
      <w:r>
        <w:rPr>
          <w:rFonts w:hint="eastAsia" w:ascii="宋体" w:hAnsi="宋体" w:cs="宋体"/>
          <w:sz w:val="21"/>
          <w:szCs w:val="21"/>
        </w:rPr>
        <w:fldChar w:fldCharType="separate"/>
      </w:r>
      <w:r>
        <w:rPr>
          <w:rFonts w:hint="eastAsia" w:ascii="宋体" w:hAnsi="宋体" w:cs="宋体"/>
          <w:sz w:val="21"/>
          <w:szCs w:val="21"/>
        </w:rPr>
        <w:t>六、合同签订相关事项</w:t>
      </w:r>
      <w:r>
        <w:rPr>
          <w:sz w:val="21"/>
          <w:szCs w:val="21"/>
        </w:rPr>
        <w:tab/>
      </w:r>
      <w:r>
        <w:rPr>
          <w:sz w:val="21"/>
          <w:szCs w:val="21"/>
        </w:rPr>
        <w:fldChar w:fldCharType="begin"/>
      </w:r>
      <w:r>
        <w:rPr>
          <w:sz w:val="21"/>
          <w:szCs w:val="21"/>
        </w:rPr>
        <w:instrText xml:space="preserve"> PAGEREF _Toc13564 \h </w:instrText>
      </w:r>
      <w:r>
        <w:rPr>
          <w:sz w:val="21"/>
          <w:szCs w:val="21"/>
        </w:rPr>
        <w:fldChar w:fldCharType="separate"/>
      </w:r>
      <w:r>
        <w:rPr>
          <w:sz w:val="21"/>
          <w:szCs w:val="21"/>
        </w:rPr>
        <w:t>11</w:t>
      </w:r>
      <w:r>
        <w:rPr>
          <w:sz w:val="21"/>
          <w:szCs w:val="21"/>
        </w:rPr>
        <w:fldChar w:fldCharType="end"/>
      </w:r>
      <w:r>
        <w:rPr>
          <w:rFonts w:hint="eastAsia" w:ascii="宋体" w:hAnsi="宋体" w:cs="宋体"/>
          <w:sz w:val="21"/>
          <w:szCs w:val="21"/>
        </w:rPr>
        <w:fldChar w:fldCharType="end"/>
      </w:r>
    </w:p>
    <w:p>
      <w:pPr>
        <w:pStyle w:val="24"/>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_Toc760 </w:instrText>
      </w:r>
      <w:r>
        <w:rPr>
          <w:rFonts w:hint="eastAsia" w:ascii="宋体" w:hAnsi="宋体" w:cs="宋体"/>
          <w:sz w:val="21"/>
          <w:szCs w:val="21"/>
        </w:rPr>
        <w:fldChar w:fldCharType="separate"/>
      </w:r>
      <w:r>
        <w:rPr>
          <w:rFonts w:hint="eastAsia" w:ascii="宋体" w:hAnsi="宋体" w:cs="宋体"/>
          <w:sz w:val="21"/>
          <w:szCs w:val="21"/>
        </w:rPr>
        <w:t>七、其他</w:t>
      </w:r>
      <w:r>
        <w:rPr>
          <w:sz w:val="21"/>
          <w:szCs w:val="21"/>
        </w:rPr>
        <w:tab/>
      </w:r>
      <w:r>
        <w:rPr>
          <w:sz w:val="21"/>
          <w:szCs w:val="21"/>
        </w:rPr>
        <w:fldChar w:fldCharType="begin"/>
      </w:r>
      <w:r>
        <w:rPr>
          <w:sz w:val="21"/>
          <w:szCs w:val="21"/>
        </w:rPr>
        <w:instrText xml:space="preserve"> PAGEREF _Toc760 \h </w:instrText>
      </w:r>
      <w:r>
        <w:rPr>
          <w:sz w:val="21"/>
          <w:szCs w:val="21"/>
        </w:rPr>
        <w:fldChar w:fldCharType="separate"/>
      </w:r>
      <w:r>
        <w:rPr>
          <w:sz w:val="21"/>
          <w:szCs w:val="21"/>
        </w:rPr>
        <w:t>12</w:t>
      </w:r>
      <w:r>
        <w:rPr>
          <w:sz w:val="21"/>
          <w:szCs w:val="21"/>
        </w:rPr>
        <w:fldChar w:fldCharType="end"/>
      </w:r>
      <w:r>
        <w:rPr>
          <w:rFonts w:hint="eastAsia" w:ascii="宋体" w:hAnsi="宋体" w:cs="宋体"/>
          <w:sz w:val="21"/>
          <w:szCs w:val="21"/>
        </w:rPr>
        <w:fldChar w:fldCharType="end"/>
      </w:r>
    </w:p>
    <w:p>
      <w:pPr>
        <w:pStyle w:val="21"/>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_Toc3864 </w:instrText>
      </w:r>
      <w:r>
        <w:rPr>
          <w:rFonts w:hint="eastAsia" w:ascii="宋体" w:hAnsi="宋体" w:cs="宋体"/>
          <w:sz w:val="21"/>
          <w:szCs w:val="21"/>
        </w:rPr>
        <w:fldChar w:fldCharType="separate"/>
      </w:r>
      <w:r>
        <w:rPr>
          <w:rFonts w:hint="eastAsia" w:ascii="宋体" w:hAnsi="宋体" w:cs="宋体"/>
          <w:sz w:val="21"/>
          <w:szCs w:val="21"/>
        </w:rPr>
        <w:t>第三章  采购需求及政府采购合同（拟签订的合同文本）</w:t>
      </w:r>
      <w:r>
        <w:rPr>
          <w:sz w:val="21"/>
          <w:szCs w:val="21"/>
        </w:rPr>
        <w:tab/>
      </w:r>
      <w:r>
        <w:rPr>
          <w:sz w:val="21"/>
          <w:szCs w:val="21"/>
        </w:rPr>
        <w:fldChar w:fldCharType="begin"/>
      </w:r>
      <w:r>
        <w:rPr>
          <w:sz w:val="21"/>
          <w:szCs w:val="21"/>
        </w:rPr>
        <w:instrText xml:space="preserve"> PAGEREF _Toc3864 \h </w:instrText>
      </w:r>
      <w:r>
        <w:rPr>
          <w:sz w:val="21"/>
          <w:szCs w:val="21"/>
        </w:rPr>
        <w:fldChar w:fldCharType="separate"/>
      </w:r>
      <w:r>
        <w:rPr>
          <w:sz w:val="21"/>
          <w:szCs w:val="21"/>
        </w:rPr>
        <w:t>14</w:t>
      </w:r>
      <w:r>
        <w:rPr>
          <w:sz w:val="21"/>
          <w:szCs w:val="21"/>
        </w:rPr>
        <w:fldChar w:fldCharType="end"/>
      </w:r>
      <w:r>
        <w:rPr>
          <w:rFonts w:hint="eastAsia" w:ascii="宋体" w:hAnsi="宋体" w:cs="宋体"/>
          <w:sz w:val="21"/>
          <w:szCs w:val="21"/>
        </w:rPr>
        <w:fldChar w:fldCharType="end"/>
      </w:r>
    </w:p>
    <w:p>
      <w:pPr>
        <w:pStyle w:val="24"/>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_Toc30642 </w:instrText>
      </w:r>
      <w:r>
        <w:rPr>
          <w:rFonts w:hint="eastAsia" w:ascii="宋体" w:hAnsi="宋体" w:cs="宋体"/>
          <w:sz w:val="21"/>
          <w:szCs w:val="21"/>
        </w:rPr>
        <w:fldChar w:fldCharType="separate"/>
      </w:r>
      <w:r>
        <w:rPr>
          <w:rFonts w:hint="eastAsia" w:ascii="宋体" w:hAnsi="宋体" w:eastAsia="宋体" w:cs="宋体"/>
          <w:sz w:val="21"/>
          <w:szCs w:val="21"/>
        </w:rPr>
        <w:t>第一部分：采购需求及参数要求</w:t>
      </w:r>
      <w:r>
        <w:rPr>
          <w:sz w:val="21"/>
          <w:szCs w:val="21"/>
        </w:rPr>
        <w:tab/>
      </w:r>
      <w:r>
        <w:rPr>
          <w:sz w:val="21"/>
          <w:szCs w:val="21"/>
        </w:rPr>
        <w:fldChar w:fldCharType="begin"/>
      </w:r>
      <w:r>
        <w:rPr>
          <w:sz w:val="21"/>
          <w:szCs w:val="21"/>
        </w:rPr>
        <w:instrText xml:space="preserve"> PAGEREF _Toc30642 \h </w:instrText>
      </w:r>
      <w:r>
        <w:rPr>
          <w:sz w:val="21"/>
          <w:szCs w:val="21"/>
        </w:rPr>
        <w:fldChar w:fldCharType="separate"/>
      </w:r>
      <w:r>
        <w:rPr>
          <w:sz w:val="21"/>
          <w:szCs w:val="21"/>
        </w:rPr>
        <w:t>15</w:t>
      </w:r>
      <w:r>
        <w:rPr>
          <w:sz w:val="21"/>
          <w:szCs w:val="21"/>
        </w:rPr>
        <w:fldChar w:fldCharType="end"/>
      </w:r>
      <w:r>
        <w:rPr>
          <w:rFonts w:hint="eastAsia" w:ascii="宋体" w:hAnsi="宋体" w:cs="宋体"/>
          <w:sz w:val="21"/>
          <w:szCs w:val="21"/>
        </w:rPr>
        <w:fldChar w:fldCharType="end"/>
      </w:r>
    </w:p>
    <w:p>
      <w:pPr>
        <w:pStyle w:val="24"/>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_Toc28399 </w:instrText>
      </w:r>
      <w:r>
        <w:rPr>
          <w:rFonts w:hint="eastAsia" w:ascii="宋体" w:hAnsi="宋体" w:cs="宋体"/>
          <w:sz w:val="21"/>
          <w:szCs w:val="21"/>
        </w:rPr>
        <w:fldChar w:fldCharType="separate"/>
      </w:r>
      <w:r>
        <w:rPr>
          <w:rFonts w:hint="eastAsia" w:ascii="宋体" w:hAnsi="宋体" w:eastAsia="宋体" w:cs="宋体"/>
          <w:sz w:val="21"/>
          <w:szCs w:val="21"/>
        </w:rPr>
        <w:t>第二</w:t>
      </w:r>
      <w:r>
        <w:rPr>
          <w:rFonts w:hint="eastAsia" w:ascii="宋体" w:hAnsi="宋体" w:cs="宋体"/>
          <w:sz w:val="21"/>
          <w:szCs w:val="21"/>
          <w:lang w:val="en-US" w:eastAsia="zh-CN"/>
        </w:rPr>
        <w:t>部分：</w:t>
      </w:r>
      <w:r>
        <w:rPr>
          <w:rFonts w:hint="eastAsia" w:ascii="宋体" w:hAnsi="宋体" w:eastAsia="宋体" w:cs="宋体"/>
          <w:sz w:val="21"/>
          <w:szCs w:val="21"/>
        </w:rPr>
        <w:t>政府采购合同（拟签订的合同文本）</w:t>
      </w:r>
      <w:r>
        <w:rPr>
          <w:sz w:val="21"/>
          <w:szCs w:val="21"/>
        </w:rPr>
        <w:tab/>
      </w:r>
      <w:r>
        <w:rPr>
          <w:sz w:val="21"/>
          <w:szCs w:val="21"/>
        </w:rPr>
        <w:fldChar w:fldCharType="begin"/>
      </w:r>
      <w:r>
        <w:rPr>
          <w:sz w:val="21"/>
          <w:szCs w:val="21"/>
        </w:rPr>
        <w:instrText xml:space="preserve"> PAGEREF _Toc28399 \h </w:instrText>
      </w:r>
      <w:r>
        <w:rPr>
          <w:sz w:val="21"/>
          <w:szCs w:val="21"/>
        </w:rPr>
        <w:fldChar w:fldCharType="separate"/>
      </w:r>
      <w:r>
        <w:rPr>
          <w:sz w:val="21"/>
          <w:szCs w:val="21"/>
        </w:rPr>
        <w:t>19</w:t>
      </w:r>
      <w:r>
        <w:rPr>
          <w:sz w:val="21"/>
          <w:szCs w:val="21"/>
        </w:rPr>
        <w:fldChar w:fldCharType="end"/>
      </w:r>
      <w:r>
        <w:rPr>
          <w:rFonts w:hint="eastAsia" w:ascii="宋体" w:hAnsi="宋体" w:cs="宋体"/>
          <w:sz w:val="21"/>
          <w:szCs w:val="21"/>
        </w:rPr>
        <w:fldChar w:fldCharType="end"/>
      </w:r>
    </w:p>
    <w:p>
      <w:pPr>
        <w:pStyle w:val="21"/>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_Toc8010 </w:instrText>
      </w:r>
      <w:r>
        <w:rPr>
          <w:rFonts w:hint="eastAsia" w:ascii="宋体" w:hAnsi="宋体" w:cs="宋体"/>
          <w:sz w:val="21"/>
          <w:szCs w:val="21"/>
        </w:rPr>
        <w:fldChar w:fldCharType="separate"/>
      </w:r>
      <w:r>
        <w:rPr>
          <w:rFonts w:hint="eastAsia" w:ascii="宋体" w:hAnsi="宋体" w:cs="宋体"/>
          <w:sz w:val="21"/>
          <w:szCs w:val="21"/>
        </w:rPr>
        <w:t>第四章  评标方法和标准</w:t>
      </w:r>
      <w:r>
        <w:rPr>
          <w:sz w:val="21"/>
          <w:szCs w:val="21"/>
        </w:rPr>
        <w:tab/>
      </w:r>
      <w:r>
        <w:rPr>
          <w:sz w:val="21"/>
          <w:szCs w:val="21"/>
        </w:rPr>
        <w:fldChar w:fldCharType="begin"/>
      </w:r>
      <w:r>
        <w:rPr>
          <w:sz w:val="21"/>
          <w:szCs w:val="21"/>
        </w:rPr>
        <w:instrText xml:space="preserve"> PAGEREF _Toc8010 \h </w:instrText>
      </w:r>
      <w:r>
        <w:rPr>
          <w:sz w:val="21"/>
          <w:szCs w:val="21"/>
        </w:rPr>
        <w:fldChar w:fldCharType="separate"/>
      </w:r>
      <w:r>
        <w:rPr>
          <w:sz w:val="21"/>
          <w:szCs w:val="21"/>
        </w:rPr>
        <w:t>23</w:t>
      </w:r>
      <w:r>
        <w:rPr>
          <w:sz w:val="21"/>
          <w:szCs w:val="21"/>
        </w:rPr>
        <w:fldChar w:fldCharType="end"/>
      </w:r>
      <w:r>
        <w:rPr>
          <w:rFonts w:hint="eastAsia" w:ascii="宋体" w:hAnsi="宋体" w:cs="宋体"/>
          <w:sz w:val="21"/>
          <w:szCs w:val="21"/>
        </w:rPr>
        <w:fldChar w:fldCharType="end"/>
      </w:r>
    </w:p>
    <w:p>
      <w:pPr>
        <w:pStyle w:val="24"/>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_Toc4312 </w:instrText>
      </w:r>
      <w:r>
        <w:rPr>
          <w:rFonts w:hint="eastAsia" w:ascii="宋体" w:hAnsi="宋体" w:cs="宋体"/>
          <w:sz w:val="21"/>
          <w:szCs w:val="21"/>
        </w:rPr>
        <w:fldChar w:fldCharType="separate"/>
      </w:r>
      <w:r>
        <w:rPr>
          <w:rFonts w:hint="eastAsia" w:ascii="宋体" w:hAnsi="宋体" w:cs="宋体"/>
          <w:sz w:val="21"/>
          <w:szCs w:val="21"/>
        </w:rPr>
        <w:t>一、评标方法</w:t>
      </w:r>
      <w:r>
        <w:rPr>
          <w:sz w:val="21"/>
          <w:szCs w:val="21"/>
        </w:rPr>
        <w:tab/>
      </w:r>
      <w:r>
        <w:rPr>
          <w:sz w:val="21"/>
          <w:szCs w:val="21"/>
        </w:rPr>
        <w:fldChar w:fldCharType="begin"/>
      </w:r>
      <w:r>
        <w:rPr>
          <w:sz w:val="21"/>
          <w:szCs w:val="21"/>
        </w:rPr>
        <w:instrText xml:space="preserve"> PAGEREF _Toc4312 \h </w:instrText>
      </w:r>
      <w:r>
        <w:rPr>
          <w:sz w:val="21"/>
          <w:szCs w:val="21"/>
        </w:rPr>
        <w:fldChar w:fldCharType="separate"/>
      </w:r>
      <w:r>
        <w:rPr>
          <w:sz w:val="21"/>
          <w:szCs w:val="21"/>
        </w:rPr>
        <w:t>23</w:t>
      </w:r>
      <w:r>
        <w:rPr>
          <w:sz w:val="21"/>
          <w:szCs w:val="21"/>
        </w:rPr>
        <w:fldChar w:fldCharType="end"/>
      </w:r>
      <w:r>
        <w:rPr>
          <w:rFonts w:hint="eastAsia" w:ascii="宋体" w:hAnsi="宋体" w:cs="宋体"/>
          <w:sz w:val="21"/>
          <w:szCs w:val="21"/>
        </w:rPr>
        <w:fldChar w:fldCharType="end"/>
      </w:r>
    </w:p>
    <w:p>
      <w:pPr>
        <w:pStyle w:val="24"/>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_Toc14655 </w:instrText>
      </w:r>
      <w:r>
        <w:rPr>
          <w:rFonts w:hint="eastAsia" w:ascii="宋体" w:hAnsi="宋体" w:cs="宋体"/>
          <w:sz w:val="21"/>
          <w:szCs w:val="21"/>
        </w:rPr>
        <w:fldChar w:fldCharType="separate"/>
      </w:r>
      <w:r>
        <w:rPr>
          <w:rFonts w:hint="eastAsia" w:ascii="宋体" w:hAnsi="宋体" w:cs="宋体"/>
          <w:sz w:val="21"/>
          <w:szCs w:val="21"/>
        </w:rPr>
        <w:t>二、评分标准</w:t>
      </w:r>
      <w:r>
        <w:rPr>
          <w:sz w:val="21"/>
          <w:szCs w:val="21"/>
        </w:rPr>
        <w:tab/>
      </w:r>
      <w:r>
        <w:rPr>
          <w:sz w:val="21"/>
          <w:szCs w:val="21"/>
        </w:rPr>
        <w:fldChar w:fldCharType="begin"/>
      </w:r>
      <w:r>
        <w:rPr>
          <w:sz w:val="21"/>
          <w:szCs w:val="21"/>
        </w:rPr>
        <w:instrText xml:space="preserve"> PAGEREF _Toc14655 \h </w:instrText>
      </w:r>
      <w:r>
        <w:rPr>
          <w:sz w:val="21"/>
          <w:szCs w:val="21"/>
        </w:rPr>
        <w:fldChar w:fldCharType="separate"/>
      </w:r>
      <w:r>
        <w:rPr>
          <w:sz w:val="21"/>
          <w:szCs w:val="21"/>
        </w:rPr>
        <w:t>23</w:t>
      </w:r>
      <w:r>
        <w:rPr>
          <w:sz w:val="21"/>
          <w:szCs w:val="21"/>
        </w:rPr>
        <w:fldChar w:fldCharType="end"/>
      </w:r>
      <w:r>
        <w:rPr>
          <w:rFonts w:hint="eastAsia" w:ascii="宋体" w:hAnsi="宋体" w:cs="宋体"/>
          <w:sz w:val="21"/>
          <w:szCs w:val="21"/>
        </w:rPr>
        <w:fldChar w:fldCharType="end"/>
      </w:r>
    </w:p>
    <w:p>
      <w:pPr>
        <w:pStyle w:val="21"/>
        <w:tabs>
          <w:tab w:val="right" w:leader="dot" w:pos="9525"/>
        </w:tabs>
        <w:rPr>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_Toc20357 </w:instrText>
      </w:r>
      <w:r>
        <w:rPr>
          <w:rFonts w:hint="eastAsia" w:ascii="宋体" w:hAnsi="宋体" w:cs="宋体"/>
          <w:sz w:val="21"/>
          <w:szCs w:val="21"/>
        </w:rPr>
        <w:fldChar w:fldCharType="separate"/>
      </w:r>
      <w:r>
        <w:rPr>
          <w:rFonts w:hint="eastAsia" w:ascii="宋体" w:hAnsi="宋体" w:cs="宋体"/>
          <w:sz w:val="21"/>
          <w:szCs w:val="21"/>
        </w:rPr>
        <w:t>第五章 投标文件格式</w:t>
      </w:r>
      <w:r>
        <w:rPr>
          <w:sz w:val="21"/>
          <w:szCs w:val="21"/>
        </w:rPr>
        <w:tab/>
      </w:r>
      <w:r>
        <w:rPr>
          <w:sz w:val="21"/>
          <w:szCs w:val="21"/>
        </w:rPr>
        <w:fldChar w:fldCharType="begin"/>
      </w:r>
      <w:r>
        <w:rPr>
          <w:sz w:val="21"/>
          <w:szCs w:val="21"/>
        </w:rPr>
        <w:instrText xml:space="preserve"> PAGEREF _Toc20357 \h </w:instrText>
      </w:r>
      <w:r>
        <w:rPr>
          <w:sz w:val="21"/>
          <w:szCs w:val="21"/>
        </w:rPr>
        <w:fldChar w:fldCharType="separate"/>
      </w:r>
      <w:r>
        <w:rPr>
          <w:sz w:val="21"/>
          <w:szCs w:val="21"/>
        </w:rPr>
        <w:t>25</w:t>
      </w:r>
      <w:r>
        <w:rPr>
          <w:sz w:val="21"/>
          <w:szCs w:val="21"/>
        </w:rPr>
        <w:fldChar w:fldCharType="end"/>
      </w:r>
      <w:r>
        <w:rPr>
          <w:rFonts w:hint="eastAsia" w:ascii="宋体" w:hAnsi="宋体" w:cs="宋体"/>
          <w:sz w:val="21"/>
          <w:szCs w:val="21"/>
        </w:rPr>
        <w:fldChar w:fldCharType="end"/>
      </w:r>
    </w:p>
    <w:p>
      <w:pPr>
        <w:rPr>
          <w:rFonts w:ascii="宋体" w:hAnsi="宋体" w:cs="宋体"/>
          <w:szCs w:val="21"/>
        </w:rPr>
      </w:pPr>
      <w:r>
        <w:rPr>
          <w:rFonts w:hint="eastAsia" w:ascii="宋体" w:hAnsi="宋体" w:cs="宋体"/>
          <w:szCs w:val="21"/>
        </w:rPr>
        <w:fldChar w:fldCharType="end"/>
      </w:r>
    </w:p>
    <w:p>
      <w:pPr>
        <w:spacing w:line="460" w:lineRule="exact"/>
        <w:jc w:val="center"/>
        <w:rPr>
          <w:rFonts w:ascii="宋体" w:hAnsi="宋体" w:cs="宋体"/>
          <w:b/>
          <w:color w:val="000000" w:themeColor="text1"/>
          <w:szCs w:val="21"/>
          <w14:textFill>
            <w14:solidFill>
              <w14:schemeClr w14:val="tx1"/>
            </w14:solidFill>
          </w14:textFill>
        </w:rPr>
      </w:pPr>
    </w:p>
    <w:p>
      <w:pPr>
        <w:spacing w:line="460" w:lineRule="exact"/>
        <w:jc w:val="center"/>
        <w:rPr>
          <w:rFonts w:ascii="宋体" w:hAnsi="宋体" w:cs="宋体"/>
          <w:b/>
          <w:color w:val="000000" w:themeColor="text1"/>
          <w:szCs w:val="21"/>
          <w14:textFill>
            <w14:solidFill>
              <w14:schemeClr w14:val="tx1"/>
            </w14:solidFill>
          </w14:textFill>
        </w:rPr>
      </w:pPr>
    </w:p>
    <w:p>
      <w:pPr>
        <w:spacing w:line="460" w:lineRule="exact"/>
        <w:rPr>
          <w:rFonts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 w:val="28"/>
          <w:szCs w:val="21"/>
          <w14:textFill>
            <w14:solidFill>
              <w14:schemeClr w14:val="tx1"/>
            </w14:solidFill>
          </w14:textFill>
        </w:rPr>
      </w:pPr>
      <w:r>
        <w:rPr>
          <w:rFonts w:hint="eastAsia" w:ascii="宋体" w:hAnsi="宋体" w:cs="宋体"/>
          <w:b/>
          <w:color w:val="000000" w:themeColor="text1"/>
          <w:sz w:val="28"/>
          <w:szCs w:val="21"/>
          <w14:textFill>
            <w14:solidFill>
              <w14:schemeClr w14:val="tx1"/>
            </w14:solidFill>
          </w14:textFill>
        </w:rPr>
        <w:br w:type="page"/>
      </w:r>
    </w:p>
    <w:p>
      <w:pPr>
        <w:spacing w:line="460" w:lineRule="exact"/>
        <w:jc w:val="center"/>
        <w:outlineLvl w:val="0"/>
        <w:rPr>
          <w:rFonts w:ascii="宋体" w:hAnsi="宋体" w:cs="宋体"/>
          <w:color w:val="000000" w:themeColor="text1"/>
          <w:sz w:val="28"/>
          <w:szCs w:val="21"/>
          <w14:textFill>
            <w14:solidFill>
              <w14:schemeClr w14:val="tx1"/>
            </w14:solidFill>
          </w14:textFill>
        </w:rPr>
      </w:pPr>
      <w:bookmarkStart w:id="1" w:name="_Toc4812"/>
      <w:r>
        <w:rPr>
          <w:rFonts w:hint="eastAsia" w:ascii="宋体" w:hAnsi="宋体" w:cs="宋体"/>
          <w:b/>
          <w:color w:val="000000" w:themeColor="text1"/>
          <w:sz w:val="28"/>
          <w:szCs w:val="21"/>
          <w14:textFill>
            <w14:solidFill>
              <w14:schemeClr w14:val="tx1"/>
            </w14:solidFill>
          </w14:textFill>
        </w:rPr>
        <w:t xml:space="preserve">第一章  </w:t>
      </w:r>
      <w:r>
        <w:rPr>
          <w:rFonts w:hint="eastAsia" w:ascii="宋体" w:hAnsi="宋体" w:cs="宋体"/>
          <w:b/>
          <w:bCs/>
          <w:color w:val="000000" w:themeColor="text1"/>
          <w:sz w:val="28"/>
          <w:szCs w:val="21"/>
          <w14:textFill>
            <w14:solidFill>
              <w14:schemeClr w14:val="tx1"/>
            </w14:solidFill>
          </w14:textFill>
        </w:rPr>
        <w:t>招标公告</w:t>
      </w:r>
      <w:bookmarkEnd w:id="0"/>
      <w:bookmarkEnd w:id="1"/>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盐城市携手阳光集中采购代理有限公司（本次采购可简称：携手阳光公司）受采购人的委托，根据《中华人民共和国政府采购法》等有关规定，现对下列项目进行</w:t>
      </w:r>
      <w:r>
        <w:rPr>
          <w:rFonts w:hint="eastAsia" w:ascii="宋体" w:hAnsi="宋体" w:cs="宋体"/>
          <w:color w:val="000000" w:themeColor="text1"/>
          <w:szCs w:val="21"/>
          <w:lang w:val="en-US"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，欢迎合格的供应商前来投标。</w:t>
      </w:r>
    </w:p>
    <w:p>
      <w:pPr>
        <w:pBdr>
          <w:top w:val="single" w:color="auto" w:sz="4" w:space="1"/>
          <w:left w:val="single" w:color="auto" w:sz="4" w:space="4"/>
          <w:bottom w:val="single" w:color="auto" w:sz="4" w:space="1"/>
          <w:right w:val="single" w:color="auto" w:sz="4" w:space="4"/>
        </w:pBdr>
        <w:spacing w:line="440" w:lineRule="exact"/>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江苏医药职业学院多功能酶标仪采购项目</w:t>
      </w:r>
      <w:r>
        <w:rPr>
          <w:rFonts w:hint="eastAsia" w:ascii="宋体" w:hAnsi="宋体" w:cs="宋体"/>
          <w:color w:val="000000" w:themeColor="text1"/>
          <w:szCs w:val="21"/>
          <w14:textFill>
            <w14:solidFill>
              <w14:schemeClr w14:val="tx1"/>
            </w14:solidFill>
          </w14:textFill>
        </w:rPr>
        <w:t>的潜在</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应在</w:t>
      </w:r>
      <w:r>
        <w:rPr>
          <w:rFonts w:hint="eastAsia" w:ascii="宋体" w:hAnsi="宋体" w:cs="宋体"/>
          <w:color w:val="000000" w:themeColor="text1"/>
          <w:szCs w:val="21"/>
          <w:u w:val="single"/>
          <w14:textFill>
            <w14:solidFill>
              <w14:schemeClr w14:val="tx1"/>
            </w14:solidFill>
          </w14:textFill>
        </w:rPr>
        <w:t>盐城市府西路华邦国际西厦A302室（3楼东区）</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b/>
          <w:bCs/>
          <w:color w:val="000000" w:themeColor="text1"/>
          <w:szCs w:val="21"/>
          <w:u w:val="single"/>
          <w14:textFill>
            <w14:solidFill>
              <w14:schemeClr w14:val="tx1"/>
            </w14:solidFill>
          </w14:textFill>
        </w:rPr>
        <w:t>2023年</w:t>
      </w:r>
      <w:r>
        <w:rPr>
          <w:rFonts w:hint="eastAsia" w:ascii="宋体" w:hAnsi="宋体" w:cs="宋体"/>
          <w:b/>
          <w:bCs/>
          <w:color w:val="000000" w:themeColor="text1"/>
          <w:szCs w:val="21"/>
          <w:u w:val="single"/>
          <w:lang w:val="en-US" w:eastAsia="zh-CN"/>
          <w14:textFill>
            <w14:solidFill>
              <w14:schemeClr w14:val="tx1"/>
            </w14:solidFill>
          </w14:textFill>
        </w:rPr>
        <w:t>12</w:t>
      </w:r>
      <w:r>
        <w:rPr>
          <w:rFonts w:hint="eastAsia" w:ascii="宋体" w:hAnsi="宋体" w:cs="宋体"/>
          <w:b/>
          <w:bCs/>
          <w:color w:val="000000" w:themeColor="text1"/>
          <w:szCs w:val="21"/>
          <w:u w:val="single"/>
          <w14:textFill>
            <w14:solidFill>
              <w14:schemeClr w14:val="tx1"/>
            </w14:solidFill>
          </w14:textFill>
        </w:rPr>
        <w:t>月</w:t>
      </w:r>
      <w:r>
        <w:rPr>
          <w:rFonts w:hint="eastAsia" w:ascii="宋体" w:hAnsi="宋体" w:cs="宋体"/>
          <w:b/>
          <w:bCs/>
          <w:color w:val="000000" w:themeColor="text1"/>
          <w:szCs w:val="21"/>
          <w:u w:val="single"/>
          <w:lang w:val="en-US" w:eastAsia="zh-CN"/>
          <w14:textFill>
            <w14:solidFill>
              <w14:schemeClr w14:val="tx1"/>
            </w14:solidFill>
          </w14:textFill>
        </w:rPr>
        <w:t>15</w:t>
      </w:r>
      <w:r>
        <w:rPr>
          <w:rFonts w:hint="eastAsia" w:ascii="宋体" w:hAnsi="宋体" w:cs="宋体"/>
          <w:b/>
          <w:bCs/>
          <w:color w:val="000000" w:themeColor="text1"/>
          <w:szCs w:val="21"/>
          <w:u w:val="single"/>
          <w14:textFill>
            <w14:solidFill>
              <w14:schemeClr w14:val="tx1"/>
            </w14:solidFill>
          </w14:textFill>
        </w:rPr>
        <w:t>日</w:t>
      </w:r>
      <w:r>
        <w:rPr>
          <w:rFonts w:hint="eastAsia" w:ascii="宋体" w:hAnsi="宋体" w:cs="宋体"/>
          <w:b/>
          <w:bCs/>
          <w:color w:val="000000" w:themeColor="text1"/>
          <w:szCs w:val="21"/>
          <w:u w:val="single"/>
          <w:lang w:val="en-US" w:eastAsia="zh-CN"/>
          <w14:textFill>
            <w14:solidFill>
              <w14:schemeClr w14:val="tx1"/>
            </w14:solidFill>
          </w14:textFill>
        </w:rPr>
        <w:t>15</w:t>
      </w:r>
      <w:r>
        <w:rPr>
          <w:rFonts w:hint="eastAsia" w:ascii="宋体" w:hAnsi="宋体" w:cs="宋体"/>
          <w:b/>
          <w:bCs/>
          <w:color w:val="000000" w:themeColor="text1"/>
          <w:szCs w:val="21"/>
          <w:u w:val="single"/>
          <w14:textFill>
            <w14:solidFill>
              <w14:schemeClr w14:val="tx1"/>
            </w14:solidFill>
          </w14:textFill>
        </w:rPr>
        <w:t>点</w:t>
      </w:r>
      <w:r>
        <w:rPr>
          <w:rFonts w:hint="eastAsia" w:ascii="宋体" w:hAnsi="宋体" w:cs="宋体"/>
          <w:b/>
          <w:bCs/>
          <w:color w:val="000000" w:themeColor="text1"/>
          <w:szCs w:val="21"/>
          <w:u w:val="single"/>
          <w:lang w:val="en-US" w:eastAsia="zh-CN"/>
          <w14:textFill>
            <w14:solidFill>
              <w14:schemeClr w14:val="tx1"/>
            </w14:solidFill>
          </w14:textFill>
        </w:rPr>
        <w:t>00</w:t>
      </w:r>
      <w:r>
        <w:rPr>
          <w:rFonts w:hint="eastAsia" w:ascii="宋体" w:hAnsi="宋体" w:cs="宋体"/>
          <w:b/>
          <w:bCs/>
          <w:color w:val="000000" w:themeColor="text1"/>
          <w:szCs w:val="21"/>
          <w:u w:val="single"/>
          <w14:textFill>
            <w14:solidFill>
              <w14:schemeClr w14:val="tx1"/>
            </w14:solidFill>
          </w14:textFill>
        </w:rPr>
        <w:t>分（</w:t>
      </w:r>
      <w:r>
        <w:rPr>
          <w:rFonts w:hint="eastAsia" w:ascii="宋体" w:hAnsi="宋体" w:cs="宋体"/>
          <w:b/>
          <w:bCs/>
          <w:color w:val="000000" w:themeColor="text1"/>
          <w:szCs w:val="21"/>
          <w14:textFill>
            <w14:solidFill>
              <w14:schemeClr w14:val="tx1"/>
            </w14:solidFill>
          </w14:textFill>
        </w:rPr>
        <w:t>北京时间）前递交投标文件。</w:t>
      </w:r>
    </w:p>
    <w:p>
      <w:pPr>
        <w:spacing w:line="440" w:lineRule="exact"/>
        <w:outlineLvl w:val="1"/>
        <w:rPr>
          <w:rFonts w:ascii="宋体" w:hAnsi="宋体" w:cs="宋体"/>
          <w:b/>
          <w:color w:val="000000" w:themeColor="text1"/>
          <w:szCs w:val="21"/>
          <w14:textFill>
            <w14:solidFill>
              <w14:schemeClr w14:val="tx1"/>
            </w14:solidFill>
          </w14:textFill>
        </w:rPr>
      </w:pPr>
      <w:bookmarkStart w:id="2" w:name="_Toc35393621"/>
      <w:bookmarkStart w:id="3" w:name="_Toc28359079"/>
      <w:bookmarkStart w:id="4" w:name="_Toc24702"/>
      <w:bookmarkStart w:id="5" w:name="_Toc35393790"/>
      <w:bookmarkStart w:id="6" w:name="_Toc28359002"/>
      <w:bookmarkStart w:id="7" w:name="_Toc26074"/>
      <w:bookmarkStart w:id="8" w:name="_Toc17102"/>
      <w:bookmarkStart w:id="9" w:name="_Toc17275"/>
      <w:bookmarkStart w:id="10" w:name="_Hlk24379207"/>
      <w:r>
        <w:rPr>
          <w:rFonts w:hint="eastAsia" w:ascii="宋体" w:hAnsi="宋体" w:cs="宋体"/>
          <w:b/>
          <w:color w:val="000000" w:themeColor="text1"/>
          <w:szCs w:val="21"/>
          <w14:textFill>
            <w14:solidFill>
              <w14:schemeClr w14:val="tx1"/>
            </w14:solidFill>
          </w14:textFill>
        </w:rPr>
        <w:t>一、项目基本情况</w:t>
      </w:r>
      <w:bookmarkEnd w:id="2"/>
      <w:bookmarkEnd w:id="3"/>
      <w:bookmarkEnd w:id="4"/>
      <w:bookmarkEnd w:id="5"/>
      <w:bookmarkEnd w:id="6"/>
      <w:bookmarkEnd w:id="7"/>
      <w:bookmarkEnd w:id="8"/>
      <w:bookmarkEnd w:id="9"/>
    </w:p>
    <w:p>
      <w:pPr>
        <w:spacing w:line="440" w:lineRule="exact"/>
        <w:ind w:firstLine="422" w:firstLineChars="200"/>
        <w:rPr>
          <w:rFonts w:hint="eastAsia" w:ascii="宋体" w:hAnsi="宋体" w:cs="宋体"/>
          <w:szCs w:val="21"/>
        </w:rPr>
      </w:pPr>
      <w:r>
        <w:rPr>
          <w:rFonts w:hint="eastAsia" w:ascii="宋体" w:hAnsi="宋体" w:cs="宋体"/>
          <w:b/>
          <w:bCs/>
          <w:color w:val="000000" w:themeColor="text1"/>
          <w:szCs w:val="21"/>
          <w14:textFill>
            <w14:solidFill>
              <w14:schemeClr w14:val="tx1"/>
            </w14:solidFill>
          </w14:textFill>
        </w:rPr>
        <w:t>项目编号：</w:t>
      </w:r>
      <w:r>
        <w:rPr>
          <w:rFonts w:hint="eastAsia" w:ascii="宋体" w:hAnsi="宋体" w:cs="宋体"/>
          <w:color w:val="000000" w:themeColor="text1"/>
          <w:szCs w:val="21"/>
          <w14:textFill>
            <w14:solidFill>
              <w14:schemeClr w14:val="tx1"/>
            </w14:solidFill>
          </w14:textFill>
        </w:rPr>
        <w:t>SY2023-080-HW-GK</w:t>
      </w:r>
    </w:p>
    <w:p>
      <w:pPr>
        <w:ind w:firstLine="422" w:firstLineChars="200"/>
        <w:rPr>
          <w:rFonts w:hint="eastAsia" w:ascii="宋体" w:hAnsi="宋体" w:cs="宋体"/>
          <w:szCs w:val="21"/>
        </w:rPr>
      </w:pPr>
      <w:r>
        <w:rPr>
          <w:rFonts w:hint="eastAsia" w:ascii="宋体" w:hAnsi="宋体" w:cs="宋体"/>
          <w:b/>
          <w:bCs/>
          <w:color w:val="000000" w:themeColor="text1"/>
          <w:szCs w:val="21"/>
          <w14:textFill>
            <w14:solidFill>
              <w14:schemeClr w14:val="tx1"/>
            </w14:solidFill>
          </w14:textFill>
        </w:rPr>
        <w:t>项目名称：</w:t>
      </w:r>
      <w:r>
        <w:rPr>
          <w:rFonts w:hint="eastAsia" w:ascii="宋体" w:hAnsi="宋体" w:cs="宋体"/>
          <w:color w:val="000000" w:themeColor="text1"/>
          <w:szCs w:val="21"/>
          <w14:textFill>
            <w14:solidFill>
              <w14:schemeClr w14:val="tx1"/>
            </w14:solidFill>
          </w14:textFill>
        </w:rPr>
        <w:t>江苏医药职业学院多功能酶标仪采购项目</w:t>
      </w:r>
    </w:p>
    <w:p>
      <w:pPr>
        <w:spacing w:line="440" w:lineRule="exact"/>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项目预算（限价）：</w:t>
      </w:r>
      <w:r>
        <w:rPr>
          <w:rFonts w:hint="eastAsia" w:ascii="宋体" w:hAnsi="宋体" w:cs="宋体"/>
          <w:color w:val="000000" w:themeColor="text1"/>
          <w:szCs w:val="21"/>
          <w14:textFill>
            <w14:solidFill>
              <w14:schemeClr w14:val="tx1"/>
            </w14:solidFill>
          </w14:textFill>
        </w:rPr>
        <w:t>人民币</w:t>
      </w:r>
      <w:r>
        <w:rPr>
          <w:rFonts w:hint="eastAsia" w:ascii="宋体" w:hAnsi="宋体" w:cs="宋体"/>
          <w:color w:val="000000" w:themeColor="text1"/>
          <w:szCs w:val="21"/>
          <w:u w:val="single"/>
          <w:lang w:val="en-US" w:eastAsia="zh-CN"/>
          <w14:textFill>
            <w14:solidFill>
              <w14:schemeClr w14:val="tx1"/>
            </w14:solidFill>
          </w14:textFill>
        </w:rPr>
        <w:t>45</w:t>
      </w:r>
      <w:r>
        <w:rPr>
          <w:rFonts w:hint="eastAsia" w:ascii="宋体" w:hAnsi="宋体" w:cs="宋体"/>
          <w:color w:val="000000" w:themeColor="text1"/>
          <w:szCs w:val="21"/>
          <w14:textFill>
            <w14:solidFill>
              <w14:schemeClr w14:val="tx1"/>
            </w14:solidFill>
          </w14:textFill>
        </w:rPr>
        <w:t>万元（财政性资金）；报价超过最高限价的为无效报价，按照无效响应处理。</w:t>
      </w:r>
    </w:p>
    <w:p>
      <w:pPr>
        <w:spacing w:line="44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采购需求：</w:t>
      </w:r>
      <w:r>
        <w:rPr>
          <w:rFonts w:hint="eastAsia" w:ascii="宋体" w:hAnsi="宋体" w:cs="宋体"/>
          <w:color w:val="000000" w:themeColor="text1"/>
          <w:szCs w:val="21"/>
          <w14:textFill>
            <w14:solidFill>
              <w14:schemeClr w14:val="tx1"/>
            </w14:solidFill>
          </w14:textFill>
        </w:rPr>
        <w:t>因科研和教学需求，需采购多功能酶标仪，</w:t>
      </w:r>
      <w:r>
        <w:rPr>
          <w:rFonts w:hint="eastAsia" w:ascii="宋体" w:hAnsi="宋体" w:cs="宋体"/>
          <w:color w:val="000000" w:themeColor="text1"/>
          <w:szCs w:val="21"/>
          <w:lang w:val="en-US" w:eastAsia="zh-CN"/>
          <w14:textFill>
            <w14:solidFill>
              <w14:schemeClr w14:val="tx1"/>
            </w14:solidFill>
          </w14:textFill>
        </w:rPr>
        <w:t>详</w:t>
      </w:r>
      <w:r>
        <w:rPr>
          <w:rFonts w:hint="eastAsia" w:ascii="宋体" w:hAnsi="宋体" w:cs="宋体"/>
          <w:color w:val="000000" w:themeColor="text1"/>
          <w:szCs w:val="21"/>
          <w14:textFill>
            <w14:solidFill>
              <w14:schemeClr w14:val="tx1"/>
            </w14:solidFill>
          </w14:textFill>
        </w:rPr>
        <w:t>见采购需求部分；</w:t>
      </w:r>
    </w:p>
    <w:p>
      <w:pPr>
        <w:spacing w:line="440" w:lineRule="exact"/>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质保期：</w:t>
      </w:r>
      <w:r>
        <w:rPr>
          <w:rFonts w:hint="eastAsia" w:ascii="宋体" w:hAnsi="宋体" w:cs="宋体"/>
          <w:color w:val="000000" w:themeColor="text1"/>
          <w:szCs w:val="21"/>
          <w:lang w:val="en-US" w:eastAsia="zh-CN"/>
          <w14:textFill>
            <w14:solidFill>
              <w14:schemeClr w14:val="tx1"/>
            </w14:solidFill>
          </w14:textFill>
        </w:rPr>
        <w:t>壹</w:t>
      </w:r>
      <w:r>
        <w:rPr>
          <w:rFonts w:hint="eastAsia" w:ascii="宋体" w:hAnsi="宋体" w:cs="宋体"/>
          <w:color w:val="000000" w:themeColor="text1"/>
          <w:szCs w:val="21"/>
          <w14:textFill>
            <w14:solidFill>
              <w14:schemeClr w14:val="tx1"/>
            </w14:solidFill>
          </w14:textFill>
        </w:rPr>
        <w:t xml:space="preserve">年（质保期自验收合格之日起算）； </w:t>
      </w:r>
    </w:p>
    <w:bookmarkEnd w:id="10"/>
    <w:p>
      <w:pPr>
        <w:spacing w:line="440" w:lineRule="exact"/>
        <w:ind w:firstLine="422" w:firstLineChars="200"/>
        <w:rPr>
          <w:rFonts w:hint="eastAsia" w:ascii="宋体" w:hAnsi="宋体" w:cs="宋体"/>
          <w:color w:val="000000" w:themeColor="text1"/>
          <w:szCs w:val="21"/>
          <w14:textFill>
            <w14:solidFill>
              <w14:schemeClr w14:val="tx1"/>
            </w14:solidFill>
          </w14:textFill>
        </w:rPr>
      </w:pPr>
      <w:bookmarkStart w:id="11" w:name="_Toc28359080"/>
      <w:bookmarkStart w:id="12" w:name="_Toc35393622"/>
      <w:bookmarkStart w:id="13" w:name="_Toc35393791"/>
      <w:bookmarkStart w:id="14" w:name="_Toc28359003"/>
      <w:r>
        <w:rPr>
          <w:rFonts w:hint="eastAsia" w:ascii="宋体" w:hAnsi="宋体" w:cs="宋体"/>
          <w:b/>
          <w:bCs/>
          <w:color w:val="000000" w:themeColor="text1"/>
          <w:szCs w:val="21"/>
          <w:lang w:val="en-US" w:eastAsia="zh-CN"/>
          <w14:textFill>
            <w14:solidFill>
              <w14:schemeClr w14:val="tx1"/>
            </w14:solidFill>
          </w14:textFill>
        </w:rPr>
        <w:t>交货期：</w:t>
      </w:r>
      <w:r>
        <w:rPr>
          <w:rFonts w:hint="eastAsia" w:ascii="宋体" w:hAnsi="宋体" w:cs="宋体"/>
          <w:color w:val="000000" w:themeColor="text1"/>
          <w:szCs w:val="21"/>
          <w14:textFill>
            <w14:solidFill>
              <w14:schemeClr w14:val="tx1"/>
            </w14:solidFill>
          </w14:textFill>
        </w:rPr>
        <w:t>合同签订后1</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0日历天内生产、供货、安装、调试完毕。</w:t>
      </w:r>
    </w:p>
    <w:p>
      <w:pPr>
        <w:pStyle w:val="29"/>
        <w:spacing w:line="440" w:lineRule="exact"/>
        <w:ind w:firstLine="482"/>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本项目</w:t>
      </w:r>
      <w:r>
        <w:rPr>
          <w:rFonts w:hint="eastAsia" w:ascii="宋体" w:hAnsi="宋体" w:eastAsia="宋体" w:cs="宋体"/>
          <w:b/>
          <w:bCs/>
          <w:color w:val="000000" w:themeColor="text1"/>
          <w:kern w:val="2"/>
          <w:sz w:val="21"/>
          <w:szCs w:val="21"/>
          <w:u w:val="single"/>
          <w:lang w:val="en-US" w:eastAsia="zh-CN" w:bidi="ar-SA"/>
          <w14:textFill>
            <w14:solidFill>
              <w14:schemeClr w14:val="tx1"/>
            </w14:solidFill>
          </w14:textFill>
        </w:rPr>
        <w:t>接受</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进口产品投标（注：本文件所称进口产品是指通过中国海关报关验放进入中国境内且产自关境外的产品），不限制满足招标文件要求的国内产品参与竞争。</w:t>
      </w:r>
    </w:p>
    <w:p>
      <w:pPr>
        <w:pStyle w:val="29"/>
        <w:spacing w:line="440" w:lineRule="exact"/>
        <w:ind w:left="420" w:leftChars="200" w:firstLine="0" w:firstLineChars="0"/>
        <w:rPr>
          <w:rFonts w:hint="default"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本项目</w:t>
      </w:r>
      <w:r>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t>不接受</w:t>
      </w:r>
      <w:r>
        <w:rPr>
          <w:rFonts w:hint="eastAsia" w:ascii="宋体" w:hAnsi="宋体" w:eastAsia="宋体" w:cs="宋体"/>
          <w:color w:val="000000" w:themeColor="text1"/>
          <w:kern w:val="2"/>
          <w:sz w:val="21"/>
          <w:szCs w:val="21"/>
          <w:lang w:val="en-US" w:eastAsia="zh-CN" w:bidi="ar-SA"/>
          <w14:textFill>
            <w14:solidFill>
              <w14:schemeClr w14:val="tx1"/>
            </w14:solidFill>
          </w14:textFill>
        </w:rPr>
        <w:t>联合体参与投标</w:t>
      </w:r>
      <w:r>
        <w:rPr>
          <w:rFonts w:hint="eastAsia" w:eastAsia="宋体" w:cs="宋体"/>
          <w:color w:val="000000" w:themeColor="text1"/>
          <w:kern w:val="2"/>
          <w:sz w:val="21"/>
          <w:szCs w:val="21"/>
          <w:lang w:val="en-US" w:eastAsia="zh-CN" w:bidi="ar-SA"/>
          <w14:textFill>
            <w14:solidFill>
              <w14:schemeClr w14:val="tx1"/>
            </w14:solidFill>
          </w14:textFill>
        </w:rPr>
        <w:t>。</w:t>
      </w:r>
    </w:p>
    <w:p>
      <w:pPr>
        <w:pStyle w:val="29"/>
        <w:spacing w:line="440" w:lineRule="exact"/>
        <w:ind w:firstLine="211" w:firstLineChars="100"/>
        <w:outlineLvl w:val="1"/>
        <w:rPr>
          <w:rFonts w:hint="eastAsia" w:ascii="宋体" w:hAnsi="宋体" w:eastAsia="宋体" w:cs="宋体"/>
          <w:b/>
          <w:color w:val="000000" w:themeColor="text1"/>
          <w:kern w:val="2"/>
          <w:sz w:val="21"/>
          <w:szCs w:val="21"/>
          <w:lang w:val="en-US" w:eastAsia="zh-CN" w:bidi="ar-SA"/>
          <w14:textFill>
            <w14:solidFill>
              <w14:schemeClr w14:val="tx1"/>
            </w14:solidFill>
          </w14:textFill>
        </w:rPr>
      </w:pPr>
      <w:bookmarkStart w:id="15" w:name="_Toc17584"/>
      <w:bookmarkStart w:id="16" w:name="_Toc4706"/>
      <w:bookmarkStart w:id="17" w:name="_Toc18818"/>
      <w:bookmarkStart w:id="18" w:name="_Toc6307"/>
      <w:r>
        <w:rPr>
          <w:rFonts w:hint="eastAsia" w:ascii="宋体" w:hAnsi="宋体" w:eastAsia="宋体" w:cs="宋体"/>
          <w:b/>
          <w:color w:val="000000" w:themeColor="text1"/>
          <w:kern w:val="2"/>
          <w:sz w:val="21"/>
          <w:szCs w:val="21"/>
          <w:lang w:val="en-US" w:eastAsia="zh-CN" w:bidi="ar-SA"/>
          <w14:textFill>
            <w14:solidFill>
              <w14:schemeClr w14:val="tx1"/>
            </w14:solidFill>
          </w14:textFill>
        </w:rPr>
        <w:t>二、申请人的资格要求（</w:t>
      </w:r>
      <w:r>
        <w:rPr>
          <w:rFonts w:hint="eastAsia" w:cs="宋体"/>
          <w:b/>
          <w:color w:val="000000" w:themeColor="text1"/>
          <w:kern w:val="2"/>
          <w:sz w:val="21"/>
          <w:szCs w:val="21"/>
          <w:lang w:val="en-US" w:eastAsia="zh-CN" w:bidi="ar-SA"/>
          <w14:textFill>
            <w14:solidFill>
              <w14:schemeClr w14:val="tx1"/>
            </w14:solidFill>
          </w14:textFill>
        </w:rPr>
        <w:t>投标供应商</w:t>
      </w:r>
      <w:r>
        <w:rPr>
          <w:rFonts w:hint="eastAsia" w:ascii="宋体" w:hAnsi="宋体" w:eastAsia="宋体" w:cs="宋体"/>
          <w:b/>
          <w:color w:val="000000" w:themeColor="text1"/>
          <w:kern w:val="2"/>
          <w:sz w:val="21"/>
          <w:szCs w:val="21"/>
          <w:lang w:val="en-US" w:eastAsia="zh-CN" w:bidi="ar-SA"/>
          <w14:textFill>
            <w14:solidFill>
              <w14:schemeClr w14:val="tx1"/>
            </w14:solidFill>
          </w14:textFill>
        </w:rPr>
        <w:t>的资格要求）：</w:t>
      </w:r>
      <w:bookmarkEnd w:id="11"/>
      <w:bookmarkEnd w:id="12"/>
      <w:bookmarkEnd w:id="13"/>
      <w:bookmarkEnd w:id="14"/>
      <w:bookmarkEnd w:id="15"/>
      <w:bookmarkEnd w:id="16"/>
      <w:bookmarkEnd w:id="17"/>
      <w:bookmarkEnd w:id="18"/>
    </w:p>
    <w:p>
      <w:pPr>
        <w:spacing w:line="276" w:lineRule="auto"/>
        <w:ind w:firstLine="420" w:firstLineChars="200"/>
        <w:rPr>
          <w:rFonts w:ascii="宋体" w:hAnsi="宋体" w:cs="宋体"/>
          <w:szCs w:val="21"/>
        </w:rPr>
      </w:pPr>
      <w:bookmarkStart w:id="19" w:name="_Toc28359004"/>
      <w:bookmarkStart w:id="20" w:name="_Toc28359081"/>
      <w:bookmarkStart w:id="21" w:name="_Toc35393792"/>
      <w:bookmarkStart w:id="22" w:name="_Toc35393623"/>
      <w:bookmarkStart w:id="23" w:name="_Toc6413"/>
      <w:r>
        <w:rPr>
          <w:rFonts w:hint="eastAsia" w:ascii="宋体" w:hAnsi="宋体" w:cs="宋体"/>
          <w:szCs w:val="21"/>
        </w:rPr>
        <w:t>1.满足《中华人民共和国政府采购法》第二十二条规定，并提供下列材料：</w:t>
      </w:r>
    </w:p>
    <w:p>
      <w:pPr>
        <w:spacing w:line="276" w:lineRule="auto"/>
        <w:ind w:firstLine="420" w:firstLineChars="200"/>
        <w:rPr>
          <w:rFonts w:ascii="宋体" w:hAnsi="宋体" w:cs="宋体"/>
          <w:szCs w:val="21"/>
        </w:rPr>
      </w:pPr>
      <w:r>
        <w:rPr>
          <w:rFonts w:hint="eastAsia" w:ascii="宋体" w:hAnsi="宋体" w:cs="宋体"/>
          <w:szCs w:val="21"/>
        </w:rPr>
        <w:t>1.1具有独立承担民事责任的能力；</w:t>
      </w:r>
    </w:p>
    <w:p>
      <w:pPr>
        <w:spacing w:line="276" w:lineRule="auto"/>
        <w:ind w:firstLine="420" w:firstLineChars="200"/>
        <w:rPr>
          <w:rFonts w:ascii="宋体" w:hAnsi="宋体" w:cs="宋体"/>
          <w:szCs w:val="21"/>
        </w:rPr>
      </w:pPr>
      <w:r>
        <w:rPr>
          <w:rFonts w:hint="eastAsia" w:ascii="宋体" w:hAnsi="宋体" w:cs="宋体"/>
          <w:szCs w:val="21"/>
        </w:rPr>
        <w:t>1.2具有良好的商业信誉和健全的财务会计制度；</w:t>
      </w:r>
    </w:p>
    <w:p>
      <w:pPr>
        <w:spacing w:line="276" w:lineRule="auto"/>
        <w:ind w:firstLine="420" w:firstLineChars="200"/>
        <w:rPr>
          <w:rFonts w:ascii="宋体" w:hAnsi="宋体" w:cs="宋体"/>
          <w:szCs w:val="21"/>
        </w:rPr>
      </w:pPr>
      <w:r>
        <w:rPr>
          <w:rFonts w:hint="eastAsia" w:ascii="宋体" w:hAnsi="宋体" w:cs="宋体"/>
          <w:szCs w:val="21"/>
        </w:rPr>
        <w:t>1.3具有履行合同所必需的设备和专业技术能力；</w:t>
      </w:r>
    </w:p>
    <w:p>
      <w:pPr>
        <w:spacing w:line="276" w:lineRule="auto"/>
        <w:ind w:firstLine="420" w:firstLineChars="200"/>
        <w:rPr>
          <w:rFonts w:ascii="宋体" w:hAnsi="宋体" w:cs="宋体"/>
          <w:szCs w:val="21"/>
        </w:rPr>
      </w:pPr>
      <w:r>
        <w:rPr>
          <w:rFonts w:hint="eastAsia" w:ascii="宋体" w:hAnsi="宋体" w:cs="宋体"/>
          <w:szCs w:val="21"/>
        </w:rPr>
        <w:t>1.4有依法缴纳税收和社会保障资金的良好记录；</w:t>
      </w:r>
    </w:p>
    <w:p>
      <w:pPr>
        <w:spacing w:line="276" w:lineRule="auto"/>
        <w:ind w:firstLine="420" w:firstLineChars="200"/>
        <w:rPr>
          <w:rFonts w:ascii="宋体" w:hAnsi="宋体" w:cs="宋体"/>
          <w:szCs w:val="21"/>
        </w:rPr>
      </w:pPr>
      <w:r>
        <w:rPr>
          <w:rFonts w:hint="eastAsia" w:ascii="宋体" w:hAnsi="宋体" w:cs="宋体"/>
          <w:szCs w:val="21"/>
        </w:rPr>
        <w:t>1.5参加政府采购活动前三年内，在经营活动中没有重大违法记录。</w:t>
      </w:r>
    </w:p>
    <w:p>
      <w:pPr>
        <w:spacing w:line="276" w:lineRule="auto"/>
        <w:ind w:firstLine="420" w:firstLineChars="200"/>
        <w:rPr>
          <w:rFonts w:ascii="宋体" w:hAnsi="宋体" w:cs="宋体"/>
          <w:szCs w:val="21"/>
        </w:rPr>
      </w:pPr>
      <w:r>
        <w:rPr>
          <w:rFonts w:hint="eastAsia" w:ascii="宋体" w:hAnsi="宋体" w:cs="宋体"/>
          <w:szCs w:val="21"/>
        </w:rPr>
        <w:t>1.6法律、行政法规规定的其他条件。</w:t>
      </w:r>
    </w:p>
    <w:p>
      <w:pPr>
        <w:spacing w:line="336" w:lineRule="auto"/>
        <w:ind w:firstLine="420" w:firstLineChars="200"/>
        <w:rPr>
          <w:rFonts w:hint="default" w:ascii="宋体" w:hAnsi="宋体" w:cs="宋体"/>
          <w:b w:val="0"/>
          <w:bCs/>
          <w:szCs w:val="21"/>
          <w:lang w:val="en-US"/>
        </w:rPr>
      </w:pPr>
      <w:r>
        <w:rPr>
          <w:rFonts w:hint="eastAsia" w:ascii="宋体" w:hAnsi="宋体" w:cs="宋体"/>
          <w:szCs w:val="21"/>
        </w:rPr>
        <w:t>2.落实政府采购政策需满足的资格要求</w:t>
      </w:r>
      <w:r>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t>：</w:t>
      </w:r>
      <w:r>
        <w:rPr>
          <w:rFonts w:hint="eastAsia" w:ascii="宋体" w:hAnsi="宋体" w:cs="宋体"/>
          <w:b w:val="0"/>
          <w:bCs/>
          <w:color w:val="000000" w:themeColor="text1"/>
          <w:kern w:val="2"/>
          <w:sz w:val="21"/>
          <w:szCs w:val="21"/>
          <w:lang w:val="en-US" w:eastAsia="zh-CN" w:bidi="ar-SA"/>
          <w14:textFill>
            <w14:solidFill>
              <w14:schemeClr w14:val="tx1"/>
            </w14:solidFill>
          </w14:textFill>
        </w:rPr>
        <w:t>无。</w:t>
      </w:r>
    </w:p>
    <w:p>
      <w:pPr>
        <w:spacing w:line="276"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本项目的特定资格要求：</w:t>
      </w:r>
    </w:p>
    <w:p>
      <w:pPr>
        <w:spacing w:line="276"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所投货物涉及进口产品时，提供进口货物生产厂家针对本项目的授权书原件，如进口货物授权为在中华人民共和国境内销售的授权代理商（以下简称“进口代理”）授权，须同时提供生产厂家对“进口代理”的授权书，保证从生产厂家到投标代理人授权链的真实完整有效。如授权书为外文的，须附由翻译公司翻译的中文译本。</w:t>
      </w:r>
    </w:p>
    <w:p>
      <w:pPr>
        <w:spacing w:line="276" w:lineRule="auto"/>
        <w:ind w:firstLine="420" w:firstLineChars="200"/>
      </w:pPr>
      <w:r>
        <w:rPr>
          <w:rFonts w:hint="eastAsia" w:ascii="宋体" w:hAnsi="宋体" w:cs="宋体"/>
          <w:szCs w:val="21"/>
        </w:rPr>
        <w:t>4.供应商未被“信用中国”网站(www.creditchina.gov.cn)、“中国政府采购网”(www.ccgp.gov.cn)列入失信被执行人、重大税收违法案件当事人名单、政府采购严重违法失信行为记录名单。</w:t>
      </w:r>
    </w:p>
    <w:p>
      <w:pPr>
        <w:spacing w:line="440" w:lineRule="exact"/>
        <w:outlineLvl w:val="1"/>
        <w:rPr>
          <w:rFonts w:ascii="宋体" w:hAnsi="宋体" w:cs="宋体"/>
          <w:b/>
          <w:color w:val="000000" w:themeColor="text1"/>
          <w:szCs w:val="21"/>
          <w14:textFill>
            <w14:solidFill>
              <w14:schemeClr w14:val="tx1"/>
            </w14:solidFill>
          </w14:textFill>
        </w:rPr>
      </w:pPr>
      <w:bookmarkStart w:id="24" w:name="_Toc7411"/>
      <w:bookmarkStart w:id="25" w:name="_Toc24500"/>
      <w:bookmarkStart w:id="26" w:name="_Toc5366"/>
      <w:r>
        <w:rPr>
          <w:rFonts w:hint="eastAsia" w:ascii="宋体" w:hAnsi="宋体" w:cs="宋体"/>
          <w:b/>
          <w:color w:val="000000" w:themeColor="text1"/>
          <w:szCs w:val="21"/>
          <w14:textFill>
            <w14:solidFill>
              <w14:schemeClr w14:val="tx1"/>
            </w14:solidFill>
          </w14:textFill>
        </w:rPr>
        <w:t>三、获取招标文件</w:t>
      </w:r>
      <w:bookmarkEnd w:id="19"/>
      <w:bookmarkEnd w:id="20"/>
      <w:bookmarkEnd w:id="21"/>
      <w:bookmarkEnd w:id="22"/>
      <w:bookmarkEnd w:id="23"/>
      <w:bookmarkEnd w:id="24"/>
      <w:bookmarkEnd w:id="25"/>
      <w:bookmarkEnd w:id="26"/>
    </w:p>
    <w:p>
      <w:pPr>
        <w:spacing w:line="440" w:lineRule="exact"/>
        <w:ind w:firstLine="420" w:firstLineChars="200"/>
        <w:jc w:val="left"/>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r>
        <w:rPr>
          <w:rFonts w:hint="eastAsia" w:ascii="宋体" w:hAnsi="宋体" w:cs="宋体"/>
          <w:b/>
          <w:bCs/>
          <w:color w:val="000000" w:themeColor="text1"/>
          <w:szCs w:val="21"/>
          <w:u w:val="single"/>
          <w14:textFill>
            <w14:solidFill>
              <w14:schemeClr w14:val="tx1"/>
            </w14:solidFill>
          </w14:textFill>
        </w:rPr>
        <w:t>2023年</w:t>
      </w:r>
      <w:r>
        <w:rPr>
          <w:rFonts w:hint="eastAsia" w:ascii="宋体" w:hAnsi="宋体" w:cs="宋体"/>
          <w:b/>
          <w:bCs/>
          <w:color w:val="000000" w:themeColor="text1"/>
          <w:szCs w:val="21"/>
          <w:u w:val="single"/>
          <w:lang w:val="en-US" w:eastAsia="zh-CN"/>
          <w14:textFill>
            <w14:solidFill>
              <w14:schemeClr w14:val="tx1"/>
            </w14:solidFill>
          </w14:textFill>
        </w:rPr>
        <w:t>12</w:t>
      </w:r>
      <w:r>
        <w:rPr>
          <w:rFonts w:hint="eastAsia" w:ascii="宋体" w:hAnsi="宋体" w:cs="宋体"/>
          <w:b/>
          <w:bCs/>
          <w:color w:val="000000" w:themeColor="text1"/>
          <w:szCs w:val="21"/>
          <w:u w:val="single"/>
          <w14:textFill>
            <w14:solidFill>
              <w14:schemeClr w14:val="tx1"/>
            </w14:solidFill>
          </w14:textFill>
        </w:rPr>
        <w:t>月</w:t>
      </w:r>
      <w:r>
        <w:rPr>
          <w:rFonts w:hint="eastAsia" w:ascii="宋体" w:hAnsi="宋体" w:cs="宋体"/>
          <w:b/>
          <w:bCs/>
          <w:color w:val="000000" w:themeColor="text1"/>
          <w:szCs w:val="21"/>
          <w:u w:val="single"/>
          <w:lang w:val="en-US" w:eastAsia="zh-CN"/>
          <w14:textFill>
            <w14:solidFill>
              <w14:schemeClr w14:val="tx1"/>
            </w14:solidFill>
          </w14:textFill>
        </w:rPr>
        <w:t>05</w:t>
      </w:r>
      <w:r>
        <w:rPr>
          <w:rFonts w:hint="eastAsia" w:ascii="宋体" w:hAnsi="宋体" w:cs="宋体"/>
          <w:b/>
          <w:bCs/>
          <w:color w:val="000000" w:themeColor="text1"/>
          <w:szCs w:val="21"/>
          <w:u w:val="single"/>
          <w14:textFill>
            <w14:solidFill>
              <w14:schemeClr w14:val="tx1"/>
            </w14:solidFill>
          </w14:textFill>
        </w:rPr>
        <w:t>日至2023年</w:t>
      </w:r>
      <w:r>
        <w:rPr>
          <w:rFonts w:hint="eastAsia" w:ascii="宋体" w:hAnsi="宋体" w:cs="宋体"/>
          <w:b/>
          <w:bCs/>
          <w:color w:val="000000" w:themeColor="text1"/>
          <w:szCs w:val="21"/>
          <w:u w:val="single"/>
          <w:lang w:val="en-US" w:eastAsia="zh-CN"/>
          <w14:textFill>
            <w14:solidFill>
              <w14:schemeClr w14:val="tx1"/>
            </w14:solidFill>
          </w14:textFill>
        </w:rPr>
        <w:t>12</w:t>
      </w:r>
      <w:r>
        <w:rPr>
          <w:rFonts w:hint="eastAsia" w:ascii="宋体" w:hAnsi="宋体" w:cs="宋体"/>
          <w:b/>
          <w:bCs/>
          <w:color w:val="000000" w:themeColor="text1"/>
          <w:szCs w:val="21"/>
          <w:u w:val="single"/>
          <w14:textFill>
            <w14:solidFill>
              <w14:schemeClr w14:val="tx1"/>
            </w14:solidFill>
          </w14:textFill>
        </w:rPr>
        <w:t>月</w:t>
      </w:r>
      <w:r>
        <w:rPr>
          <w:rFonts w:hint="eastAsia" w:ascii="宋体" w:hAnsi="宋体" w:cs="宋体"/>
          <w:b/>
          <w:bCs/>
          <w:color w:val="000000" w:themeColor="text1"/>
          <w:szCs w:val="21"/>
          <w:u w:val="single"/>
          <w:lang w:val="en-US" w:eastAsia="zh-CN"/>
          <w14:textFill>
            <w14:solidFill>
              <w14:schemeClr w14:val="tx1"/>
            </w14:solidFill>
          </w14:textFill>
        </w:rPr>
        <w:t>11</w:t>
      </w:r>
      <w:r>
        <w:rPr>
          <w:rFonts w:hint="eastAsia" w:ascii="宋体" w:hAnsi="宋体" w:cs="宋体"/>
          <w:b/>
          <w:bCs/>
          <w:color w:val="000000" w:themeColor="text1"/>
          <w:szCs w:val="21"/>
          <w:u w:val="single"/>
          <w14:textFill>
            <w14:solidFill>
              <w14:schemeClr w14:val="tx1"/>
            </w14:solidFill>
          </w14:textFill>
        </w:rPr>
        <w:t>日</w:t>
      </w:r>
      <w:r>
        <w:rPr>
          <w:rFonts w:hint="eastAsia" w:ascii="宋体" w:hAnsi="宋体" w:cs="宋体"/>
          <w:b/>
          <w:bCs/>
          <w:color w:val="000000" w:themeColor="text1"/>
          <w:szCs w:val="21"/>
          <w14:textFill>
            <w14:solidFill>
              <w14:schemeClr w14:val="tx1"/>
            </w14:solidFill>
          </w14:textFill>
        </w:rPr>
        <w:t>（每个工作日的9时至12时，15时至18时）</w:t>
      </w:r>
    </w:p>
    <w:p>
      <w:pPr>
        <w:spacing w:line="44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地点：盐城市府西路华邦国际西厦A302室（3楼东区）</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方式：</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凭加盖公章的《采购文件领购登记表》（见公告附件）、营业执照（复印件即可）到携手阳光公司领购（地址见本公告。注:未领购的任何单位或个人没有参与权以及相关知情权）</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售价：400元，售后不退；交纳方式：现金、支付宝（18662096009）等。</w:t>
      </w:r>
    </w:p>
    <w:p>
      <w:pPr>
        <w:spacing w:line="440" w:lineRule="exact"/>
        <w:outlineLvl w:val="1"/>
        <w:rPr>
          <w:rFonts w:ascii="宋体" w:hAnsi="宋体" w:cs="宋体"/>
          <w:b/>
          <w:color w:val="000000" w:themeColor="text1"/>
          <w:szCs w:val="21"/>
          <w14:textFill>
            <w14:solidFill>
              <w14:schemeClr w14:val="tx1"/>
            </w14:solidFill>
          </w14:textFill>
        </w:rPr>
      </w:pPr>
      <w:bookmarkStart w:id="27" w:name="_Toc28359082"/>
      <w:bookmarkStart w:id="28" w:name="_Toc28359005"/>
      <w:bookmarkStart w:id="29" w:name="_Toc13170"/>
      <w:bookmarkStart w:id="30" w:name="_Toc629"/>
      <w:bookmarkStart w:id="31" w:name="_Toc35393624"/>
      <w:bookmarkStart w:id="32" w:name="_Toc35393793"/>
      <w:bookmarkStart w:id="33" w:name="_Toc2803"/>
      <w:bookmarkStart w:id="34" w:name="_Toc15002"/>
      <w:r>
        <w:rPr>
          <w:rFonts w:hint="eastAsia" w:ascii="宋体" w:hAnsi="宋体" w:cs="宋体"/>
          <w:b/>
          <w:color w:val="000000" w:themeColor="text1"/>
          <w:szCs w:val="21"/>
          <w14:textFill>
            <w14:solidFill>
              <w14:schemeClr w14:val="tx1"/>
            </w14:solidFill>
          </w14:textFill>
        </w:rPr>
        <w:t>四、提交投标文件</w:t>
      </w:r>
      <w:bookmarkEnd w:id="27"/>
      <w:bookmarkEnd w:id="28"/>
      <w:r>
        <w:rPr>
          <w:rFonts w:hint="eastAsia" w:ascii="宋体" w:hAnsi="宋体" w:cs="宋体"/>
          <w:b/>
          <w:color w:val="000000" w:themeColor="text1"/>
          <w:szCs w:val="21"/>
          <w14:textFill>
            <w14:solidFill>
              <w14:schemeClr w14:val="tx1"/>
            </w14:solidFill>
          </w14:textFill>
        </w:rPr>
        <w:t>截止时间（</w:t>
      </w:r>
      <w:r>
        <w:rPr>
          <w:rFonts w:hint="eastAsia" w:ascii="宋体" w:hAnsi="宋体" w:cs="宋体"/>
          <w:b/>
          <w:color w:val="000000" w:themeColor="text1"/>
          <w:kern w:val="0"/>
          <w:szCs w:val="21"/>
          <w14:textFill>
            <w14:solidFill>
              <w14:schemeClr w14:val="tx1"/>
            </w14:solidFill>
          </w14:textFill>
        </w:rPr>
        <w:t>投标截止时间）</w:t>
      </w:r>
      <w:r>
        <w:rPr>
          <w:rFonts w:hint="eastAsia" w:ascii="宋体" w:hAnsi="宋体" w:cs="宋体"/>
          <w:b/>
          <w:color w:val="000000" w:themeColor="text1"/>
          <w:szCs w:val="21"/>
          <w14:textFill>
            <w14:solidFill>
              <w14:schemeClr w14:val="tx1"/>
            </w14:solidFill>
          </w14:textFill>
        </w:rPr>
        <w:t>、开标时间和地点</w:t>
      </w:r>
      <w:bookmarkEnd w:id="29"/>
      <w:bookmarkEnd w:id="30"/>
      <w:bookmarkEnd w:id="31"/>
      <w:bookmarkEnd w:id="32"/>
      <w:bookmarkEnd w:id="33"/>
      <w:bookmarkEnd w:id="34"/>
    </w:p>
    <w:p>
      <w:pPr>
        <w:spacing w:line="440" w:lineRule="exact"/>
        <w:ind w:firstLine="422" w:firstLineChars="200"/>
        <w:rPr>
          <w:rFonts w:ascii="宋体" w:hAnsi="宋体" w:cs="宋体"/>
          <w:b/>
          <w:color w:val="000000" w:themeColor="text1"/>
          <w:szCs w:val="21"/>
          <w:u w:val="single"/>
          <w14:textFill>
            <w14:solidFill>
              <w14:schemeClr w14:val="tx1"/>
            </w14:solidFill>
          </w14:textFill>
        </w:rPr>
      </w:pPr>
      <w:r>
        <w:rPr>
          <w:rFonts w:hint="eastAsia" w:ascii="宋体" w:hAnsi="宋体" w:cs="宋体"/>
          <w:b/>
          <w:bCs/>
          <w:color w:val="000000" w:themeColor="text1"/>
          <w:szCs w:val="21"/>
          <w:u w:val="single"/>
          <w14:textFill>
            <w14:solidFill>
              <w14:schemeClr w14:val="tx1"/>
            </w14:solidFill>
          </w14:textFill>
        </w:rPr>
        <w:t>时间：2023年</w:t>
      </w:r>
      <w:r>
        <w:rPr>
          <w:rFonts w:hint="eastAsia" w:ascii="宋体" w:hAnsi="宋体" w:cs="宋体"/>
          <w:b/>
          <w:bCs/>
          <w:color w:val="000000" w:themeColor="text1"/>
          <w:szCs w:val="21"/>
          <w:u w:val="single"/>
          <w:lang w:val="en-US" w:eastAsia="zh-CN"/>
          <w14:textFill>
            <w14:solidFill>
              <w14:schemeClr w14:val="tx1"/>
            </w14:solidFill>
          </w14:textFill>
        </w:rPr>
        <w:t>12</w:t>
      </w:r>
      <w:r>
        <w:rPr>
          <w:rFonts w:hint="eastAsia" w:ascii="宋体" w:hAnsi="宋体" w:cs="宋体"/>
          <w:b/>
          <w:bCs/>
          <w:color w:val="000000" w:themeColor="text1"/>
          <w:szCs w:val="21"/>
          <w:u w:val="single"/>
          <w14:textFill>
            <w14:solidFill>
              <w14:schemeClr w14:val="tx1"/>
            </w14:solidFill>
          </w14:textFill>
        </w:rPr>
        <w:t>月</w:t>
      </w:r>
      <w:r>
        <w:rPr>
          <w:rFonts w:hint="eastAsia" w:ascii="宋体" w:hAnsi="宋体" w:cs="宋体"/>
          <w:b/>
          <w:bCs/>
          <w:color w:val="000000" w:themeColor="text1"/>
          <w:szCs w:val="21"/>
          <w:u w:val="single"/>
          <w:lang w:val="en-US" w:eastAsia="zh-CN"/>
          <w14:textFill>
            <w14:solidFill>
              <w14:schemeClr w14:val="tx1"/>
            </w14:solidFill>
          </w14:textFill>
        </w:rPr>
        <w:t>15</w:t>
      </w:r>
      <w:r>
        <w:rPr>
          <w:rFonts w:hint="eastAsia" w:ascii="宋体" w:hAnsi="宋体" w:cs="宋体"/>
          <w:b/>
          <w:bCs/>
          <w:color w:val="000000" w:themeColor="text1"/>
          <w:szCs w:val="21"/>
          <w:u w:val="single"/>
          <w14:textFill>
            <w14:solidFill>
              <w14:schemeClr w14:val="tx1"/>
            </w14:solidFill>
          </w14:textFill>
        </w:rPr>
        <w:t>日</w:t>
      </w:r>
      <w:r>
        <w:rPr>
          <w:rFonts w:hint="eastAsia" w:ascii="宋体" w:hAnsi="宋体" w:cs="宋体"/>
          <w:b/>
          <w:bCs/>
          <w:color w:val="000000" w:themeColor="text1"/>
          <w:szCs w:val="21"/>
          <w:u w:val="single"/>
          <w:lang w:val="en-US" w:eastAsia="zh-CN"/>
          <w14:textFill>
            <w14:solidFill>
              <w14:schemeClr w14:val="tx1"/>
            </w14:solidFill>
          </w14:textFill>
        </w:rPr>
        <w:t>15</w:t>
      </w:r>
      <w:r>
        <w:rPr>
          <w:rFonts w:hint="eastAsia" w:ascii="宋体" w:hAnsi="宋体" w:cs="宋体"/>
          <w:b/>
          <w:bCs/>
          <w:color w:val="000000" w:themeColor="text1"/>
          <w:szCs w:val="21"/>
          <w:u w:val="single"/>
          <w14:textFill>
            <w14:solidFill>
              <w14:schemeClr w14:val="tx1"/>
            </w14:solidFill>
          </w14:textFill>
        </w:rPr>
        <w:t>点</w:t>
      </w:r>
      <w:r>
        <w:rPr>
          <w:rFonts w:hint="eastAsia" w:ascii="宋体" w:hAnsi="宋体" w:cs="宋体"/>
          <w:b/>
          <w:bCs/>
          <w:color w:val="000000" w:themeColor="text1"/>
          <w:szCs w:val="21"/>
          <w:u w:val="single"/>
          <w:lang w:val="en-US" w:eastAsia="zh-CN"/>
          <w14:textFill>
            <w14:solidFill>
              <w14:schemeClr w14:val="tx1"/>
            </w14:solidFill>
          </w14:textFill>
        </w:rPr>
        <w:t>00</w:t>
      </w:r>
      <w:r>
        <w:rPr>
          <w:rFonts w:hint="eastAsia" w:ascii="宋体" w:hAnsi="宋体" w:cs="宋体"/>
          <w:b/>
          <w:bCs/>
          <w:color w:val="000000" w:themeColor="text1"/>
          <w:szCs w:val="21"/>
          <w:u w:val="single"/>
          <w14:textFill>
            <w14:solidFill>
              <w14:schemeClr w14:val="tx1"/>
            </w14:solidFill>
          </w14:textFill>
        </w:rPr>
        <w:t>分（北京时间）</w:t>
      </w:r>
      <w:r>
        <w:rPr>
          <w:rFonts w:hint="eastAsia" w:ascii="宋体" w:hAnsi="宋体" w:cs="宋体"/>
          <w:b/>
          <w:color w:val="000000" w:themeColor="text1"/>
          <w:szCs w:val="21"/>
          <w14:textFill>
            <w14:solidFill>
              <w14:schemeClr w14:val="tx1"/>
            </w14:solidFill>
          </w14:textFill>
        </w:rPr>
        <w:t>（逾期送达的为无效文件）</w:t>
      </w:r>
    </w:p>
    <w:p>
      <w:pPr>
        <w:spacing w:line="440" w:lineRule="exact"/>
        <w:ind w:firstLine="422" w:firstLineChars="200"/>
        <w:rPr>
          <w:rFonts w:ascii="宋体" w:hAnsi="宋体" w:cs="宋体"/>
          <w:b/>
          <w:bCs/>
          <w:color w:val="000000" w:themeColor="text1"/>
          <w:szCs w:val="21"/>
          <w:u w:val="single"/>
          <w14:textFill>
            <w14:solidFill>
              <w14:schemeClr w14:val="tx1"/>
            </w14:solidFill>
          </w14:textFill>
        </w:rPr>
      </w:pPr>
      <w:r>
        <w:rPr>
          <w:rFonts w:hint="eastAsia" w:ascii="宋体" w:hAnsi="宋体" w:cs="宋体"/>
          <w:b/>
          <w:bCs/>
          <w:color w:val="000000" w:themeColor="text1"/>
          <w:szCs w:val="21"/>
          <w:u w:val="single"/>
          <w14:textFill>
            <w14:solidFill>
              <w14:schemeClr w14:val="tx1"/>
            </w14:solidFill>
          </w14:textFill>
        </w:rPr>
        <w:t>地点：江苏医药职业学院（盐城市解放南路283号）行政楼210室。</w:t>
      </w:r>
    </w:p>
    <w:p>
      <w:pPr>
        <w:spacing w:line="440" w:lineRule="exact"/>
        <w:outlineLvl w:val="1"/>
        <w:rPr>
          <w:rFonts w:ascii="宋体" w:hAnsi="宋体" w:cs="宋体"/>
          <w:b/>
          <w:color w:val="000000" w:themeColor="text1"/>
          <w:szCs w:val="21"/>
          <w14:textFill>
            <w14:solidFill>
              <w14:schemeClr w14:val="tx1"/>
            </w14:solidFill>
          </w14:textFill>
        </w:rPr>
      </w:pPr>
      <w:bookmarkStart w:id="35" w:name="_Toc7943"/>
      <w:bookmarkStart w:id="36" w:name="_Toc3360"/>
      <w:bookmarkStart w:id="37" w:name="_Toc13298"/>
      <w:bookmarkStart w:id="38" w:name="_Toc22862"/>
      <w:r>
        <w:rPr>
          <w:rFonts w:hint="eastAsia" w:ascii="宋体" w:hAnsi="宋体" w:cs="宋体"/>
          <w:b/>
          <w:color w:val="000000" w:themeColor="text1"/>
          <w:szCs w:val="21"/>
          <w14:textFill>
            <w14:solidFill>
              <w14:schemeClr w14:val="tx1"/>
            </w14:solidFill>
          </w14:textFill>
        </w:rPr>
        <w:t>五、</w:t>
      </w:r>
      <w:bookmarkStart w:id="39" w:name="_Toc28359007"/>
      <w:bookmarkStart w:id="40" w:name="_Toc35393794"/>
      <w:bookmarkStart w:id="41" w:name="_Toc35393625"/>
      <w:bookmarkStart w:id="42" w:name="_Toc28359084"/>
      <w:r>
        <w:rPr>
          <w:rFonts w:hint="eastAsia" w:ascii="宋体" w:hAnsi="宋体" w:cs="宋体"/>
          <w:b/>
          <w:color w:val="000000" w:themeColor="text1"/>
          <w:szCs w:val="21"/>
          <w14:textFill>
            <w14:solidFill>
              <w14:schemeClr w14:val="tx1"/>
            </w14:solidFill>
          </w14:textFill>
        </w:rPr>
        <w:t>公告期限</w:t>
      </w:r>
      <w:bookmarkEnd w:id="35"/>
      <w:bookmarkEnd w:id="36"/>
      <w:bookmarkEnd w:id="37"/>
      <w:bookmarkEnd w:id="38"/>
      <w:bookmarkEnd w:id="39"/>
      <w:bookmarkEnd w:id="40"/>
      <w:bookmarkEnd w:id="41"/>
      <w:bookmarkEnd w:id="42"/>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自本公告发布之日起5个工作日（“江苏医药职业学院网站”）</w:t>
      </w:r>
    </w:p>
    <w:p>
      <w:pPr>
        <w:spacing w:line="440" w:lineRule="exact"/>
        <w:outlineLvl w:val="1"/>
        <w:rPr>
          <w:rFonts w:ascii="宋体" w:hAnsi="宋体" w:cs="宋体"/>
          <w:b/>
          <w:color w:val="000000" w:themeColor="text1"/>
          <w:szCs w:val="21"/>
          <w14:textFill>
            <w14:solidFill>
              <w14:schemeClr w14:val="tx1"/>
            </w14:solidFill>
          </w14:textFill>
        </w:rPr>
      </w:pPr>
      <w:bookmarkStart w:id="43" w:name="_Toc18398"/>
      <w:bookmarkStart w:id="44" w:name="_Toc21149"/>
      <w:bookmarkStart w:id="45" w:name="_Toc16414"/>
      <w:bookmarkStart w:id="46" w:name="_Toc13505"/>
      <w:bookmarkStart w:id="47" w:name="_Toc35393795"/>
      <w:bookmarkStart w:id="48" w:name="_Toc35393626"/>
      <w:r>
        <w:rPr>
          <w:rFonts w:hint="eastAsia" w:ascii="宋体" w:hAnsi="宋体" w:cs="宋体"/>
          <w:b/>
          <w:color w:val="000000" w:themeColor="text1"/>
          <w:szCs w:val="21"/>
          <w14:textFill>
            <w14:solidFill>
              <w14:schemeClr w14:val="tx1"/>
            </w14:solidFill>
          </w14:textFill>
        </w:rPr>
        <w:t>六、对本次招标提出询问，请按以下方式联系</w:t>
      </w:r>
      <w:bookmarkEnd w:id="43"/>
      <w:bookmarkEnd w:id="44"/>
      <w:bookmarkEnd w:id="45"/>
      <w:bookmarkEnd w:id="46"/>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1.项目联系方式：</w:t>
      </w:r>
    </w:p>
    <w:p>
      <w:pPr>
        <w:spacing w:line="440" w:lineRule="exact"/>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w:t>
      </w:r>
      <w:r>
        <w:rPr>
          <w:rFonts w:hint="eastAsia" w:ascii="宋体" w:hAnsi="宋体" w:cs="宋体"/>
          <w:color w:val="000000" w:themeColor="text1"/>
          <w:szCs w:val="21"/>
          <w:lang w:val="en-US" w:eastAsia="zh-CN"/>
          <w14:textFill>
            <w14:solidFill>
              <w14:schemeClr w14:val="tx1"/>
            </w14:solidFill>
          </w14:textFill>
        </w:rPr>
        <w:t>周</w:t>
      </w:r>
      <w:r>
        <w:rPr>
          <w:rFonts w:hint="eastAsia" w:ascii="宋体" w:hAnsi="宋体" w:cs="宋体"/>
          <w:color w:val="000000" w:themeColor="text1"/>
          <w:szCs w:val="21"/>
          <w14:textFill>
            <w14:solidFill>
              <w14:schemeClr w14:val="tx1"/>
            </w14:solidFill>
          </w14:textFill>
        </w:rPr>
        <w:t>老师；</w:t>
      </w:r>
      <w:r>
        <w:rPr>
          <w:rFonts w:hint="eastAsia" w:ascii="宋体" w:hAnsi="宋体" w:cs="宋体"/>
          <w:color w:val="000000" w:themeColor="text1"/>
          <w:szCs w:val="21"/>
          <w:lang w:val="en-US" w:eastAsia="zh-CN"/>
          <w14:textFill>
            <w14:solidFill>
              <w14:schemeClr w14:val="tx1"/>
            </w14:solidFill>
          </w14:textFill>
        </w:rPr>
        <w:t>电话：18205111528；</w:t>
      </w:r>
    </w:p>
    <w:p>
      <w:pPr>
        <w:spacing w:line="440" w:lineRule="exact"/>
        <w:ind w:firstLine="420" w:firstLineChars="200"/>
        <w:rPr>
          <w:rFonts w:ascii="宋体" w:hAnsi="宋体" w:cs="宋体"/>
          <w:color w:val="000000" w:themeColor="text1"/>
          <w:szCs w:val="21"/>
          <w14:textFill>
            <w14:solidFill>
              <w14:schemeClr w14:val="tx1"/>
            </w14:solidFill>
          </w14:textFill>
        </w:rPr>
      </w:pPr>
      <w:bookmarkStart w:id="49" w:name="_Toc28359009"/>
      <w:bookmarkStart w:id="50" w:name="_Toc28359086"/>
      <w:r>
        <w:rPr>
          <w:rFonts w:hint="eastAsia" w:ascii="宋体" w:hAnsi="宋体" w:cs="宋体"/>
          <w:color w:val="000000" w:themeColor="text1"/>
          <w:szCs w:val="21"/>
          <w14:textFill>
            <w14:solidFill>
              <w14:schemeClr w14:val="tx1"/>
            </w14:solidFill>
          </w14:textFill>
        </w:rPr>
        <w:t>2.</w:t>
      </w:r>
      <w:bookmarkEnd w:id="49"/>
      <w:bookmarkEnd w:id="50"/>
      <w:bookmarkStart w:id="51" w:name="_Toc28359087"/>
      <w:bookmarkStart w:id="52" w:name="_Toc28359010"/>
      <w:r>
        <w:rPr>
          <w:rFonts w:hint="eastAsia" w:ascii="宋体" w:hAnsi="宋体" w:cs="宋体"/>
          <w:color w:val="000000" w:themeColor="text1"/>
          <w:szCs w:val="21"/>
          <w14:textFill>
            <w14:solidFill>
              <w14:schemeClr w14:val="tx1"/>
            </w14:solidFill>
          </w14:textFill>
        </w:rPr>
        <w:t>采购人信息：</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名称：江苏医药职业学院；地址：盐城市解放南路283号行政楼208室</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联系方式：刘老师；电话：0515-88550311；</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bookmarkEnd w:id="47"/>
      <w:bookmarkEnd w:id="48"/>
      <w:bookmarkEnd w:id="51"/>
      <w:bookmarkEnd w:id="52"/>
      <w:r>
        <w:rPr>
          <w:rFonts w:hint="eastAsia" w:ascii="宋体" w:hAnsi="宋体" w:cs="宋体"/>
          <w:color w:val="000000" w:themeColor="text1"/>
          <w:szCs w:val="21"/>
          <w14:textFill>
            <w14:solidFill>
              <w14:schemeClr w14:val="tx1"/>
            </w14:solidFill>
          </w14:textFill>
        </w:rPr>
        <w:t>采购代理机构信息：名称：盐城市携手阳光集中采购代理有限公司；</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联系方式：施工；电话：13270072015；</w:t>
      </w:r>
    </w:p>
    <w:p>
      <w:pPr>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地址：盐城市府西路2号华邦国际西厦A（东）区302室（邮编224000）</w:t>
      </w:r>
    </w:p>
    <w:p>
      <w:pPr>
        <w:spacing w:line="44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邮箱：xsyg005@163.com </w:t>
      </w:r>
      <w:r>
        <w:rPr>
          <w:rFonts w:hint="eastAsia" w:ascii="宋体" w:hAnsi="宋体" w:cs="宋体"/>
          <w:color w:val="000000" w:themeColor="text1"/>
          <w:szCs w:val="21"/>
          <w14:textFill>
            <w14:solidFill>
              <w14:schemeClr w14:val="tx1"/>
            </w14:solidFill>
          </w14:textFill>
        </w:rPr>
        <w:t> </w:t>
      </w:r>
    </w:p>
    <w:p>
      <w:pPr>
        <w:pStyle w:val="29"/>
        <w:spacing w:line="440" w:lineRule="exact"/>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对项目需求部分的询问、质疑请向项目联系人提出，由项目联系人负责答复；对项目招标文件其它部分的询问、质疑向采购代理机构提出。</w:t>
      </w:r>
    </w:p>
    <w:p>
      <w:pPr>
        <w:spacing w:line="440" w:lineRule="exact"/>
        <w:outlineLvl w:val="1"/>
        <w:rPr>
          <w:rFonts w:ascii="宋体" w:hAnsi="宋体" w:cs="宋体"/>
          <w:b/>
          <w:color w:val="000000" w:themeColor="text1"/>
          <w:szCs w:val="21"/>
          <w14:textFill>
            <w14:solidFill>
              <w14:schemeClr w14:val="tx1"/>
            </w14:solidFill>
          </w14:textFill>
        </w:rPr>
      </w:pPr>
      <w:bookmarkStart w:id="53" w:name="_Toc15471"/>
      <w:bookmarkStart w:id="54" w:name="_Toc18227"/>
      <w:bookmarkStart w:id="55" w:name="_Toc886"/>
      <w:bookmarkStart w:id="56" w:name="_Toc29892"/>
      <w:r>
        <w:rPr>
          <w:rFonts w:hint="eastAsia" w:ascii="宋体" w:hAnsi="宋体" w:cs="宋体"/>
          <w:b/>
          <w:color w:val="000000" w:themeColor="text1"/>
          <w:szCs w:val="21"/>
          <w14:textFill>
            <w14:solidFill>
              <w14:schemeClr w14:val="tx1"/>
            </w14:solidFill>
          </w14:textFill>
        </w:rPr>
        <w:t>七、投标保证金</w:t>
      </w:r>
      <w:bookmarkEnd w:id="53"/>
      <w:bookmarkEnd w:id="54"/>
      <w:bookmarkEnd w:id="55"/>
      <w:bookmarkEnd w:id="56"/>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根据江苏省财政厅的规定，为降低</w:t>
      </w:r>
      <w:r>
        <w:rPr>
          <w:rFonts w:hint="eastAsia" w:ascii="宋体" w:hAnsi="宋体" w:cs="宋体"/>
          <w:color w:val="000000" w:themeColor="text1"/>
          <w:kern w:val="0"/>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投标成本，取消政府采购投标保证金。</w:t>
      </w:r>
      <w:r>
        <w:rPr>
          <w:rFonts w:hint="eastAsia" w:ascii="宋体" w:hAnsi="宋体" w:cs="宋体"/>
          <w:color w:val="000000" w:themeColor="text1"/>
          <w:kern w:val="0"/>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无须在投标截止时间之前交纳（提交）投标保证金。</w:t>
      </w:r>
    </w:p>
    <w:p>
      <w:pPr>
        <w:spacing w:line="440" w:lineRule="exact"/>
        <w:outlineLvl w:val="1"/>
        <w:rPr>
          <w:rFonts w:ascii="宋体" w:hAnsi="宋体" w:cs="宋体"/>
          <w:b/>
          <w:bCs/>
          <w:color w:val="000000" w:themeColor="text1"/>
          <w:szCs w:val="21"/>
          <w14:textFill>
            <w14:solidFill>
              <w14:schemeClr w14:val="tx1"/>
            </w14:solidFill>
          </w14:textFill>
        </w:rPr>
      </w:pPr>
      <w:bookmarkStart w:id="57" w:name="_Toc12571"/>
      <w:bookmarkStart w:id="58" w:name="_Toc29286"/>
      <w:bookmarkStart w:id="59" w:name="_Toc31461"/>
      <w:bookmarkStart w:id="60" w:name="_Toc2220"/>
      <w:r>
        <w:rPr>
          <w:rFonts w:hint="eastAsia" w:ascii="宋体" w:hAnsi="宋体" w:cs="宋体"/>
          <w:b/>
          <w:bCs/>
          <w:color w:val="000000" w:themeColor="text1"/>
          <w:szCs w:val="21"/>
          <w14:textFill>
            <w14:solidFill>
              <w14:schemeClr w14:val="tx1"/>
            </w14:solidFill>
          </w14:textFill>
        </w:rPr>
        <w:t>八、</w:t>
      </w:r>
      <w:r>
        <w:rPr>
          <w:rFonts w:hint="eastAsia" w:ascii="宋体" w:hAnsi="宋体" w:cs="宋体"/>
          <w:b/>
          <w:color w:val="000000" w:themeColor="text1"/>
          <w:szCs w:val="21"/>
          <w14:textFill>
            <w14:solidFill>
              <w14:schemeClr w14:val="tx1"/>
            </w14:solidFill>
          </w14:textFill>
        </w:rPr>
        <w:t>其他补充事宜</w:t>
      </w:r>
      <w:bookmarkEnd w:id="57"/>
      <w:bookmarkEnd w:id="58"/>
      <w:bookmarkEnd w:id="59"/>
      <w:bookmarkEnd w:id="60"/>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欢迎对携手阳光公司的服务质量、业务水平进行监督，并提出宝贵的意见（柏经理，18662096009）</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本项目鼓励供应商开展信用担保（0515-88285999）、扶持不发达地区等政府采购政策。</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本项目使用时间：北京时间，24小时制；货币单位：人民币；</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附件：《采购文件领购登记表》、《采购需求》</w:t>
      </w:r>
    </w:p>
    <w:p>
      <w:pPr>
        <w:spacing w:line="440" w:lineRule="exact"/>
        <w:ind w:right="42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盐城市携手阳光集中采购代理有限公司</w:t>
      </w:r>
    </w:p>
    <w:p>
      <w:pPr>
        <w:spacing w:line="440" w:lineRule="exact"/>
        <w:ind w:right="420"/>
        <w:jc w:val="right"/>
        <w:rPr>
          <w:rFonts w:hint="eastAsia" w:ascii="宋体" w:hAnsi="宋体" w:cs="宋体"/>
          <w:b/>
          <w:color w:val="000000" w:themeColor="text1"/>
          <w:sz w:val="2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2023年</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04</w:t>
      </w:r>
      <w:r>
        <w:rPr>
          <w:rFonts w:hint="eastAsia" w:ascii="宋体" w:hAnsi="宋体" w:cs="宋体"/>
          <w:color w:val="000000" w:themeColor="text1"/>
          <w:szCs w:val="21"/>
          <w14:textFill>
            <w14:solidFill>
              <w14:schemeClr w14:val="tx1"/>
            </w14:solidFill>
          </w14:textFill>
        </w:rPr>
        <w:t>日</w:t>
      </w:r>
      <w:bookmarkStart w:id="61" w:name="_Toc115881306"/>
      <w:bookmarkStart w:id="62" w:name="_Toc108881165"/>
    </w:p>
    <w:p>
      <w:pPr>
        <w:spacing w:line="460" w:lineRule="exact"/>
        <w:jc w:val="center"/>
        <w:outlineLvl w:val="0"/>
        <w:rPr>
          <w:rFonts w:hint="eastAsia" w:ascii="宋体" w:hAnsi="宋体" w:cs="宋体"/>
          <w:b/>
          <w:color w:val="000000" w:themeColor="text1"/>
          <w:sz w:val="28"/>
          <w:szCs w:val="21"/>
          <w14:textFill>
            <w14:solidFill>
              <w14:schemeClr w14:val="tx1"/>
            </w14:solidFill>
          </w14:textFill>
        </w:rPr>
      </w:pPr>
      <w:bookmarkStart w:id="63" w:name="_Toc16013"/>
    </w:p>
    <w:p>
      <w:pPr>
        <w:spacing w:line="460" w:lineRule="exact"/>
        <w:jc w:val="center"/>
        <w:outlineLvl w:val="0"/>
        <w:rPr>
          <w:rFonts w:ascii="宋体" w:hAnsi="宋体" w:cs="宋体"/>
          <w:b/>
          <w:color w:val="000000" w:themeColor="text1"/>
          <w:sz w:val="28"/>
          <w:szCs w:val="21"/>
          <w14:textFill>
            <w14:solidFill>
              <w14:schemeClr w14:val="tx1"/>
            </w14:solidFill>
          </w14:textFill>
        </w:rPr>
      </w:pPr>
      <w:r>
        <w:rPr>
          <w:rFonts w:hint="eastAsia" w:ascii="宋体" w:hAnsi="宋体" w:cs="宋体"/>
          <w:b/>
          <w:color w:val="000000" w:themeColor="text1"/>
          <w:sz w:val="28"/>
          <w:szCs w:val="21"/>
          <w14:textFill>
            <w14:solidFill>
              <w14:schemeClr w14:val="tx1"/>
            </w14:solidFill>
          </w14:textFill>
        </w:rPr>
        <w:t xml:space="preserve">第二章  </w:t>
      </w:r>
      <w:r>
        <w:rPr>
          <w:rFonts w:hint="eastAsia" w:ascii="宋体" w:hAnsi="宋体" w:cs="宋体"/>
          <w:b/>
          <w:color w:val="000000" w:themeColor="text1"/>
          <w:sz w:val="28"/>
          <w:szCs w:val="21"/>
          <w:lang w:eastAsia="zh-CN"/>
          <w14:textFill>
            <w14:solidFill>
              <w14:schemeClr w14:val="tx1"/>
            </w14:solidFill>
          </w14:textFill>
        </w:rPr>
        <w:t>投标供应商</w:t>
      </w:r>
      <w:r>
        <w:rPr>
          <w:rFonts w:hint="eastAsia" w:ascii="宋体" w:hAnsi="宋体" w:cs="宋体"/>
          <w:b/>
          <w:color w:val="000000" w:themeColor="text1"/>
          <w:sz w:val="28"/>
          <w:szCs w:val="21"/>
          <w14:textFill>
            <w14:solidFill>
              <w14:schemeClr w14:val="tx1"/>
            </w14:solidFill>
          </w14:textFill>
        </w:rPr>
        <w:t>须知</w:t>
      </w:r>
      <w:bookmarkEnd w:id="61"/>
      <w:bookmarkEnd w:id="62"/>
      <w:bookmarkEnd w:id="63"/>
    </w:p>
    <w:p>
      <w:pPr>
        <w:spacing w:line="440" w:lineRule="exact"/>
        <w:jc w:val="center"/>
        <w:outlineLvl w:val="1"/>
        <w:rPr>
          <w:rFonts w:ascii="宋体" w:hAnsi="宋体" w:cs="宋体"/>
          <w:b/>
          <w:color w:val="000000" w:themeColor="text1"/>
          <w:szCs w:val="21"/>
          <w14:textFill>
            <w14:solidFill>
              <w14:schemeClr w14:val="tx1"/>
            </w14:solidFill>
          </w14:textFill>
        </w:rPr>
      </w:pPr>
      <w:bookmarkStart w:id="64" w:name="_Toc115881307"/>
      <w:bookmarkStart w:id="65" w:name="_Toc26629"/>
      <w:bookmarkStart w:id="66" w:name="_Toc108881166"/>
      <w:r>
        <w:rPr>
          <w:rFonts w:hint="eastAsia" w:ascii="宋体" w:hAnsi="宋体" w:cs="宋体"/>
          <w:b/>
          <w:color w:val="000000" w:themeColor="text1"/>
          <w:szCs w:val="21"/>
          <w:lang w:eastAsia="zh-CN"/>
          <w14:textFill>
            <w14:solidFill>
              <w14:schemeClr w14:val="tx1"/>
            </w14:solidFill>
          </w14:textFill>
        </w:rPr>
        <w:t>投标供应商</w:t>
      </w:r>
      <w:r>
        <w:rPr>
          <w:rFonts w:hint="eastAsia" w:ascii="宋体" w:hAnsi="宋体" w:cs="宋体"/>
          <w:b/>
          <w:color w:val="000000" w:themeColor="text1"/>
          <w:szCs w:val="21"/>
          <w14:textFill>
            <w14:solidFill>
              <w14:schemeClr w14:val="tx1"/>
            </w14:solidFill>
          </w14:textFill>
        </w:rPr>
        <w:t>须知资料表</w:t>
      </w:r>
      <w:bookmarkEnd w:id="64"/>
      <w:bookmarkEnd w:id="65"/>
      <w:bookmarkEnd w:id="66"/>
    </w:p>
    <w:p>
      <w:pPr>
        <w:spacing w:line="440" w:lineRule="exact"/>
        <w:ind w:firstLine="316" w:firstLineChars="15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★本表是本招标项目的具体资料，是对</w:t>
      </w:r>
      <w:r>
        <w:rPr>
          <w:rFonts w:hint="eastAsia" w:ascii="宋体" w:hAnsi="宋体" w:cs="宋体"/>
          <w:b/>
          <w:color w:val="000000" w:themeColor="text1"/>
          <w:szCs w:val="21"/>
          <w:lang w:eastAsia="zh-CN"/>
          <w14:textFill>
            <w14:solidFill>
              <w14:schemeClr w14:val="tx1"/>
            </w14:solidFill>
          </w14:textFill>
        </w:rPr>
        <w:t>投标供应商</w:t>
      </w:r>
      <w:r>
        <w:rPr>
          <w:rFonts w:hint="eastAsia" w:ascii="宋体" w:hAnsi="宋体" w:cs="宋体"/>
          <w:b/>
          <w:color w:val="000000" w:themeColor="text1"/>
          <w:szCs w:val="21"/>
          <w14:textFill>
            <w14:solidFill>
              <w14:schemeClr w14:val="tx1"/>
            </w14:solidFill>
          </w14:textFill>
        </w:rPr>
        <w:t>须知的具体补充和修改，如有矛盾，应以本资料表为准。</w:t>
      </w:r>
    </w:p>
    <w:tbl>
      <w:tblPr>
        <w:tblStyle w:val="30"/>
        <w:tblW w:w="9359"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06"/>
        <w:gridCol w:w="8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1" w:hRule="atLeast"/>
        </w:trPr>
        <w:tc>
          <w:tcPr>
            <w:tcW w:w="1306"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条款号/名称</w:t>
            </w:r>
          </w:p>
        </w:tc>
        <w:tc>
          <w:tcPr>
            <w:tcW w:w="8053"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6" w:hRule="atLeast"/>
        </w:trPr>
        <w:tc>
          <w:tcPr>
            <w:tcW w:w="1306"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Theme="minorEastAsia" w:hAnsiTheme="minorEastAsia" w:eastAsiaTheme="minorEastAsia" w:cstheme="minorEastAsia"/>
                <w:b/>
                <w:bCs/>
                <w:szCs w:val="21"/>
              </w:rPr>
              <w:t>说明</w:t>
            </w:r>
          </w:p>
        </w:tc>
        <w:tc>
          <w:tcPr>
            <w:tcW w:w="8053" w:type="dxa"/>
            <w:vAlign w:val="center"/>
          </w:tcPr>
          <w:p>
            <w:pPr>
              <w:spacing w:line="30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Theme="minorEastAsia" w:hAnsiTheme="minorEastAsia" w:eastAsiaTheme="minorEastAsia" w:cstheme="minorEastAsia"/>
                <w:b/>
                <w:bCs/>
                <w:szCs w:val="21"/>
              </w:rPr>
              <w:t>江苏医药职业学院是省卫健委直属全日制公办专科层次普通高等学校。本项目预算未达到现时有效的政府采购的限额标准，同时本项目的采购内容也未列入现时有效的集中采购目录，因此，本项目并不属于政府采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适用</w:t>
            </w:r>
          </w:p>
          <w:p>
            <w:pPr>
              <w:spacing w:line="30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法律</w:t>
            </w:r>
          </w:p>
        </w:tc>
        <w:tc>
          <w:tcPr>
            <w:tcW w:w="8053" w:type="dxa"/>
            <w:vAlign w:val="center"/>
          </w:tcPr>
          <w:p>
            <w:pPr>
              <w:spacing w:line="300" w:lineRule="auto"/>
              <w:ind w:firstLine="422" w:firstLineChars="200"/>
              <w:rPr>
                <w:rFonts w:ascii="宋体" w:hAnsi="宋体" w:cs="宋体"/>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本次采购适用于采购人的内控制度（政府采购限额以下项目或非必招项目）。为规范采购活动，携手阳光公司参照政府采购程序组织本次采购活动。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与</w:t>
            </w:r>
            <w:r>
              <w:rPr>
                <w:rFonts w:hint="eastAsia" w:ascii="宋体" w:hAnsi="宋体" w:cs="宋体"/>
                <w:b/>
                <w:bCs/>
                <w:color w:val="000000" w:themeColor="text1"/>
                <w:szCs w:val="21"/>
                <w:lang w:eastAsia="zh-CN"/>
                <w14:textFill>
                  <w14:solidFill>
                    <w14:schemeClr w14:val="tx1"/>
                  </w14:solidFill>
                </w14:textFill>
              </w:rPr>
              <w:t>投标供应商</w:t>
            </w:r>
          </w:p>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的联系</w:t>
            </w:r>
          </w:p>
        </w:tc>
        <w:tc>
          <w:tcPr>
            <w:tcW w:w="8053" w:type="dxa"/>
            <w:vAlign w:val="center"/>
          </w:tcPr>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法律法规中规定采购人、采购代理机构须以书面形式通知</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的，为提高政府采购效率，采购人、采购代理机构可以以电子邮件</w:t>
            </w:r>
            <w:r>
              <w:rPr>
                <w:rFonts w:hint="eastAsia" w:ascii="宋体" w:hAnsi="宋体" w:cs="宋体"/>
                <w:b/>
                <w:color w:val="000000" w:themeColor="text1"/>
                <w:szCs w:val="21"/>
                <w14:textFill>
                  <w14:solidFill>
                    <w14:schemeClr w14:val="tx1"/>
                  </w14:solidFill>
                </w14:textFill>
              </w:rPr>
              <w:t>（</w:t>
            </w:r>
            <w:r>
              <w:fldChar w:fldCharType="begin"/>
            </w:r>
            <w:r>
              <w:instrText xml:space="preserve"> HYPERLINK "mailto:XSYG0515@163.COM" </w:instrText>
            </w:r>
            <w:r>
              <w:fldChar w:fldCharType="separate"/>
            </w:r>
            <w:r>
              <w:rPr>
                <w:rFonts w:hint="eastAsia" w:ascii="宋体" w:hAnsi="宋体" w:cs="宋体"/>
                <w:b/>
                <w:color w:val="000000" w:themeColor="text1"/>
                <w:szCs w:val="21"/>
                <w14:textFill>
                  <w14:solidFill>
                    <w14:schemeClr w14:val="tx1"/>
                  </w14:solidFill>
                </w14:textFill>
              </w:rPr>
              <w:t>xsyg005@163.com</w:t>
            </w:r>
            <w:r>
              <w:rPr>
                <w:rFonts w:hint="eastAsia" w:ascii="宋体" w:hAnsi="宋体" w:cs="宋体"/>
                <w:b/>
                <w:color w:val="000000" w:themeColor="text1"/>
                <w:szCs w:val="21"/>
                <w14:textFill>
                  <w14:solidFill>
                    <w14:schemeClr w14:val="tx1"/>
                  </w14:solidFill>
                </w14:textFill>
              </w:rPr>
              <w:fldChar w:fldCharType="end"/>
            </w: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方式通知</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（视为书面通知）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招标文件</w:t>
            </w:r>
          </w:p>
        </w:tc>
        <w:tc>
          <w:tcPr>
            <w:tcW w:w="8053" w:type="dxa"/>
            <w:vAlign w:val="center"/>
          </w:tcPr>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一旦参加本项目采购活动，即代表</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已阅读了本招标文件每一条条款，并接受了本招标文件所有的规定和约束。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6" w:hRule="atLeast"/>
        </w:trPr>
        <w:tc>
          <w:tcPr>
            <w:tcW w:w="1306"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13.1</w:t>
            </w:r>
          </w:p>
        </w:tc>
        <w:tc>
          <w:tcPr>
            <w:tcW w:w="8053" w:type="dxa"/>
            <w:vAlign w:val="center"/>
          </w:tcPr>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投标有效期：自投标截止之日起60个日历日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14.1</w:t>
            </w:r>
          </w:p>
        </w:tc>
        <w:tc>
          <w:tcPr>
            <w:tcW w:w="8053" w:type="dxa"/>
            <w:vAlign w:val="center"/>
          </w:tcPr>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投标文件（每个分包）：正本：1份、副本：4份（建议正本与副本分开封装），同时递交一份电子版投标文件（U盘）。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78" w:hRule="atLeast"/>
        </w:trPr>
        <w:tc>
          <w:tcPr>
            <w:tcW w:w="1306"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31.1</w:t>
            </w:r>
          </w:p>
        </w:tc>
        <w:tc>
          <w:tcPr>
            <w:tcW w:w="8053" w:type="dxa"/>
            <w:vAlign w:val="center"/>
          </w:tcPr>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在签订合同前，中标人需向招标人交纳履约保证金（请将履约保证金汇款凭证发送至QQ邮箱：</w:t>
            </w:r>
            <w:r>
              <w:fldChar w:fldCharType="begin"/>
            </w:r>
            <w:r>
              <w:instrText xml:space="preserve"> HYPERLINK "mailto:532223373@qq.com），具体金额为中标价的5%25。拟中标人应当按照招标人的要求及时、足额缴纳履约保证金，履约保证金待项目到期后20日内一次性无息退还。（凭" </w:instrText>
            </w:r>
            <w:r>
              <w:fldChar w:fldCharType="separate"/>
            </w:r>
            <w:r>
              <w:rPr>
                <w:rFonts w:hint="eastAsia" w:ascii="宋体" w:hAnsi="宋体" w:cs="宋体"/>
                <w:color w:val="000000" w:themeColor="text1"/>
                <w:szCs w:val="21"/>
                <w14:textFill>
                  <w14:solidFill>
                    <w14:schemeClr w14:val="tx1"/>
                  </w14:solidFill>
                </w14:textFill>
              </w:rPr>
              <w:t>532223373@qq.com），具体金额为中标价的5%。拟中标人应当按照招标人的要求及时、足额缴纳履约保证金，履约保证金待项目到期后20日内一次性无息退还。（凭“保证金请退函”到学校国资处办理退款手续）。如果中标人不履行合同约定的义务，未能完全履行合同规定的义务或其履行不符合合同的约定，招标人有权扣除履约保证金取得补偿。</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（详见履约保证金条款）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6" w:hRule="atLeast"/>
        </w:trPr>
        <w:tc>
          <w:tcPr>
            <w:tcW w:w="1306"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32</w:t>
            </w:r>
          </w:p>
        </w:tc>
        <w:tc>
          <w:tcPr>
            <w:tcW w:w="8053" w:type="dxa"/>
            <w:vAlign w:val="center"/>
          </w:tcPr>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代理服务费（中标服务费）：本项目的代理服务费由中标人承担。</w:t>
            </w:r>
          </w:p>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代理服务费收费标准：为方便计算，代理服务费参照原《招标代理服务收费管理暂行办法》（计价格[2002]1980号）收费标准的40%计取（如低于3000元的，按3000元计取）；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88" w:hRule="atLeast"/>
        </w:trPr>
        <w:tc>
          <w:tcPr>
            <w:tcW w:w="1306" w:type="dxa"/>
            <w:vAlign w:val="center"/>
          </w:tcPr>
          <w:p>
            <w:pPr>
              <w:spacing w:line="300" w:lineRule="auto"/>
              <w:jc w:val="center"/>
              <w:rPr>
                <w:rFonts w:ascii="宋体" w:hAnsi="宋体" w:cs="宋体"/>
                <w:b/>
                <w:bCs/>
                <w:color w:val="000000" w:themeColor="text1"/>
                <w:szCs w:val="21"/>
                <w14:textFill>
                  <w14:solidFill>
                    <w14:schemeClr w14:val="tx1"/>
                  </w14:solidFill>
                </w14:textFill>
              </w:rPr>
            </w:pPr>
            <w:r>
              <w:rPr>
                <w:rFonts w:hint="eastAsia" w:asciiTheme="minorEastAsia" w:hAnsiTheme="minorEastAsia" w:eastAsiaTheme="minorEastAsia" w:cstheme="minorEastAsia"/>
                <w:b/>
                <w:szCs w:val="21"/>
              </w:rPr>
              <w:t>责任说明</w:t>
            </w:r>
          </w:p>
        </w:tc>
        <w:tc>
          <w:tcPr>
            <w:tcW w:w="8053" w:type="dxa"/>
            <w:vAlign w:val="center"/>
          </w:tcPr>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lang w:eastAsia="zh-CN"/>
              </w:rPr>
              <w:t>投标供应商</w:t>
            </w:r>
            <w:r>
              <w:rPr>
                <w:rFonts w:hint="eastAsia" w:ascii="宋体" w:hAnsi="宋体" w:cs="宋体"/>
                <w:szCs w:val="21"/>
              </w:rPr>
              <w:t>所投产品除招标文件中明确规定要求提供官网截图或相应检测报告的证明材料以外，所有技术参数描述均以投标文件为准。</w:t>
            </w:r>
            <w:r>
              <w:rPr>
                <w:rFonts w:hint="eastAsia" w:ascii="宋体" w:hAnsi="宋体" w:cs="宋体"/>
                <w:szCs w:val="21"/>
                <w:lang w:eastAsia="zh-CN"/>
              </w:rPr>
              <w:t>投标供应商</w:t>
            </w:r>
            <w:r>
              <w:rPr>
                <w:rFonts w:hint="eastAsia" w:ascii="宋体" w:hAnsi="宋体" w:cs="宋体"/>
                <w:szCs w:val="21"/>
              </w:rPr>
              <w:t>对所投产品技术参数的真实性承担法律责任。项目招标结束后、质疑期限内，如有质疑供应商认为中标供应商所投产品、投标文件技术参数与招标需求存在重大偏离、错误、甚至造假的情况，应提供具体有效的证明材料。</w:t>
            </w:r>
          </w:p>
        </w:tc>
      </w:tr>
    </w:tbl>
    <w:p>
      <w:pPr>
        <w:spacing w:line="262" w:lineRule="auto"/>
        <w:jc w:val="both"/>
        <w:outlineLvl w:val="1"/>
        <w:rPr>
          <w:rFonts w:hint="eastAsia" w:ascii="宋体" w:hAnsi="宋体" w:cs="宋体"/>
          <w:b/>
          <w:szCs w:val="21"/>
        </w:rPr>
      </w:pPr>
    </w:p>
    <w:p>
      <w:pPr>
        <w:spacing w:line="262" w:lineRule="auto"/>
        <w:jc w:val="center"/>
        <w:outlineLvl w:val="1"/>
        <w:rPr>
          <w:rFonts w:hint="eastAsia" w:ascii="宋体" w:hAnsi="宋体" w:cs="宋体"/>
          <w:b/>
          <w:szCs w:val="21"/>
        </w:rPr>
      </w:pPr>
    </w:p>
    <w:p>
      <w:pPr>
        <w:spacing w:line="262" w:lineRule="auto"/>
        <w:jc w:val="center"/>
        <w:outlineLvl w:val="1"/>
        <w:rPr>
          <w:rFonts w:hint="eastAsia" w:ascii="宋体" w:hAnsi="宋体" w:cs="宋体"/>
          <w:b/>
          <w:szCs w:val="21"/>
        </w:rPr>
      </w:pPr>
    </w:p>
    <w:p>
      <w:pPr>
        <w:spacing w:line="262" w:lineRule="auto"/>
        <w:jc w:val="center"/>
        <w:outlineLvl w:val="1"/>
        <w:rPr>
          <w:rFonts w:ascii="宋体" w:hAnsi="宋体" w:cs="宋体"/>
          <w:b/>
          <w:szCs w:val="21"/>
        </w:rPr>
      </w:pPr>
      <w:bookmarkStart w:id="67" w:name="_Toc30561"/>
      <w:r>
        <w:rPr>
          <w:rFonts w:hint="eastAsia" w:ascii="宋体" w:hAnsi="宋体" w:cs="宋体"/>
          <w:b/>
          <w:szCs w:val="21"/>
        </w:rPr>
        <w:t>一、总则</w:t>
      </w:r>
      <w:bookmarkEnd w:id="67"/>
    </w:p>
    <w:p>
      <w:pPr>
        <w:spacing w:line="262" w:lineRule="auto"/>
        <w:ind w:firstLine="422" w:firstLineChars="200"/>
        <w:rPr>
          <w:rFonts w:ascii="宋体" w:hAnsi="宋体" w:cs="宋体"/>
          <w:b/>
          <w:szCs w:val="21"/>
        </w:rPr>
      </w:pPr>
      <w:r>
        <w:rPr>
          <w:rFonts w:hint="eastAsia" w:ascii="宋体" w:hAnsi="宋体" w:cs="宋体"/>
          <w:b/>
          <w:szCs w:val="21"/>
        </w:rPr>
        <w:t>1、特别说明</w:t>
      </w:r>
    </w:p>
    <w:p>
      <w:pPr>
        <w:spacing w:line="262" w:lineRule="auto"/>
        <w:ind w:firstLine="420" w:firstLineChars="200"/>
        <w:rPr>
          <w:rFonts w:ascii="宋体" w:hAnsi="宋体" w:cs="宋体"/>
          <w:szCs w:val="21"/>
        </w:rPr>
      </w:pPr>
      <w:r>
        <w:rPr>
          <w:rFonts w:hint="eastAsia" w:ascii="宋体" w:hAnsi="宋体" w:cs="宋体"/>
          <w:szCs w:val="21"/>
        </w:rPr>
        <w:t>1.1</w:t>
      </w:r>
      <w:r>
        <w:rPr>
          <w:rFonts w:hint="eastAsia" w:ascii="宋体" w:hAnsi="宋体" w:cs="宋体"/>
          <w:b/>
          <w:szCs w:val="21"/>
        </w:rPr>
        <w:t>本次采购适用于采购人的内控制度（政府采购限额以下项目或非必招项目）。为规范采购活动，携手阳光公司参照政府采购程序组织本次采购活动。</w:t>
      </w:r>
      <w:r>
        <w:rPr>
          <w:rFonts w:hint="eastAsia" w:ascii="宋体" w:hAnsi="宋体" w:cs="宋体"/>
          <w:szCs w:val="21"/>
        </w:rPr>
        <w:t>本次采购及由此产生的合同受中华人民共和国有关的法律法规制约和保护。</w:t>
      </w:r>
    </w:p>
    <w:p>
      <w:pPr>
        <w:spacing w:line="262" w:lineRule="auto"/>
        <w:ind w:firstLine="420" w:firstLineChars="200"/>
        <w:rPr>
          <w:rFonts w:ascii="宋体" w:hAnsi="宋体" w:cs="宋体"/>
          <w:szCs w:val="21"/>
        </w:rPr>
      </w:pPr>
      <w:r>
        <w:rPr>
          <w:rFonts w:hint="eastAsia" w:ascii="宋体" w:hAnsi="宋体" w:cs="宋体"/>
          <w:szCs w:val="21"/>
        </w:rPr>
        <w:t>1.2本招标文件采购代理机构是指盐城市携手阳光集中采购代理有限公司（本采购活动中可简称：携手阳光公司）；</w:t>
      </w:r>
    </w:p>
    <w:p>
      <w:pPr>
        <w:spacing w:line="262" w:lineRule="auto"/>
        <w:ind w:firstLine="420" w:firstLineChars="200"/>
        <w:rPr>
          <w:rFonts w:ascii="宋体" w:hAnsi="宋体" w:cs="宋体"/>
          <w:szCs w:val="21"/>
        </w:rPr>
      </w:pPr>
      <w:r>
        <w:rPr>
          <w:rFonts w:hint="eastAsia" w:ascii="宋体" w:hAnsi="宋体" w:cs="宋体"/>
          <w:szCs w:val="21"/>
        </w:rPr>
        <w:t>1.3本招标文件中未尽事宜遵照《政府采购法》和国家有关规定处理；</w:t>
      </w:r>
    </w:p>
    <w:p>
      <w:pPr>
        <w:spacing w:line="262" w:lineRule="auto"/>
        <w:ind w:firstLine="420" w:firstLineChars="200"/>
        <w:rPr>
          <w:rFonts w:ascii="宋体" w:hAnsi="宋体" w:cs="宋体"/>
          <w:szCs w:val="21"/>
        </w:rPr>
      </w:pPr>
      <w:r>
        <w:rPr>
          <w:rFonts w:hint="eastAsia" w:ascii="宋体" w:hAnsi="宋体" w:cs="宋体"/>
          <w:szCs w:val="21"/>
        </w:rPr>
        <w:t>1.4</w:t>
      </w:r>
      <w:r>
        <w:rPr>
          <w:rFonts w:hint="eastAsia" w:ascii="宋体" w:hAnsi="宋体" w:cs="宋体"/>
          <w:b/>
          <w:szCs w:val="21"/>
        </w:rPr>
        <w:t>★特别说明（约定性条款）：供应商获取本采购文件后，必须完全阅知采购文件全部内容及相关事宜。携手阳光公司不能保证采购文件绝对的无编辑错误，如采购文件中有表述不清或不完整的（包括界定不清、形容不清、可多层理解或解释的等任何情形），供应商必须（有责任及义务）以电邮或书面方式（均须加盖公章）向携手阳光公司提出询问。如供应商投标前未向携手阳光公司提出询问的，视为供应商完全认同“本采购文件所有的理解或解释均以携手阳光公司解释为准（本采购文件所有的解释权完全归携手阳光公司所有）”</w:t>
      </w:r>
      <w:r>
        <w:rPr>
          <w:rFonts w:hint="eastAsia" w:ascii="宋体" w:hAnsi="宋体" w:cs="宋体"/>
          <w:szCs w:val="21"/>
        </w:rPr>
        <w:t>；在法律法规许可范围内，本采购文件的解释权属于盐城市携手阳光集中采购代理有限公司；</w:t>
      </w:r>
    </w:p>
    <w:p>
      <w:pPr>
        <w:spacing w:line="262" w:lineRule="auto"/>
        <w:ind w:firstLine="420" w:firstLineChars="200"/>
        <w:rPr>
          <w:rFonts w:ascii="宋体" w:hAnsi="宋体" w:cs="宋体"/>
          <w:szCs w:val="21"/>
        </w:rPr>
      </w:pPr>
      <w:r>
        <w:rPr>
          <w:rFonts w:hint="eastAsia" w:ascii="宋体" w:hAnsi="宋体" w:cs="宋体"/>
          <w:szCs w:val="21"/>
        </w:rPr>
        <w:t>1.5在法律法规许可范围内，</w:t>
      </w:r>
      <w:r>
        <w:rPr>
          <w:rFonts w:hint="eastAsia" w:ascii="宋体" w:hAnsi="宋体" w:cs="宋体"/>
          <w:kern w:val="0"/>
          <w:szCs w:val="21"/>
        </w:rPr>
        <w:t>按照有利于采购人采购项目实施的原则处理本项目的所有争议。</w:t>
      </w:r>
    </w:p>
    <w:p>
      <w:pPr>
        <w:spacing w:line="262" w:lineRule="auto"/>
        <w:ind w:firstLine="422" w:firstLineChars="200"/>
        <w:rPr>
          <w:rFonts w:ascii="宋体" w:hAnsi="宋体" w:cs="宋体"/>
          <w:b/>
          <w:szCs w:val="21"/>
        </w:rPr>
      </w:pPr>
      <w:r>
        <w:rPr>
          <w:rFonts w:hint="eastAsia" w:ascii="宋体" w:hAnsi="宋体" w:cs="宋体"/>
          <w:b/>
          <w:szCs w:val="21"/>
        </w:rPr>
        <w:t>2、项目采购方式、适用范围</w:t>
      </w:r>
    </w:p>
    <w:p>
      <w:pPr>
        <w:spacing w:line="262" w:lineRule="auto"/>
        <w:ind w:firstLine="420" w:firstLineChars="200"/>
        <w:rPr>
          <w:rFonts w:ascii="宋体" w:hAnsi="宋体" w:cs="宋体"/>
          <w:szCs w:val="21"/>
        </w:rPr>
      </w:pPr>
      <w:r>
        <w:rPr>
          <w:rFonts w:hint="eastAsia" w:ascii="宋体" w:hAnsi="宋体" w:cs="宋体"/>
          <w:szCs w:val="21"/>
        </w:rPr>
        <w:t>2.1本次采购采取公开招标的方式。</w:t>
      </w:r>
    </w:p>
    <w:p>
      <w:pPr>
        <w:spacing w:line="262" w:lineRule="auto"/>
        <w:ind w:firstLine="420" w:firstLineChars="200"/>
        <w:rPr>
          <w:rFonts w:ascii="宋体" w:hAnsi="宋体" w:cs="宋体"/>
          <w:szCs w:val="21"/>
        </w:rPr>
      </w:pPr>
      <w:r>
        <w:rPr>
          <w:rFonts w:hint="eastAsia" w:ascii="宋体" w:hAnsi="宋体" w:cs="宋体"/>
          <w:szCs w:val="21"/>
        </w:rPr>
        <w:t>2.2本招标文件仅适用此项目。</w:t>
      </w:r>
    </w:p>
    <w:p>
      <w:pPr>
        <w:spacing w:line="262" w:lineRule="auto"/>
        <w:ind w:firstLine="420" w:firstLineChars="200"/>
        <w:rPr>
          <w:rFonts w:ascii="宋体" w:hAnsi="宋体" w:cs="宋体"/>
          <w:szCs w:val="21"/>
        </w:rPr>
      </w:pPr>
      <w:r>
        <w:rPr>
          <w:rFonts w:hint="eastAsia" w:ascii="宋体" w:hAnsi="宋体" w:cs="宋体"/>
          <w:szCs w:val="21"/>
        </w:rPr>
        <w:t>2.3本项目如设多个分包的，如无特殊说明，按照项目分包，分别确定各分包成交供应商。</w:t>
      </w:r>
    </w:p>
    <w:p>
      <w:pPr>
        <w:spacing w:line="262" w:lineRule="auto"/>
        <w:ind w:firstLine="422" w:firstLineChars="200"/>
        <w:rPr>
          <w:rFonts w:ascii="宋体" w:hAnsi="宋体" w:cs="宋体"/>
          <w:b/>
          <w:szCs w:val="21"/>
        </w:rPr>
      </w:pPr>
      <w:r>
        <w:rPr>
          <w:rFonts w:hint="eastAsia" w:ascii="宋体" w:hAnsi="宋体" w:cs="宋体"/>
          <w:b/>
          <w:szCs w:val="21"/>
        </w:rPr>
        <w:t>3、合格的供应商及</w:t>
      </w:r>
      <w:r>
        <w:rPr>
          <w:rFonts w:hint="eastAsia" w:ascii="宋体" w:hAnsi="宋体" w:cs="宋体"/>
          <w:b/>
          <w:kern w:val="0"/>
          <w:szCs w:val="21"/>
        </w:rPr>
        <w:t>采购邀请</w:t>
      </w:r>
    </w:p>
    <w:p>
      <w:pPr>
        <w:spacing w:line="262" w:lineRule="auto"/>
        <w:ind w:firstLine="420" w:firstLineChars="200"/>
        <w:rPr>
          <w:rFonts w:ascii="宋体" w:hAnsi="宋体" w:cs="宋体"/>
          <w:b/>
          <w:szCs w:val="21"/>
        </w:rPr>
      </w:pPr>
      <w:r>
        <w:rPr>
          <w:rFonts w:hint="eastAsia" w:ascii="宋体" w:hAnsi="宋体" w:cs="宋体"/>
          <w:szCs w:val="21"/>
        </w:rPr>
        <w:t>3.1满足本招标文件中</w:t>
      </w:r>
      <w:r>
        <w:rPr>
          <w:rFonts w:hint="eastAsia" w:ascii="宋体" w:hAnsi="宋体" w:cs="宋体"/>
          <w:b/>
          <w:szCs w:val="21"/>
        </w:rPr>
        <w:t>供应商</w:t>
      </w:r>
      <w:r>
        <w:rPr>
          <w:rFonts w:hint="eastAsia" w:ascii="宋体" w:hAnsi="宋体" w:cs="宋体"/>
          <w:b/>
          <w:kern w:val="0"/>
          <w:szCs w:val="21"/>
        </w:rPr>
        <w:t>资格</w:t>
      </w:r>
      <w:r>
        <w:rPr>
          <w:rFonts w:hint="eastAsia" w:ascii="宋体" w:hAnsi="宋体" w:cs="宋体"/>
          <w:b/>
          <w:szCs w:val="21"/>
        </w:rPr>
        <w:t>条件的</w:t>
      </w:r>
      <w:r>
        <w:rPr>
          <w:rFonts w:hint="eastAsia" w:ascii="宋体" w:hAnsi="宋体" w:cs="宋体"/>
          <w:b/>
          <w:kern w:val="0"/>
          <w:szCs w:val="21"/>
        </w:rPr>
        <w:t>要求；</w:t>
      </w:r>
    </w:p>
    <w:p>
      <w:pPr>
        <w:spacing w:line="262" w:lineRule="auto"/>
        <w:ind w:firstLine="420" w:firstLineChars="200"/>
        <w:rPr>
          <w:rFonts w:ascii="宋体" w:hAnsi="宋体" w:cs="宋体"/>
          <w:szCs w:val="21"/>
        </w:rPr>
      </w:pPr>
      <w:r>
        <w:rPr>
          <w:rFonts w:hint="eastAsia" w:ascii="宋体" w:hAnsi="宋体" w:cs="宋体"/>
          <w:szCs w:val="21"/>
        </w:rPr>
        <w:t>3.2满足法律法规以及财政部门规定的（含释义等）其它要求。</w:t>
      </w:r>
    </w:p>
    <w:p>
      <w:pPr>
        <w:spacing w:line="262" w:lineRule="auto"/>
        <w:ind w:firstLine="420" w:firstLineChars="200"/>
        <w:rPr>
          <w:rFonts w:ascii="宋体" w:hAnsi="宋体" w:cs="宋体"/>
          <w:szCs w:val="21"/>
        </w:rPr>
      </w:pPr>
      <w:r>
        <w:rPr>
          <w:rFonts w:hint="eastAsia" w:ascii="宋体" w:hAnsi="宋体" w:cs="宋体"/>
          <w:kern w:val="0"/>
          <w:szCs w:val="21"/>
        </w:rPr>
        <w:t>3.3采购邀请：略，本项目的采购邀请书同采购公告</w:t>
      </w:r>
    </w:p>
    <w:p>
      <w:pPr>
        <w:spacing w:line="262" w:lineRule="auto"/>
        <w:ind w:firstLine="422" w:firstLineChars="200"/>
        <w:rPr>
          <w:rFonts w:ascii="宋体" w:hAnsi="宋体" w:cs="宋体"/>
          <w:b/>
          <w:szCs w:val="21"/>
        </w:rPr>
      </w:pPr>
      <w:r>
        <w:rPr>
          <w:rFonts w:hint="eastAsia" w:ascii="宋体" w:hAnsi="宋体" w:cs="宋体"/>
          <w:b/>
          <w:szCs w:val="21"/>
        </w:rPr>
        <w:t>4、参加招标费用</w:t>
      </w:r>
    </w:p>
    <w:p>
      <w:pPr>
        <w:spacing w:line="262" w:lineRule="auto"/>
        <w:ind w:firstLine="420" w:firstLineChars="200"/>
        <w:rPr>
          <w:rFonts w:ascii="宋体" w:hAnsi="宋体" w:cs="宋体"/>
          <w:b/>
          <w:szCs w:val="21"/>
        </w:rPr>
      </w:pPr>
      <w:r>
        <w:rPr>
          <w:rFonts w:hint="eastAsia" w:ascii="宋体" w:hAnsi="宋体" w:cs="宋体"/>
          <w:szCs w:val="21"/>
        </w:rPr>
        <w:t>供应商应自行承担所有与参加招标响应有关的费用。无论招标过程中的做法和结果如何，采购人及携手阳光公司在任何情况下均无义务和责任承担这些费用。</w:t>
      </w:r>
    </w:p>
    <w:p>
      <w:pPr>
        <w:spacing w:line="262" w:lineRule="auto"/>
        <w:ind w:firstLine="422" w:firstLineChars="200"/>
        <w:rPr>
          <w:rFonts w:ascii="宋体" w:hAnsi="宋体" w:cs="宋体"/>
          <w:b/>
          <w:szCs w:val="21"/>
        </w:rPr>
      </w:pPr>
      <w:r>
        <w:rPr>
          <w:rFonts w:hint="eastAsia" w:ascii="宋体" w:hAnsi="宋体" w:cs="宋体"/>
          <w:b/>
          <w:szCs w:val="21"/>
        </w:rPr>
        <w:t>5、招标文件的约束力</w:t>
      </w:r>
    </w:p>
    <w:p>
      <w:pPr>
        <w:spacing w:line="262" w:lineRule="auto"/>
        <w:ind w:firstLine="420" w:firstLineChars="200"/>
        <w:rPr>
          <w:rFonts w:ascii="宋体" w:hAnsi="宋体" w:cs="宋体"/>
          <w:szCs w:val="21"/>
        </w:rPr>
      </w:pPr>
      <w:r>
        <w:rPr>
          <w:rFonts w:hint="eastAsia" w:ascii="宋体" w:hAnsi="宋体" w:cs="宋体"/>
          <w:szCs w:val="21"/>
        </w:rPr>
        <w:t>供应商一旦下载了本招标文件并决定参加招标，即代表供应商已阅读了本采购文件每一条条款，并接受了本招标文件所有的规定和约束。并且视为自采购公告期限届满之日起已经知道或应当知道自身权益是否受到了损害。</w:t>
      </w:r>
    </w:p>
    <w:p>
      <w:pPr>
        <w:spacing w:line="262" w:lineRule="auto"/>
        <w:ind w:firstLine="422" w:firstLineChars="200"/>
        <w:rPr>
          <w:rFonts w:ascii="宋体" w:hAnsi="宋体" w:cs="宋体"/>
          <w:b/>
          <w:szCs w:val="21"/>
        </w:rPr>
      </w:pPr>
      <w:r>
        <w:rPr>
          <w:rFonts w:hint="eastAsia" w:ascii="宋体" w:hAnsi="宋体" w:cs="宋体"/>
          <w:b/>
          <w:szCs w:val="21"/>
        </w:rPr>
        <w:t>6、</w:t>
      </w:r>
      <w:bookmarkStart w:id="68" w:name="_Toc462564070"/>
      <w:bookmarkStart w:id="69" w:name="_Toc20823283"/>
      <w:bookmarkStart w:id="70" w:name="_Toc16938527"/>
      <w:bookmarkStart w:id="71" w:name="_Toc513029211"/>
      <w:r>
        <w:rPr>
          <w:rFonts w:hint="eastAsia" w:ascii="宋体" w:hAnsi="宋体" w:cs="宋体"/>
          <w:b/>
          <w:szCs w:val="21"/>
        </w:rPr>
        <w:t>招标文件的澄清</w:t>
      </w:r>
      <w:bookmarkEnd w:id="68"/>
      <w:bookmarkEnd w:id="69"/>
      <w:bookmarkEnd w:id="70"/>
      <w:bookmarkEnd w:id="71"/>
      <w:r>
        <w:rPr>
          <w:rFonts w:hint="eastAsia" w:ascii="宋体" w:hAnsi="宋体" w:cs="宋体"/>
          <w:b/>
          <w:szCs w:val="21"/>
        </w:rPr>
        <w:t>及修改</w:t>
      </w:r>
    </w:p>
    <w:p>
      <w:pPr>
        <w:spacing w:line="262" w:lineRule="auto"/>
        <w:ind w:firstLine="420" w:firstLineChars="200"/>
        <w:rPr>
          <w:rFonts w:ascii="宋体" w:hAnsi="宋体" w:cs="宋体"/>
          <w:szCs w:val="21"/>
        </w:rPr>
      </w:pPr>
      <w:r>
        <w:rPr>
          <w:rFonts w:hint="eastAsia" w:ascii="宋体" w:hAnsi="宋体" w:cs="宋体"/>
          <w:szCs w:val="21"/>
        </w:rPr>
        <w:t>6.1提交首次响应文件截止之日前，采购人、采购代理机构或者专家小组可以对已发出的招标文件进行必要的澄清或者修改，澄清或者修改的内容作为招标文件的组成部分。澄清或者修改的内容可能影响响应文件编制的，采购人、采购代理机构或者招标小组应当在提交首次响应文件截止之日3个工作日前，以书面形式通知所有接收招标文件的供应商，不足3个工作日的，应当顺延提交首次响应文件截止之日。</w:t>
      </w:r>
    </w:p>
    <w:p>
      <w:pPr>
        <w:spacing w:line="262" w:lineRule="auto"/>
        <w:jc w:val="center"/>
        <w:outlineLvl w:val="1"/>
        <w:rPr>
          <w:rFonts w:ascii="宋体" w:hAnsi="宋体" w:cs="宋体"/>
          <w:b/>
          <w:szCs w:val="21"/>
        </w:rPr>
      </w:pPr>
      <w:bookmarkStart w:id="72" w:name="_Toc513029213"/>
      <w:bookmarkStart w:id="73" w:name="_Toc14577351"/>
      <w:bookmarkStart w:id="74" w:name="_Toc462564072"/>
      <w:bookmarkStart w:id="75" w:name="_Toc61149553"/>
      <w:bookmarkStart w:id="76" w:name="_Toc25200"/>
      <w:r>
        <w:rPr>
          <w:rFonts w:hint="eastAsia" w:ascii="宋体" w:hAnsi="宋体" w:cs="宋体"/>
          <w:b/>
          <w:szCs w:val="21"/>
        </w:rPr>
        <w:t>二、响应文件的编制</w:t>
      </w:r>
      <w:bookmarkEnd w:id="72"/>
      <w:bookmarkEnd w:id="73"/>
      <w:bookmarkEnd w:id="74"/>
      <w:bookmarkEnd w:id="75"/>
      <w:r>
        <w:rPr>
          <w:rFonts w:hint="eastAsia" w:ascii="宋体" w:hAnsi="宋体" w:cs="宋体"/>
          <w:b/>
          <w:szCs w:val="21"/>
        </w:rPr>
        <w:t>及保证金收取</w:t>
      </w:r>
      <w:bookmarkEnd w:id="76"/>
      <w:bookmarkStart w:id="77" w:name="_Toc513029223"/>
      <w:bookmarkStart w:id="78" w:name="_Toc61149561"/>
      <w:bookmarkStart w:id="79" w:name="_Toc14577361"/>
    </w:p>
    <w:p>
      <w:pPr>
        <w:spacing w:line="262" w:lineRule="auto"/>
        <w:ind w:firstLine="422" w:firstLineChars="200"/>
        <w:rPr>
          <w:rFonts w:ascii="宋体" w:hAnsi="宋体" w:cs="宋体"/>
          <w:b/>
          <w:szCs w:val="21"/>
        </w:rPr>
      </w:pPr>
      <w:r>
        <w:rPr>
          <w:rFonts w:hint="eastAsia" w:ascii="宋体" w:hAnsi="宋体" w:cs="宋体"/>
          <w:b/>
          <w:szCs w:val="21"/>
        </w:rPr>
        <w:t>1、招标响应文件份数和签署</w:t>
      </w:r>
      <w:bookmarkEnd w:id="77"/>
      <w:bookmarkEnd w:id="78"/>
      <w:bookmarkEnd w:id="79"/>
    </w:p>
    <w:p>
      <w:pPr>
        <w:spacing w:line="262" w:lineRule="auto"/>
        <w:ind w:firstLine="420" w:firstLineChars="200"/>
        <w:rPr>
          <w:rFonts w:ascii="宋体" w:hAnsi="宋体" w:cs="宋体"/>
          <w:szCs w:val="21"/>
        </w:rPr>
      </w:pPr>
      <w:r>
        <w:rPr>
          <w:rFonts w:hint="eastAsia" w:ascii="宋体" w:hAnsi="宋体" w:cs="宋体"/>
          <w:szCs w:val="21"/>
        </w:rPr>
        <w:t>1.1供应商应按</w:t>
      </w:r>
      <w:r>
        <w:rPr>
          <w:rFonts w:hint="eastAsia" w:ascii="宋体" w:hAnsi="宋体" w:cs="宋体"/>
          <w:szCs w:val="21"/>
          <w:u w:val="single"/>
        </w:rPr>
        <w:t>采购文件</w:t>
      </w:r>
      <w:r>
        <w:rPr>
          <w:rFonts w:hint="eastAsia" w:ascii="宋体" w:hAnsi="宋体" w:cs="宋体"/>
          <w:szCs w:val="21"/>
        </w:rPr>
        <w:t>中的规定，准备和递交投标（响应）文件正本、副本和电子文档，每份投标（响应）文件封皮须清楚地标明“正本”或“副本”。若正本和副本不符，以正本为准。如投标（响应）文件未标明或未清楚标准明正本或副本的，所引起的后果由供应商负责。</w:t>
      </w:r>
    </w:p>
    <w:p>
      <w:pPr>
        <w:spacing w:line="262" w:lineRule="auto"/>
        <w:ind w:firstLine="420" w:firstLineChars="200"/>
        <w:rPr>
          <w:rFonts w:ascii="宋体" w:hAnsi="宋体" w:cs="宋体"/>
          <w:szCs w:val="21"/>
        </w:rPr>
      </w:pPr>
      <w:r>
        <w:rPr>
          <w:rFonts w:hint="eastAsia" w:ascii="宋体" w:hAnsi="宋体" w:cs="宋体"/>
          <w:szCs w:val="21"/>
        </w:rPr>
        <w:t>供应商的响应文件的正本和副本均需打印或复印，文字材料需打印或用不褪色墨水书写。并按招标文件的要求提交相关证明。</w:t>
      </w:r>
    </w:p>
    <w:p>
      <w:pPr>
        <w:spacing w:line="262" w:lineRule="auto"/>
        <w:ind w:firstLine="420" w:firstLineChars="200"/>
        <w:rPr>
          <w:rFonts w:ascii="宋体" w:hAnsi="宋体" w:cs="宋体"/>
          <w:szCs w:val="21"/>
        </w:rPr>
      </w:pPr>
      <w:r>
        <w:rPr>
          <w:rFonts w:hint="eastAsia" w:ascii="宋体" w:hAnsi="宋体" w:cs="宋体"/>
          <w:szCs w:val="21"/>
        </w:rPr>
        <w:t>供应商应该当按招标文件的要求在响应文件正本中签字、盖（公）章（副本可以是复印件）否作无效响应文件处理。公章是指刻有供应商法定名称的印章，不包括合同、发票等业务专用章。</w:t>
      </w:r>
    </w:p>
    <w:p>
      <w:pPr>
        <w:spacing w:line="262" w:lineRule="auto"/>
        <w:ind w:firstLine="420" w:firstLineChars="200"/>
        <w:rPr>
          <w:rFonts w:ascii="宋体" w:hAnsi="宋体" w:cs="宋体"/>
          <w:szCs w:val="21"/>
        </w:rPr>
      </w:pPr>
      <w:r>
        <w:rPr>
          <w:rFonts w:hint="eastAsia" w:ascii="宋体" w:hAnsi="宋体" w:cs="宋体"/>
          <w:szCs w:val="21"/>
        </w:rPr>
        <w:t>1.2 除供应商对错处做必要修改外，响应文件不得行间插字、涂改或增删。如有修改错漏处，须由响应文件签署人签字或盖章。否由专家小组自行认定。</w:t>
      </w:r>
    </w:p>
    <w:p>
      <w:pPr>
        <w:spacing w:line="262" w:lineRule="auto"/>
        <w:ind w:firstLine="422" w:firstLineChars="200"/>
        <w:rPr>
          <w:rFonts w:ascii="宋体" w:hAnsi="宋体" w:cs="宋体"/>
          <w:b/>
          <w:szCs w:val="21"/>
        </w:rPr>
      </w:pPr>
      <w:r>
        <w:rPr>
          <w:rFonts w:hint="eastAsia" w:ascii="宋体" w:hAnsi="宋体" w:cs="宋体"/>
          <w:b/>
          <w:szCs w:val="21"/>
        </w:rPr>
        <w:t>2、响应文件编制要求</w:t>
      </w:r>
    </w:p>
    <w:p>
      <w:pPr>
        <w:spacing w:line="262" w:lineRule="auto"/>
        <w:ind w:firstLine="422" w:firstLineChars="200"/>
        <w:rPr>
          <w:rFonts w:ascii="宋体" w:hAnsi="宋体" w:cs="宋体"/>
          <w:b/>
          <w:szCs w:val="21"/>
        </w:rPr>
      </w:pPr>
      <w:r>
        <w:rPr>
          <w:rFonts w:hint="eastAsia" w:ascii="宋体" w:hAnsi="宋体" w:cs="宋体"/>
          <w:b/>
          <w:szCs w:val="21"/>
        </w:rPr>
        <w:t>2.1供应商应当按照采购文件的要求编制响应文件，并对其提交的响应文件的真实性、合法性承担法律责任。</w:t>
      </w:r>
    </w:p>
    <w:p>
      <w:pPr>
        <w:spacing w:line="262" w:lineRule="auto"/>
        <w:ind w:firstLine="420" w:firstLineChars="200"/>
        <w:rPr>
          <w:rFonts w:ascii="宋体" w:hAnsi="宋体" w:cs="宋体"/>
          <w:szCs w:val="21"/>
        </w:rPr>
      </w:pPr>
      <w:r>
        <w:rPr>
          <w:rFonts w:hint="eastAsia" w:ascii="宋体" w:hAnsi="宋体" w:cs="宋体"/>
          <w:szCs w:val="21"/>
        </w:rPr>
        <w:t>2.2供应商提交的响应文件以及本次采购活动的所有来往函电均应使用简体中文。采购过程中，既有中文也有外文的，以简体中文为准。</w:t>
      </w:r>
    </w:p>
    <w:p>
      <w:pPr>
        <w:spacing w:line="262" w:lineRule="auto"/>
        <w:ind w:firstLine="420" w:firstLineChars="200"/>
        <w:rPr>
          <w:rFonts w:ascii="宋体" w:hAnsi="宋体" w:cs="宋体"/>
          <w:szCs w:val="21"/>
        </w:rPr>
      </w:pPr>
      <w:r>
        <w:rPr>
          <w:rFonts w:hint="eastAsia" w:ascii="宋体" w:hAnsi="宋体" w:cs="宋体"/>
          <w:szCs w:val="21"/>
        </w:rPr>
        <w:t>2.3除技术性能另有规定外，响应文件所使用的度量衡单位，均须采用国家法定计量单位。</w:t>
      </w:r>
    </w:p>
    <w:p>
      <w:pPr>
        <w:spacing w:line="262" w:lineRule="auto"/>
        <w:ind w:firstLine="422" w:firstLineChars="200"/>
        <w:rPr>
          <w:rFonts w:ascii="宋体" w:hAnsi="宋体" w:cs="宋体"/>
          <w:b/>
          <w:szCs w:val="21"/>
        </w:rPr>
      </w:pPr>
      <w:r>
        <w:rPr>
          <w:rFonts w:hint="eastAsia" w:ascii="宋体" w:hAnsi="宋体" w:cs="宋体"/>
          <w:b/>
          <w:szCs w:val="21"/>
        </w:rPr>
        <w:t>3、证明投标标的的合格性和符合招标文件规定的技术文件（响应文件）</w:t>
      </w:r>
    </w:p>
    <w:p>
      <w:pPr>
        <w:spacing w:line="262" w:lineRule="auto"/>
        <w:ind w:firstLine="420" w:firstLineChars="200"/>
        <w:rPr>
          <w:rFonts w:ascii="宋体" w:hAnsi="宋体" w:cs="宋体"/>
          <w:szCs w:val="21"/>
        </w:rPr>
      </w:pPr>
      <w:bookmarkStart w:id="80" w:name="_Toc14577355"/>
      <w:bookmarkStart w:id="81" w:name="_Toc513029217"/>
      <w:bookmarkStart w:id="82" w:name="_Toc61149557"/>
      <w:r>
        <w:rPr>
          <w:rFonts w:hint="eastAsia" w:ascii="宋体" w:hAnsi="宋体" w:cs="宋体"/>
          <w:szCs w:val="21"/>
        </w:rPr>
        <w:t>3.1供应商应提交证明文件，证明其投标内容符合采购文件规定。该证明文件是投标（响应）文件的一部分。</w:t>
      </w:r>
    </w:p>
    <w:p>
      <w:pPr>
        <w:spacing w:line="262" w:lineRule="auto"/>
        <w:ind w:firstLine="420" w:firstLineChars="200"/>
        <w:rPr>
          <w:rFonts w:ascii="宋体" w:hAnsi="宋体" w:cs="宋体"/>
          <w:szCs w:val="21"/>
        </w:rPr>
      </w:pPr>
      <w:r>
        <w:rPr>
          <w:rFonts w:hint="eastAsia" w:ascii="宋体" w:hAnsi="宋体" w:cs="宋体"/>
          <w:szCs w:val="21"/>
        </w:rPr>
        <w:t>3.2上款所述的证明文件，可以是文字资料、图纸和数据。</w:t>
      </w:r>
    </w:p>
    <w:p>
      <w:pPr>
        <w:spacing w:line="262" w:lineRule="auto"/>
        <w:ind w:firstLine="420" w:firstLineChars="200"/>
        <w:rPr>
          <w:rFonts w:ascii="宋体" w:hAnsi="宋体" w:cs="宋体"/>
          <w:szCs w:val="21"/>
        </w:rPr>
      </w:pPr>
      <w:r>
        <w:rPr>
          <w:rFonts w:hint="eastAsia" w:ascii="宋体" w:hAnsi="宋体" w:cs="宋体"/>
          <w:szCs w:val="21"/>
        </w:rPr>
        <w:t>3.3供应商证明材料非简体中文的，供应商须同时提供简体中文翻译说明并加盖公章，否评审人员有权仅按简体中文部分评审。</w:t>
      </w:r>
    </w:p>
    <w:p>
      <w:pPr>
        <w:spacing w:line="262" w:lineRule="auto"/>
        <w:ind w:firstLine="420" w:firstLineChars="200"/>
        <w:rPr>
          <w:rFonts w:ascii="宋体" w:hAnsi="宋体" w:cs="宋体"/>
          <w:szCs w:val="21"/>
        </w:rPr>
      </w:pPr>
      <w:r>
        <w:rPr>
          <w:rFonts w:hint="eastAsia" w:ascii="宋体" w:hAnsi="宋体" w:cs="宋体"/>
          <w:szCs w:val="21"/>
        </w:rPr>
        <w:t>3.4供应商应当以详细具体的内容证明投标（响应）文件响应采购文件，以“完全响应”等简单文字而无具体内容的，按未提供处理（无效内容）。</w:t>
      </w:r>
    </w:p>
    <w:p>
      <w:pPr>
        <w:spacing w:line="262" w:lineRule="auto"/>
        <w:ind w:firstLine="420" w:firstLineChars="200"/>
        <w:rPr>
          <w:rFonts w:ascii="宋体" w:hAnsi="宋体" w:cs="宋体"/>
          <w:szCs w:val="21"/>
        </w:rPr>
      </w:pPr>
      <w:r>
        <w:rPr>
          <w:rFonts w:hint="eastAsia" w:ascii="宋体" w:hAnsi="宋体" w:cs="宋体"/>
          <w:szCs w:val="21"/>
        </w:rPr>
        <w:t xml:space="preserve">3.5 </w:t>
      </w:r>
      <w:r>
        <w:rPr>
          <w:rFonts w:hint="eastAsia" w:ascii="宋体" w:hAnsi="宋体" w:cs="宋体"/>
          <w:b/>
          <w:szCs w:val="21"/>
        </w:rPr>
        <w:t>供应商提交的证明应当证明提供的产品质量和服务均能满足采购文件规定的实质性要求。</w:t>
      </w:r>
    </w:p>
    <w:p>
      <w:pPr>
        <w:spacing w:line="262" w:lineRule="auto"/>
        <w:ind w:firstLine="422" w:firstLineChars="200"/>
        <w:rPr>
          <w:rFonts w:ascii="宋体" w:hAnsi="宋体" w:cs="宋体"/>
          <w:b/>
          <w:szCs w:val="21"/>
        </w:rPr>
      </w:pPr>
      <w:r>
        <w:rPr>
          <w:rFonts w:hint="eastAsia" w:ascii="宋体" w:hAnsi="宋体" w:cs="宋体"/>
          <w:b/>
          <w:szCs w:val="21"/>
        </w:rPr>
        <w:t>4、</w:t>
      </w:r>
      <w:bookmarkEnd w:id="80"/>
      <w:bookmarkEnd w:id="81"/>
      <w:bookmarkEnd w:id="82"/>
      <w:r>
        <w:rPr>
          <w:rFonts w:hint="eastAsia" w:ascii="宋体" w:hAnsi="宋体" w:cs="宋体"/>
          <w:b/>
          <w:szCs w:val="21"/>
        </w:rPr>
        <w:t>报价一览表(报价表)</w:t>
      </w:r>
    </w:p>
    <w:p>
      <w:pPr>
        <w:spacing w:line="262" w:lineRule="auto"/>
        <w:ind w:firstLine="422" w:firstLineChars="200"/>
        <w:rPr>
          <w:rFonts w:ascii="宋体" w:hAnsi="宋体" w:cs="宋体"/>
          <w:b/>
          <w:szCs w:val="21"/>
        </w:rPr>
      </w:pPr>
      <w:r>
        <w:rPr>
          <w:rFonts w:hint="eastAsia" w:ascii="宋体" w:hAnsi="宋体" w:cs="宋体"/>
          <w:b/>
          <w:szCs w:val="21"/>
        </w:rPr>
        <w:t>4.1供应商应按照采购文件规定格式填报报价一览表(报价表)以及相关内容。</w:t>
      </w:r>
    </w:p>
    <w:p>
      <w:pPr>
        <w:spacing w:line="262" w:lineRule="auto"/>
        <w:ind w:firstLine="420" w:firstLineChars="200"/>
        <w:rPr>
          <w:rFonts w:ascii="宋体" w:hAnsi="宋体" w:cs="宋体"/>
          <w:szCs w:val="21"/>
        </w:rPr>
      </w:pPr>
      <w:r>
        <w:rPr>
          <w:rFonts w:hint="eastAsia" w:ascii="宋体" w:hAnsi="宋体" w:cs="宋体"/>
          <w:szCs w:val="21"/>
        </w:rPr>
        <w:t>每项产品或服务只允许有一个报价（单次报价中），任何有选择的报价将不予接受，采购文件中另有规定的按规定执行。供应商报价（含每次报价）大写金额和小写金额不一致的，以大写金额为准。</w:t>
      </w:r>
    </w:p>
    <w:p>
      <w:pPr>
        <w:spacing w:line="262" w:lineRule="auto"/>
        <w:ind w:firstLine="420" w:firstLineChars="200"/>
        <w:rPr>
          <w:rFonts w:ascii="宋体" w:hAnsi="宋体" w:cs="宋体"/>
          <w:szCs w:val="21"/>
        </w:rPr>
      </w:pPr>
      <w:r>
        <w:rPr>
          <w:rFonts w:hint="eastAsia" w:ascii="宋体" w:hAnsi="宋体" w:cs="宋体"/>
          <w:szCs w:val="21"/>
        </w:rPr>
        <w:t>4.2标的物：略，详见采购需求。</w:t>
      </w:r>
    </w:p>
    <w:p>
      <w:pPr>
        <w:spacing w:line="262" w:lineRule="auto"/>
        <w:ind w:firstLine="420" w:firstLineChars="200"/>
        <w:rPr>
          <w:rFonts w:ascii="宋体" w:hAnsi="宋体" w:cs="宋体"/>
          <w:szCs w:val="21"/>
        </w:rPr>
      </w:pPr>
      <w:r>
        <w:rPr>
          <w:rFonts w:hint="eastAsia" w:ascii="宋体" w:hAnsi="宋体" w:cs="宋体"/>
          <w:szCs w:val="21"/>
        </w:rPr>
        <w:t>4.3供应商投标（响应）分项报价表内容应当全面完整，充分体现其报价的组成。如：知识产权、人员工资、加班费、设备使用或损耗、技术服务和培训费用、以及相关税费等。</w:t>
      </w:r>
    </w:p>
    <w:p>
      <w:pPr>
        <w:spacing w:line="262" w:lineRule="auto"/>
        <w:ind w:firstLine="420" w:firstLineChars="200"/>
        <w:rPr>
          <w:rFonts w:ascii="宋体" w:hAnsi="宋体" w:cs="宋体"/>
          <w:szCs w:val="21"/>
        </w:rPr>
      </w:pPr>
      <w:r>
        <w:rPr>
          <w:rFonts w:hint="eastAsia" w:ascii="宋体" w:hAnsi="宋体" w:cs="宋体"/>
          <w:szCs w:val="21"/>
        </w:rPr>
        <w:t>本次采购采用总承包方式，因此供应商的报价应包括全部产品（货物、工程、服务）的价格、相关税费以及履行合同产生的所有费用等（在合同履行过程中，采购人不再增加任何费用）。</w:t>
      </w:r>
    </w:p>
    <w:p>
      <w:pPr>
        <w:spacing w:line="262" w:lineRule="auto"/>
        <w:ind w:firstLine="420" w:firstLineChars="200"/>
        <w:rPr>
          <w:rFonts w:ascii="宋体" w:hAnsi="宋体" w:cs="宋体"/>
          <w:szCs w:val="21"/>
        </w:rPr>
      </w:pPr>
      <w:r>
        <w:rPr>
          <w:rFonts w:hint="eastAsia" w:ascii="宋体" w:hAnsi="宋体" w:cs="宋体"/>
          <w:szCs w:val="21"/>
        </w:rPr>
        <w:t>4.4 其它费用处理：采购文件未列明，而供应商认为必需的费用也需列入报价。</w:t>
      </w:r>
    </w:p>
    <w:p>
      <w:pPr>
        <w:spacing w:line="262" w:lineRule="auto"/>
        <w:ind w:firstLine="422" w:firstLineChars="200"/>
        <w:rPr>
          <w:rFonts w:ascii="宋体" w:hAnsi="宋体" w:cs="宋体"/>
          <w:b/>
          <w:szCs w:val="21"/>
        </w:rPr>
      </w:pPr>
      <w:r>
        <w:rPr>
          <w:rFonts w:hint="eastAsia" w:ascii="宋体" w:hAnsi="宋体" w:cs="宋体"/>
          <w:b/>
          <w:szCs w:val="21"/>
        </w:rPr>
        <w:t>4.5</w:t>
      </w:r>
      <w:bookmarkStart w:id="83" w:name="_Hlt26670486"/>
      <w:bookmarkEnd w:id="83"/>
      <w:bookmarkStart w:id="84" w:name="_Hlt26670403"/>
      <w:bookmarkEnd w:id="84"/>
      <w:bookmarkStart w:id="85" w:name="_Hlt26954842"/>
      <w:bookmarkEnd w:id="85"/>
      <w:bookmarkStart w:id="86" w:name="_Hlt26668983"/>
      <w:bookmarkEnd w:id="86"/>
      <w:bookmarkStart w:id="87" w:name="_Hlt26954731"/>
      <w:bookmarkEnd w:id="87"/>
      <w:bookmarkStart w:id="88" w:name="_Hlt26954848"/>
      <w:bookmarkEnd w:id="88"/>
      <w:bookmarkStart w:id="89" w:name="_Hlt26954846"/>
      <w:bookmarkEnd w:id="89"/>
      <w:bookmarkStart w:id="90" w:name="_Hlt26954844"/>
      <w:bookmarkEnd w:id="90"/>
      <w:bookmarkStart w:id="91" w:name="_Hlt26670482"/>
      <w:bookmarkEnd w:id="91"/>
      <w:bookmarkStart w:id="92" w:name="_Hlt26670425"/>
      <w:bookmarkEnd w:id="92"/>
      <w:r>
        <w:rPr>
          <w:rFonts w:hint="eastAsia" w:ascii="宋体" w:hAnsi="宋体" w:cs="宋体"/>
          <w:b/>
          <w:szCs w:val="21"/>
        </w:rPr>
        <w:t>供应商的投标报价应遵守《中华人民共和国价格法》。同时，根据《中华人民共和国政府采购法》第二条的规定，为保证公平竞争，如有货物主体部分，服务过程应当支出的人员工资，法定加班费（如果有），主要的必然支出等主体投标标的的赠与行为（含主体投标标的低于商品进价的报价等），其投标将被认定为</w:t>
      </w:r>
      <w:r>
        <w:rPr>
          <w:rFonts w:hint="eastAsia" w:ascii="宋体" w:hAnsi="宋体" w:cs="宋体"/>
          <w:b/>
          <w:bCs/>
          <w:szCs w:val="21"/>
        </w:rPr>
        <w:t>投标无效</w:t>
      </w:r>
      <w:r>
        <w:rPr>
          <w:rFonts w:hint="eastAsia" w:ascii="宋体" w:hAnsi="宋体" w:cs="宋体"/>
          <w:b/>
          <w:szCs w:val="21"/>
        </w:rPr>
        <w:t>。采购人也不接受明显不合理或者低于成本的报价（有可能影响商品质量和不能诚信履约的报价）。</w:t>
      </w:r>
    </w:p>
    <w:p>
      <w:pPr>
        <w:spacing w:line="262" w:lineRule="auto"/>
        <w:ind w:firstLine="422" w:firstLineChars="200"/>
        <w:rPr>
          <w:rFonts w:ascii="宋体" w:hAnsi="宋体" w:cs="宋体"/>
          <w:b/>
          <w:szCs w:val="21"/>
        </w:rPr>
      </w:pPr>
      <w:r>
        <w:rPr>
          <w:rFonts w:hint="eastAsia" w:ascii="宋体" w:hAnsi="宋体" w:cs="宋体"/>
          <w:b/>
          <w:szCs w:val="21"/>
        </w:rPr>
        <w:t>5、投标保证金</w:t>
      </w:r>
      <w:r>
        <w:rPr>
          <w:rFonts w:hint="eastAsia" w:ascii="宋体" w:hAnsi="宋体" w:cs="宋体"/>
          <w:b/>
          <w:bCs/>
          <w:szCs w:val="21"/>
        </w:rPr>
        <w:t>（招标响应保证金）</w:t>
      </w:r>
    </w:p>
    <w:p>
      <w:pPr>
        <w:spacing w:line="262" w:lineRule="auto"/>
        <w:ind w:firstLine="422" w:firstLineChars="200"/>
        <w:rPr>
          <w:rFonts w:ascii="宋体" w:hAnsi="宋体" w:cs="宋体"/>
          <w:b/>
          <w:szCs w:val="21"/>
        </w:rPr>
      </w:pPr>
      <w:r>
        <w:rPr>
          <w:rFonts w:hint="eastAsia" w:ascii="宋体" w:hAnsi="宋体" w:cs="宋体"/>
          <w:b/>
          <w:szCs w:val="21"/>
        </w:rPr>
        <w:t>5.1供应商在投标时，须按采购文件的要求交纳投标保证金（部分项目不须要交，请看采购公告）。</w:t>
      </w:r>
    </w:p>
    <w:p>
      <w:pPr>
        <w:spacing w:line="262" w:lineRule="auto"/>
        <w:ind w:firstLine="420" w:firstLineChars="200"/>
        <w:rPr>
          <w:rFonts w:ascii="宋体" w:hAnsi="宋体" w:cs="宋体"/>
          <w:szCs w:val="21"/>
        </w:rPr>
      </w:pPr>
      <w:r>
        <w:rPr>
          <w:rFonts w:hint="eastAsia" w:ascii="宋体" w:hAnsi="宋体" w:cs="宋体"/>
          <w:szCs w:val="21"/>
        </w:rPr>
        <w:t>采购文件要求供应商交纳保证金的，供应商应当及时提交。对于未按要求及时提交保证金的询价响应文件，</w:t>
      </w:r>
      <w:r>
        <w:rPr>
          <w:rFonts w:hint="eastAsia" w:ascii="宋体" w:hAnsi="宋体" w:cs="宋体"/>
          <w:b/>
          <w:szCs w:val="21"/>
        </w:rPr>
        <w:t>将被视为无效文件而予以拒绝</w:t>
      </w:r>
      <w:r>
        <w:rPr>
          <w:rFonts w:hint="eastAsia" w:ascii="宋体" w:hAnsi="宋体" w:cs="宋体"/>
          <w:szCs w:val="21"/>
        </w:rPr>
        <w:t>。联合体以一方名义提交保证金的，对联合体各方均具有约束力。</w:t>
      </w:r>
    </w:p>
    <w:p>
      <w:pPr>
        <w:spacing w:line="262" w:lineRule="auto"/>
        <w:ind w:firstLine="420" w:firstLineChars="200"/>
        <w:rPr>
          <w:rFonts w:ascii="宋体" w:hAnsi="宋体" w:cs="宋体"/>
          <w:szCs w:val="21"/>
        </w:rPr>
      </w:pPr>
      <w:r>
        <w:rPr>
          <w:rFonts w:hint="eastAsia" w:ascii="宋体" w:hAnsi="宋体" w:cs="宋体"/>
          <w:szCs w:val="21"/>
        </w:rPr>
        <w:t>5.2投标保证金应当及时退还（无息退还）。供应商应及时向携手阳光公司办理退还手续（提供账户信息、收据等。成交供应商须已如数缴纳履约保证金），否视为因供应商自身原因导致无法及时退还。</w:t>
      </w:r>
    </w:p>
    <w:p>
      <w:pPr>
        <w:spacing w:line="262" w:lineRule="auto"/>
        <w:ind w:firstLine="422" w:firstLineChars="200"/>
        <w:rPr>
          <w:rFonts w:ascii="宋体" w:hAnsi="宋体" w:cs="宋体"/>
          <w:szCs w:val="21"/>
        </w:rPr>
      </w:pPr>
      <w:r>
        <w:rPr>
          <w:rFonts w:hint="eastAsia" w:ascii="宋体" w:hAnsi="宋体" w:cs="宋体"/>
          <w:b/>
          <w:szCs w:val="21"/>
        </w:rPr>
        <w:t>5.3有下列情形之一的，保证金不予退还</w:t>
      </w:r>
      <w:r>
        <w:rPr>
          <w:rFonts w:hint="eastAsia" w:ascii="宋体" w:hAnsi="宋体" w:cs="宋体"/>
          <w:szCs w:val="21"/>
        </w:rPr>
        <w:t>（预定的损害赔偿而非罚款。全额赔偿给携手阳光公司）：</w:t>
      </w:r>
      <w:r>
        <w:rPr>
          <w:rFonts w:hint="eastAsia" w:ascii="宋体" w:hAnsi="宋体" w:cs="宋体"/>
          <w:szCs w:val="21"/>
        </w:rPr>
        <w:br w:type="textWrapping"/>
      </w:r>
      <w:r>
        <w:rPr>
          <w:rFonts w:hint="eastAsia" w:ascii="宋体" w:hAnsi="宋体" w:cs="宋体"/>
          <w:szCs w:val="21"/>
        </w:rPr>
        <w:t>　　（一）供应商在提交响应文件截止时间后撤回响应文件的；</w:t>
      </w:r>
      <w:r>
        <w:rPr>
          <w:rFonts w:hint="eastAsia" w:ascii="宋体" w:hAnsi="宋体" w:cs="宋体"/>
          <w:szCs w:val="21"/>
        </w:rPr>
        <w:br w:type="textWrapping"/>
      </w:r>
      <w:r>
        <w:rPr>
          <w:rFonts w:hint="eastAsia" w:ascii="宋体" w:hAnsi="宋体" w:cs="宋体"/>
          <w:szCs w:val="21"/>
        </w:rPr>
        <w:t>　　（二）供应商在响应文件中提供虚假材料的；</w:t>
      </w:r>
      <w:r>
        <w:rPr>
          <w:rFonts w:hint="eastAsia" w:ascii="宋体" w:hAnsi="宋体" w:cs="宋体"/>
          <w:szCs w:val="21"/>
        </w:rPr>
        <w:br w:type="textWrapping"/>
      </w:r>
      <w:r>
        <w:rPr>
          <w:rFonts w:hint="eastAsia" w:ascii="宋体" w:hAnsi="宋体" w:cs="宋体"/>
          <w:szCs w:val="21"/>
        </w:rPr>
        <w:t>　　（三）除因不可抗力或招标文件认可的情形以外，成交供应商不与采购人签订合同的；</w:t>
      </w:r>
      <w:r>
        <w:rPr>
          <w:rFonts w:hint="eastAsia" w:ascii="宋体" w:hAnsi="宋体" w:cs="宋体"/>
          <w:szCs w:val="21"/>
        </w:rPr>
        <w:br w:type="textWrapping"/>
      </w:r>
      <w:r>
        <w:rPr>
          <w:rFonts w:hint="eastAsia" w:ascii="宋体" w:hAnsi="宋体" w:cs="宋体"/>
          <w:szCs w:val="21"/>
        </w:rPr>
        <w:t>　　（四）供应商与采购人、其他供应商或者采购代理机构恶意串通的；</w:t>
      </w:r>
      <w:r>
        <w:rPr>
          <w:rFonts w:hint="eastAsia" w:ascii="宋体" w:hAnsi="宋体" w:cs="宋体"/>
          <w:szCs w:val="21"/>
        </w:rPr>
        <w:br w:type="textWrapping"/>
      </w:r>
      <w:r>
        <w:rPr>
          <w:rFonts w:hint="eastAsia" w:ascii="宋体" w:hAnsi="宋体" w:cs="宋体"/>
          <w:szCs w:val="21"/>
        </w:rPr>
        <w:t>　　（五）采购文件规定的其他情形</w:t>
      </w:r>
      <w:r>
        <w:rPr>
          <w:rFonts w:hint="eastAsia" w:ascii="宋体" w:hAnsi="宋体" w:cs="宋体"/>
          <w:b/>
          <w:szCs w:val="21"/>
        </w:rPr>
        <w:t>：</w:t>
      </w:r>
    </w:p>
    <w:p>
      <w:pPr>
        <w:spacing w:line="262" w:lineRule="auto"/>
        <w:ind w:firstLine="420" w:firstLineChars="200"/>
        <w:rPr>
          <w:rFonts w:ascii="宋体" w:hAnsi="宋体" w:cs="宋体"/>
          <w:szCs w:val="21"/>
        </w:rPr>
      </w:pPr>
      <w:r>
        <w:rPr>
          <w:rFonts w:hint="eastAsia" w:ascii="宋体" w:hAnsi="宋体" w:cs="宋体"/>
          <w:szCs w:val="21"/>
        </w:rPr>
        <w:t>（1）供应商报名后未参加投标的或在招标过程中无正当理由退出招标活动的；</w:t>
      </w:r>
    </w:p>
    <w:p>
      <w:pPr>
        <w:spacing w:line="262" w:lineRule="auto"/>
        <w:ind w:firstLine="420" w:firstLineChars="200"/>
        <w:rPr>
          <w:rFonts w:ascii="宋体" w:hAnsi="宋体" w:cs="宋体"/>
          <w:szCs w:val="21"/>
        </w:rPr>
      </w:pPr>
      <w:r>
        <w:rPr>
          <w:rFonts w:hint="eastAsia" w:ascii="宋体" w:hAnsi="宋体" w:cs="宋体"/>
          <w:szCs w:val="21"/>
        </w:rPr>
        <w:t>（2）供应商提供的有关资料（含质疑材料）不真实或</w:t>
      </w:r>
      <w:r>
        <w:rPr>
          <w:rFonts w:hint="eastAsia" w:ascii="宋体" w:hAnsi="宋体" w:cs="宋体"/>
          <w:kern w:val="0"/>
          <w:szCs w:val="21"/>
        </w:rPr>
        <w:t>以非法手段取得。</w:t>
      </w:r>
    </w:p>
    <w:p>
      <w:pPr>
        <w:spacing w:line="262" w:lineRule="auto"/>
        <w:ind w:firstLine="420" w:firstLineChars="200"/>
        <w:rPr>
          <w:rFonts w:ascii="宋体" w:hAnsi="宋体" w:cs="宋体"/>
          <w:szCs w:val="21"/>
        </w:rPr>
      </w:pPr>
      <w:r>
        <w:rPr>
          <w:rFonts w:hint="eastAsia" w:ascii="宋体" w:hAnsi="宋体" w:cs="宋体"/>
          <w:szCs w:val="21"/>
        </w:rPr>
        <w:t>（3）成交供应商在规定期限内未能根据规定交纳代理服务费、履约保证金的。</w:t>
      </w:r>
    </w:p>
    <w:p>
      <w:pPr>
        <w:spacing w:line="262" w:lineRule="auto"/>
        <w:ind w:firstLine="420" w:firstLineChars="200"/>
        <w:rPr>
          <w:rFonts w:ascii="宋体" w:hAnsi="宋体" w:cs="宋体"/>
          <w:szCs w:val="21"/>
        </w:rPr>
      </w:pPr>
      <w:r>
        <w:rPr>
          <w:rFonts w:hint="eastAsia" w:ascii="宋体" w:hAnsi="宋体" w:cs="宋体"/>
          <w:szCs w:val="21"/>
        </w:rPr>
        <w:t>（六）法律、法规规定的其他情况。</w:t>
      </w:r>
    </w:p>
    <w:p>
      <w:pPr>
        <w:spacing w:line="262" w:lineRule="auto"/>
        <w:jc w:val="center"/>
        <w:outlineLvl w:val="1"/>
        <w:rPr>
          <w:rFonts w:ascii="宋体" w:hAnsi="宋体" w:cs="宋体"/>
          <w:b/>
          <w:szCs w:val="21"/>
        </w:rPr>
      </w:pPr>
      <w:bookmarkStart w:id="93" w:name="_Hlt26954850"/>
      <w:bookmarkEnd w:id="93"/>
      <w:bookmarkStart w:id="94" w:name="_Hlt26670489"/>
      <w:bookmarkEnd w:id="94"/>
      <w:bookmarkStart w:id="95" w:name="_Hlt26670493"/>
      <w:bookmarkEnd w:id="95"/>
      <w:bookmarkStart w:id="96" w:name="_Hlt26954739"/>
      <w:bookmarkEnd w:id="96"/>
      <w:bookmarkStart w:id="97" w:name="_Hlt26954852"/>
      <w:bookmarkEnd w:id="97"/>
      <w:bookmarkStart w:id="98" w:name="_Hlt26954734"/>
      <w:bookmarkEnd w:id="98"/>
      <w:bookmarkStart w:id="99" w:name="_Hlt26954854"/>
      <w:bookmarkEnd w:id="99"/>
      <w:bookmarkStart w:id="100" w:name="_Hlt26954749"/>
      <w:bookmarkEnd w:id="100"/>
      <w:bookmarkStart w:id="101" w:name="_Toc513029224"/>
      <w:bookmarkStart w:id="102" w:name="_Toc14577362"/>
      <w:bookmarkStart w:id="103" w:name="_Toc61149562"/>
      <w:bookmarkStart w:id="104" w:name="_Toc24716"/>
      <w:r>
        <w:rPr>
          <w:rFonts w:hint="eastAsia" w:ascii="宋体" w:hAnsi="宋体" w:cs="宋体"/>
          <w:b/>
          <w:szCs w:val="21"/>
        </w:rPr>
        <w:t>三、招标响应文件的</w:t>
      </w:r>
      <w:bookmarkEnd w:id="101"/>
      <w:bookmarkEnd w:id="102"/>
      <w:bookmarkEnd w:id="103"/>
      <w:r>
        <w:rPr>
          <w:rFonts w:hint="eastAsia" w:ascii="宋体" w:hAnsi="宋体" w:cs="宋体"/>
          <w:b/>
          <w:szCs w:val="21"/>
        </w:rPr>
        <w:t>密封、递交</w:t>
      </w:r>
      <w:bookmarkEnd w:id="104"/>
    </w:p>
    <w:p>
      <w:pPr>
        <w:spacing w:line="262" w:lineRule="auto"/>
        <w:ind w:firstLine="422" w:firstLineChars="200"/>
        <w:rPr>
          <w:rFonts w:ascii="宋体" w:hAnsi="宋体" w:cs="宋体"/>
          <w:b/>
          <w:szCs w:val="21"/>
        </w:rPr>
      </w:pPr>
      <w:bookmarkStart w:id="105" w:name="_Hlt26954856"/>
      <w:bookmarkEnd w:id="105"/>
      <w:bookmarkStart w:id="106" w:name="_Toc61149563"/>
      <w:bookmarkStart w:id="107" w:name="_Toc513029225"/>
      <w:bookmarkStart w:id="108" w:name="_Toc14577363"/>
      <w:bookmarkStart w:id="109" w:name="_Toc462564084"/>
      <w:r>
        <w:rPr>
          <w:rFonts w:hint="eastAsia" w:ascii="宋体" w:hAnsi="宋体" w:cs="宋体"/>
          <w:b/>
          <w:szCs w:val="21"/>
        </w:rPr>
        <w:t>1、响应文件</w:t>
      </w:r>
      <w:bookmarkStart w:id="110" w:name="_Hlt26954743"/>
      <w:bookmarkEnd w:id="110"/>
      <w:r>
        <w:rPr>
          <w:rFonts w:hint="eastAsia" w:ascii="宋体" w:hAnsi="宋体" w:cs="宋体"/>
          <w:b/>
          <w:szCs w:val="21"/>
        </w:rPr>
        <w:t>的密封</w:t>
      </w:r>
      <w:bookmarkEnd w:id="106"/>
      <w:bookmarkEnd w:id="107"/>
      <w:bookmarkEnd w:id="108"/>
      <w:bookmarkEnd w:id="109"/>
      <w:r>
        <w:rPr>
          <w:rFonts w:hint="eastAsia" w:ascii="宋体" w:hAnsi="宋体" w:cs="宋体"/>
          <w:b/>
          <w:szCs w:val="21"/>
        </w:rPr>
        <w:t>、递交</w:t>
      </w:r>
    </w:p>
    <w:p>
      <w:pPr>
        <w:spacing w:line="262" w:lineRule="auto"/>
        <w:ind w:firstLine="420" w:firstLineChars="200"/>
        <w:rPr>
          <w:rFonts w:ascii="宋体" w:hAnsi="宋体" w:cs="宋体"/>
          <w:szCs w:val="21"/>
        </w:rPr>
      </w:pPr>
      <w:r>
        <w:rPr>
          <w:rFonts w:hint="eastAsia" w:ascii="宋体" w:hAnsi="宋体" w:cs="宋体"/>
          <w:szCs w:val="21"/>
        </w:rPr>
        <w:t>1.1供应商应当在招标文件要求的截止时间前，将响应文件密封（在不破坏外包装的情况下，无法直接取出响应文件即可）送达指定地点[按采购公告（采购邀请）中注明的地点及时送达]。在截止时间后送达的响应文件为无效文件，采购人、采购代理机构或者招标小组应当拒收。</w:t>
      </w:r>
    </w:p>
    <w:p>
      <w:pPr>
        <w:spacing w:line="262" w:lineRule="auto"/>
        <w:ind w:firstLine="420" w:firstLineChars="200"/>
        <w:rPr>
          <w:rFonts w:ascii="宋体" w:hAnsi="宋体" w:cs="宋体"/>
          <w:szCs w:val="21"/>
        </w:rPr>
      </w:pPr>
      <w:r>
        <w:rPr>
          <w:rFonts w:hint="eastAsia" w:ascii="宋体" w:hAnsi="宋体" w:cs="宋体"/>
          <w:szCs w:val="21"/>
        </w:rPr>
        <w:t>请供应商在密封包装上注明供应商名称、项目名称（编号）以及参加的分包号等相关信息，以便采购代理机构接受（识别）。</w:t>
      </w:r>
    </w:p>
    <w:p>
      <w:pPr>
        <w:spacing w:line="262" w:lineRule="auto"/>
        <w:ind w:firstLine="420" w:firstLineChars="200"/>
        <w:rPr>
          <w:rFonts w:ascii="宋体" w:hAnsi="宋体" w:cs="宋体"/>
          <w:szCs w:val="21"/>
        </w:rPr>
      </w:pPr>
      <w:r>
        <w:rPr>
          <w:rFonts w:hint="eastAsia" w:ascii="宋体" w:hAnsi="宋体" w:cs="宋体"/>
          <w:szCs w:val="21"/>
        </w:rPr>
        <w:t>1.2采购人、采购代理机构、招标小组对供应商误投或过早启封概不负责。</w:t>
      </w:r>
      <w:bookmarkStart w:id="111" w:name="_Hlt26954752"/>
      <w:bookmarkEnd w:id="111"/>
      <w:bookmarkStart w:id="112" w:name="_Hlt26670496"/>
      <w:bookmarkEnd w:id="112"/>
      <w:bookmarkStart w:id="113" w:name="_Hlt26954858"/>
      <w:bookmarkEnd w:id="113"/>
      <w:bookmarkStart w:id="114" w:name="_Toc14577364"/>
      <w:bookmarkStart w:id="115" w:name="_Toc61149564"/>
      <w:bookmarkStart w:id="116" w:name="_Toc513029226"/>
    </w:p>
    <w:p>
      <w:pPr>
        <w:spacing w:line="262" w:lineRule="auto"/>
        <w:ind w:firstLine="422" w:firstLineChars="200"/>
        <w:rPr>
          <w:rFonts w:ascii="宋体" w:hAnsi="宋体" w:cs="宋体"/>
          <w:b/>
          <w:szCs w:val="21"/>
        </w:rPr>
      </w:pPr>
      <w:r>
        <w:rPr>
          <w:rFonts w:hint="eastAsia" w:ascii="宋体" w:hAnsi="宋体" w:cs="宋体"/>
          <w:b/>
          <w:szCs w:val="21"/>
        </w:rPr>
        <w:t>2、</w:t>
      </w:r>
      <w:bookmarkEnd w:id="114"/>
      <w:bookmarkEnd w:id="115"/>
      <w:bookmarkEnd w:id="116"/>
      <w:r>
        <w:rPr>
          <w:rFonts w:hint="eastAsia" w:ascii="宋体" w:hAnsi="宋体" w:cs="宋体"/>
          <w:b/>
          <w:szCs w:val="21"/>
        </w:rPr>
        <w:t>采购人、采购代理机构或者招标小组顺延提交首次响应文件截止时间、地点的，供应商应当按新的（变更后）接收截止时间、地点为准（准时送达）。</w:t>
      </w:r>
    </w:p>
    <w:p>
      <w:pPr>
        <w:spacing w:line="262" w:lineRule="auto"/>
        <w:ind w:firstLine="422" w:firstLineChars="200"/>
        <w:rPr>
          <w:rFonts w:ascii="宋体" w:hAnsi="宋体" w:cs="宋体"/>
          <w:b/>
          <w:szCs w:val="21"/>
        </w:rPr>
      </w:pPr>
      <w:bookmarkStart w:id="117" w:name="_Toc513029227"/>
      <w:bookmarkStart w:id="118" w:name="_Toc61149565"/>
      <w:bookmarkStart w:id="119" w:name="_Toc14577365"/>
      <w:r>
        <w:rPr>
          <w:rFonts w:hint="eastAsia" w:ascii="宋体" w:hAnsi="宋体" w:cs="宋体"/>
          <w:b/>
          <w:szCs w:val="21"/>
        </w:rPr>
        <w:t>3、</w:t>
      </w:r>
      <w:bookmarkEnd w:id="117"/>
      <w:bookmarkEnd w:id="118"/>
      <w:bookmarkEnd w:id="119"/>
      <w:r>
        <w:rPr>
          <w:rFonts w:hint="eastAsia" w:ascii="宋体" w:hAnsi="宋体" w:cs="宋体"/>
          <w:b/>
          <w:szCs w:val="21"/>
        </w:rPr>
        <w:t>供应商撤回响应文件、退出招标</w:t>
      </w:r>
    </w:p>
    <w:p>
      <w:pPr>
        <w:spacing w:line="262" w:lineRule="auto"/>
        <w:ind w:firstLine="420" w:firstLineChars="200"/>
        <w:rPr>
          <w:rFonts w:ascii="宋体" w:hAnsi="宋体" w:cs="宋体"/>
          <w:szCs w:val="21"/>
        </w:rPr>
      </w:pPr>
      <w:r>
        <w:rPr>
          <w:rFonts w:hint="eastAsia" w:ascii="宋体" w:hAnsi="宋体" w:cs="宋体"/>
          <w:szCs w:val="21"/>
        </w:rPr>
        <w:t>3.1</w:t>
      </w:r>
      <w:bookmarkStart w:id="120" w:name="_Hlt26954754"/>
      <w:bookmarkEnd w:id="120"/>
      <w:bookmarkStart w:id="121" w:name="_Hlt26954862"/>
      <w:bookmarkEnd w:id="121"/>
      <w:r>
        <w:rPr>
          <w:rFonts w:hint="eastAsia" w:ascii="宋体" w:hAnsi="宋体" w:cs="宋体"/>
          <w:szCs w:val="21"/>
        </w:rPr>
        <w:t>供应商在提交响应文件截止时间后撤回响应文件的，</w:t>
      </w:r>
      <w:r>
        <w:rPr>
          <w:rFonts w:hint="eastAsia" w:ascii="宋体" w:hAnsi="宋体" w:cs="宋体"/>
          <w:b/>
          <w:szCs w:val="21"/>
        </w:rPr>
        <w:t>保证金不予退还。</w:t>
      </w:r>
    </w:p>
    <w:p>
      <w:pPr>
        <w:spacing w:line="262" w:lineRule="auto"/>
        <w:ind w:firstLine="420" w:firstLineChars="200"/>
        <w:rPr>
          <w:rFonts w:ascii="宋体" w:hAnsi="宋体" w:cs="宋体"/>
          <w:szCs w:val="21"/>
        </w:rPr>
      </w:pPr>
      <w:r>
        <w:rPr>
          <w:rFonts w:hint="eastAsia" w:ascii="宋体" w:hAnsi="宋体" w:cs="宋体"/>
          <w:szCs w:val="21"/>
        </w:rPr>
        <w:t>3.2供应商在提交最后报价之前，可以根据招标情况退出招标。但如无正当理由退出且造成在采购过程中符合竞争要求的供应商或者报价未超过采购预算的供应商不足3家的，</w:t>
      </w:r>
      <w:r>
        <w:rPr>
          <w:rFonts w:hint="eastAsia" w:ascii="宋体" w:hAnsi="宋体" w:cs="宋体"/>
          <w:b/>
          <w:szCs w:val="21"/>
        </w:rPr>
        <w:t>保证金不予退还。</w:t>
      </w:r>
    </w:p>
    <w:p>
      <w:pPr>
        <w:spacing w:line="262" w:lineRule="auto"/>
        <w:ind w:firstLine="422" w:firstLineChars="200"/>
        <w:rPr>
          <w:rFonts w:ascii="宋体" w:hAnsi="宋体" w:cs="宋体"/>
          <w:b/>
          <w:szCs w:val="21"/>
        </w:rPr>
      </w:pPr>
      <w:bookmarkStart w:id="122" w:name="_Toc513029228"/>
      <w:bookmarkStart w:id="123" w:name="_Toc14577366"/>
      <w:bookmarkStart w:id="124" w:name="_Toc61149566"/>
      <w:r>
        <w:rPr>
          <w:rFonts w:hint="eastAsia" w:ascii="宋体" w:hAnsi="宋体" w:cs="宋体"/>
          <w:b/>
          <w:szCs w:val="21"/>
        </w:rPr>
        <w:t>4、</w:t>
      </w:r>
      <w:bookmarkEnd w:id="122"/>
      <w:bookmarkEnd w:id="123"/>
      <w:bookmarkEnd w:id="124"/>
      <w:r>
        <w:rPr>
          <w:rFonts w:hint="eastAsia" w:ascii="宋体" w:hAnsi="宋体" w:cs="宋体"/>
          <w:b/>
          <w:szCs w:val="21"/>
        </w:rPr>
        <w:t>投标有效期（招标响应有效期）</w:t>
      </w:r>
    </w:p>
    <w:p>
      <w:pPr>
        <w:spacing w:line="262" w:lineRule="auto"/>
        <w:ind w:firstLine="420" w:firstLineChars="200"/>
        <w:rPr>
          <w:rFonts w:ascii="宋体" w:hAnsi="宋体" w:cs="宋体"/>
          <w:b/>
          <w:szCs w:val="21"/>
        </w:rPr>
      </w:pPr>
      <w:r>
        <w:rPr>
          <w:rFonts w:hint="eastAsia" w:ascii="宋体" w:hAnsi="宋体" w:cs="宋体"/>
          <w:szCs w:val="21"/>
        </w:rPr>
        <w:t>4.1投标有效期见</w:t>
      </w:r>
      <w:r>
        <w:rPr>
          <w:rFonts w:hint="eastAsia" w:ascii="宋体" w:hAnsi="宋体" w:cs="宋体"/>
          <w:szCs w:val="21"/>
          <w:u w:val="single"/>
        </w:rPr>
        <w:t>供应商须知资料表</w:t>
      </w:r>
      <w:r>
        <w:rPr>
          <w:rFonts w:hint="eastAsia" w:ascii="宋体" w:hAnsi="宋体" w:cs="宋体"/>
          <w:szCs w:val="21"/>
        </w:rPr>
        <w:t>，投标有效期比规定短的</w:t>
      </w:r>
      <w:r>
        <w:rPr>
          <w:rFonts w:hint="eastAsia" w:ascii="宋体" w:hAnsi="宋体" w:cs="宋体"/>
          <w:b/>
          <w:szCs w:val="21"/>
        </w:rPr>
        <w:t>将按无效文件处理。</w:t>
      </w:r>
    </w:p>
    <w:p>
      <w:pPr>
        <w:spacing w:line="262" w:lineRule="auto"/>
        <w:ind w:firstLine="420" w:firstLineChars="200"/>
        <w:rPr>
          <w:rFonts w:ascii="宋体" w:hAnsi="宋体" w:cs="宋体"/>
          <w:szCs w:val="21"/>
        </w:rPr>
      </w:pPr>
      <w:r>
        <w:rPr>
          <w:rFonts w:hint="eastAsia" w:ascii="宋体" w:hAnsi="宋体" w:cs="宋体"/>
          <w:szCs w:val="21"/>
        </w:rPr>
        <w:t>4.2为保证有充分时间签订合同，采购人或采购代理机构可根据实际情况，在原投标有效期截止之前，要求</w:t>
      </w:r>
      <w:r>
        <w:rPr>
          <w:rFonts w:hint="eastAsia" w:ascii="宋体" w:hAnsi="宋体" w:cs="宋体"/>
          <w:szCs w:val="21"/>
          <w:lang w:eastAsia="zh-CN"/>
        </w:rPr>
        <w:t>投标供应商</w:t>
      </w:r>
      <w:r>
        <w:rPr>
          <w:rFonts w:hint="eastAsia" w:ascii="宋体" w:hAnsi="宋体" w:cs="宋体"/>
          <w:szCs w:val="21"/>
        </w:rPr>
        <w:t>延长投标文件的有效期。接受该要求的</w:t>
      </w:r>
      <w:r>
        <w:rPr>
          <w:rFonts w:hint="eastAsia" w:ascii="宋体" w:hAnsi="宋体" w:cs="宋体"/>
          <w:szCs w:val="21"/>
          <w:lang w:eastAsia="zh-CN"/>
        </w:rPr>
        <w:t>投标供应商</w:t>
      </w:r>
      <w:r>
        <w:rPr>
          <w:rFonts w:hint="eastAsia" w:ascii="宋体" w:hAnsi="宋体" w:cs="宋体"/>
          <w:szCs w:val="21"/>
        </w:rPr>
        <w:t>将不会被要求和允许修正其投标，且本须知中有关保证金的要求须在延长的有效期内继续有效。</w:t>
      </w:r>
      <w:r>
        <w:rPr>
          <w:rFonts w:hint="eastAsia" w:ascii="宋体" w:hAnsi="宋体" w:cs="宋体"/>
          <w:szCs w:val="21"/>
          <w:lang w:eastAsia="zh-CN"/>
        </w:rPr>
        <w:t>投标供应商</w:t>
      </w:r>
      <w:r>
        <w:rPr>
          <w:rFonts w:hint="eastAsia" w:ascii="宋体" w:hAnsi="宋体" w:cs="宋体"/>
          <w:szCs w:val="21"/>
        </w:rPr>
        <w:t>可以拒绝延长投标有效期的要求，其保证金将及时无息退还。上述要求和答复都应以书面形式提交。</w:t>
      </w:r>
    </w:p>
    <w:p>
      <w:pPr>
        <w:spacing w:line="262" w:lineRule="auto"/>
        <w:jc w:val="center"/>
        <w:outlineLvl w:val="1"/>
        <w:rPr>
          <w:rFonts w:ascii="宋体" w:hAnsi="宋体" w:cs="宋体"/>
          <w:b/>
          <w:szCs w:val="21"/>
        </w:rPr>
      </w:pPr>
      <w:bookmarkStart w:id="125" w:name="_Hlt26670523"/>
      <w:bookmarkEnd w:id="125"/>
      <w:bookmarkStart w:id="126" w:name="_Hlt26954864"/>
      <w:bookmarkEnd w:id="126"/>
      <w:bookmarkStart w:id="127" w:name="_Toc18513"/>
      <w:r>
        <w:rPr>
          <w:rFonts w:hint="eastAsia" w:ascii="宋体" w:hAnsi="宋体" w:cs="宋体"/>
          <w:b/>
          <w:szCs w:val="21"/>
        </w:rPr>
        <w:t>四、招标与评审</w:t>
      </w:r>
      <w:bookmarkEnd w:id="127"/>
    </w:p>
    <w:p>
      <w:pPr>
        <w:spacing w:line="262" w:lineRule="auto"/>
        <w:ind w:firstLine="422" w:firstLineChars="200"/>
        <w:rPr>
          <w:rFonts w:ascii="宋体" w:hAnsi="宋体" w:cs="宋体"/>
          <w:b/>
          <w:szCs w:val="21"/>
        </w:rPr>
      </w:pPr>
      <w:bookmarkStart w:id="128" w:name="_Toc513029230"/>
      <w:bookmarkStart w:id="129" w:name="_Toc16938546"/>
      <w:bookmarkStart w:id="130" w:name="_Toc20823302"/>
      <w:r>
        <w:rPr>
          <w:rFonts w:hint="eastAsia" w:ascii="宋体" w:hAnsi="宋体" w:cs="宋体"/>
          <w:b/>
          <w:szCs w:val="21"/>
        </w:rPr>
        <w:t>1、</w:t>
      </w:r>
      <w:bookmarkEnd w:id="128"/>
      <w:bookmarkEnd w:id="129"/>
      <w:bookmarkEnd w:id="130"/>
      <w:bookmarkStart w:id="131" w:name="_Toc16938547"/>
      <w:bookmarkStart w:id="132" w:name="_Toc513029231"/>
      <w:bookmarkStart w:id="133" w:name="_Toc20823303"/>
      <w:r>
        <w:rPr>
          <w:rFonts w:hint="eastAsia" w:ascii="宋体" w:hAnsi="宋体" w:cs="宋体"/>
          <w:b/>
          <w:szCs w:val="21"/>
        </w:rPr>
        <w:t>采购人、采购代理机构将参照《政府采购法》等规定组织开展本次采购活动，任何单位和个人不得非法干预、影响评审过程和结果。</w:t>
      </w:r>
    </w:p>
    <w:p>
      <w:pPr>
        <w:spacing w:line="262" w:lineRule="auto"/>
        <w:ind w:firstLine="422" w:firstLineChars="200"/>
        <w:rPr>
          <w:rFonts w:ascii="宋体" w:hAnsi="宋体" w:cs="宋体"/>
          <w:b/>
          <w:szCs w:val="21"/>
        </w:rPr>
      </w:pPr>
      <w:r>
        <w:rPr>
          <w:rFonts w:hint="eastAsia" w:ascii="宋体" w:hAnsi="宋体" w:cs="宋体"/>
          <w:b/>
          <w:szCs w:val="21"/>
        </w:rPr>
        <w:t>2、招标小组</w:t>
      </w:r>
    </w:p>
    <w:p>
      <w:pPr>
        <w:spacing w:line="262" w:lineRule="auto"/>
        <w:ind w:firstLine="420" w:firstLineChars="200"/>
        <w:rPr>
          <w:rFonts w:ascii="宋体" w:hAnsi="宋体" w:cs="宋体"/>
          <w:szCs w:val="21"/>
        </w:rPr>
      </w:pPr>
      <w:r>
        <w:rPr>
          <w:rFonts w:hint="eastAsia" w:ascii="宋体" w:hAnsi="宋体" w:cs="宋体"/>
          <w:szCs w:val="21"/>
        </w:rPr>
        <w:t>竞争性招标小组由采购人代表和评审专家共3人以上单数组成，其中评审专家人数不得少于竞争性招标小组成员总数的2/3。</w:t>
      </w:r>
    </w:p>
    <w:p>
      <w:pPr>
        <w:spacing w:line="262" w:lineRule="auto"/>
        <w:ind w:firstLine="422" w:firstLineChars="200"/>
        <w:rPr>
          <w:rFonts w:ascii="宋体" w:hAnsi="宋体" w:cs="宋体"/>
          <w:b/>
          <w:szCs w:val="21"/>
        </w:rPr>
      </w:pPr>
      <w:r>
        <w:rPr>
          <w:rFonts w:hint="eastAsia" w:ascii="宋体" w:hAnsi="宋体" w:cs="宋体"/>
          <w:b/>
          <w:szCs w:val="21"/>
        </w:rPr>
        <w:t>3、评审过程的保密</w:t>
      </w:r>
      <w:bookmarkEnd w:id="131"/>
      <w:bookmarkEnd w:id="132"/>
      <w:bookmarkEnd w:id="133"/>
      <w:r>
        <w:rPr>
          <w:rFonts w:hint="eastAsia" w:ascii="宋体" w:hAnsi="宋体" w:cs="宋体"/>
          <w:b/>
          <w:szCs w:val="21"/>
        </w:rPr>
        <w:t>与公正</w:t>
      </w:r>
    </w:p>
    <w:p>
      <w:pPr>
        <w:spacing w:line="262" w:lineRule="auto"/>
        <w:ind w:firstLine="420" w:firstLineChars="200"/>
        <w:rPr>
          <w:rFonts w:ascii="宋体" w:hAnsi="宋体" w:cs="宋体"/>
          <w:szCs w:val="21"/>
        </w:rPr>
      </w:pPr>
      <w:r>
        <w:rPr>
          <w:rFonts w:hint="eastAsia" w:ascii="宋体" w:hAnsi="宋体" w:cs="宋体"/>
          <w:szCs w:val="21"/>
        </w:rPr>
        <w:t>3.1专家小组所有成员集中与单一供应商分别进行招标。在招标中，招标的任何一方不得透露与招标有关的其他供应商的技术资料、价格和其他信息。</w:t>
      </w:r>
    </w:p>
    <w:p>
      <w:pPr>
        <w:spacing w:line="262" w:lineRule="auto"/>
        <w:ind w:firstLine="420" w:firstLineChars="200"/>
        <w:rPr>
          <w:rFonts w:ascii="宋体" w:hAnsi="宋体" w:cs="宋体"/>
          <w:szCs w:val="21"/>
        </w:rPr>
      </w:pPr>
      <w:r>
        <w:rPr>
          <w:rFonts w:hint="eastAsia" w:ascii="宋体" w:hAnsi="宋体" w:cs="宋体"/>
          <w:szCs w:val="21"/>
        </w:rPr>
        <w:t>3.2在评审过程中，如果供应商试图向采购代理机构和参与评审的人员施加任何影响，都将会导致其招标响应文件被拒绝。</w:t>
      </w:r>
      <w:bookmarkStart w:id="134" w:name="_Toc16938548"/>
      <w:bookmarkStart w:id="135" w:name="_Toc20823304"/>
      <w:bookmarkStart w:id="136" w:name="_Toc513029232"/>
    </w:p>
    <w:p>
      <w:pPr>
        <w:spacing w:line="262" w:lineRule="auto"/>
        <w:ind w:firstLine="422" w:firstLineChars="200"/>
        <w:rPr>
          <w:rFonts w:ascii="宋体" w:hAnsi="宋体" w:cs="宋体"/>
          <w:b/>
          <w:szCs w:val="21"/>
        </w:rPr>
      </w:pPr>
      <w:r>
        <w:rPr>
          <w:rFonts w:hint="eastAsia" w:ascii="宋体" w:hAnsi="宋体" w:cs="宋体"/>
          <w:b/>
          <w:szCs w:val="21"/>
        </w:rPr>
        <w:t>4、资格审查、符合性审查</w:t>
      </w:r>
    </w:p>
    <w:p>
      <w:pPr>
        <w:spacing w:line="262" w:lineRule="auto"/>
        <w:ind w:firstLine="420" w:firstLineChars="200"/>
        <w:rPr>
          <w:rFonts w:ascii="宋体" w:hAnsi="宋体" w:cs="宋体"/>
          <w:szCs w:val="21"/>
        </w:rPr>
      </w:pPr>
      <w:r>
        <w:rPr>
          <w:rFonts w:hint="eastAsia" w:ascii="宋体" w:hAnsi="宋体" w:cs="宋体"/>
          <w:szCs w:val="21"/>
        </w:rPr>
        <w:t>4.1专家小组依据法律法规和采购文件的规定，对供应商的资格证明文件进行资格审查，以确定供应商是否</w:t>
      </w:r>
      <w:r>
        <w:rPr>
          <w:rFonts w:hint="eastAsia" w:ascii="宋体" w:hAnsi="宋体" w:cs="宋体"/>
          <w:spacing w:val="15"/>
          <w:kern w:val="0"/>
          <w:szCs w:val="21"/>
        </w:rPr>
        <w:t>符合相应的资格条件</w:t>
      </w:r>
      <w:r>
        <w:rPr>
          <w:rFonts w:hint="eastAsia" w:ascii="宋体" w:hAnsi="宋体" w:cs="宋体"/>
          <w:szCs w:val="21"/>
        </w:rPr>
        <w:t>。</w:t>
      </w:r>
    </w:p>
    <w:p>
      <w:pPr>
        <w:spacing w:line="262" w:lineRule="auto"/>
        <w:ind w:firstLine="420" w:firstLineChars="200"/>
        <w:rPr>
          <w:rFonts w:ascii="宋体" w:hAnsi="宋体" w:cs="宋体"/>
          <w:szCs w:val="21"/>
        </w:rPr>
      </w:pPr>
      <w:r>
        <w:rPr>
          <w:rFonts w:hint="eastAsia" w:ascii="宋体" w:hAnsi="宋体" w:cs="宋体"/>
          <w:szCs w:val="21"/>
        </w:rPr>
        <w:t>4.2招标小组依据法律法规和采购文件的规定，对供应商响应文件的有效性、完整性和响应程度进行审查。以确定供应商提供的产品质量和服务均能满足采购文件规定的实质性要求。</w:t>
      </w:r>
    </w:p>
    <w:p>
      <w:pPr>
        <w:spacing w:line="262" w:lineRule="auto"/>
        <w:ind w:firstLine="420" w:firstLineChars="200"/>
        <w:rPr>
          <w:rFonts w:ascii="宋体" w:hAnsi="宋体" w:cs="宋体"/>
          <w:szCs w:val="21"/>
        </w:rPr>
      </w:pPr>
      <w:r>
        <w:rPr>
          <w:rFonts w:hint="eastAsia" w:ascii="宋体" w:hAnsi="宋体" w:cs="宋体"/>
          <w:szCs w:val="21"/>
        </w:rPr>
        <w:t>实质性响应的招标响应文件应该是与采购文件要求的全部条款、条件和规格相符，没有重大负偏离或保留。所谓重大负偏离或保留是指与采购文件规定的实质性要求存在负偏离，或者在实质上与招标文件不一致，而且限制了合同中买方的权利或供应商的义务，纠正这些偏离或保留将会对其他实质性响应要求的供应商的竞争地位产生不公正的影响。重大偏离由招标小组按照少数服从多数的原则认定。招标小组决定响应文件的响应性只根据招标响应文件本身的内容，而不寻求外部的证据。</w:t>
      </w:r>
    </w:p>
    <w:p>
      <w:pPr>
        <w:spacing w:line="262" w:lineRule="auto"/>
        <w:ind w:firstLine="422" w:firstLineChars="200"/>
        <w:rPr>
          <w:rFonts w:ascii="宋体" w:hAnsi="宋体" w:cs="宋体"/>
          <w:b/>
          <w:szCs w:val="21"/>
        </w:rPr>
      </w:pPr>
      <w:r>
        <w:rPr>
          <w:rFonts w:hint="eastAsia" w:ascii="宋体" w:hAnsi="宋体" w:cs="宋体"/>
          <w:b/>
          <w:szCs w:val="21"/>
        </w:rPr>
        <w:t>4.3</w:t>
      </w:r>
      <w:r>
        <w:rPr>
          <w:rFonts w:hint="eastAsia" w:ascii="宋体" w:hAnsi="宋体" w:cs="宋体"/>
          <w:b/>
          <w:bCs/>
          <w:szCs w:val="21"/>
        </w:rPr>
        <w:t>供应商</w:t>
      </w:r>
      <w:r>
        <w:rPr>
          <w:rFonts w:hint="eastAsia" w:ascii="宋体" w:hAnsi="宋体" w:cs="宋体"/>
          <w:b/>
          <w:szCs w:val="21"/>
        </w:rPr>
        <w:t>存在不良信用记录的，其投标将被认定为</w:t>
      </w:r>
      <w:r>
        <w:rPr>
          <w:rFonts w:hint="eastAsia" w:ascii="宋体" w:hAnsi="宋体" w:cs="宋体"/>
          <w:b/>
          <w:bCs/>
          <w:szCs w:val="21"/>
        </w:rPr>
        <w:t>投标</w:t>
      </w:r>
      <w:r>
        <w:rPr>
          <w:rFonts w:hint="eastAsia" w:ascii="宋体" w:hAnsi="宋体" w:cs="宋体"/>
          <w:b/>
          <w:szCs w:val="21"/>
        </w:rPr>
        <w:t>（报价）</w:t>
      </w:r>
      <w:r>
        <w:rPr>
          <w:rFonts w:hint="eastAsia" w:ascii="宋体" w:hAnsi="宋体" w:cs="宋体"/>
          <w:b/>
          <w:bCs/>
          <w:szCs w:val="21"/>
        </w:rPr>
        <w:t>无效</w:t>
      </w:r>
      <w:r>
        <w:rPr>
          <w:rFonts w:hint="eastAsia" w:ascii="宋体" w:hAnsi="宋体" w:cs="宋体"/>
          <w:b/>
          <w:szCs w:val="21"/>
        </w:rPr>
        <w:t>。</w:t>
      </w:r>
    </w:p>
    <w:p>
      <w:pPr>
        <w:spacing w:line="262" w:lineRule="auto"/>
        <w:ind w:firstLine="420" w:firstLineChars="200"/>
        <w:rPr>
          <w:rFonts w:ascii="宋体" w:hAnsi="宋体" w:cs="宋体"/>
          <w:b/>
          <w:szCs w:val="21"/>
        </w:rPr>
      </w:pPr>
      <w:r>
        <w:rPr>
          <w:rFonts w:hint="eastAsia" w:ascii="宋体" w:hAnsi="宋体" w:cs="宋体"/>
          <w:szCs w:val="21"/>
        </w:rPr>
        <w:t>不良信用记录指：供应商在中国政府采购网（www.ccgp.gov.cn）被列入政府采购严重违法失信行为记录名单，或在“信用中国”网站（www.creditchina.gov.cn）被列入失信被执行人、重大税收违法案件当事人名单。以联合体形式参加投标的，联合体任何成员存在以上不良信用记录的，联合体投标将被认定为投标无效。</w:t>
      </w:r>
    </w:p>
    <w:p>
      <w:pPr>
        <w:spacing w:line="262" w:lineRule="auto"/>
        <w:ind w:firstLine="422" w:firstLineChars="200"/>
        <w:rPr>
          <w:rFonts w:ascii="宋体" w:hAnsi="宋体" w:cs="宋体"/>
          <w:b/>
          <w:szCs w:val="21"/>
        </w:rPr>
      </w:pPr>
      <w:r>
        <w:rPr>
          <w:rFonts w:hint="eastAsia" w:ascii="宋体" w:hAnsi="宋体" w:cs="宋体"/>
          <w:b/>
          <w:szCs w:val="21"/>
        </w:rPr>
        <w:t>4.4★被认定为未实质性响应招标文件的响应文件的情形</w:t>
      </w:r>
    </w:p>
    <w:p>
      <w:pPr>
        <w:spacing w:line="262" w:lineRule="auto"/>
        <w:ind w:firstLine="420" w:firstLineChars="200"/>
        <w:rPr>
          <w:rFonts w:ascii="宋体" w:hAnsi="宋体" w:cs="宋体"/>
          <w:szCs w:val="21"/>
        </w:rPr>
      </w:pPr>
      <w:r>
        <w:rPr>
          <w:rFonts w:hint="eastAsia" w:ascii="宋体" w:hAnsi="宋体" w:cs="宋体"/>
          <w:szCs w:val="21"/>
        </w:rPr>
        <w:t>（1）供应商未按要求交纳保证金的（限要求响应文件提交截止时间之前提交保证金的项目）；</w:t>
      </w:r>
    </w:p>
    <w:p>
      <w:pPr>
        <w:spacing w:line="262" w:lineRule="auto"/>
        <w:ind w:firstLine="420" w:firstLineChars="200"/>
        <w:rPr>
          <w:rFonts w:ascii="宋体" w:hAnsi="宋体" w:cs="宋体"/>
          <w:szCs w:val="21"/>
        </w:rPr>
      </w:pPr>
      <w:r>
        <w:rPr>
          <w:rFonts w:hint="eastAsia" w:ascii="宋体" w:hAnsi="宋体" w:cs="宋体"/>
          <w:szCs w:val="21"/>
        </w:rPr>
        <w:t>（2）供应商未按照招标文件规定要求密封、签署、盖章的；</w:t>
      </w:r>
    </w:p>
    <w:p>
      <w:pPr>
        <w:spacing w:line="262" w:lineRule="auto"/>
        <w:ind w:firstLine="420" w:firstLineChars="200"/>
        <w:rPr>
          <w:rFonts w:ascii="宋体" w:hAnsi="宋体" w:cs="宋体"/>
          <w:szCs w:val="21"/>
        </w:rPr>
      </w:pPr>
      <w:r>
        <w:rPr>
          <w:rFonts w:hint="eastAsia" w:ascii="宋体" w:hAnsi="宋体" w:cs="宋体"/>
          <w:szCs w:val="21"/>
        </w:rPr>
        <w:t>（3）供应商不符合招标文件中规定的供应商资格条件（要求）的；</w:t>
      </w:r>
    </w:p>
    <w:p>
      <w:pPr>
        <w:spacing w:line="262" w:lineRule="auto"/>
        <w:ind w:firstLine="420" w:firstLineChars="200"/>
        <w:rPr>
          <w:rFonts w:ascii="宋体" w:hAnsi="宋体" w:cs="宋体"/>
          <w:szCs w:val="21"/>
        </w:rPr>
      </w:pPr>
      <w:r>
        <w:rPr>
          <w:rFonts w:hint="eastAsia" w:ascii="宋体" w:hAnsi="宋体" w:cs="宋体"/>
          <w:szCs w:val="21"/>
        </w:rPr>
        <w:t>（4）投标有效期不符合采购文件要求的；</w:t>
      </w:r>
    </w:p>
    <w:p>
      <w:pPr>
        <w:spacing w:line="262" w:lineRule="auto"/>
        <w:ind w:firstLine="420" w:firstLineChars="200"/>
        <w:rPr>
          <w:rFonts w:ascii="宋体" w:hAnsi="宋体" w:cs="宋体"/>
          <w:szCs w:val="21"/>
        </w:rPr>
      </w:pPr>
      <w:r>
        <w:rPr>
          <w:rFonts w:hint="eastAsia" w:ascii="宋体" w:hAnsi="宋体" w:cs="宋体"/>
          <w:szCs w:val="21"/>
        </w:rPr>
        <w:t>（5）供应商在报价时（单次报价中）采用选择性报价；</w:t>
      </w:r>
    </w:p>
    <w:p>
      <w:pPr>
        <w:spacing w:line="262" w:lineRule="auto"/>
        <w:ind w:firstLine="420" w:firstLineChars="200"/>
        <w:rPr>
          <w:rFonts w:ascii="宋体" w:hAnsi="宋体" w:cs="宋体"/>
          <w:szCs w:val="21"/>
        </w:rPr>
      </w:pPr>
      <w:r>
        <w:rPr>
          <w:rFonts w:hint="eastAsia" w:ascii="宋体" w:hAnsi="宋体" w:cs="宋体"/>
          <w:szCs w:val="21"/>
        </w:rPr>
        <w:t>（6）供应商提供的产品质量和服务均没有满足采购文件规定的实质性要求；</w:t>
      </w:r>
    </w:p>
    <w:p>
      <w:pPr>
        <w:spacing w:line="262" w:lineRule="auto"/>
        <w:ind w:firstLine="420" w:firstLineChars="200"/>
        <w:rPr>
          <w:rFonts w:ascii="宋体" w:hAnsi="宋体" w:cs="宋体"/>
          <w:szCs w:val="21"/>
        </w:rPr>
      </w:pPr>
      <w:r>
        <w:rPr>
          <w:rFonts w:hint="eastAsia" w:ascii="宋体" w:hAnsi="宋体" w:cs="宋体"/>
          <w:szCs w:val="21"/>
        </w:rPr>
        <w:t>（7）供应商被 “信用中国”网站（www.creditchina.gov.cn）列入失信被执行人或重大税收违法案件当事人名单或政府采购严重失信行为记录名单；</w:t>
      </w:r>
    </w:p>
    <w:p>
      <w:pPr>
        <w:spacing w:line="262" w:lineRule="auto"/>
        <w:ind w:firstLine="420" w:firstLineChars="200"/>
        <w:rPr>
          <w:rFonts w:ascii="宋体" w:hAnsi="宋体" w:cs="宋体"/>
          <w:szCs w:val="21"/>
        </w:rPr>
      </w:pPr>
      <w:r>
        <w:rPr>
          <w:rFonts w:hint="eastAsia" w:ascii="宋体" w:hAnsi="宋体" w:cs="宋体"/>
          <w:szCs w:val="21"/>
        </w:rPr>
        <w:t>（8）出现法律、法规及本招标文件规定的属未实质性响应的响应文件的情形。</w:t>
      </w:r>
    </w:p>
    <w:p>
      <w:pPr>
        <w:spacing w:line="262" w:lineRule="auto"/>
        <w:ind w:firstLine="422" w:firstLineChars="200"/>
        <w:rPr>
          <w:rFonts w:ascii="宋体" w:hAnsi="宋体" w:cs="宋体"/>
          <w:b/>
          <w:szCs w:val="21"/>
        </w:rPr>
      </w:pPr>
      <w:r>
        <w:rPr>
          <w:rFonts w:hint="eastAsia" w:ascii="宋体" w:hAnsi="宋体" w:cs="宋体"/>
          <w:b/>
          <w:szCs w:val="21"/>
        </w:rPr>
        <w:t>5、评审过程的澄清</w:t>
      </w:r>
      <w:bookmarkEnd w:id="134"/>
      <w:bookmarkEnd w:id="135"/>
      <w:bookmarkEnd w:id="136"/>
      <w:r>
        <w:rPr>
          <w:rFonts w:hint="eastAsia" w:ascii="宋体" w:hAnsi="宋体" w:cs="宋体"/>
          <w:b/>
          <w:szCs w:val="21"/>
        </w:rPr>
        <w:t>、说明和更正</w:t>
      </w:r>
      <w:bookmarkStart w:id="137" w:name="_Toc16938549"/>
      <w:bookmarkStart w:id="138" w:name="_Toc20823305"/>
      <w:bookmarkStart w:id="139" w:name="_Toc513029233"/>
    </w:p>
    <w:p>
      <w:pPr>
        <w:spacing w:line="262" w:lineRule="auto"/>
        <w:ind w:firstLine="420" w:firstLineChars="200"/>
        <w:rPr>
          <w:rFonts w:ascii="宋体" w:hAnsi="宋体" w:cs="宋体"/>
          <w:szCs w:val="21"/>
        </w:rPr>
      </w:pPr>
      <w:r>
        <w:rPr>
          <w:rFonts w:hint="eastAsia" w:ascii="宋体" w:hAnsi="宋体" w:cs="宋体"/>
          <w:szCs w:val="21"/>
        </w:rPr>
        <w:t>5.1专家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62" w:lineRule="auto"/>
        <w:ind w:firstLine="420" w:firstLineChars="200"/>
        <w:rPr>
          <w:rFonts w:ascii="宋体" w:hAnsi="宋体" w:cs="宋体"/>
          <w:szCs w:val="21"/>
        </w:rPr>
      </w:pPr>
      <w:r>
        <w:rPr>
          <w:rFonts w:hint="eastAsia" w:ascii="宋体" w:hAnsi="宋体" w:cs="宋体"/>
          <w:szCs w:val="21"/>
        </w:rPr>
        <w:t>5.2</w:t>
      </w:r>
      <w:r>
        <w:rPr>
          <w:rFonts w:hint="eastAsia" w:ascii="宋体" w:hAnsi="宋体" w:cs="宋体"/>
          <w:b/>
          <w:szCs w:val="21"/>
        </w:rPr>
        <w:t>招标小组要求供应商澄清、说明或者更正响应文件应当以书面形式作出。</w:t>
      </w:r>
      <w:r>
        <w:rPr>
          <w:rFonts w:hint="eastAsia" w:ascii="宋体" w:hAnsi="宋体" w:cs="宋体"/>
          <w:szCs w:val="21"/>
        </w:rPr>
        <w:t>接到招标小组要求（采购机构工作人员传达）的供应商应派人按招标小组通知的时间和地点做出澄清、说明或更正。供应商的澄清、说明或者更正应当由法定代表人或其授权代表签字或者加盖公章。由授权代表签字的，应当附法定代表人授权书。供应商为自然人的，应当由本人签字并附身份证明。</w:t>
      </w:r>
    </w:p>
    <w:p>
      <w:pPr>
        <w:spacing w:line="262" w:lineRule="auto"/>
        <w:ind w:firstLine="420" w:firstLineChars="200"/>
        <w:rPr>
          <w:rFonts w:ascii="宋体" w:hAnsi="宋体" w:cs="宋体"/>
          <w:szCs w:val="21"/>
        </w:rPr>
      </w:pPr>
      <w:r>
        <w:rPr>
          <w:rFonts w:hint="eastAsia" w:ascii="宋体" w:hAnsi="宋体" w:cs="宋体"/>
          <w:szCs w:val="21"/>
        </w:rPr>
        <w:t>5.3 接到招标小组澄清要求的供应商如未按规定做出澄清、说明或者更正的，其风险自行承担。</w:t>
      </w:r>
      <w:bookmarkEnd w:id="137"/>
      <w:bookmarkEnd w:id="138"/>
      <w:bookmarkEnd w:id="139"/>
    </w:p>
    <w:p>
      <w:pPr>
        <w:spacing w:line="262" w:lineRule="auto"/>
        <w:ind w:firstLine="422" w:firstLineChars="200"/>
        <w:rPr>
          <w:rFonts w:ascii="宋体" w:hAnsi="宋体" w:cs="宋体"/>
          <w:b/>
          <w:szCs w:val="21"/>
        </w:rPr>
      </w:pPr>
      <w:bookmarkStart w:id="140" w:name="_Toc20823306"/>
      <w:bookmarkStart w:id="141" w:name="_Toc16938550"/>
      <w:bookmarkStart w:id="142" w:name="_Toc513029234"/>
      <w:r>
        <w:rPr>
          <w:rFonts w:hint="eastAsia" w:ascii="宋体" w:hAnsi="宋体" w:cs="宋体"/>
          <w:b/>
          <w:szCs w:val="21"/>
        </w:rPr>
        <w:t>6、</w:t>
      </w:r>
      <w:bookmarkEnd w:id="140"/>
      <w:bookmarkEnd w:id="141"/>
      <w:bookmarkEnd w:id="142"/>
      <w:r>
        <w:rPr>
          <w:rFonts w:hint="eastAsia" w:ascii="宋体" w:hAnsi="宋体" w:cs="宋体"/>
          <w:b/>
          <w:szCs w:val="21"/>
        </w:rPr>
        <w:t>招标程序及成交原则</w:t>
      </w:r>
      <w:bookmarkStart w:id="143" w:name="_Toc16938551"/>
      <w:bookmarkStart w:id="144" w:name="_Toc20823307"/>
      <w:bookmarkStart w:id="145" w:name="_Toc513029235"/>
    </w:p>
    <w:p>
      <w:pPr>
        <w:spacing w:line="262" w:lineRule="auto"/>
        <w:ind w:firstLine="420" w:firstLineChars="200"/>
        <w:rPr>
          <w:rFonts w:ascii="宋体" w:hAnsi="宋体" w:cs="宋体"/>
          <w:szCs w:val="21"/>
        </w:rPr>
      </w:pPr>
      <w:r>
        <w:rPr>
          <w:rFonts w:hint="eastAsia" w:ascii="宋体" w:hAnsi="宋体" w:cs="宋体"/>
          <w:szCs w:val="21"/>
        </w:rPr>
        <w:t>6.1招标程序</w:t>
      </w:r>
    </w:p>
    <w:p>
      <w:pPr>
        <w:spacing w:line="262" w:lineRule="auto"/>
        <w:ind w:firstLine="420" w:firstLineChars="200"/>
        <w:rPr>
          <w:rFonts w:ascii="宋体" w:hAnsi="宋体" w:cs="宋体"/>
          <w:szCs w:val="21"/>
        </w:rPr>
      </w:pPr>
      <w:r>
        <w:rPr>
          <w:rFonts w:hint="eastAsia" w:ascii="宋体" w:hAnsi="宋体" w:cs="宋体"/>
          <w:szCs w:val="21"/>
        </w:rPr>
        <w:t>6.1.1对于通过资格性和符合性审查的供应商，招标小组所有成员将集中与单一供应商分别进行招标。</w:t>
      </w:r>
    </w:p>
    <w:p>
      <w:pPr>
        <w:spacing w:line="262" w:lineRule="auto"/>
        <w:ind w:firstLine="420" w:firstLineChars="200"/>
        <w:rPr>
          <w:rFonts w:ascii="宋体" w:hAnsi="宋体" w:cs="宋体"/>
          <w:szCs w:val="21"/>
        </w:rPr>
      </w:pPr>
      <w:r>
        <w:rPr>
          <w:rFonts w:hint="eastAsia" w:ascii="宋体" w:hAnsi="宋体" w:cs="宋体"/>
          <w:szCs w:val="21"/>
        </w:rPr>
        <w:t>在招标过程中，招标小组可能根据招标文件和招标情况实质性变动的内容有：</w:t>
      </w:r>
      <w:r>
        <w:rPr>
          <w:rFonts w:hint="eastAsia" w:ascii="宋体" w:hAnsi="宋体" w:cs="宋体"/>
          <w:b/>
          <w:szCs w:val="21"/>
        </w:rPr>
        <w:t>采购需求中的技术、服务要求以及合同草案条款。</w:t>
      </w:r>
      <w:r>
        <w:rPr>
          <w:rFonts w:hint="eastAsia" w:ascii="宋体" w:hAnsi="宋体" w:cs="宋体"/>
          <w:szCs w:val="21"/>
        </w:rPr>
        <w:t>对招标文件作出的实质性变动是招标文件的有效组成部分，招标小组将以书面形式同时通知所有参加招标的供应商。供应商应当按照招标文件的变动情况和招标小组的要求重新提交响应文件，并由其法定代表人或授权代表签字或者加盖公章。</w:t>
      </w:r>
    </w:p>
    <w:p>
      <w:pPr>
        <w:spacing w:line="262" w:lineRule="auto"/>
        <w:ind w:firstLine="420" w:firstLineChars="200"/>
        <w:rPr>
          <w:rFonts w:ascii="宋体" w:hAnsi="宋体" w:cs="宋体"/>
          <w:szCs w:val="21"/>
        </w:rPr>
      </w:pPr>
      <w:r>
        <w:rPr>
          <w:rFonts w:hint="eastAsia" w:ascii="宋体" w:hAnsi="宋体" w:cs="宋体"/>
          <w:szCs w:val="21"/>
        </w:rPr>
        <w:t xml:space="preserve"> 6.1.2招标文件能够详细列明采购标的的技术、服务要求的，招标结束后，招标小组将要求所有实质性响应的供应商在规定时间内提交最后报价。</w:t>
      </w:r>
    </w:p>
    <w:p>
      <w:pPr>
        <w:spacing w:line="262" w:lineRule="auto"/>
        <w:ind w:firstLine="420" w:firstLineChars="200"/>
        <w:rPr>
          <w:rFonts w:ascii="宋体" w:hAnsi="宋体" w:cs="宋体"/>
          <w:szCs w:val="21"/>
        </w:rPr>
      </w:pPr>
      <w:r>
        <w:rPr>
          <w:rFonts w:hint="eastAsia" w:ascii="宋体" w:hAnsi="宋体" w:cs="宋体"/>
          <w:szCs w:val="21"/>
        </w:rPr>
        <w:t>招标文件不能详细列明采购标的的技术、服务要求，需经招标由供应商提供最终设计方案或解决方案的，招标结束后，招标小组将按照少数服从多数的原则投票推荐2家以上供应商的设计方案或者解决方案，并要求其在规定时间内提交最后报价。</w:t>
      </w:r>
    </w:p>
    <w:p>
      <w:pPr>
        <w:spacing w:line="262" w:lineRule="auto"/>
        <w:ind w:firstLine="420" w:firstLineChars="200"/>
        <w:rPr>
          <w:rFonts w:ascii="宋体" w:hAnsi="宋体" w:cs="宋体"/>
          <w:szCs w:val="21"/>
        </w:rPr>
      </w:pPr>
      <w:r>
        <w:rPr>
          <w:rFonts w:hint="eastAsia" w:ascii="宋体" w:hAnsi="宋体" w:cs="宋体"/>
          <w:szCs w:val="21"/>
        </w:rPr>
        <w:t>最后报价是供应商响应文件的有效组成部分。</w:t>
      </w:r>
    </w:p>
    <w:p>
      <w:pPr>
        <w:spacing w:line="262" w:lineRule="auto"/>
        <w:ind w:firstLine="420" w:firstLineChars="200"/>
        <w:rPr>
          <w:rFonts w:ascii="宋体" w:hAnsi="宋体" w:cs="宋体"/>
          <w:szCs w:val="21"/>
        </w:rPr>
      </w:pPr>
      <w:r>
        <w:rPr>
          <w:rFonts w:hint="eastAsia" w:ascii="宋体" w:hAnsi="宋体" w:cs="宋体"/>
          <w:szCs w:val="21"/>
        </w:rPr>
        <w:t>6.1.3供应商未在招标小组规定的时间内完成最后报价的视为放弃招标，其招标响应按无效响应处理。最后报价须由供应商法定代表人或授权代表签字或者加盖公章。已提交响应文件的供应商，在提交最后报价之前，可以根据招标情况退出招标。</w:t>
      </w:r>
    </w:p>
    <w:p>
      <w:pPr>
        <w:spacing w:line="262" w:lineRule="auto"/>
        <w:ind w:firstLine="420" w:firstLineChars="200"/>
        <w:rPr>
          <w:rFonts w:ascii="宋体" w:hAnsi="宋体" w:cs="宋体"/>
          <w:szCs w:val="21"/>
        </w:rPr>
      </w:pPr>
      <w:r>
        <w:rPr>
          <w:rFonts w:hint="eastAsia" w:ascii="宋体" w:hAnsi="宋体" w:cs="宋体"/>
          <w:szCs w:val="21"/>
        </w:rPr>
        <w:t>6.1.4 各供应商最后报价结束后,如招标小组认为最后最低的供应商的报价明显低于其自身成本，涉嫌恶意竞争，有可能影响商品质量和不能诚信履约的，则有权要求其在接到通知半小时内提供书面文件予以说明理由，并提交相关证明材料（请在递交报价文件时一同携带相关证明材料原件）。若该供应商拒绝说明或未在规定期限内提供书面说明，或虽有书面说明但仍无法证明其报价合理性的，则招标小组有权取消其招标成交资格（</w:t>
      </w:r>
      <w:r>
        <w:rPr>
          <w:rFonts w:hint="eastAsia" w:ascii="宋体" w:hAnsi="宋体" w:cs="宋体"/>
          <w:kern w:val="0"/>
          <w:szCs w:val="21"/>
        </w:rPr>
        <w:t>将其作为无效投标处理。</w:t>
      </w:r>
      <w:r>
        <w:rPr>
          <w:rFonts w:hint="eastAsia" w:ascii="宋体" w:hAnsi="宋体" w:cs="宋体"/>
          <w:szCs w:val="21"/>
        </w:rPr>
        <w:t>本采购文件约定条款），按顺序由最后报价次低的供应商递补，以此类推。</w:t>
      </w:r>
    </w:p>
    <w:p>
      <w:pPr>
        <w:spacing w:line="262" w:lineRule="auto"/>
        <w:ind w:firstLine="422" w:firstLineChars="200"/>
        <w:rPr>
          <w:rFonts w:ascii="宋体" w:hAnsi="宋体" w:cs="宋体"/>
          <w:b/>
          <w:szCs w:val="21"/>
        </w:rPr>
      </w:pPr>
      <w:r>
        <w:rPr>
          <w:rFonts w:hint="eastAsia" w:ascii="宋体" w:hAnsi="宋体" w:cs="宋体"/>
          <w:b/>
          <w:szCs w:val="21"/>
        </w:rPr>
        <w:t>6.2 成交原则</w:t>
      </w:r>
    </w:p>
    <w:p>
      <w:pPr>
        <w:spacing w:line="262" w:lineRule="auto"/>
        <w:ind w:firstLine="422" w:firstLineChars="200"/>
        <w:rPr>
          <w:rFonts w:ascii="宋体" w:hAnsi="宋体" w:cs="宋体"/>
          <w:b/>
          <w:szCs w:val="21"/>
        </w:rPr>
      </w:pPr>
      <w:r>
        <w:rPr>
          <w:rFonts w:hint="eastAsia" w:ascii="宋体" w:hAnsi="宋体" w:cs="宋体"/>
          <w:b/>
          <w:szCs w:val="21"/>
        </w:rPr>
        <w:t>专家小组应当从质量和服务（供应商提供的产品质量和服务）均能满足采购文件实质性响应要求的供应商中，按照最后报价由低到高的顺序（</w:t>
      </w:r>
      <w:r>
        <w:rPr>
          <w:rFonts w:hint="eastAsia" w:ascii="宋体" w:hAnsi="宋体" w:cs="宋体"/>
          <w:b/>
          <w:kern w:val="0"/>
          <w:szCs w:val="21"/>
        </w:rPr>
        <w:t>报价相同的并列</w:t>
      </w:r>
      <w:r>
        <w:rPr>
          <w:rFonts w:hint="eastAsia" w:ascii="宋体" w:hAnsi="宋体" w:cs="宋体"/>
          <w:b/>
          <w:szCs w:val="21"/>
        </w:rPr>
        <w:t>）提出成交候选人。</w:t>
      </w:r>
    </w:p>
    <w:p>
      <w:pPr>
        <w:spacing w:line="262" w:lineRule="auto"/>
        <w:ind w:firstLine="422" w:firstLineChars="200"/>
        <w:rPr>
          <w:rFonts w:ascii="宋体" w:hAnsi="宋体" w:cs="宋体"/>
          <w:b/>
          <w:szCs w:val="21"/>
        </w:rPr>
      </w:pPr>
      <w:r>
        <w:rPr>
          <w:rFonts w:hint="eastAsia" w:ascii="宋体" w:hAnsi="宋体" w:cs="宋体"/>
          <w:b/>
          <w:szCs w:val="21"/>
        </w:rPr>
        <w:t>6.3采购活动终止的情况</w:t>
      </w:r>
    </w:p>
    <w:p>
      <w:pPr>
        <w:spacing w:line="262" w:lineRule="auto"/>
        <w:ind w:firstLine="420" w:firstLineChars="200"/>
        <w:rPr>
          <w:rFonts w:ascii="宋体" w:hAnsi="宋体" w:cs="宋体"/>
          <w:szCs w:val="21"/>
        </w:rPr>
      </w:pPr>
      <w:r>
        <w:rPr>
          <w:rFonts w:hint="eastAsia" w:ascii="宋体" w:hAnsi="宋体" w:cs="宋体"/>
          <w:szCs w:val="21"/>
        </w:rPr>
        <w:t>出现下列情形之一的，采购人或者采购代理机构应当终止竞争性招标采购活动，发布项目终止公告并说明原因，重新开展采购活动：</w:t>
      </w:r>
    </w:p>
    <w:p>
      <w:pPr>
        <w:spacing w:line="262" w:lineRule="auto"/>
        <w:ind w:firstLine="420" w:firstLineChars="200"/>
        <w:rPr>
          <w:rFonts w:ascii="宋体" w:hAnsi="宋体" w:cs="宋体"/>
          <w:szCs w:val="21"/>
        </w:rPr>
      </w:pPr>
      <w:r>
        <w:rPr>
          <w:rFonts w:hint="eastAsia" w:ascii="宋体" w:hAnsi="宋体" w:cs="宋体"/>
          <w:szCs w:val="21"/>
        </w:rPr>
        <w:t>（一）因情况变化，不再符合规定的竞争性招标采购方式适用情形的；</w:t>
      </w:r>
    </w:p>
    <w:p>
      <w:pPr>
        <w:spacing w:line="262" w:lineRule="auto"/>
        <w:ind w:firstLine="420" w:firstLineChars="200"/>
        <w:rPr>
          <w:rFonts w:ascii="宋体" w:hAnsi="宋体" w:cs="宋体"/>
          <w:szCs w:val="21"/>
        </w:rPr>
      </w:pPr>
      <w:r>
        <w:rPr>
          <w:rFonts w:hint="eastAsia" w:ascii="宋体" w:hAnsi="宋体" w:cs="宋体"/>
          <w:szCs w:val="21"/>
        </w:rPr>
        <w:t>（二）出现影响采购公正的违法、违规行为的；</w:t>
      </w:r>
    </w:p>
    <w:bookmarkEnd w:id="143"/>
    <w:bookmarkEnd w:id="144"/>
    <w:bookmarkEnd w:id="145"/>
    <w:p>
      <w:pPr>
        <w:spacing w:line="262" w:lineRule="auto"/>
        <w:ind w:firstLine="420" w:firstLineChars="200"/>
        <w:rPr>
          <w:rFonts w:ascii="宋体" w:hAnsi="宋体" w:cs="宋体"/>
          <w:b/>
          <w:szCs w:val="21"/>
        </w:rPr>
      </w:pPr>
      <w:r>
        <w:rPr>
          <w:rFonts w:hint="eastAsia" w:ascii="宋体" w:hAnsi="宋体" w:cs="宋体"/>
          <w:szCs w:val="21"/>
        </w:rPr>
        <w:t>在采购过程中符合竞争要求的供应商或者报价未超过采购预算的供应商不足3家的，采购人可以终止采购活动，也可以按照“以合理的价格购买数量、质量合适的产品”的原则继续评审（须符合质优价廉，且价格低于市场平均价）。</w:t>
      </w:r>
    </w:p>
    <w:p>
      <w:pPr>
        <w:spacing w:line="262" w:lineRule="auto"/>
        <w:jc w:val="center"/>
        <w:outlineLvl w:val="1"/>
        <w:rPr>
          <w:rFonts w:ascii="宋体" w:hAnsi="宋体" w:cs="宋体"/>
          <w:b/>
          <w:szCs w:val="21"/>
        </w:rPr>
      </w:pPr>
      <w:bookmarkStart w:id="146" w:name="_Toc19170"/>
      <w:r>
        <w:rPr>
          <w:rFonts w:hint="eastAsia" w:ascii="宋体" w:hAnsi="宋体" w:cs="宋体"/>
          <w:b/>
          <w:szCs w:val="21"/>
        </w:rPr>
        <w:t>五、成交</w:t>
      </w:r>
      <w:bookmarkEnd w:id="146"/>
    </w:p>
    <w:p>
      <w:pPr>
        <w:spacing w:line="262" w:lineRule="auto"/>
        <w:ind w:firstLine="422" w:firstLineChars="200"/>
        <w:rPr>
          <w:rFonts w:ascii="宋体" w:hAnsi="宋体" w:cs="宋体"/>
          <w:b/>
          <w:szCs w:val="21"/>
        </w:rPr>
      </w:pPr>
      <w:bookmarkStart w:id="147" w:name="_Toc513029238"/>
      <w:bookmarkStart w:id="148" w:name="_Toc16938554"/>
      <w:bookmarkStart w:id="149" w:name="_Toc20823310"/>
      <w:r>
        <w:rPr>
          <w:rFonts w:hint="eastAsia" w:ascii="宋体" w:hAnsi="宋体" w:cs="宋体"/>
          <w:b/>
          <w:szCs w:val="21"/>
        </w:rPr>
        <w:t>1、</w:t>
      </w:r>
      <w:bookmarkEnd w:id="147"/>
      <w:r>
        <w:rPr>
          <w:rFonts w:hint="eastAsia" w:ascii="宋体" w:hAnsi="宋体" w:cs="宋体"/>
          <w:b/>
          <w:szCs w:val="21"/>
        </w:rPr>
        <w:t>确定</w:t>
      </w:r>
      <w:bookmarkEnd w:id="148"/>
      <w:bookmarkEnd w:id="149"/>
      <w:r>
        <w:rPr>
          <w:rFonts w:hint="eastAsia" w:ascii="宋体" w:hAnsi="宋体" w:cs="宋体"/>
          <w:b/>
          <w:szCs w:val="21"/>
        </w:rPr>
        <w:t>成交单位</w:t>
      </w:r>
    </w:p>
    <w:p>
      <w:pPr>
        <w:spacing w:line="262" w:lineRule="auto"/>
        <w:ind w:firstLine="420" w:firstLineChars="200"/>
        <w:rPr>
          <w:rFonts w:ascii="宋体" w:hAnsi="宋体" w:cs="宋体"/>
          <w:szCs w:val="21"/>
        </w:rPr>
      </w:pPr>
      <w:r>
        <w:rPr>
          <w:rFonts w:hint="eastAsia" w:ascii="宋体" w:hAnsi="宋体" w:cs="宋体"/>
          <w:szCs w:val="21"/>
        </w:rPr>
        <w:t>1.1招标小组应当从质量和服务均能满足采购文件实质性响应要求的供应商中，按照最后报价由低到高的顺序提出成交候选人，并编写评审报告。</w:t>
      </w:r>
    </w:p>
    <w:p>
      <w:pPr>
        <w:spacing w:line="262" w:lineRule="auto"/>
        <w:ind w:firstLine="420" w:firstLineChars="200"/>
        <w:rPr>
          <w:rFonts w:ascii="宋体" w:hAnsi="宋体" w:cs="宋体"/>
          <w:szCs w:val="21"/>
        </w:rPr>
      </w:pPr>
      <w:r>
        <w:rPr>
          <w:rFonts w:hint="eastAsia" w:ascii="宋体" w:hAnsi="宋体" w:cs="宋体"/>
          <w:szCs w:val="21"/>
        </w:rPr>
        <w:t>1.2采购代理机构应当在评审结束后2个工作日内将评审报告送采购人确认。</w:t>
      </w:r>
      <w:r>
        <w:rPr>
          <w:rFonts w:hint="eastAsia" w:ascii="宋体" w:hAnsi="宋体" w:cs="宋体"/>
          <w:szCs w:val="21"/>
        </w:rPr>
        <w:br w:type="textWrapping"/>
      </w:r>
      <w:r>
        <w:rPr>
          <w:rFonts w:hint="eastAsia" w:ascii="宋体" w:hAnsi="宋体" w:cs="宋体"/>
          <w:szCs w:val="21"/>
        </w:rPr>
        <w:t>　　采购人应当在收到评审报告后5个工作日内，从评审报告提出的成交候选人中，根据质量和服务均能满足采购文件实质性响应要求且最后报价最低的原则确定成交供应商（多种并列情形的，采购人将自行确定），也可以书面授权招标小组直接确定成交供应商。</w:t>
      </w:r>
    </w:p>
    <w:p>
      <w:pPr>
        <w:spacing w:line="262" w:lineRule="auto"/>
        <w:ind w:firstLine="420" w:firstLineChars="200"/>
        <w:rPr>
          <w:rFonts w:ascii="宋体" w:hAnsi="宋体" w:cs="宋体"/>
          <w:szCs w:val="21"/>
        </w:rPr>
      </w:pPr>
      <w:r>
        <w:rPr>
          <w:rFonts w:hint="eastAsia" w:ascii="宋体" w:hAnsi="宋体" w:cs="宋体"/>
          <w:szCs w:val="21"/>
        </w:rPr>
        <w:t>采购人确定成交供应商后，将以电子邮件等方式通知所有参加采购的供应商。</w:t>
      </w:r>
    </w:p>
    <w:p>
      <w:pPr>
        <w:spacing w:line="262" w:lineRule="auto"/>
        <w:ind w:firstLine="420" w:firstLineChars="200"/>
        <w:rPr>
          <w:rFonts w:ascii="宋体" w:hAnsi="宋体" w:cs="宋体"/>
          <w:szCs w:val="21"/>
        </w:rPr>
      </w:pPr>
      <w:r>
        <w:rPr>
          <w:rFonts w:hint="eastAsia" w:ascii="宋体" w:hAnsi="宋体" w:cs="宋体"/>
          <w:szCs w:val="21"/>
        </w:rPr>
        <w:t>1.3若有充分证据证明，成交供应商出现下列情况之一的，一经查实，将被取消成交资格：</w:t>
      </w:r>
    </w:p>
    <w:p>
      <w:pPr>
        <w:spacing w:line="262" w:lineRule="auto"/>
        <w:ind w:firstLine="420" w:firstLineChars="200"/>
        <w:rPr>
          <w:rFonts w:ascii="宋体" w:hAnsi="宋体" w:cs="宋体"/>
          <w:szCs w:val="21"/>
        </w:rPr>
      </w:pPr>
      <w:r>
        <w:rPr>
          <w:rFonts w:hint="eastAsia" w:ascii="宋体" w:hAnsi="宋体" w:cs="宋体"/>
          <w:szCs w:val="21"/>
        </w:rPr>
        <w:t>（1）提供虚假材料谋取成交的；</w:t>
      </w:r>
    </w:p>
    <w:p>
      <w:pPr>
        <w:spacing w:line="262" w:lineRule="auto"/>
        <w:ind w:firstLine="420" w:firstLineChars="200"/>
        <w:rPr>
          <w:rFonts w:ascii="宋体" w:hAnsi="宋体" w:cs="宋体"/>
          <w:szCs w:val="21"/>
        </w:rPr>
      </w:pPr>
      <w:r>
        <w:rPr>
          <w:rFonts w:hint="eastAsia" w:ascii="宋体" w:hAnsi="宋体" w:cs="宋体"/>
          <w:szCs w:val="21"/>
        </w:rPr>
        <w:t>（2）与评审专家、采购人、其他供应商或者采购代理机构工作人员恶意串通的；</w:t>
      </w:r>
    </w:p>
    <w:p>
      <w:pPr>
        <w:spacing w:line="262" w:lineRule="auto"/>
        <w:ind w:firstLine="420" w:firstLineChars="200"/>
        <w:rPr>
          <w:rFonts w:ascii="宋体" w:hAnsi="宋体" w:cs="宋体"/>
          <w:szCs w:val="21"/>
        </w:rPr>
      </w:pPr>
      <w:r>
        <w:rPr>
          <w:rFonts w:hint="eastAsia" w:ascii="宋体" w:hAnsi="宋体" w:cs="宋体"/>
          <w:szCs w:val="21"/>
        </w:rPr>
        <w:t>（3）向评审专家、采购人或采购代理机构工作人员行贿或者提供其他不正当利益的；</w:t>
      </w:r>
    </w:p>
    <w:p>
      <w:pPr>
        <w:spacing w:line="262" w:lineRule="auto"/>
        <w:ind w:firstLine="420" w:firstLineChars="200"/>
        <w:rPr>
          <w:rFonts w:ascii="宋体" w:hAnsi="宋体" w:cs="宋体"/>
          <w:szCs w:val="21"/>
        </w:rPr>
      </w:pPr>
      <w:r>
        <w:rPr>
          <w:rFonts w:hint="eastAsia" w:ascii="宋体" w:hAnsi="宋体" w:cs="宋体"/>
          <w:szCs w:val="21"/>
        </w:rPr>
        <w:t>（4）恶意竞争，最终总报价明显低于其自身合理成本且又无法提供证明的；</w:t>
      </w:r>
    </w:p>
    <w:p>
      <w:pPr>
        <w:spacing w:line="262" w:lineRule="auto"/>
        <w:ind w:firstLine="420" w:firstLineChars="200"/>
        <w:rPr>
          <w:rFonts w:ascii="宋体" w:hAnsi="宋体" w:cs="宋体"/>
          <w:szCs w:val="21"/>
        </w:rPr>
      </w:pPr>
      <w:r>
        <w:rPr>
          <w:rFonts w:hint="eastAsia" w:ascii="宋体" w:hAnsi="宋体" w:cs="宋体"/>
          <w:szCs w:val="21"/>
        </w:rPr>
        <w:t>（5）不满足本采购文件规定的实质性要求，但在评审过程中又未被招标小组发现的；</w:t>
      </w:r>
    </w:p>
    <w:p>
      <w:pPr>
        <w:spacing w:line="262" w:lineRule="auto"/>
        <w:ind w:firstLine="420" w:firstLineChars="200"/>
        <w:rPr>
          <w:rFonts w:ascii="宋体" w:hAnsi="宋体" w:cs="宋体"/>
          <w:szCs w:val="21"/>
        </w:rPr>
      </w:pPr>
      <w:r>
        <w:rPr>
          <w:rFonts w:hint="eastAsia" w:ascii="宋体" w:hAnsi="宋体" w:cs="宋体"/>
          <w:szCs w:val="21"/>
        </w:rPr>
        <w:t>（6）成交后无正当理由拒不与采购人签订政府采购合同或者未按照采购文件确定的事项签订政府采购合同；</w:t>
      </w:r>
    </w:p>
    <w:p>
      <w:pPr>
        <w:spacing w:line="262" w:lineRule="auto"/>
        <w:ind w:firstLine="420" w:firstLineChars="200"/>
        <w:rPr>
          <w:rFonts w:ascii="宋体" w:hAnsi="宋体" w:cs="宋体"/>
          <w:szCs w:val="21"/>
        </w:rPr>
      </w:pPr>
      <w:r>
        <w:rPr>
          <w:rFonts w:hint="eastAsia" w:ascii="宋体" w:hAnsi="宋体" w:cs="宋体"/>
          <w:szCs w:val="21"/>
        </w:rPr>
        <w:t>（7）违法将政府采购合同转包；</w:t>
      </w:r>
    </w:p>
    <w:p>
      <w:pPr>
        <w:spacing w:line="262" w:lineRule="auto"/>
        <w:ind w:firstLine="420" w:firstLineChars="200"/>
        <w:rPr>
          <w:rFonts w:ascii="宋体" w:hAnsi="宋体" w:cs="宋体"/>
          <w:szCs w:val="21"/>
        </w:rPr>
      </w:pPr>
      <w:r>
        <w:rPr>
          <w:rFonts w:hint="eastAsia" w:ascii="宋体" w:hAnsi="宋体" w:cs="宋体"/>
          <w:szCs w:val="21"/>
        </w:rPr>
        <w:t>（8）法律、法规、规章规定的属于成交无效的其他情形。</w:t>
      </w:r>
    </w:p>
    <w:p>
      <w:pPr>
        <w:spacing w:line="262" w:lineRule="auto"/>
        <w:ind w:firstLine="422" w:firstLineChars="200"/>
        <w:rPr>
          <w:rFonts w:hint="eastAsia" w:ascii="宋体" w:hAnsi="宋体" w:cs="宋体"/>
          <w:b/>
          <w:bCs/>
          <w:szCs w:val="21"/>
        </w:rPr>
      </w:pPr>
      <w:bookmarkStart w:id="150" w:name="_Toc13564"/>
      <w:bookmarkStart w:id="151" w:name="_Toc513029237"/>
      <w:bookmarkStart w:id="152" w:name="_Toc20823309"/>
      <w:bookmarkStart w:id="153" w:name="_Toc16938553"/>
      <w:r>
        <w:rPr>
          <w:rFonts w:hint="eastAsia" w:ascii="宋体" w:hAnsi="宋体" w:cs="宋体"/>
          <w:b/>
          <w:bCs/>
          <w:szCs w:val="21"/>
        </w:rPr>
        <w:t>2、质疑处理</w:t>
      </w:r>
    </w:p>
    <w:p>
      <w:pPr>
        <w:spacing w:line="262" w:lineRule="auto"/>
        <w:ind w:firstLine="420" w:firstLineChars="200"/>
        <w:rPr>
          <w:rFonts w:hint="eastAsia" w:ascii="宋体" w:hAnsi="宋体" w:cs="宋体"/>
          <w:szCs w:val="21"/>
        </w:rPr>
      </w:pPr>
      <w:r>
        <w:rPr>
          <w:rFonts w:hint="eastAsia" w:ascii="宋体" w:hAnsi="宋体" w:cs="宋体"/>
          <w:szCs w:val="21"/>
        </w:rPr>
        <w:t>2.1供应商认为采购文件、采购过程和采购结果使自己的权益受到损害的，须在知道或者应知其权益受到损害之日起三天内以书面形式送达的方式（请使用EMS等书面形式）向采购代理机构或采购人提出质疑。非书面形式、逾期（以采购代理机构或采购人收悉时间为准）提交以及匿名的质疑将不予受理。</w:t>
      </w:r>
    </w:p>
    <w:p>
      <w:pPr>
        <w:spacing w:line="262" w:lineRule="auto"/>
        <w:ind w:firstLine="420" w:firstLineChars="200"/>
        <w:rPr>
          <w:rFonts w:hint="eastAsia" w:ascii="宋体" w:hAnsi="宋体" w:cs="宋体"/>
          <w:szCs w:val="21"/>
        </w:rPr>
      </w:pPr>
      <w:r>
        <w:rPr>
          <w:rFonts w:hint="eastAsia" w:ascii="宋体" w:hAnsi="宋体" w:cs="宋体"/>
          <w:szCs w:val="21"/>
        </w:rPr>
        <w:t>2.2质疑函应当包括下列内容：供应商提出质疑应当提交质疑函和必要的证明材料。质疑函应当包括下列内容：</w:t>
      </w:r>
    </w:p>
    <w:p>
      <w:pPr>
        <w:spacing w:line="262" w:lineRule="auto"/>
        <w:ind w:firstLine="420" w:firstLineChars="200"/>
        <w:rPr>
          <w:rFonts w:hint="eastAsia" w:ascii="宋体" w:hAnsi="宋体" w:cs="宋体"/>
          <w:szCs w:val="21"/>
        </w:rPr>
      </w:pPr>
      <w:r>
        <w:rPr>
          <w:rFonts w:hint="eastAsia" w:ascii="宋体" w:hAnsi="宋体" w:cs="宋体"/>
          <w:szCs w:val="21"/>
        </w:rPr>
        <w:t>（一）供应商的姓名或者名称、地址、邮编、联系人及联系电话；</w:t>
      </w:r>
    </w:p>
    <w:p>
      <w:pPr>
        <w:spacing w:line="262" w:lineRule="auto"/>
        <w:ind w:firstLine="420" w:firstLineChars="200"/>
        <w:rPr>
          <w:rFonts w:hint="eastAsia" w:ascii="宋体" w:hAnsi="宋体" w:cs="宋体"/>
          <w:szCs w:val="21"/>
        </w:rPr>
      </w:pPr>
      <w:r>
        <w:rPr>
          <w:rFonts w:hint="eastAsia" w:ascii="宋体" w:hAnsi="宋体" w:cs="宋体"/>
          <w:szCs w:val="21"/>
        </w:rPr>
        <w:t>（二）质疑项目的名称、编号；</w:t>
      </w:r>
    </w:p>
    <w:p>
      <w:pPr>
        <w:spacing w:line="262" w:lineRule="auto"/>
        <w:ind w:firstLine="420" w:firstLineChars="200"/>
        <w:rPr>
          <w:rFonts w:hint="eastAsia" w:ascii="宋体" w:hAnsi="宋体" w:cs="宋体"/>
          <w:szCs w:val="21"/>
        </w:rPr>
      </w:pPr>
      <w:r>
        <w:rPr>
          <w:rFonts w:hint="eastAsia" w:ascii="宋体" w:hAnsi="宋体" w:cs="宋体"/>
          <w:szCs w:val="21"/>
        </w:rPr>
        <w:t>（三）具体、明确的质疑事项和与质疑事项相关的请求；</w:t>
      </w:r>
    </w:p>
    <w:p>
      <w:pPr>
        <w:spacing w:line="262" w:lineRule="auto"/>
        <w:ind w:firstLine="420" w:firstLineChars="200"/>
        <w:rPr>
          <w:rFonts w:hint="eastAsia" w:ascii="宋体" w:hAnsi="宋体" w:cs="宋体"/>
          <w:szCs w:val="21"/>
        </w:rPr>
      </w:pPr>
      <w:r>
        <w:rPr>
          <w:rFonts w:hint="eastAsia" w:ascii="宋体" w:hAnsi="宋体" w:cs="宋体"/>
          <w:szCs w:val="21"/>
        </w:rPr>
        <w:t>（四）事实依据；</w:t>
      </w:r>
    </w:p>
    <w:p>
      <w:pPr>
        <w:spacing w:line="262" w:lineRule="auto"/>
        <w:ind w:firstLine="420" w:firstLineChars="200"/>
        <w:rPr>
          <w:rFonts w:hint="eastAsia" w:ascii="宋体" w:hAnsi="宋体" w:cs="宋体"/>
          <w:szCs w:val="21"/>
        </w:rPr>
      </w:pPr>
      <w:r>
        <w:rPr>
          <w:rFonts w:hint="eastAsia" w:ascii="宋体" w:hAnsi="宋体" w:cs="宋体"/>
          <w:szCs w:val="21"/>
        </w:rPr>
        <w:t>（五）必要的法律依据；</w:t>
      </w:r>
    </w:p>
    <w:p>
      <w:pPr>
        <w:spacing w:line="262" w:lineRule="auto"/>
        <w:ind w:firstLine="420" w:firstLineChars="200"/>
        <w:rPr>
          <w:rFonts w:hint="eastAsia" w:ascii="宋体" w:hAnsi="宋体" w:cs="宋体"/>
          <w:szCs w:val="21"/>
        </w:rPr>
      </w:pPr>
      <w:r>
        <w:rPr>
          <w:rFonts w:hint="eastAsia" w:ascii="宋体" w:hAnsi="宋体" w:cs="宋体"/>
          <w:szCs w:val="21"/>
        </w:rPr>
        <w:t>（六）提出质疑的日期。</w:t>
      </w:r>
    </w:p>
    <w:p>
      <w:pPr>
        <w:spacing w:line="262" w:lineRule="auto"/>
        <w:ind w:firstLine="420" w:firstLineChars="200"/>
        <w:rPr>
          <w:rFonts w:hint="eastAsia" w:ascii="宋体" w:hAnsi="宋体" w:cs="宋体"/>
          <w:szCs w:val="21"/>
        </w:rPr>
      </w:pPr>
      <w:r>
        <w:rPr>
          <w:rFonts w:hint="eastAsia" w:ascii="宋体" w:hAnsi="宋体" w:cs="宋体"/>
          <w:szCs w:val="21"/>
        </w:rPr>
        <w:t>供应商为自然人的，应当由本人签字；供应商为法人或者其他组织的，应当由法定代表人、主要负责人，或者其授权代表签字或者盖章，并加盖公章。</w:t>
      </w:r>
    </w:p>
    <w:p>
      <w:pPr>
        <w:spacing w:line="262" w:lineRule="auto"/>
        <w:ind w:firstLine="420" w:firstLineChars="200"/>
        <w:rPr>
          <w:rFonts w:hint="eastAsia" w:ascii="宋体" w:hAnsi="宋体" w:cs="宋体"/>
          <w:szCs w:val="21"/>
        </w:rPr>
      </w:pPr>
      <w:r>
        <w:rPr>
          <w:rFonts w:hint="eastAsia" w:ascii="宋体" w:hAnsi="宋体" w:cs="宋体"/>
          <w:szCs w:val="21"/>
        </w:rPr>
        <w:t>注：对可以质疑的采购文件提出质疑的，为收到采购文件之日或者采购文件公告期限届满之日；对采购过程提出质疑的，为各采购程序环节结束之日；对中标或者成交结果提出质疑的，为中标或者成交结果公告期限届满之日。未参加谈判采购活动的供应商或在谈判采购活动中自身权益未受到损害的供应商所提出的质疑不予受理。未购买采购文件的供应商，无权知道本采购文件相关内容，采购人、采购代理机构有权不予受理。</w:t>
      </w:r>
    </w:p>
    <w:p>
      <w:pPr>
        <w:spacing w:line="262" w:lineRule="auto"/>
        <w:ind w:firstLine="420" w:firstLineChars="200"/>
        <w:rPr>
          <w:rFonts w:hint="eastAsia" w:ascii="宋体" w:hAnsi="宋体" w:cs="宋体"/>
          <w:szCs w:val="21"/>
        </w:rPr>
      </w:pPr>
      <w:r>
        <w:rPr>
          <w:rFonts w:hint="eastAsia" w:ascii="宋体" w:hAnsi="宋体" w:cs="宋体"/>
          <w:szCs w:val="21"/>
        </w:rPr>
        <w:t>2.3质疑供应商对采购人、采购代理机构的答复不满意或者采购人、采购代理机构未在规定的时间内作出答复的，可以在答复期满后一天内向采购人的领导班子投诉或向纪检组反映情况。</w:t>
      </w:r>
    </w:p>
    <w:p>
      <w:pPr>
        <w:spacing w:line="262" w:lineRule="auto"/>
        <w:ind w:firstLine="420" w:firstLineChars="200"/>
        <w:rPr>
          <w:rFonts w:hint="eastAsia" w:ascii="宋体" w:hAnsi="宋体" w:cs="宋体"/>
          <w:szCs w:val="21"/>
        </w:rPr>
      </w:pPr>
      <w:r>
        <w:rPr>
          <w:rFonts w:hint="eastAsia" w:ascii="宋体" w:hAnsi="宋体" w:cs="宋体"/>
          <w:szCs w:val="21"/>
        </w:rPr>
        <w:t>2.4供应商提出书面质疑必须有理、有据，不得恶意质疑或提交虚假质疑。否则，一经查实，采购代理机构有权依据政府采购的有关规定，报请政府采购监管部门对该供应商进行相应的行政处罚。</w:t>
      </w:r>
    </w:p>
    <w:p>
      <w:pPr>
        <w:spacing w:line="262" w:lineRule="auto"/>
        <w:jc w:val="center"/>
        <w:outlineLvl w:val="1"/>
        <w:rPr>
          <w:rFonts w:ascii="宋体" w:hAnsi="宋体" w:cs="宋体"/>
          <w:b/>
          <w:szCs w:val="21"/>
        </w:rPr>
      </w:pPr>
      <w:r>
        <w:rPr>
          <w:rFonts w:hint="eastAsia" w:ascii="宋体" w:hAnsi="宋体" w:cs="宋体"/>
          <w:b/>
          <w:szCs w:val="21"/>
        </w:rPr>
        <w:t>六、合同签订相关事项</w:t>
      </w:r>
      <w:bookmarkEnd w:id="150"/>
    </w:p>
    <w:p>
      <w:pPr>
        <w:spacing w:line="262" w:lineRule="auto"/>
        <w:ind w:firstLine="422" w:firstLineChars="200"/>
        <w:rPr>
          <w:rFonts w:ascii="宋体" w:hAnsi="宋体" w:cs="宋体"/>
          <w:b/>
          <w:szCs w:val="21"/>
        </w:rPr>
      </w:pPr>
      <w:r>
        <w:rPr>
          <w:rFonts w:hint="eastAsia" w:ascii="宋体" w:hAnsi="宋体" w:cs="宋体"/>
          <w:b/>
          <w:szCs w:val="21"/>
        </w:rPr>
        <w:t>1、签订合同</w:t>
      </w:r>
    </w:p>
    <w:p>
      <w:pPr>
        <w:spacing w:line="262" w:lineRule="auto"/>
        <w:ind w:firstLine="420" w:firstLineChars="200"/>
        <w:rPr>
          <w:rFonts w:ascii="宋体" w:hAnsi="宋体" w:cs="宋体"/>
          <w:szCs w:val="21"/>
        </w:rPr>
      </w:pPr>
      <w:r>
        <w:rPr>
          <w:rFonts w:hint="eastAsia" w:ascii="宋体" w:hAnsi="宋体" w:cs="宋体"/>
          <w:szCs w:val="21"/>
        </w:rPr>
        <w:t>1.l成交供应商确定后，采购代理机构将向成交供应商发出成交通知书。成交供应商应按成交通知书规定的时间、地点,按照采购文件确定的事项与采购人签订政府采购合同，且不得迟于成交通知书发出之日起三十日内，否则保证金将不予退还，由此给采购人造成损失的，成交供应商还应承担赔偿责任。</w:t>
      </w:r>
    </w:p>
    <w:p>
      <w:pPr>
        <w:spacing w:line="262" w:lineRule="auto"/>
        <w:ind w:firstLine="420" w:firstLineChars="200"/>
        <w:rPr>
          <w:rFonts w:ascii="宋体" w:hAnsi="宋体" w:cs="宋体"/>
          <w:szCs w:val="21"/>
        </w:rPr>
      </w:pPr>
      <w:r>
        <w:rPr>
          <w:rFonts w:hint="eastAsia" w:ascii="宋体" w:hAnsi="宋体" w:cs="宋体"/>
          <w:szCs w:val="21"/>
        </w:rPr>
        <w:t>1.2 采购文件、成交供应商的招标响应文件及招标采购过程中有关澄清、承诺文件均应作为合同附件。</w:t>
      </w:r>
    </w:p>
    <w:p>
      <w:pPr>
        <w:spacing w:line="262" w:lineRule="auto"/>
        <w:ind w:firstLine="420" w:firstLineChars="200"/>
        <w:rPr>
          <w:rFonts w:ascii="宋体" w:hAnsi="宋体" w:cs="宋体"/>
          <w:szCs w:val="21"/>
        </w:rPr>
      </w:pPr>
      <w:r>
        <w:rPr>
          <w:rFonts w:hint="eastAsia" w:ascii="宋体" w:hAnsi="宋体" w:cs="宋体"/>
          <w:szCs w:val="21"/>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spacing w:line="262" w:lineRule="auto"/>
        <w:ind w:firstLine="422" w:firstLineChars="200"/>
        <w:rPr>
          <w:rFonts w:hint="eastAsia" w:ascii="宋体" w:hAnsi="宋体" w:eastAsia="宋体" w:cs="宋体"/>
          <w:b/>
          <w:szCs w:val="21"/>
          <w:lang w:eastAsia="zh-CN"/>
        </w:rPr>
      </w:pPr>
      <w:r>
        <w:rPr>
          <w:rFonts w:hint="eastAsia" w:ascii="宋体" w:hAnsi="宋体" w:cs="宋体"/>
          <w:b/>
          <w:szCs w:val="21"/>
        </w:rPr>
        <w:t>2、履约保证金</w:t>
      </w:r>
      <w:r>
        <w:rPr>
          <w:rFonts w:hint="eastAsia" w:ascii="宋体" w:hAnsi="宋体" w:cs="宋体"/>
          <w:b/>
          <w:szCs w:val="21"/>
          <w:lang w:eastAsia="zh-CN"/>
        </w:rPr>
        <w:t>（详见合同中履约保证金条款）</w:t>
      </w:r>
    </w:p>
    <w:bookmarkEnd w:id="151"/>
    <w:bookmarkEnd w:id="152"/>
    <w:bookmarkEnd w:id="153"/>
    <w:p>
      <w:pPr>
        <w:spacing w:line="262" w:lineRule="auto"/>
        <w:ind w:firstLine="420" w:firstLineChars="200"/>
        <w:rPr>
          <w:rFonts w:ascii="宋体" w:hAnsi="宋体" w:cs="宋体"/>
          <w:szCs w:val="21"/>
        </w:rPr>
      </w:pPr>
      <w:r>
        <w:rPr>
          <w:rFonts w:hint="eastAsia" w:ascii="宋体" w:hAnsi="宋体" w:cs="宋体"/>
          <w:szCs w:val="21"/>
        </w:rPr>
        <w:t>2.1履约保证金金额：合同总价的5%（去尾法，到百元）。</w:t>
      </w:r>
    </w:p>
    <w:p>
      <w:pPr>
        <w:spacing w:line="262" w:lineRule="auto"/>
        <w:ind w:firstLine="420" w:firstLineChars="200"/>
        <w:rPr>
          <w:rFonts w:ascii="宋体" w:hAnsi="宋体" w:cs="宋体"/>
          <w:szCs w:val="21"/>
        </w:rPr>
      </w:pPr>
      <w:r>
        <w:rPr>
          <w:rFonts w:hint="eastAsia" w:ascii="宋体" w:hAnsi="宋体" w:cs="宋体"/>
          <w:szCs w:val="21"/>
        </w:rPr>
        <w:t>2.2在签订合同前，中标人需向招标人交纳履约保证金（请将履约保证金汇款凭证发送至QQ邮箱：532223373@qq.com），具体金额为中标价的5%。拟中标人应当按照招标人的要求及时、足额缴纳履约保证金，履约保证金待项目到期后20日内一次性无息退还。（凭“保证金请退函”到学校国资处办理退款手续）。如果中标人不履行合同约定的义务，未能完全履行合同规定的义务或其履行不符合合同的约定，招标人有权扣除履约保证金取得补偿。</w:t>
      </w:r>
    </w:p>
    <w:p>
      <w:pPr>
        <w:spacing w:line="262" w:lineRule="auto"/>
        <w:ind w:firstLine="420" w:firstLineChars="200"/>
        <w:rPr>
          <w:rFonts w:ascii="宋体" w:hAnsi="宋体" w:cs="宋体"/>
          <w:szCs w:val="21"/>
        </w:rPr>
      </w:pPr>
      <w:r>
        <w:rPr>
          <w:rFonts w:hint="eastAsia" w:ascii="宋体" w:hAnsi="宋体" w:cs="宋体"/>
          <w:szCs w:val="21"/>
        </w:rPr>
        <w:t>2.3履约保证金专户帐户信息。</w:t>
      </w:r>
    </w:p>
    <w:p>
      <w:pPr>
        <w:spacing w:line="262" w:lineRule="auto"/>
        <w:ind w:firstLine="420" w:firstLineChars="200"/>
        <w:rPr>
          <w:rFonts w:ascii="宋体" w:hAnsi="宋体" w:cs="宋体"/>
          <w:szCs w:val="21"/>
        </w:rPr>
      </w:pPr>
      <w:r>
        <w:rPr>
          <w:rFonts w:hint="eastAsia" w:ascii="宋体" w:hAnsi="宋体" w:cs="宋体"/>
          <w:szCs w:val="21"/>
        </w:rPr>
        <w:t>单位名称：江苏医药职业学院</w:t>
      </w:r>
    </w:p>
    <w:p>
      <w:pPr>
        <w:spacing w:line="262" w:lineRule="auto"/>
        <w:ind w:firstLine="420" w:firstLineChars="200"/>
        <w:rPr>
          <w:rFonts w:ascii="宋体" w:hAnsi="宋体" w:cs="宋体"/>
          <w:szCs w:val="21"/>
        </w:rPr>
      </w:pPr>
      <w:r>
        <w:rPr>
          <w:rFonts w:hint="eastAsia" w:ascii="宋体" w:hAnsi="宋体" w:cs="宋体"/>
          <w:szCs w:val="21"/>
        </w:rPr>
        <w:t>开户行名称：建行盐城市城南支行</w:t>
      </w:r>
    </w:p>
    <w:p>
      <w:pPr>
        <w:spacing w:line="262" w:lineRule="auto"/>
        <w:ind w:firstLine="420" w:firstLineChars="200"/>
        <w:rPr>
          <w:rFonts w:ascii="宋体" w:hAnsi="宋体" w:cs="宋体"/>
          <w:szCs w:val="21"/>
        </w:rPr>
      </w:pPr>
      <w:r>
        <w:rPr>
          <w:rFonts w:hint="eastAsia" w:ascii="宋体" w:hAnsi="宋体" w:cs="宋体"/>
          <w:szCs w:val="21"/>
        </w:rPr>
        <w:t>银行帐号：32001735038052500575</w:t>
      </w:r>
    </w:p>
    <w:p>
      <w:pPr>
        <w:spacing w:line="262" w:lineRule="auto"/>
        <w:ind w:firstLine="420" w:firstLineChars="200"/>
        <w:rPr>
          <w:rFonts w:ascii="宋体" w:hAnsi="宋体" w:cs="宋体"/>
          <w:szCs w:val="21"/>
        </w:rPr>
      </w:pPr>
      <w:r>
        <w:rPr>
          <w:rFonts w:hint="eastAsia" w:ascii="宋体" w:hAnsi="宋体" w:cs="宋体"/>
          <w:szCs w:val="21"/>
        </w:rPr>
        <w:t>地址：江苏省盐城市解放南路283号</w:t>
      </w:r>
    </w:p>
    <w:p>
      <w:pPr>
        <w:spacing w:line="262" w:lineRule="auto"/>
        <w:ind w:firstLine="420" w:firstLineChars="200"/>
        <w:rPr>
          <w:rFonts w:ascii="宋体" w:hAnsi="宋体" w:cs="宋体"/>
          <w:szCs w:val="21"/>
        </w:rPr>
      </w:pPr>
      <w:r>
        <w:rPr>
          <w:rFonts w:hint="eastAsia" w:ascii="宋体" w:hAnsi="宋体" w:cs="宋体"/>
          <w:szCs w:val="21"/>
        </w:rPr>
        <w:t>电话：0515-88550311</w:t>
      </w:r>
    </w:p>
    <w:p>
      <w:pPr>
        <w:spacing w:line="262" w:lineRule="auto"/>
        <w:ind w:firstLine="420" w:firstLineChars="200"/>
        <w:rPr>
          <w:rFonts w:ascii="宋体" w:hAnsi="宋体" w:cs="宋体"/>
          <w:szCs w:val="21"/>
        </w:rPr>
      </w:pPr>
      <w:r>
        <w:rPr>
          <w:rFonts w:hint="eastAsia" w:ascii="宋体" w:hAnsi="宋体" w:cs="宋体"/>
          <w:szCs w:val="21"/>
        </w:rPr>
        <w:t>2.4具有AA评级及以上政府采购供应商，提供信用管理部门备案的第三方信用报告（可在“信用盐城”查证），可以向采购人申请免收履约保证金或降低履约保证金缴纳比例；否则采购人有权取消其成交资格。</w:t>
      </w:r>
    </w:p>
    <w:p>
      <w:pPr>
        <w:spacing w:line="262" w:lineRule="auto"/>
        <w:ind w:firstLine="420" w:firstLineChars="200"/>
        <w:rPr>
          <w:rFonts w:ascii="宋体" w:hAnsi="宋体" w:cs="宋体"/>
          <w:szCs w:val="21"/>
        </w:rPr>
      </w:pPr>
      <w:r>
        <w:rPr>
          <w:rFonts w:hint="eastAsia" w:ascii="宋体" w:hAnsi="宋体" w:cs="宋体"/>
          <w:szCs w:val="21"/>
        </w:rPr>
        <w:t>2.5履约保证金用以约束成交供应商在合同履行中的行为，弥补合同执行中由于自身行为可能给采购人带来的各种损失。如果成交供应商不同意按照规定去做，采购人有权取消本次采购成交决定。</w:t>
      </w:r>
    </w:p>
    <w:p>
      <w:pPr>
        <w:spacing w:line="262" w:lineRule="auto"/>
        <w:ind w:firstLine="422" w:firstLineChars="200"/>
        <w:rPr>
          <w:rFonts w:ascii="宋体" w:hAnsi="宋体" w:cs="宋体"/>
          <w:b/>
          <w:szCs w:val="21"/>
        </w:rPr>
      </w:pPr>
      <w:r>
        <w:rPr>
          <w:rFonts w:hint="eastAsia" w:ascii="宋体" w:hAnsi="宋体" w:cs="宋体"/>
          <w:b/>
          <w:szCs w:val="21"/>
        </w:rPr>
        <w:t>3、代理服务费(详见前附表）</w:t>
      </w:r>
    </w:p>
    <w:p>
      <w:pPr>
        <w:spacing w:line="262" w:lineRule="auto"/>
        <w:ind w:firstLine="420" w:firstLineChars="200"/>
        <w:rPr>
          <w:rFonts w:ascii="宋体" w:hAnsi="宋体" w:cs="宋体"/>
          <w:szCs w:val="21"/>
        </w:rPr>
      </w:pPr>
      <w:r>
        <w:rPr>
          <w:rFonts w:hint="eastAsia" w:ascii="宋体" w:hAnsi="宋体" w:cs="宋体"/>
          <w:szCs w:val="21"/>
        </w:rPr>
        <w:t>3.1代理服务费收费标准：代理服务费（中标服务费）：本项目的代理服务费由成交供应商承担。</w:t>
      </w:r>
    </w:p>
    <w:p>
      <w:pPr>
        <w:spacing w:line="262" w:lineRule="auto"/>
        <w:ind w:firstLine="420" w:firstLineChars="200"/>
        <w:rPr>
          <w:rFonts w:ascii="宋体" w:hAnsi="宋体" w:cs="宋体"/>
          <w:szCs w:val="21"/>
        </w:rPr>
      </w:pPr>
      <w:r>
        <w:rPr>
          <w:rFonts w:hint="eastAsia" w:ascii="宋体" w:hAnsi="宋体" w:cs="宋体"/>
          <w:szCs w:val="21"/>
        </w:rPr>
        <w:t>3.2代理服务费支付形式为：电款、转账等；发票为普通发票。账户信息：开户名：盐城市携手阳光集中采购代理有限公司；开户行：兴业银行盐城分行；帐号：402010100100119375）。如中标单位逾期未支持中标服务费的，携手阳光公司有权全额没收其相关保证金作为预定的损害赔偿（超出收费标准部分作为资金占用赔偿），并保留诉讼的权利。</w:t>
      </w:r>
    </w:p>
    <w:p>
      <w:pPr>
        <w:spacing w:line="262" w:lineRule="auto"/>
        <w:ind w:firstLine="422" w:firstLineChars="200"/>
        <w:rPr>
          <w:rFonts w:ascii="宋体" w:hAnsi="宋体" w:cs="宋体"/>
          <w:b/>
          <w:szCs w:val="21"/>
        </w:rPr>
      </w:pPr>
      <w:r>
        <w:rPr>
          <w:rFonts w:hint="eastAsia" w:ascii="宋体" w:hAnsi="宋体" w:cs="宋体"/>
          <w:b/>
          <w:szCs w:val="21"/>
        </w:rPr>
        <w:t>4、成交供应商违约、违规责任</w:t>
      </w:r>
    </w:p>
    <w:p>
      <w:pPr>
        <w:spacing w:line="262" w:lineRule="auto"/>
        <w:ind w:firstLine="420" w:firstLineChars="200"/>
        <w:rPr>
          <w:rFonts w:ascii="宋体" w:hAnsi="宋体" w:cs="宋体"/>
          <w:spacing w:val="15"/>
          <w:kern w:val="0"/>
          <w:szCs w:val="21"/>
        </w:rPr>
      </w:pPr>
      <w:r>
        <w:rPr>
          <w:rFonts w:hint="eastAsia" w:ascii="宋体" w:hAnsi="宋体" w:cs="宋体"/>
          <w:szCs w:val="21"/>
        </w:rPr>
        <w:t>4.1</w:t>
      </w:r>
      <w:r>
        <w:rPr>
          <w:rFonts w:hint="eastAsia" w:ascii="宋体" w:hAnsi="宋体" w:cs="宋体"/>
          <w:spacing w:val="15"/>
          <w:kern w:val="0"/>
          <w:szCs w:val="21"/>
        </w:rPr>
        <w:t>政府采购遵循诚实信用原则。为保证政府采购效率及采购人的合法权益，</w:t>
      </w:r>
      <w:r>
        <w:rPr>
          <w:rFonts w:hint="eastAsia" w:ascii="宋体" w:hAnsi="宋体" w:cs="宋体"/>
          <w:szCs w:val="21"/>
        </w:rPr>
        <w:t>成交供应商出现违约、违规的，按照有利于采购人的原则处理。即：如采购文件、投标（响应）文件及合同条款约定中对成交供应商有不同违约、违规规定的，按照处罚最高的规定处理（供应商承担）。</w:t>
      </w:r>
    </w:p>
    <w:p>
      <w:pPr>
        <w:spacing w:line="262" w:lineRule="auto"/>
        <w:ind w:firstLine="420" w:firstLineChars="200"/>
        <w:rPr>
          <w:rFonts w:ascii="宋体" w:hAnsi="宋体" w:cs="宋体"/>
          <w:szCs w:val="21"/>
        </w:rPr>
      </w:pPr>
      <w:r>
        <w:rPr>
          <w:rFonts w:hint="eastAsia" w:ascii="宋体" w:hAnsi="宋体" w:cs="宋体"/>
          <w:szCs w:val="21"/>
        </w:rPr>
        <w:t>4.2如成交供应商出现下例情况的，采购人或采购代理机构有权拒绝其供应商参加采购代理机构代理的或采购人的各类招标采购活动（视为没有良好的商业信誉而拒绝参加）：</w:t>
      </w:r>
    </w:p>
    <w:p>
      <w:pPr>
        <w:spacing w:line="262" w:lineRule="auto"/>
        <w:ind w:firstLine="420" w:firstLineChars="200"/>
        <w:rPr>
          <w:rFonts w:ascii="宋体" w:hAnsi="宋体" w:cs="宋体"/>
          <w:szCs w:val="21"/>
        </w:rPr>
      </w:pPr>
      <w:r>
        <w:rPr>
          <w:rFonts w:hint="eastAsia" w:ascii="宋体" w:hAnsi="宋体" w:cs="宋体"/>
          <w:szCs w:val="21"/>
        </w:rPr>
        <w:t>1、逾期未与采购人签订合同（放弃成交）；2、未能在规定的时间内完成施工或达到采购人的验收；3、未按照采购文件、投标（响应）文件及合同条款履约；4、成交供应商逾期未向携手阳光公司支持招标代理服务费的（视为没有良好的商业信誉）；5、出现其它违法、违规、违约行为的。</w:t>
      </w:r>
    </w:p>
    <w:p>
      <w:pPr>
        <w:spacing w:line="262" w:lineRule="auto"/>
        <w:ind w:firstLine="420" w:firstLineChars="200"/>
        <w:rPr>
          <w:rFonts w:ascii="宋体" w:hAnsi="宋体" w:cs="宋体"/>
          <w:szCs w:val="21"/>
        </w:rPr>
      </w:pPr>
      <w:r>
        <w:rPr>
          <w:rFonts w:hint="eastAsia" w:ascii="宋体" w:hAnsi="宋体" w:cs="宋体"/>
          <w:szCs w:val="21"/>
        </w:rPr>
        <w:t>以上情节严重的，将报请政府采购监督管理部门进行相应的行政处罚。造成采购人损失的，成交供应商须承担全部赔偿责任，采购人保留诉讼的权利。</w:t>
      </w:r>
      <w:r>
        <w:rPr>
          <w:rFonts w:hint="eastAsia" w:ascii="宋体" w:hAnsi="宋体" w:cs="宋体"/>
          <w:spacing w:val="15"/>
          <w:kern w:val="0"/>
          <w:szCs w:val="21"/>
        </w:rPr>
        <w:t> </w:t>
      </w:r>
    </w:p>
    <w:p>
      <w:pPr>
        <w:spacing w:line="262" w:lineRule="auto"/>
        <w:ind w:firstLine="420" w:firstLineChars="200"/>
        <w:rPr>
          <w:rFonts w:ascii="宋体" w:hAnsi="宋体" w:cs="宋体"/>
          <w:szCs w:val="21"/>
        </w:rPr>
      </w:pPr>
      <w:r>
        <w:rPr>
          <w:rFonts w:hint="eastAsia" w:ascii="宋体" w:hAnsi="宋体" w:cs="宋体"/>
          <w:szCs w:val="21"/>
        </w:rPr>
        <w:t>4.3法律法规规定的其它违约、违规责任。</w:t>
      </w:r>
    </w:p>
    <w:p>
      <w:pPr>
        <w:spacing w:line="262" w:lineRule="auto"/>
        <w:ind w:firstLine="422" w:firstLineChars="200"/>
        <w:jc w:val="center"/>
        <w:outlineLvl w:val="1"/>
        <w:rPr>
          <w:rFonts w:ascii="宋体" w:hAnsi="宋体" w:cs="宋体"/>
          <w:szCs w:val="21"/>
        </w:rPr>
      </w:pPr>
      <w:bookmarkStart w:id="154" w:name="_Toc760"/>
      <w:r>
        <w:rPr>
          <w:rFonts w:hint="eastAsia" w:ascii="宋体" w:hAnsi="宋体" w:cs="宋体"/>
          <w:b/>
          <w:szCs w:val="21"/>
        </w:rPr>
        <w:t>七、其他</w:t>
      </w:r>
      <w:bookmarkEnd w:id="154"/>
    </w:p>
    <w:p>
      <w:pPr>
        <w:spacing w:line="262" w:lineRule="auto"/>
        <w:ind w:firstLine="422" w:firstLineChars="200"/>
        <w:rPr>
          <w:rFonts w:ascii="宋体" w:hAnsi="宋体" w:cs="宋体"/>
          <w:szCs w:val="21"/>
        </w:rPr>
      </w:pPr>
      <w:r>
        <w:rPr>
          <w:rFonts w:hint="eastAsia" w:ascii="宋体" w:hAnsi="宋体" w:cs="宋体"/>
          <w:b/>
          <w:szCs w:val="21"/>
        </w:rPr>
        <w:t>1、政府采购履约资金扶持政策</w:t>
      </w:r>
      <w:r>
        <w:rPr>
          <w:rFonts w:hint="eastAsia" w:ascii="宋体" w:hAnsi="宋体" w:cs="宋体"/>
          <w:szCs w:val="21"/>
        </w:rPr>
        <w:t>：根据国家扶持中小企业的有关政策，政府采购中标人在履约过程中如遇到资金困难，凭中标通知书在相关金融机构办理授信申请。相关事宜向采购代理机构咨询。</w:t>
      </w:r>
    </w:p>
    <w:p>
      <w:pPr>
        <w:spacing w:line="262" w:lineRule="auto"/>
        <w:ind w:firstLine="422" w:firstLineChars="200"/>
        <w:rPr>
          <w:rFonts w:ascii="宋体" w:hAnsi="宋体" w:cs="宋体"/>
          <w:szCs w:val="21"/>
        </w:rPr>
      </w:pPr>
      <w:r>
        <w:rPr>
          <w:rFonts w:hint="eastAsia" w:ascii="宋体" w:hAnsi="宋体" w:cs="宋体"/>
          <w:b/>
          <w:szCs w:val="21"/>
        </w:rPr>
        <w:t>2、解释（定义）及其它：</w:t>
      </w:r>
      <w:r>
        <w:rPr>
          <w:rFonts w:hint="eastAsia" w:ascii="宋体" w:hAnsi="宋体" w:cs="宋体"/>
          <w:szCs w:val="21"/>
        </w:rPr>
        <w:t>本次采购活动（含采购文件）中的“货物”包含需要涉及（使用）的服务、工程等有关的所有事宜，“服务”包含需要涉及（使用）的货物、工程等有关的所有事宜，“工程”包含需要涉及（使用）的货物、服务等有关的所有事宜。</w:t>
      </w:r>
    </w:p>
    <w:p>
      <w:pPr>
        <w:spacing w:line="262" w:lineRule="auto"/>
        <w:ind w:firstLine="420" w:firstLineChars="200"/>
        <w:rPr>
          <w:rFonts w:ascii="宋体" w:hAnsi="宋体" w:cs="宋体"/>
          <w:szCs w:val="21"/>
        </w:rPr>
      </w:pPr>
      <w:r>
        <w:rPr>
          <w:rFonts w:hint="eastAsia" w:ascii="宋体" w:hAnsi="宋体" w:cs="宋体"/>
          <w:szCs w:val="21"/>
        </w:rPr>
        <w:t>如无特殊说明，本次招标使用时间为北京时间（24小时制）、日历天；使用货币单位为人民币。</w:t>
      </w:r>
    </w:p>
    <w:p>
      <w:pPr>
        <w:spacing w:line="262" w:lineRule="auto"/>
        <w:ind w:firstLine="420" w:firstLineChars="200"/>
        <w:rPr>
          <w:rFonts w:ascii="宋体" w:hAnsi="宋体" w:cs="宋体"/>
          <w:b/>
          <w:szCs w:val="21"/>
        </w:rPr>
      </w:pPr>
      <w:r>
        <w:rPr>
          <w:rFonts w:hint="eastAsia" w:ascii="宋体" w:hAnsi="宋体" w:cs="宋体"/>
          <w:szCs w:val="21"/>
        </w:rPr>
        <w:t>如无特殊说明，本招标文件中近三个月、近三年等时间均以投标文件递交截止时间（当年或当月）为准[例：递交截止时间为2020年7月1日，近三个月以来是指2020年4月（含）以来；近三年以来是指2017年（含）以来]。如为2018年以来的，是指2018年1月1日以来。如设定年龄的，以出生当年计[不以具体出生月日计。例：递交截止时间为2020年，50岁以下是指1970年1月1日（含）以后出生]。</w:t>
      </w:r>
    </w:p>
    <w:p>
      <w:pPr>
        <w:spacing w:line="262" w:lineRule="auto"/>
        <w:ind w:firstLine="420" w:firstLineChars="200"/>
        <w:rPr>
          <w:rFonts w:ascii="宋体" w:hAnsi="宋体" w:cs="宋体"/>
          <w:b/>
          <w:szCs w:val="21"/>
        </w:rPr>
      </w:pPr>
      <w:r>
        <w:rPr>
          <w:rFonts w:hint="eastAsia" w:ascii="宋体" w:hAnsi="宋体" w:cs="宋体"/>
          <w:szCs w:val="21"/>
        </w:rPr>
        <w:t>如</w:t>
      </w:r>
      <w:r>
        <w:rPr>
          <w:rFonts w:hint="eastAsia" w:ascii="宋体" w:hAnsi="宋体" w:cs="宋体"/>
          <w:szCs w:val="21"/>
          <w:lang w:eastAsia="zh-CN"/>
        </w:rPr>
        <w:t>投标供应商</w:t>
      </w:r>
      <w:r>
        <w:rPr>
          <w:rFonts w:hint="eastAsia" w:ascii="宋体" w:hAnsi="宋体" w:cs="宋体"/>
          <w:szCs w:val="21"/>
        </w:rPr>
        <w:t>为非法人单位的，“法定代表人”可为自然人本人、经营者本人、负责人。</w:t>
      </w:r>
    </w:p>
    <w:p>
      <w:pPr>
        <w:spacing w:line="262" w:lineRule="auto"/>
        <w:ind w:firstLine="420" w:firstLineChars="200"/>
        <w:jc w:val="left"/>
        <w:rPr>
          <w:rFonts w:ascii="宋体" w:hAnsi="宋体" w:cs="宋体"/>
          <w:szCs w:val="21"/>
        </w:rPr>
      </w:pPr>
      <w:r>
        <w:rPr>
          <w:rFonts w:hint="eastAsia" w:ascii="宋体" w:hAnsi="宋体" w:cs="宋体"/>
          <w:szCs w:val="21"/>
        </w:rPr>
        <w:t>如招标文件中要求提供原件的，原件须与投标文件一起递交，否视为未提供（未响应）。如相关原件以装订等方式装订在投标文件中的，视为一次性证明，不再退还给</w:t>
      </w:r>
      <w:r>
        <w:rPr>
          <w:rFonts w:hint="eastAsia" w:ascii="宋体" w:hAnsi="宋体" w:cs="宋体"/>
          <w:szCs w:val="21"/>
          <w:lang w:eastAsia="zh-CN"/>
        </w:rPr>
        <w:t>投标供应商</w:t>
      </w:r>
      <w:r>
        <w:rPr>
          <w:rFonts w:hint="eastAsia" w:ascii="宋体" w:hAnsi="宋体" w:cs="宋体"/>
          <w:szCs w:val="21"/>
        </w:rPr>
        <w:t>。“原件备查”是指原件须与投标文件一起携带到投标文件递交地点直至评审结束。评审期间，如评委需要核查原件时，携手阳光公司工作人员将以电话方式通知</w:t>
      </w:r>
      <w:r>
        <w:rPr>
          <w:rFonts w:hint="eastAsia" w:ascii="宋体" w:hAnsi="宋体" w:cs="宋体"/>
          <w:szCs w:val="21"/>
          <w:lang w:eastAsia="zh-CN"/>
        </w:rPr>
        <w:t>投标供应商</w:t>
      </w:r>
      <w:r>
        <w:rPr>
          <w:rFonts w:hint="eastAsia" w:ascii="宋体" w:hAnsi="宋体" w:cs="宋体"/>
          <w:szCs w:val="21"/>
        </w:rPr>
        <w:t>代表</w:t>
      </w:r>
      <w:r>
        <w:rPr>
          <w:rFonts w:hint="eastAsia" w:ascii="宋体" w:hAnsi="宋体" w:cs="宋体"/>
          <w:bCs/>
          <w:szCs w:val="21"/>
        </w:rPr>
        <w:t>（以投标文件为准）</w:t>
      </w:r>
      <w:r>
        <w:rPr>
          <w:rFonts w:hint="eastAsia" w:ascii="宋体" w:hAnsi="宋体" w:cs="宋体"/>
          <w:szCs w:val="21"/>
        </w:rPr>
        <w:t>，</w:t>
      </w:r>
      <w:r>
        <w:rPr>
          <w:rFonts w:hint="eastAsia" w:ascii="宋体" w:hAnsi="宋体" w:cs="宋体"/>
          <w:szCs w:val="21"/>
          <w:lang w:eastAsia="zh-CN"/>
        </w:rPr>
        <w:t>投标供应商</w:t>
      </w:r>
      <w:r>
        <w:rPr>
          <w:rFonts w:hint="eastAsia" w:ascii="宋体" w:hAnsi="宋体" w:cs="宋体"/>
          <w:szCs w:val="21"/>
        </w:rPr>
        <w:t>代表必须在接到通知15分钟以内向评委提供（可由携手阳光公司工作人员转交），否视为未提供。</w:t>
      </w:r>
    </w:p>
    <w:p>
      <w:pPr>
        <w:spacing w:line="262" w:lineRule="auto"/>
        <w:ind w:firstLine="420" w:firstLineChars="200"/>
        <w:jc w:val="left"/>
        <w:rPr>
          <w:rFonts w:ascii="宋体" w:hAnsi="宋体" w:cs="宋体"/>
          <w:szCs w:val="21"/>
        </w:rPr>
      </w:pPr>
      <w:r>
        <w:rPr>
          <w:rFonts w:hint="eastAsia" w:ascii="宋体" w:hAnsi="宋体" w:cs="宋体"/>
          <w:szCs w:val="21"/>
          <w:lang w:eastAsia="zh-CN"/>
        </w:rPr>
        <w:t>投标供应商</w:t>
      </w:r>
      <w:r>
        <w:rPr>
          <w:rFonts w:hint="eastAsia" w:ascii="宋体" w:hAnsi="宋体" w:cs="宋体"/>
          <w:szCs w:val="21"/>
        </w:rPr>
        <w:t>应确保相关证书的有效性（如：证书所注明的有效时间在投标文件递交时间之后）。如证书有效性可以不受证书时间限制的，</w:t>
      </w:r>
      <w:r>
        <w:rPr>
          <w:rFonts w:hint="eastAsia" w:ascii="宋体" w:hAnsi="宋体" w:cs="宋体"/>
          <w:szCs w:val="21"/>
          <w:lang w:eastAsia="zh-CN"/>
        </w:rPr>
        <w:t>投标供应商</w:t>
      </w:r>
      <w:r>
        <w:rPr>
          <w:rFonts w:hint="eastAsia" w:ascii="宋体" w:hAnsi="宋体" w:cs="宋体"/>
          <w:szCs w:val="21"/>
        </w:rPr>
        <w:t>应当在投标文件中进行说明并提供相关法律依据，以便评委评审。</w:t>
      </w:r>
    </w:p>
    <w:p>
      <w:pPr>
        <w:spacing w:line="262" w:lineRule="auto"/>
        <w:ind w:firstLine="420" w:firstLineChars="200"/>
        <w:jc w:val="left"/>
        <w:rPr>
          <w:rFonts w:ascii="宋体" w:hAnsi="宋体" w:cs="宋体"/>
          <w:szCs w:val="21"/>
        </w:rPr>
      </w:pPr>
      <w:r>
        <w:rPr>
          <w:rFonts w:hint="eastAsia" w:ascii="宋体" w:hAnsi="宋体" w:cs="宋体"/>
          <w:szCs w:val="21"/>
        </w:rPr>
        <w:t>本采购文件中所称的“以上”、“以下”、“内”、“以内”，包括本数；所称的“不足”，不包括本数；本采购文件当中“投标”、“</w:t>
      </w:r>
      <w:r>
        <w:rPr>
          <w:rFonts w:hint="eastAsia" w:ascii="宋体" w:hAnsi="宋体" w:cs="宋体"/>
          <w:szCs w:val="21"/>
          <w:lang w:eastAsia="zh-CN"/>
        </w:rPr>
        <w:t>投标供应商</w:t>
      </w:r>
      <w:r>
        <w:rPr>
          <w:rFonts w:hint="eastAsia" w:ascii="宋体" w:hAnsi="宋体" w:cs="宋体"/>
          <w:szCs w:val="21"/>
        </w:rPr>
        <w:t>”、“投标文件”、“中标”、“中标人”等，分别是指（本次采购活动中可以称为）“参加招标响应”、“参加竞争性招标的供应商”、“招标响应文件”、“成交”、“ 成交供应商”等；</w:t>
      </w:r>
    </w:p>
    <w:p>
      <w:pPr>
        <w:spacing w:line="262" w:lineRule="auto"/>
        <w:ind w:firstLine="422" w:firstLineChars="200"/>
        <w:rPr>
          <w:rFonts w:ascii="宋体" w:hAnsi="宋体" w:cs="宋体"/>
          <w:szCs w:val="21"/>
        </w:rPr>
      </w:pPr>
      <w:r>
        <w:rPr>
          <w:rFonts w:hint="eastAsia" w:ascii="宋体" w:hAnsi="宋体" w:cs="宋体"/>
          <w:b/>
          <w:szCs w:val="21"/>
        </w:rPr>
        <w:t>3、特别说明：采购文件如有异议或表达不准，供应商应当在获取采购文件后及时（3个工作日内）与采购代理机构联系。由此导致投标（响应）文件无效，由各供应商自行承担责任。</w:t>
      </w:r>
    </w:p>
    <w:p>
      <w:pPr>
        <w:spacing w:line="440" w:lineRule="exact"/>
        <w:ind w:firstLine="422" w:firstLineChars="200"/>
        <w:jc w:val="left"/>
        <w:rPr>
          <w:rFonts w:ascii="宋体" w:hAnsi="宋体" w:cs="宋体"/>
          <w:b/>
          <w:color w:val="000000" w:themeColor="text1"/>
          <w:szCs w:val="21"/>
          <w14:textFill>
            <w14:solidFill>
              <w14:schemeClr w14:val="tx1"/>
            </w14:solidFill>
          </w14:textFill>
        </w:rPr>
      </w:pPr>
    </w:p>
    <w:p>
      <w:pPr>
        <w:pStyle w:val="29"/>
        <w:spacing w:line="440" w:lineRule="exact"/>
        <w:rPr>
          <w:rFonts w:cs="宋体"/>
          <w:color w:val="000000" w:themeColor="text1"/>
          <w:szCs w:val="21"/>
          <w14:textFill>
            <w14:solidFill>
              <w14:schemeClr w14:val="tx1"/>
            </w14:solidFill>
          </w14:textFill>
        </w:rPr>
      </w:pPr>
    </w:p>
    <w:p>
      <w:pPr>
        <w:pStyle w:val="29"/>
        <w:spacing w:line="440" w:lineRule="exact"/>
        <w:rPr>
          <w:rFonts w:cs="宋体"/>
          <w:color w:val="000000" w:themeColor="text1"/>
          <w:szCs w:val="21"/>
          <w14:textFill>
            <w14:solidFill>
              <w14:schemeClr w14:val="tx1"/>
            </w14:solidFill>
          </w14:textFill>
        </w:rPr>
      </w:pPr>
    </w:p>
    <w:p>
      <w:pPr>
        <w:pStyle w:val="29"/>
        <w:spacing w:line="440" w:lineRule="exact"/>
        <w:rPr>
          <w:rFonts w:cs="宋体"/>
          <w:color w:val="000000" w:themeColor="text1"/>
          <w:szCs w:val="21"/>
          <w14:textFill>
            <w14:solidFill>
              <w14:schemeClr w14:val="tx1"/>
            </w14:solidFill>
          </w14:textFill>
        </w:rPr>
      </w:pPr>
    </w:p>
    <w:p>
      <w:pPr>
        <w:pStyle w:val="29"/>
        <w:spacing w:line="440" w:lineRule="exact"/>
        <w:rPr>
          <w:rFonts w:cs="宋体"/>
          <w:color w:val="000000" w:themeColor="text1"/>
          <w:szCs w:val="21"/>
          <w14:textFill>
            <w14:solidFill>
              <w14:schemeClr w14:val="tx1"/>
            </w14:solidFill>
          </w14:textFill>
        </w:rPr>
      </w:pPr>
    </w:p>
    <w:p>
      <w:pPr>
        <w:pStyle w:val="29"/>
        <w:spacing w:line="440" w:lineRule="exact"/>
        <w:rPr>
          <w:rFonts w:cs="宋体"/>
          <w:color w:val="000000" w:themeColor="text1"/>
          <w:szCs w:val="21"/>
          <w14:textFill>
            <w14:solidFill>
              <w14:schemeClr w14:val="tx1"/>
            </w14:solidFill>
          </w14:textFill>
        </w:rPr>
      </w:pPr>
    </w:p>
    <w:p>
      <w:pPr>
        <w:pStyle w:val="29"/>
        <w:spacing w:line="440" w:lineRule="exact"/>
        <w:rPr>
          <w:rFonts w:cs="宋体"/>
          <w:color w:val="000000" w:themeColor="text1"/>
          <w:szCs w:val="21"/>
          <w14:textFill>
            <w14:solidFill>
              <w14:schemeClr w14:val="tx1"/>
            </w14:solidFill>
          </w14:textFill>
        </w:rPr>
      </w:pPr>
    </w:p>
    <w:p>
      <w:pPr>
        <w:spacing w:line="440" w:lineRule="exact"/>
        <w:rPr>
          <w:rFonts w:ascii="宋体" w:hAnsi="宋体" w:cs="宋体"/>
          <w:b/>
          <w:color w:val="000000" w:themeColor="text1"/>
          <w:szCs w:val="21"/>
          <w14:textFill>
            <w14:solidFill>
              <w14:schemeClr w14:val="tx1"/>
            </w14:solidFill>
          </w14:textFill>
        </w:rPr>
      </w:pPr>
      <w:bookmarkStart w:id="155" w:name="_Toc108041640"/>
    </w:p>
    <w:p>
      <w:pPr>
        <w:spacing w:line="440" w:lineRule="exact"/>
        <w:jc w:val="center"/>
        <w:rPr>
          <w:rFonts w:ascii="宋体" w:hAnsi="宋体" w:cs="宋体"/>
          <w:b/>
          <w:color w:val="000000" w:themeColor="text1"/>
          <w:szCs w:val="21"/>
          <w14:textFill>
            <w14:solidFill>
              <w14:schemeClr w14:val="tx1"/>
            </w14:solidFill>
          </w14:textFill>
        </w:rPr>
      </w:pPr>
      <w:bookmarkStart w:id="156" w:name="_Toc108881174"/>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bookmarkStart w:id="157" w:name="_Toc115881315"/>
    </w:p>
    <w:p>
      <w:pPr>
        <w:spacing w:line="440" w:lineRule="exact"/>
        <w:jc w:val="center"/>
        <w:rPr>
          <w:rFonts w:ascii="宋体" w:hAnsi="宋体" w:cs="宋体"/>
          <w:b/>
          <w:color w:val="000000" w:themeColor="text1"/>
          <w:szCs w:val="21"/>
          <w14:textFill>
            <w14:solidFill>
              <w14:schemeClr w14:val="tx1"/>
            </w14:solidFill>
          </w14:textFill>
        </w:rPr>
      </w:pPr>
    </w:p>
    <w:p>
      <w:pPr>
        <w:pStyle w:val="23"/>
        <w:ind w:left="3360"/>
        <w:rPr>
          <w:rFonts w:ascii="宋体" w:hAnsi="宋体" w:cs="宋体"/>
          <w:szCs w:val="21"/>
        </w:rPr>
      </w:pPr>
    </w:p>
    <w:p>
      <w:pPr>
        <w:rPr>
          <w:rFonts w:ascii="宋体" w:hAnsi="宋体" w:cs="宋体"/>
          <w:szCs w:val="21"/>
        </w:rPr>
      </w:pPr>
    </w:p>
    <w:p>
      <w:pPr>
        <w:spacing w:line="440" w:lineRule="exact"/>
        <w:rPr>
          <w:rFonts w:ascii="宋体" w:hAnsi="宋体" w:cs="宋体"/>
          <w:b/>
          <w:color w:val="000000" w:themeColor="text1"/>
          <w:szCs w:val="21"/>
          <w14:textFill>
            <w14:solidFill>
              <w14:schemeClr w14:val="tx1"/>
            </w14:solidFill>
          </w14:textFill>
        </w:rPr>
      </w:pPr>
    </w:p>
    <w:p>
      <w:pPr>
        <w:spacing w:line="460" w:lineRule="exact"/>
        <w:jc w:val="center"/>
        <w:outlineLvl w:val="0"/>
        <w:rPr>
          <w:rFonts w:hint="eastAsia" w:ascii="宋体" w:hAnsi="宋体" w:cs="宋体"/>
          <w:b/>
          <w:color w:val="000000" w:themeColor="text1"/>
          <w:sz w:val="28"/>
          <w:szCs w:val="21"/>
          <w14:textFill>
            <w14:solidFill>
              <w14:schemeClr w14:val="tx1"/>
            </w14:solidFill>
          </w14:textFill>
        </w:rPr>
      </w:pPr>
      <w:bookmarkStart w:id="158" w:name="_Toc3864"/>
    </w:p>
    <w:p>
      <w:pPr>
        <w:spacing w:line="460" w:lineRule="exact"/>
        <w:jc w:val="center"/>
        <w:outlineLvl w:val="0"/>
        <w:rPr>
          <w:rFonts w:ascii="宋体" w:hAnsi="宋体" w:cs="宋体"/>
          <w:b/>
          <w:color w:val="000000" w:themeColor="text1"/>
          <w:sz w:val="28"/>
          <w:szCs w:val="21"/>
          <w14:textFill>
            <w14:solidFill>
              <w14:schemeClr w14:val="tx1"/>
            </w14:solidFill>
          </w14:textFill>
        </w:rPr>
      </w:pPr>
      <w:r>
        <w:rPr>
          <w:rFonts w:hint="eastAsia" w:ascii="宋体" w:hAnsi="宋体" w:cs="宋体"/>
          <w:b/>
          <w:color w:val="000000" w:themeColor="text1"/>
          <w:sz w:val="28"/>
          <w:szCs w:val="21"/>
          <w14:textFill>
            <w14:solidFill>
              <w14:schemeClr w14:val="tx1"/>
            </w14:solidFill>
          </w14:textFill>
        </w:rPr>
        <w:t>第三章  采购需求及政府采购合同（拟签订的合同文本）</w:t>
      </w:r>
      <w:bookmarkEnd w:id="155"/>
      <w:bookmarkEnd w:id="156"/>
      <w:bookmarkEnd w:id="157"/>
      <w:bookmarkEnd w:id="158"/>
      <w:bookmarkStart w:id="159" w:name="_Toc108041641"/>
    </w:p>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采购需求及</w:t>
      </w:r>
      <w:r>
        <w:rPr>
          <w:rFonts w:hint="eastAsia" w:ascii="宋体" w:hAnsi="宋体" w:cs="宋体"/>
          <w:b/>
          <w:color w:val="000000" w:themeColor="text1"/>
          <w:szCs w:val="21"/>
          <w14:textFill>
            <w14:solidFill>
              <w14:schemeClr w14:val="tx1"/>
            </w14:solidFill>
          </w14:textFill>
        </w:rPr>
        <w:t>政府采购合同</w:t>
      </w:r>
      <w:r>
        <w:rPr>
          <w:rFonts w:hint="eastAsia" w:ascii="宋体" w:hAnsi="宋体" w:cs="宋体"/>
          <w:b/>
          <w:bCs/>
          <w:color w:val="000000" w:themeColor="text1"/>
          <w:szCs w:val="21"/>
          <w14:textFill>
            <w14:solidFill>
              <w14:schemeClr w14:val="tx1"/>
            </w14:solidFill>
          </w14:textFill>
        </w:rPr>
        <w:t>前附表</w:t>
      </w:r>
      <w:bookmarkEnd w:id="159"/>
    </w:p>
    <w:p>
      <w:pPr>
        <w:spacing w:line="440" w:lineRule="exact"/>
        <w:ind w:left="42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★本表是</w:t>
      </w:r>
      <w:r>
        <w:rPr>
          <w:rFonts w:hint="eastAsia" w:ascii="宋体" w:hAnsi="宋体" w:cs="宋体"/>
          <w:b/>
          <w:bCs/>
          <w:color w:val="000000" w:themeColor="text1"/>
          <w:szCs w:val="21"/>
          <w14:textFill>
            <w14:solidFill>
              <w14:schemeClr w14:val="tx1"/>
            </w14:solidFill>
          </w14:textFill>
        </w:rPr>
        <w:t>采购需求及</w:t>
      </w:r>
      <w:r>
        <w:rPr>
          <w:rFonts w:hint="eastAsia" w:ascii="宋体" w:hAnsi="宋体" w:cs="宋体"/>
          <w:b/>
          <w:color w:val="000000" w:themeColor="text1"/>
          <w:szCs w:val="21"/>
          <w14:textFill>
            <w14:solidFill>
              <w14:schemeClr w14:val="tx1"/>
            </w14:solidFill>
          </w14:textFill>
        </w:rPr>
        <w:t>政府采购合同相关内容的说明和补充，如有矛盾，应以本表为准。</w:t>
      </w:r>
    </w:p>
    <w:tbl>
      <w:tblPr>
        <w:tblStyle w:val="30"/>
        <w:tblW w:w="96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04"/>
        <w:gridCol w:w="6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1" w:hRule="atLeast"/>
          <w:jc w:val="center"/>
        </w:trPr>
        <w:tc>
          <w:tcPr>
            <w:tcW w:w="2904" w:type="dxa"/>
            <w:vAlign w:val="center"/>
          </w:tcPr>
          <w:p>
            <w:pPr>
              <w:spacing w:line="440" w:lineRule="exact"/>
              <w:jc w:val="center"/>
              <w:rPr>
                <w:rFonts w:hint="eastAsia" w:ascii="宋体" w:hAnsi="宋体" w:eastAsia="宋体" w:cs="宋体"/>
                <w:b/>
                <w:color w:val="000000" w:themeColor="text1"/>
                <w:sz w:val="21"/>
                <w:szCs w:val="21"/>
                <w14:textFill>
                  <w14:solidFill>
                    <w14:schemeClr w14:val="tx1"/>
                  </w14:solidFill>
                </w14:textFill>
              </w:rPr>
            </w:pPr>
            <w:bookmarkStart w:id="160" w:name="_Toc18313"/>
            <w:bookmarkStart w:id="161" w:name="_Toc115881316"/>
            <w:bookmarkStart w:id="162" w:name="_Toc108881176"/>
            <w:bookmarkStart w:id="163" w:name="_Toc108041642"/>
            <w:r>
              <w:rPr>
                <w:rFonts w:hint="eastAsia" w:ascii="宋体" w:hAnsi="宋体" w:eastAsia="宋体" w:cs="宋体"/>
                <w:b/>
                <w:color w:val="000000" w:themeColor="text1"/>
                <w:sz w:val="21"/>
                <w:szCs w:val="21"/>
                <w14:textFill>
                  <w14:solidFill>
                    <w14:schemeClr w14:val="tx1"/>
                  </w14:solidFill>
                </w14:textFill>
              </w:rPr>
              <w:t>内容</w:t>
            </w:r>
          </w:p>
        </w:tc>
        <w:tc>
          <w:tcPr>
            <w:tcW w:w="6715" w:type="dxa"/>
            <w:vAlign w:val="center"/>
          </w:tcPr>
          <w:p>
            <w:pPr>
              <w:spacing w:line="44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相关要求（说明）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29" w:hRule="atLeast"/>
          <w:jc w:val="center"/>
        </w:trPr>
        <w:tc>
          <w:tcPr>
            <w:tcW w:w="2904" w:type="dxa"/>
            <w:vAlign w:val="center"/>
          </w:tcPr>
          <w:p>
            <w:pPr>
              <w:spacing w:line="44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采购标的需实现的功能或者目标，采购标的的数量，所有技术、服务、安全等要求</w:t>
            </w:r>
          </w:p>
        </w:tc>
        <w:tc>
          <w:tcPr>
            <w:tcW w:w="6715" w:type="dxa"/>
            <w:vAlign w:val="center"/>
          </w:tcPr>
          <w:p>
            <w:pPr>
              <w:spacing w:line="4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略，详见“采购需求”部分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2904" w:type="dxa"/>
            <w:vAlign w:val="center"/>
          </w:tcPr>
          <w:p>
            <w:pPr>
              <w:spacing w:line="44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样品</w:t>
            </w:r>
          </w:p>
        </w:tc>
        <w:tc>
          <w:tcPr>
            <w:tcW w:w="6715" w:type="dxa"/>
            <w:vAlign w:val="center"/>
          </w:tcPr>
          <w:p>
            <w:pPr>
              <w:spacing w:line="44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本项目</w:t>
            </w:r>
            <w:r>
              <w:rPr>
                <w:rFonts w:hint="eastAsia" w:ascii="宋体" w:hAnsi="宋体" w:eastAsia="宋体" w:cs="宋体"/>
                <w:b/>
                <w:color w:val="000000" w:themeColor="text1"/>
                <w:sz w:val="21"/>
                <w:szCs w:val="21"/>
                <w:u w:val="single"/>
                <w14:textFill>
                  <w14:solidFill>
                    <w14:schemeClr w14:val="tx1"/>
                  </w14:solidFill>
                </w14:textFill>
              </w:rPr>
              <w:t>不需要</w:t>
            </w:r>
            <w:r>
              <w:rPr>
                <w:rFonts w:hint="eastAsia" w:ascii="宋体" w:hAnsi="宋体" w:eastAsia="宋体" w:cs="宋体"/>
                <w:b/>
                <w:color w:val="000000" w:themeColor="text1"/>
                <w:sz w:val="21"/>
                <w:szCs w:val="21"/>
                <w14:textFill>
                  <w14:solidFill>
                    <w14:schemeClr w14:val="tx1"/>
                  </w14:solidFill>
                </w14:textFill>
              </w:rPr>
              <w:t>供应商提供样品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jc w:val="center"/>
        </w:trPr>
        <w:tc>
          <w:tcPr>
            <w:tcW w:w="2904" w:type="dxa"/>
            <w:vAlign w:val="center"/>
          </w:tcPr>
          <w:p>
            <w:pPr>
              <w:spacing w:line="44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★产品质量标准</w:t>
            </w:r>
          </w:p>
        </w:tc>
        <w:tc>
          <w:tcPr>
            <w:tcW w:w="6715" w:type="dxa"/>
            <w:vAlign w:val="center"/>
          </w:tcPr>
          <w:p>
            <w:pPr>
              <w:spacing w:line="4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合格（全新原厂原件）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29" w:hRule="atLeast"/>
          <w:jc w:val="center"/>
        </w:trPr>
        <w:tc>
          <w:tcPr>
            <w:tcW w:w="2904" w:type="dxa"/>
            <w:vAlign w:val="center"/>
          </w:tcPr>
          <w:p>
            <w:pPr>
              <w:spacing w:line="44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★免费质保期        </w:t>
            </w:r>
          </w:p>
          <w:p>
            <w:pPr>
              <w:spacing w:line="44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 （合同履行期限：以验收合格之日起计算）</w:t>
            </w:r>
          </w:p>
        </w:tc>
        <w:tc>
          <w:tcPr>
            <w:tcW w:w="6715" w:type="dxa"/>
            <w:vAlign w:val="center"/>
          </w:tcPr>
          <w:p>
            <w:pPr>
              <w:widowControl/>
              <w:tabs>
                <w:tab w:val="left" w:pos="851"/>
              </w:tabs>
              <w:spacing w:before="163" w:after="163" w:line="440" w:lineRule="exact"/>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壹年</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质保期</w:t>
            </w:r>
            <w:r>
              <w:rPr>
                <w:rFonts w:hint="eastAsia" w:ascii="宋体" w:hAnsi="宋体" w:eastAsia="宋体" w:cs="宋体"/>
                <w:color w:val="000000" w:themeColor="text1"/>
                <w:sz w:val="21"/>
                <w:szCs w:val="21"/>
                <w14:textFill>
                  <w14:solidFill>
                    <w14:schemeClr w14:val="tx1"/>
                  </w14:solidFill>
                </w14:textFill>
              </w:rPr>
              <w:t>自验收合格之日起</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5" w:hRule="atLeast"/>
          <w:jc w:val="center"/>
        </w:trPr>
        <w:tc>
          <w:tcPr>
            <w:tcW w:w="2904" w:type="dxa"/>
            <w:vAlign w:val="center"/>
          </w:tcPr>
          <w:p>
            <w:pPr>
              <w:spacing w:line="44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★交付或者实施的时间</w:t>
            </w:r>
          </w:p>
          <w:p>
            <w:pPr>
              <w:spacing w:line="44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（交货期或工期）</w:t>
            </w:r>
          </w:p>
        </w:tc>
        <w:tc>
          <w:tcPr>
            <w:tcW w:w="6715" w:type="dxa"/>
            <w:vAlign w:val="center"/>
          </w:tcPr>
          <w:p>
            <w:pPr>
              <w:spacing w:line="4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合同签订后1</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0日历天内生产、供货、安装、调试完毕。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5" w:hRule="atLeast"/>
          <w:jc w:val="center"/>
        </w:trPr>
        <w:tc>
          <w:tcPr>
            <w:tcW w:w="2904" w:type="dxa"/>
            <w:vAlign w:val="center"/>
          </w:tcPr>
          <w:p>
            <w:pPr>
              <w:spacing w:line="44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★交付或者实施的地点</w:t>
            </w:r>
          </w:p>
          <w:p>
            <w:pPr>
              <w:spacing w:line="44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（交付地点或施工地点）</w:t>
            </w:r>
          </w:p>
        </w:tc>
        <w:tc>
          <w:tcPr>
            <w:tcW w:w="6715" w:type="dxa"/>
            <w:vAlign w:val="center"/>
          </w:tcPr>
          <w:p>
            <w:pPr>
              <w:spacing w:line="440" w:lineRule="exact"/>
              <w:ind w:firstLine="420" w:firstLineChars="2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江苏医药职业学院指定地点（具体地点以采购人通知为准）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34" w:hRule="atLeast"/>
          <w:jc w:val="center"/>
        </w:trPr>
        <w:tc>
          <w:tcPr>
            <w:tcW w:w="2904" w:type="dxa"/>
            <w:vAlign w:val="center"/>
          </w:tcPr>
          <w:p>
            <w:pPr>
              <w:spacing w:line="44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★采购资金的支付方式、时间、条件（付款方式）</w:t>
            </w:r>
          </w:p>
        </w:tc>
        <w:tc>
          <w:tcPr>
            <w:tcW w:w="6715" w:type="dxa"/>
            <w:vAlign w:val="center"/>
          </w:tcPr>
          <w:p>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1.支付方式：电汇或转账等非现金方式</w:t>
            </w:r>
          </w:p>
          <w:p>
            <w:pPr>
              <w:spacing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2.支付时间、条件付款方式：</w:t>
            </w:r>
          </w:p>
          <w:p>
            <w:pPr>
              <w:spacing w:line="440" w:lineRule="exact"/>
              <w:ind w:firstLine="420" w:firstLineChars="2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项目验收合格后无质量问题支付合同价的70%款项；审计合格后付至审计价的90%，余款待验收合格质保结束后无质量问题一次性无息付清。</w:t>
            </w:r>
          </w:p>
          <w:p>
            <w:pPr>
              <w:pStyle w:val="23"/>
              <w:spacing w:line="360" w:lineRule="auto"/>
              <w:ind w:left="0" w:leftChars="0" w:firstLine="420" w:firstLineChars="200"/>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7" w:hRule="atLeast"/>
          <w:jc w:val="center"/>
        </w:trPr>
        <w:tc>
          <w:tcPr>
            <w:tcW w:w="9619" w:type="dxa"/>
            <w:gridSpan w:val="2"/>
            <w:vAlign w:val="center"/>
          </w:tcPr>
          <w:p>
            <w:pPr>
              <w:spacing w:line="44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本表当中，加★部分为实质性要求，不接受负偏离。</w:t>
            </w:r>
          </w:p>
        </w:tc>
      </w:tr>
    </w:tbl>
    <w:p>
      <w:pPr>
        <w:pStyle w:val="11"/>
        <w:spacing w:line="440" w:lineRule="exact"/>
        <w:jc w:val="center"/>
        <w:rPr>
          <w:rFonts w:ascii="宋体" w:hAnsi="宋体" w:eastAsia="宋体" w:cs="宋体"/>
          <w:b/>
          <w:sz w:val="21"/>
          <w:szCs w:val="21"/>
        </w:rPr>
      </w:pPr>
    </w:p>
    <w:p/>
    <w:p>
      <w:pPr>
        <w:pStyle w:val="11"/>
        <w:spacing w:line="440" w:lineRule="exact"/>
        <w:rPr>
          <w:rFonts w:ascii="宋体" w:hAnsi="宋体" w:eastAsia="宋体" w:cs="宋体"/>
          <w:b/>
          <w:sz w:val="21"/>
          <w:szCs w:val="21"/>
        </w:rPr>
      </w:pPr>
    </w:p>
    <w:p/>
    <w:p>
      <w:pPr>
        <w:pStyle w:val="11"/>
        <w:spacing w:line="440" w:lineRule="exact"/>
        <w:jc w:val="both"/>
        <w:outlineLvl w:val="1"/>
        <w:rPr>
          <w:rFonts w:hint="eastAsia" w:ascii="宋体" w:hAnsi="宋体" w:eastAsia="宋体" w:cs="宋体"/>
          <w:b/>
          <w:sz w:val="21"/>
          <w:szCs w:val="21"/>
        </w:rPr>
      </w:pPr>
    </w:p>
    <w:p>
      <w:pPr>
        <w:pStyle w:val="11"/>
        <w:spacing w:line="440" w:lineRule="exact"/>
        <w:jc w:val="center"/>
        <w:outlineLvl w:val="1"/>
        <w:rPr>
          <w:rFonts w:hint="eastAsia" w:ascii="宋体" w:hAnsi="宋体" w:eastAsia="宋体" w:cs="宋体"/>
          <w:b/>
          <w:sz w:val="21"/>
          <w:szCs w:val="21"/>
        </w:rPr>
      </w:pPr>
      <w:bookmarkStart w:id="164" w:name="_Toc26709"/>
      <w:bookmarkStart w:id="165" w:name="_Toc30642"/>
    </w:p>
    <w:p>
      <w:pPr>
        <w:pStyle w:val="11"/>
        <w:spacing w:line="440" w:lineRule="exact"/>
        <w:jc w:val="center"/>
        <w:outlineLvl w:val="1"/>
        <w:rPr>
          <w:rFonts w:ascii="宋体" w:hAnsi="宋体" w:eastAsia="宋体" w:cs="宋体"/>
          <w:b/>
          <w:sz w:val="21"/>
          <w:szCs w:val="21"/>
        </w:rPr>
      </w:pPr>
      <w:r>
        <w:rPr>
          <w:rFonts w:hint="eastAsia" w:ascii="宋体" w:hAnsi="宋体" w:eastAsia="宋体" w:cs="宋体"/>
          <w:b/>
          <w:sz w:val="21"/>
          <w:szCs w:val="21"/>
        </w:rPr>
        <w:t>第一部分：采购需求及参数要求</w:t>
      </w:r>
      <w:bookmarkEnd w:id="160"/>
      <w:bookmarkEnd w:id="161"/>
      <w:bookmarkEnd w:id="164"/>
      <w:bookmarkEnd w:id="165"/>
    </w:p>
    <w:bookmarkEnd w:id="162"/>
    <w:bookmarkEnd w:id="163"/>
    <w:p>
      <w:pPr>
        <w:widowControl/>
        <w:rPr>
          <w:rFonts w:ascii="宋体" w:hAnsi="宋体" w:cs="宋体"/>
          <w:b/>
          <w:kern w:val="0"/>
          <w:szCs w:val="21"/>
        </w:rPr>
      </w:pPr>
      <w:bookmarkStart w:id="166" w:name="_Toc108881184"/>
      <w:bookmarkStart w:id="167" w:name="_Toc115881320"/>
      <w:bookmarkStart w:id="168" w:name="_Toc108041646"/>
    </w:p>
    <w:bookmarkEnd w:id="166"/>
    <w:bookmarkEnd w:id="167"/>
    <w:bookmarkEnd w:id="168"/>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bookmarkStart w:id="169" w:name="_Toc2704"/>
      <w:bookmarkStart w:id="170" w:name="_Toc139463995"/>
      <w:bookmarkStart w:id="171" w:name="_Toc115881327"/>
      <w:bookmarkStart w:id="172" w:name="_Toc108881186"/>
      <w:r>
        <w:rPr>
          <w:rFonts w:hint="eastAsia" w:ascii="宋体" w:hAnsi="宋体" w:eastAsia="宋体" w:cs="宋体"/>
          <w:b/>
          <w:kern w:val="2"/>
          <w:sz w:val="21"/>
          <w:szCs w:val="21"/>
          <w:lang w:val="en-US" w:eastAsia="zh-CN" w:bidi="ar-SA"/>
        </w:rPr>
        <w:t>一、</w:t>
      </w:r>
      <w:r>
        <w:rPr>
          <w:rFonts w:hint="eastAsia" w:ascii="宋体" w:hAnsi="宋体" w:eastAsia="宋体" w:cs="宋体"/>
          <w:b/>
          <w:sz w:val="21"/>
          <w:szCs w:val="21"/>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多功能酶标仪一种应用非常广泛的光学检测设备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它可以提供许多种检测方法，包括化学发光、荧光强度、光吸收、</w:t>
      </w:r>
      <w:r>
        <w:rPr>
          <w:rFonts w:hint="eastAsia" w:ascii="宋体" w:hAnsi="宋体" w:eastAsia="宋体" w:cs="宋体"/>
          <w:color w:val="000000" w:themeColor="text1"/>
          <w:sz w:val="21"/>
          <w:szCs w:val="21"/>
          <w14:textFill>
            <w14:solidFill>
              <w14:schemeClr w14:val="tx1"/>
            </w14:solidFill>
          </w14:textFill>
        </w:rPr>
        <w:t>时间分辨荧光</w:t>
      </w:r>
      <w:r>
        <w:rPr>
          <w:rFonts w:hint="eastAsia" w:ascii="宋体" w:hAnsi="宋体" w:eastAsia="宋体" w:cs="宋体"/>
          <w:color w:val="000000"/>
          <w:sz w:val="21"/>
          <w:szCs w:val="21"/>
        </w:rPr>
        <w:t>等检测功能。当前心脑血管和癌症两类重大慢病的生物标志物研究是省工程中心的重点研究方向。该课题研究过程中，常常涉及肿瘤标志物的筛查检测、功能验证、机制探索和应用开发等所需要的细胞生物学信号转导测定、免疫学测定到快速/慢速动力学研究、药物筛选以及各种定量分析等各种应用</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二、主要技术参数</w:t>
      </w:r>
    </w:p>
    <w:tbl>
      <w:tblPr>
        <w:tblStyle w:val="3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13"/>
        <w:gridCol w:w="5046"/>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9" w:type="dxa"/>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1213" w:type="dxa"/>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名称</w:t>
            </w:r>
          </w:p>
        </w:tc>
        <w:tc>
          <w:tcPr>
            <w:tcW w:w="5046" w:type="dxa"/>
            <w:tcBorders>
              <w:top w:val="single" w:color="000000" w:sz="4" w:space="0"/>
            </w:tcBorders>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主要技术需求</w:t>
            </w:r>
          </w:p>
        </w:tc>
        <w:tc>
          <w:tcPr>
            <w:tcW w:w="851" w:type="dxa"/>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数量</w:t>
            </w:r>
          </w:p>
        </w:tc>
        <w:tc>
          <w:tcPr>
            <w:tcW w:w="850" w:type="dxa"/>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jc w:val="center"/>
        </w:trPr>
        <w:tc>
          <w:tcPr>
            <w:tcW w:w="829" w:type="dxa"/>
            <w:vAlign w:val="center"/>
          </w:tcPr>
          <w:p>
            <w:pPr>
              <w:widowControl/>
              <w:jc w:val="center"/>
              <w:rPr>
                <w:rFonts w:hint="eastAsia" w:ascii="宋体" w:hAnsi="宋体" w:eastAsia="宋体" w:cs="宋体"/>
                <w:b/>
                <w:kern w:val="0"/>
                <w:sz w:val="21"/>
                <w:szCs w:val="21"/>
              </w:rPr>
            </w:pPr>
            <w:r>
              <w:rPr>
                <w:rFonts w:hint="eastAsia" w:ascii="宋体" w:hAnsi="宋体" w:eastAsia="宋体" w:cs="宋体"/>
                <w:b w:val="0"/>
                <w:bCs/>
                <w:kern w:val="0"/>
                <w:sz w:val="21"/>
                <w:szCs w:val="21"/>
              </w:rPr>
              <w:t>1</w:t>
            </w:r>
          </w:p>
        </w:tc>
        <w:tc>
          <w:tcPr>
            <w:tcW w:w="1213" w:type="dxa"/>
            <w:vAlign w:val="center"/>
          </w:tcPr>
          <w:p>
            <w:pPr>
              <w:widowControl/>
              <w:jc w:val="center"/>
              <w:rPr>
                <w:rFonts w:hint="eastAsia" w:ascii="宋体" w:hAnsi="宋体" w:eastAsia="宋体" w:cs="宋体"/>
                <w:bCs/>
                <w:kern w:val="0"/>
                <w:sz w:val="21"/>
                <w:szCs w:val="21"/>
              </w:rPr>
            </w:pPr>
            <w:r>
              <w:rPr>
                <w:rFonts w:hint="eastAsia" w:ascii="宋体" w:hAnsi="宋体" w:eastAsia="宋体" w:cs="宋体"/>
                <w:bCs/>
                <w:kern w:val="0"/>
                <w:sz w:val="21"/>
                <w:szCs w:val="21"/>
              </w:rPr>
              <w:t>多功能酶标仪</w:t>
            </w:r>
          </w:p>
        </w:tc>
        <w:tc>
          <w:tcPr>
            <w:tcW w:w="5046" w:type="dxa"/>
            <w:vAlign w:val="center"/>
          </w:tcPr>
          <w:p>
            <w:pPr>
              <w:spacing w:line="288"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 检测模式：能够进行荧光强度（包括FRET等）、全波长吸收光</w:t>
            </w:r>
            <w:r>
              <w:rPr>
                <w:rFonts w:hint="eastAsia" w:ascii="宋体" w:hAnsi="宋体" w:eastAsia="宋体" w:cs="宋体"/>
                <w:color w:val="FF0000"/>
                <w:sz w:val="21"/>
                <w:szCs w:val="21"/>
              </w:rPr>
              <w:t>、</w:t>
            </w:r>
            <w:r>
              <w:rPr>
                <w:rFonts w:hint="eastAsia" w:ascii="宋体" w:hAnsi="宋体" w:eastAsia="宋体" w:cs="宋体"/>
                <w:color w:val="000000"/>
                <w:sz w:val="21"/>
                <w:szCs w:val="21"/>
              </w:rPr>
              <w:t>化学发光（包括BRET，闪光及慢发光等）、</w:t>
            </w:r>
            <w:r>
              <w:rPr>
                <w:rFonts w:hint="eastAsia" w:ascii="宋体" w:hAnsi="宋体" w:eastAsia="宋体" w:cs="宋体"/>
                <w:color w:val="000000" w:themeColor="text1"/>
                <w:sz w:val="21"/>
                <w:szCs w:val="21"/>
                <w14:textFill>
                  <w14:solidFill>
                    <w14:schemeClr w14:val="tx1"/>
                  </w14:solidFill>
                </w14:textFill>
              </w:rPr>
              <w:t>时间分辨荧光</w:t>
            </w:r>
            <w:r>
              <w:rPr>
                <w:rFonts w:hint="eastAsia" w:ascii="宋体" w:hAnsi="宋体" w:eastAsia="宋体" w:cs="宋体"/>
                <w:color w:val="000000"/>
                <w:sz w:val="21"/>
                <w:szCs w:val="21"/>
              </w:rPr>
              <w:t>等多种模式的检测</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 光源类型：长寿命高能闪烁氙灯</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 检测器：超快速线性CCD，低噪音超灵敏光电倍增管（PMT）</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 读板方式：支持终点法、动力学、顺序多激发、顺序多发射、比例测定、光谱扫描、孔域扫描，轨道平均，椭圆平均等</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 微孔类型：支持6-384孔板检测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6. 震荡：微孔板震荡器可控制时间、力度和方向以线性，圆形或双圆形的轨道运行，振荡频率100～700rpm</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 温度控制范围 ：</w:t>
            </w:r>
            <w:r>
              <w:rPr>
                <w:rFonts w:hint="eastAsia" w:ascii="宋体" w:hAnsi="宋体" w:eastAsia="宋体" w:cs="宋体"/>
                <w:color w:val="000000" w:themeColor="text1"/>
                <w:sz w:val="21"/>
                <w:szCs w:val="21"/>
                <w14:textFill>
                  <w14:solidFill>
                    <w14:schemeClr w14:val="tx1"/>
                  </w14:solidFill>
                </w14:textFill>
              </w:rPr>
              <w:t>室温+4 °C ~ 45°C</w:t>
            </w:r>
            <w:r>
              <w:rPr>
                <w:rFonts w:hint="eastAsia" w:ascii="宋体" w:hAnsi="宋体" w:eastAsia="宋体" w:cs="宋体"/>
                <w:color w:val="000000"/>
                <w:sz w:val="21"/>
                <w:szCs w:val="21"/>
              </w:rPr>
              <w:t>，精度控制为0.1°C；温度稳定性 0.2°C， 温度均一性 &lt; 0.5°C。</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8. 板孔扫描：</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可进行每孔多达30x30点高精度扫描，为细胞转染料测定等实验提供最精准检测方式</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独特的轨道平均检测技术，可为悬浮微生物等样品检测提供最快速最精准的检测方式</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各种检测模式支持特有的椭圆平均和轨道平均检测技术，为贴壁细胞等非均匀分布样品提供最佳检测方式</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 荧光检测模块：</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检测灵敏度：&lt;10pM（&lt;0.2 fmol/孔荧光素，384孔板,20ul)</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动态范围：6个数量级</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荧光检测速度：飞行模式：9 s (96孔板)，16 s (384孔板)</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 化学发光检测模块：</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灵敏度：&lt;20amol/孔ATP</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动态范围：8个数量级</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eastAsia="zh-CN"/>
              </w:rPr>
              <w:t>）</w:t>
            </w:r>
            <w:r>
              <w:rPr>
                <w:rFonts w:hint="eastAsia" w:ascii="宋体" w:hAnsi="宋体" w:eastAsia="宋体" w:cs="宋体"/>
                <w:color w:val="000000" w:themeColor="text1"/>
                <w:sz w:val="21"/>
                <w:szCs w:val="21"/>
                <w14:textFill>
                  <w14:solidFill>
                    <w14:schemeClr w14:val="tx1"/>
                  </w14:solidFill>
                </w14:textFill>
              </w:rPr>
              <w:t>支持化学发光底读模式</w:t>
            </w:r>
            <w:r>
              <w:rPr>
                <w:rFonts w:hint="eastAsia" w:ascii="宋体" w:hAnsi="宋体" w:eastAsia="宋体" w:cs="宋体"/>
                <w:color w:val="000000" w:themeColor="text1"/>
                <w:sz w:val="21"/>
                <w:szCs w:val="21"/>
                <w:lang w:eastAsia="zh-CN"/>
                <w14:textFill>
                  <w14:solidFill>
                    <w14:schemeClr w14:val="tx1"/>
                  </w14:solidFill>
                </w14:textFill>
              </w:rPr>
              <w:t>；</w:t>
            </w:r>
          </w:p>
          <w:p>
            <w:pPr>
              <w:spacing w:line="276"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专用供电器与电子部件是屏蔽式， 减少背景噪音</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 光吸收检测模块：</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超快速免选波长全波长扫描220-1000nm：小于1秒/孔，长期检测，免光路校正</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带宽：&lt;3nm，波长特异性高</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检测范围：0-4 D；光谱分辨率：1nm，2nm，5nm和10nm不同步进，灵活可选</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准确性：&lt;1% @2OD；精确度: &lt;0.5%@1OD，&lt;0.8%@2OD</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12.MARS软件： 人性化软件，图像化视窗式设计</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能通过软件全自动控制仪器</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高级Script语言控制模式，可以实现同一块酶标板上同时进行多模式（光吸收、荧光、化学发光、顶读、底读）检测</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动态多窗口运行：在同一个实验里以不同的速率收集数据（最多4种速率），慢速及快速动力学-最快可达每秒50次测读</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随机选取实验参数分析数据</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具备数据分析所需的一切功能软件和计算方法</w:t>
            </w:r>
            <w:r>
              <w:rPr>
                <w:rFonts w:hint="eastAsia" w:ascii="宋体" w:hAnsi="宋体" w:eastAsia="宋体" w:cs="宋体"/>
                <w:color w:val="000000"/>
                <w:sz w:val="21"/>
                <w:szCs w:val="21"/>
                <w:lang w:eastAsia="zh-CN"/>
              </w:rPr>
              <w:t>；</w:t>
            </w:r>
          </w:p>
          <w:p>
            <w:pPr>
              <w:spacing w:line="276"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数据能够以Microsoft Excel等数据软件进行保存</w:t>
            </w:r>
            <w:r>
              <w:rPr>
                <w:rFonts w:hint="eastAsia" w:ascii="宋体" w:hAnsi="宋体" w:eastAsia="宋体" w:cs="宋体"/>
                <w:color w:val="000000"/>
                <w:sz w:val="21"/>
                <w:szCs w:val="21"/>
                <w:lang w:eastAsia="zh-CN"/>
              </w:rPr>
              <w:t>。</w:t>
            </w:r>
          </w:p>
        </w:tc>
        <w:tc>
          <w:tcPr>
            <w:tcW w:w="851"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5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bl>
    <w:p>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bookmarkStart w:id="173" w:name="_Toc15882"/>
      <w:bookmarkStart w:id="174" w:name="_Toc11488"/>
      <w:r>
        <w:rPr>
          <w:rFonts w:hint="eastAsia" w:ascii="宋体" w:hAnsi="宋体" w:eastAsia="宋体" w:cs="宋体"/>
          <w:b/>
          <w:color w:val="000000" w:themeColor="text1"/>
          <w:sz w:val="21"/>
          <w:szCs w:val="21"/>
          <w14:textFill>
            <w14:solidFill>
              <w14:schemeClr w14:val="tx1"/>
            </w14:solidFill>
          </w14:textFill>
        </w:rPr>
        <w:t>三、服务要求及质量保障：</w:t>
      </w:r>
    </w:p>
    <w:bookmarkEnd w:id="173"/>
    <w:bookmarkEnd w:id="174"/>
    <w:p>
      <w:pPr>
        <w:keepNext w:val="0"/>
        <w:keepLines w:val="0"/>
        <w:pageBreakBefore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175" w:name="_Toc867"/>
      <w:bookmarkStart w:id="176" w:name="_Toc3368"/>
      <w:bookmarkStart w:id="177" w:name="_Toc14629"/>
      <w:bookmarkStart w:id="178" w:name="_Toc115881321"/>
      <w:r>
        <w:rPr>
          <w:rFonts w:hint="eastAsia" w:ascii="宋体" w:hAnsi="宋体" w:eastAsia="宋体" w:cs="宋体"/>
          <w:color w:val="000000" w:themeColor="text1"/>
          <w:sz w:val="21"/>
          <w:szCs w:val="21"/>
          <w14:textFill>
            <w14:solidFill>
              <w14:schemeClr w14:val="tx1"/>
            </w14:solidFill>
          </w14:textFill>
        </w:rPr>
        <w:t>（一）培训及售后服务：现场完成安装、调试之后，由投标供应商工程师提供免费操作培训。培训内容主要包括设备原理、基本操作要领、设备简易故障排除和维护保养知识等，直至用户熟练操作。</w:t>
      </w:r>
    </w:p>
    <w:p>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（二）须提供售后服务机构名称、地址，以及专业技术人员名单和联系电话。</w:t>
      </w:r>
    </w:p>
    <w:p>
      <w:pPr>
        <w:keepNext w:val="0"/>
        <w:keepLines w:val="0"/>
        <w:pageBreakBefore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质保期：提供至少1年的免费质保期，自验收合格之日起计算。在质保期内，若仪器设备因质量或设备本身问题出现故障，由投标供应商进行免费更换。对于采购人的服务通知，投标供应商必须在接到通知后4小时内予以响应，若有必要，投标供应商工程师必须8小时内到达现场，48小时内处理完毕。若在48小时内未能有效解决，投标供应商须免费提供同档次的设备予采购人临时使用。</w:t>
      </w:r>
    </w:p>
    <w:p>
      <w:pPr>
        <w:pStyle w:val="62"/>
        <w:keepNext w:val="0"/>
        <w:keepLines w:val="0"/>
        <w:pageBreakBefore w:val="0"/>
        <w:tabs>
          <w:tab w:val="clear" w:pos="360"/>
        </w:tabs>
        <w:kinsoku/>
        <w:wordWrap/>
        <w:overflowPunct/>
        <w:topLinePunct w:val="0"/>
        <w:autoSpaceDN/>
        <w:bidi w:val="0"/>
        <w:adjustRightInd/>
        <w:snapToGrid/>
        <w:spacing w:after="0"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79" w:name="_Toc7122"/>
      <w:bookmarkStart w:id="180" w:name="_Toc2406"/>
      <w:bookmarkStart w:id="181" w:name="_Toc17588"/>
      <w:r>
        <w:rPr>
          <w:rFonts w:hint="eastAsia" w:ascii="宋体" w:hAnsi="宋体" w:eastAsia="宋体" w:cs="宋体"/>
          <w:color w:val="000000" w:themeColor="text1"/>
          <w:sz w:val="21"/>
          <w:szCs w:val="21"/>
          <w:highlight w:val="none"/>
          <w14:textFill>
            <w14:solidFill>
              <w14:schemeClr w14:val="tx1"/>
            </w14:solidFill>
          </w14:textFill>
        </w:rPr>
        <w:t>质保期外，服务响应时间与质保期内一致，同时备品备件以合理优惠价格供应。</w:t>
      </w:r>
      <w:bookmarkEnd w:id="179"/>
      <w:bookmarkEnd w:id="180"/>
      <w:bookmarkEnd w:id="181"/>
    </w:p>
    <w:p>
      <w:pPr>
        <w:pStyle w:val="62"/>
        <w:keepNext w:val="0"/>
        <w:keepLines w:val="0"/>
        <w:pageBreakBefore w:val="0"/>
        <w:tabs>
          <w:tab w:val="clear" w:pos="360"/>
        </w:tabs>
        <w:kinsoku/>
        <w:wordWrap/>
        <w:overflowPunct/>
        <w:topLinePunct w:val="0"/>
        <w:autoSpaceDN/>
        <w:bidi w:val="0"/>
        <w:adjustRightInd/>
        <w:snapToGrid/>
        <w:spacing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182" w:name="_Toc23156"/>
      <w:bookmarkStart w:id="183" w:name="_Toc6064"/>
      <w:r>
        <w:rPr>
          <w:rFonts w:hint="eastAsia" w:ascii="宋体" w:hAnsi="宋体" w:eastAsia="宋体" w:cs="宋体"/>
          <w:color w:val="000000" w:themeColor="text1"/>
          <w:sz w:val="21"/>
          <w:szCs w:val="21"/>
          <w14:textFill>
            <w14:solidFill>
              <w14:schemeClr w14:val="tx1"/>
            </w14:solidFill>
          </w14:textFill>
        </w:rPr>
        <w:t>四、交货期、交货方式及交货地点</w:t>
      </w:r>
      <w:bookmarkEnd w:id="175"/>
      <w:bookmarkEnd w:id="176"/>
      <w:bookmarkEnd w:id="177"/>
      <w:bookmarkEnd w:id="178"/>
      <w:bookmarkEnd w:id="182"/>
      <w:bookmarkEnd w:id="183"/>
    </w:p>
    <w:p>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184" w:name="_Toc26881"/>
      <w:bookmarkStart w:id="185" w:name="_Toc8463"/>
      <w:bookmarkStart w:id="186" w:name="_Toc2709"/>
      <w:r>
        <w:rPr>
          <w:rFonts w:hint="eastAsia" w:ascii="宋体" w:hAnsi="宋体" w:eastAsia="宋体" w:cs="宋体"/>
          <w:color w:val="000000" w:themeColor="text1"/>
          <w:sz w:val="21"/>
          <w:szCs w:val="21"/>
          <w14:textFill>
            <w14:solidFill>
              <w14:schemeClr w14:val="tx1"/>
            </w14:solidFill>
          </w14:textFill>
        </w:rPr>
        <w:t>（一）所供产品必须符合国家标准，设备和配件为全新原装，功能符合使用要求，保证为正规渠道供货的正宗原厂产品。须提供良好的售后服务，终身提供技术支持。</w:t>
      </w:r>
    </w:p>
    <w:p>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（二）供货方式、时间及地点要求：</w:t>
      </w:r>
    </w:p>
    <w:p>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合同签订后180天内设备运抵</w:t>
      </w:r>
      <w:r>
        <w:rPr>
          <w:rFonts w:hint="eastAsia" w:ascii="宋体" w:hAnsi="宋体" w:eastAsia="宋体" w:cs="宋体"/>
          <w:color w:val="000000" w:themeColor="text1"/>
          <w:kern w:val="0"/>
          <w:sz w:val="21"/>
          <w:szCs w:val="21"/>
          <w14:textFill>
            <w14:solidFill>
              <w14:schemeClr w14:val="tx1"/>
            </w14:solidFill>
          </w14:textFill>
        </w:rPr>
        <w:t>江苏医药职业学院校内</w:t>
      </w:r>
      <w:r>
        <w:rPr>
          <w:rFonts w:hint="eastAsia" w:ascii="宋体" w:hAnsi="宋体" w:eastAsia="宋体" w:cs="宋体"/>
          <w:color w:val="000000" w:themeColor="text1"/>
          <w:sz w:val="21"/>
          <w:szCs w:val="21"/>
          <w14:textFill>
            <w14:solidFill>
              <w14:schemeClr w14:val="tx1"/>
            </w14:solidFill>
          </w14:textFill>
        </w:rPr>
        <w:t>指定地点，在接到采购方安装通知后，供货方应在15天内完成设备的安装及调试。</w:t>
      </w:r>
    </w:p>
    <w:p>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(三）验收方法及验收标准：</w:t>
      </w:r>
    </w:p>
    <w:p>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货物发运前，必须对设备的质量、规格、性能等方面的技术数据进行综合检验，需随设备提供检验合格证书和原产地证明书。设备现场安装、调试结束后，中标方和采购方相关人员按验收标准进行验收。验收标准为招标文件、投标文件、合同中的相关技术及服务条款内容。</w:t>
      </w:r>
    </w:p>
    <w:p>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2.后续运营维护、升级更新、备品备件等要求保证本设备终身的后续售后服务，提供后续终身免费软件升级，终身保证本设备的备件及耗材供应。</w:t>
      </w:r>
    </w:p>
    <w:p>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进口产品需随货提供报关单。初步验收不合格的不予签收货物。</w:t>
      </w:r>
    </w:p>
    <w:p>
      <w:pPr>
        <w:pStyle w:val="62"/>
        <w:keepNext w:val="0"/>
        <w:keepLines w:val="0"/>
        <w:pageBreakBefore w:val="0"/>
        <w:tabs>
          <w:tab w:val="clear" w:pos="360"/>
        </w:tabs>
        <w:kinsoku/>
        <w:wordWrap/>
        <w:overflowPunct/>
        <w:topLinePunct w:val="0"/>
        <w:autoSpaceDN/>
        <w:bidi w:val="0"/>
        <w:adjustRightInd/>
        <w:snapToGrid/>
        <w:spacing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187" w:name="_Toc20183"/>
      <w:bookmarkStart w:id="188" w:name="_Toc23232"/>
      <w:bookmarkStart w:id="189" w:name="_Toc25193"/>
      <w:bookmarkStart w:id="190" w:name="_Toc115881322"/>
      <w:bookmarkStart w:id="191" w:name="_Toc6442"/>
      <w:bookmarkStart w:id="192" w:name="_Toc1143"/>
      <w:r>
        <w:rPr>
          <w:rFonts w:hint="eastAsia" w:ascii="宋体" w:hAnsi="宋体" w:eastAsia="宋体" w:cs="宋体"/>
          <w:color w:val="000000" w:themeColor="text1"/>
          <w:sz w:val="21"/>
          <w:szCs w:val="21"/>
          <w14:textFill>
            <w14:solidFill>
              <w14:schemeClr w14:val="tx1"/>
            </w14:solidFill>
          </w14:textFill>
        </w:rPr>
        <w:t>五、货款支付</w:t>
      </w:r>
      <w:bookmarkEnd w:id="187"/>
      <w:bookmarkEnd w:id="188"/>
      <w:bookmarkEnd w:id="189"/>
      <w:bookmarkEnd w:id="190"/>
      <w:bookmarkEnd w:id="191"/>
      <w:bookmarkEnd w:id="192"/>
    </w:p>
    <w:bookmarkEnd w:id="184"/>
    <w:bookmarkEnd w:id="185"/>
    <w:bookmarkEnd w:id="186"/>
    <w:p>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193" w:name="_Toc115881323"/>
      <w:bookmarkStart w:id="194" w:name="_Toc5423"/>
      <w:r>
        <w:rPr>
          <w:rFonts w:hint="eastAsia" w:ascii="宋体" w:hAnsi="宋体" w:eastAsia="宋体" w:cs="宋体"/>
          <w:color w:val="000000" w:themeColor="text1"/>
          <w:sz w:val="21"/>
          <w:szCs w:val="21"/>
          <w14:textFill>
            <w14:solidFill>
              <w14:schemeClr w14:val="tx1"/>
            </w14:solidFill>
          </w14:textFill>
        </w:rPr>
        <w:t>项目验收合格后无质量问题支付合同价的70%款项；审计合格后付至审计价的90%，余款待验收合格质保结束后无质量问题一次性无息付清。</w:t>
      </w:r>
    </w:p>
    <w:p>
      <w:pPr>
        <w:keepNext w:val="0"/>
        <w:keepLines w:val="0"/>
        <w:pageBreakBefore w:val="0"/>
        <w:kinsoku/>
        <w:wordWrap/>
        <w:overflowPunct/>
        <w:topLinePunct w:val="0"/>
        <w:autoSpaceDE w:val="0"/>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六、</w:t>
      </w:r>
      <w:bookmarkEnd w:id="193"/>
      <w:bookmarkStart w:id="195" w:name="_Toc115881324"/>
      <w:r>
        <w:rPr>
          <w:rFonts w:hint="eastAsia" w:ascii="宋体" w:hAnsi="宋体" w:eastAsia="宋体" w:cs="宋体"/>
          <w:b/>
          <w:bCs/>
          <w:color w:val="000000" w:themeColor="text1"/>
          <w:sz w:val="21"/>
          <w:szCs w:val="21"/>
          <w14:textFill>
            <w14:solidFill>
              <w14:schemeClr w14:val="tx1"/>
            </w14:solidFill>
          </w14:textFill>
        </w:rPr>
        <w:t>其他要求</w:t>
      </w:r>
      <w:bookmarkEnd w:id="194"/>
      <w:bookmarkEnd w:id="195"/>
    </w:p>
    <w:p>
      <w:pPr>
        <w:keepNext w:val="0"/>
        <w:keepLines w:val="0"/>
        <w:pageBreakBefore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（一）制订项目实施方案</w:t>
      </w:r>
    </w:p>
    <w:p>
      <w:pPr>
        <w:keepNext w:val="0"/>
        <w:keepLines w:val="0"/>
        <w:pageBreakBefore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供应商应根据招标文件要求及本项目特点，制订项目实施方案，包括全部产品的安装部署、联合调试方案、供货及安装各节点时间进度、人员配置安排等。实施方案应做到完整全面、科学可行，并有针对性，配备具有相应资质的技术服务人员，服从采购人管理要求，确保在规定的交付时限内完成。</w:t>
      </w:r>
    </w:p>
    <w:p>
      <w:pPr>
        <w:keepNext w:val="0"/>
        <w:keepLines w:val="0"/>
        <w:pageBreakBefore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（二）制订项目的验收方案</w:t>
      </w:r>
    </w:p>
    <w:p>
      <w:pPr>
        <w:keepNext w:val="0"/>
        <w:keepLines w:val="0"/>
        <w:pageBreakBefore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供应商应根据招标文件要求及本项目特点，制订项目验收方案。验收方案要体现项目的全过程质量管控，并成立验收小组，对包括产品进场、安装过程、调试等实施验收并进行全过程记录，以及收集整理包括设备合格证、技术文档等的全套材料，确保本项目达到</w:t>
      </w:r>
      <w:r>
        <w:rPr>
          <w:rFonts w:hint="eastAsia" w:ascii="宋体" w:hAnsi="宋体" w:cs="宋体"/>
          <w:color w:val="000000" w:themeColor="text1"/>
          <w:sz w:val="21"/>
          <w:szCs w:val="21"/>
          <w:lang w:eastAsia="zh-CN"/>
          <w14:textFill>
            <w14:solidFill>
              <w14:schemeClr w14:val="tx1"/>
            </w14:solidFill>
          </w14:textFill>
        </w:rPr>
        <w:t>投标供应商</w:t>
      </w:r>
      <w:r>
        <w:rPr>
          <w:rFonts w:hint="eastAsia" w:ascii="宋体" w:hAnsi="宋体" w:eastAsia="宋体" w:cs="宋体"/>
          <w:color w:val="000000" w:themeColor="text1"/>
          <w:sz w:val="21"/>
          <w:szCs w:val="21"/>
          <w14:textFill>
            <w14:solidFill>
              <w14:schemeClr w14:val="tx1"/>
            </w14:solidFill>
          </w14:textFill>
        </w:rPr>
        <w:t>的各项响应承诺要求。方案应做到完整全面、科学可行，并有针对性。</w:t>
      </w:r>
    </w:p>
    <w:p>
      <w:pPr>
        <w:keepNext w:val="0"/>
        <w:keepLines w:val="0"/>
        <w:pageBreakBefore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（三）制订项目培训方案</w:t>
      </w:r>
    </w:p>
    <w:p>
      <w:pPr>
        <w:keepNext w:val="0"/>
        <w:keepLines w:val="0"/>
        <w:pageBreakBefore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供应商应根据招标文件要求及本项目特点，制订相应的培训教材并提供培训课程，且承诺维修工程师首次安装培训时间不少于2个工作日，不少于10人次，能保证使用单位能熟练操作和正常诊断及使用。供应商应安排具备相应资质和经验的技术人员，对采购单位的使用部门人员进行全流程使用培训，确保相关人员能熟练掌握设备或系统的日常使用及维护。应做到培训计划内容编写充分完善，方案完整全面、科学可行，并有针对性。</w:t>
      </w:r>
    </w:p>
    <w:p>
      <w:pPr>
        <w:keepNext w:val="0"/>
        <w:keepLines w:val="0"/>
        <w:pageBreakBefore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（四）制订项目售后服务方案</w:t>
      </w:r>
    </w:p>
    <w:p>
      <w:pPr>
        <w:keepNext w:val="0"/>
        <w:keepLines w:val="0"/>
        <w:pageBreakBefore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供应商需响应招标文件质保和维保的服务要求，针对本项目自身及所投产品品牌原厂的响应标准、服务体系、备件体系、故障解决方案、专业技术人员保障等售后服务承诺方案；服务方案应内容详实完整、科学合理、售后应答及时、具备针对性、切实可行。</w:t>
      </w:r>
    </w:p>
    <w:p>
      <w:pPr>
        <w:keepNext w:val="0"/>
        <w:keepLines w:val="0"/>
        <w:pageBreakBefore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（五）报价要求</w:t>
      </w:r>
    </w:p>
    <w:p>
      <w:pPr>
        <w:keepNext w:val="0"/>
        <w:keepLines w:val="0"/>
        <w:pageBreakBefore w:val="0"/>
        <w:kinsoku/>
        <w:wordWrap/>
        <w:overflowPunct/>
        <w:topLinePunct w:val="0"/>
        <w:autoSpaceDN/>
        <w:bidi w:val="0"/>
        <w:adjustRightInd/>
        <w:snapToGrid/>
        <w:spacing w:line="360" w:lineRule="auto"/>
        <w:ind w:firstLine="420" w:firstLineChars="200"/>
        <w:textAlignment w:val="auto"/>
        <w:outlineLvl w:val="1"/>
        <w:rPr>
          <w:rFonts w:hint="eastAsia" w:ascii="宋体" w:hAnsi="宋体" w:eastAsia="宋体" w:cs="宋体"/>
          <w:color w:val="000000" w:themeColor="text1"/>
          <w:sz w:val="21"/>
          <w:szCs w:val="21"/>
          <w14:textFill>
            <w14:solidFill>
              <w14:schemeClr w14:val="tx1"/>
            </w14:solidFill>
          </w14:textFill>
        </w:rPr>
      </w:pPr>
      <w:bookmarkStart w:id="196" w:name="_Toc11690"/>
      <w:bookmarkStart w:id="197" w:name="_Toc17468"/>
      <w:bookmarkStart w:id="198" w:name="_Toc16566"/>
      <w:r>
        <w:rPr>
          <w:rFonts w:hint="eastAsia" w:ascii="宋体" w:hAnsi="宋体" w:eastAsia="宋体" w:cs="宋体"/>
          <w:color w:val="000000" w:themeColor="text1"/>
          <w:sz w:val="21"/>
          <w:szCs w:val="21"/>
          <w14:textFill>
            <w14:solidFill>
              <w14:schemeClr w14:val="tx1"/>
            </w14:solidFill>
          </w14:textFill>
        </w:rPr>
        <w:t>投标供应商应当根据采购项目的要求按人民币报价。该项目已按规定办理进口产品采购审核备案有关手续，接受进口产品（即通过中国海关报关验放进入中国境内且产自关境外的产品）参与投标。</w:t>
      </w:r>
      <w:r>
        <w:rPr>
          <w:rFonts w:hint="eastAsia" w:ascii="宋体" w:hAnsi="宋体" w:cs="宋体"/>
          <w:color w:val="000000" w:themeColor="text1"/>
          <w:sz w:val="21"/>
          <w:szCs w:val="21"/>
          <w:lang w:eastAsia="zh-CN"/>
          <w14:textFill>
            <w14:solidFill>
              <w14:schemeClr w14:val="tx1"/>
            </w14:solidFill>
          </w14:textFill>
        </w:rPr>
        <w:t>投标供应商</w:t>
      </w:r>
      <w:r>
        <w:rPr>
          <w:rFonts w:hint="eastAsia" w:ascii="宋体" w:hAnsi="宋体" w:eastAsia="宋体" w:cs="宋体"/>
          <w:color w:val="000000" w:themeColor="text1"/>
          <w:sz w:val="21"/>
          <w:szCs w:val="21"/>
          <w14:textFill>
            <w14:solidFill>
              <w14:schemeClr w14:val="tx1"/>
            </w14:solidFill>
          </w14:textFill>
        </w:rPr>
        <w:t>负责办理进口产品有关报关等手续及所有相关费用，采购人不再支付额外费用。投标报价所涉及的各项费用（包含全部货物及伴随工程和服务、进出口代理费、海关办证费、报关费、报验费、银行手续费、运杂费、税费、利润、安装调试费、培训费、售后服务费及其他全部费用的总和）由中标人自行结算，采购人不再支付除中标价以外的任何费用。若合同条款中无另行约定,则合同履行期间项目实施相关费用不因市场变化因素而变动。</w:t>
      </w:r>
      <w:bookmarkEnd w:id="196"/>
      <w:bookmarkEnd w:id="197"/>
      <w:bookmarkEnd w:id="198"/>
    </w:p>
    <w:p>
      <w:pPr>
        <w:rPr>
          <w:rFonts w:hint="eastAsia" w:ascii="宋体" w:hAnsi="宋体" w:eastAsia="宋体" w:cs="宋体"/>
          <w:color w:val="000000"/>
          <w:sz w:val="21"/>
          <w:szCs w:val="21"/>
        </w:rPr>
      </w:pPr>
    </w:p>
    <w:p>
      <w:pPr>
        <w:spacing w:line="276" w:lineRule="auto"/>
        <w:ind w:firstLine="420" w:firstLineChars="200"/>
        <w:outlineLvl w:val="1"/>
        <w:rPr>
          <w:rFonts w:hint="eastAsia" w:ascii="宋体" w:hAnsi="宋体" w:eastAsia="宋体" w:cs="宋体"/>
          <w:color w:val="0000FF"/>
          <w:sz w:val="21"/>
          <w:szCs w:val="21"/>
        </w:rPr>
      </w:pPr>
      <w:r>
        <w:rPr>
          <w:rFonts w:hint="eastAsia" w:ascii="宋体" w:hAnsi="宋体" w:eastAsia="宋体" w:cs="宋体"/>
          <w:color w:val="000000"/>
          <w:sz w:val="21"/>
          <w:szCs w:val="21"/>
        </w:rPr>
        <w:br w:type="page"/>
      </w:r>
    </w:p>
    <w:p>
      <w:pPr>
        <w:rPr>
          <w:rFonts w:hint="eastAsia" w:ascii="宋体" w:hAnsi="宋体" w:eastAsia="宋体" w:cs="宋体"/>
          <w:color w:val="000000"/>
          <w:sz w:val="21"/>
          <w:szCs w:val="21"/>
        </w:rPr>
      </w:pPr>
    </w:p>
    <w:p>
      <w:pPr>
        <w:pStyle w:val="3"/>
        <w:spacing w:line="240" w:lineRule="auto"/>
        <w:rPr>
          <w:rFonts w:hint="eastAsia" w:ascii="宋体" w:hAnsi="宋体" w:eastAsia="宋体" w:cs="宋体"/>
          <w:color w:val="000000"/>
          <w:sz w:val="21"/>
          <w:szCs w:val="21"/>
        </w:rPr>
      </w:pPr>
      <w:bookmarkStart w:id="199" w:name="_Toc28399"/>
      <w:r>
        <w:rPr>
          <w:rFonts w:hint="eastAsia" w:ascii="宋体" w:hAnsi="宋体" w:eastAsia="宋体" w:cs="宋体"/>
          <w:color w:val="000000"/>
          <w:sz w:val="21"/>
          <w:szCs w:val="21"/>
        </w:rPr>
        <w:t>第二项 政府采购合同（拟签订的合同文本）</w:t>
      </w:r>
      <w:bookmarkEnd w:id="169"/>
      <w:bookmarkEnd w:id="170"/>
      <w:bookmarkEnd w:id="199"/>
    </w:p>
    <w:p>
      <w:pPr>
        <w:spacing w:line="276" w:lineRule="auto"/>
        <w:jc w:val="center"/>
        <w:outlineLvl w:val="1"/>
        <w:rPr>
          <w:rFonts w:hint="eastAsia" w:ascii="宋体" w:hAnsi="宋体" w:eastAsia="宋体" w:cs="宋体"/>
          <w:color w:val="000000" w:themeColor="text1"/>
          <w:sz w:val="21"/>
          <w:szCs w:val="21"/>
          <w14:textFill>
            <w14:solidFill>
              <w14:schemeClr w14:val="tx1"/>
            </w14:solidFill>
          </w14:textFill>
        </w:rPr>
      </w:pPr>
      <w:bookmarkStart w:id="200" w:name="_Toc2234"/>
      <w:bookmarkStart w:id="201" w:name="_Toc7364"/>
      <w:r>
        <w:rPr>
          <w:rFonts w:hint="eastAsia" w:ascii="宋体" w:hAnsi="宋体" w:eastAsia="宋体" w:cs="宋体"/>
          <w:b/>
          <w:color w:val="000000" w:themeColor="text1"/>
          <w:sz w:val="21"/>
          <w:szCs w:val="21"/>
          <w14:textFill>
            <w14:solidFill>
              <w14:schemeClr w14:val="tx1"/>
            </w14:solidFill>
          </w14:textFill>
        </w:rPr>
        <w:t>政府采购合同（拟签订的合同文本</w:t>
      </w:r>
      <w:r>
        <w:rPr>
          <w:rFonts w:hint="eastAsia" w:ascii="宋体" w:hAnsi="宋体" w:eastAsia="宋体" w:cs="宋体"/>
          <w:b/>
          <w:bCs/>
          <w:color w:val="000000" w:themeColor="text1"/>
          <w:sz w:val="21"/>
          <w:szCs w:val="21"/>
          <w14:textFill>
            <w14:solidFill>
              <w14:schemeClr w14:val="tx1"/>
            </w14:solidFill>
          </w14:textFill>
        </w:rPr>
        <w:t>）</w:t>
      </w:r>
      <w:bookmarkEnd w:id="200"/>
      <w:bookmarkEnd w:id="201"/>
    </w:p>
    <w:p>
      <w:pPr>
        <w:snapToGrid w:val="0"/>
        <w:spacing w:before="50" w:line="276"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（样稿，在未改变实质性条件下，可双方协商确定）</w:t>
      </w:r>
    </w:p>
    <w:p>
      <w:pPr>
        <w:spacing w:before="120" w:line="276"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政府采购合同</w:t>
      </w:r>
    </w:p>
    <w:p>
      <w:pPr>
        <w:pStyle w:val="29"/>
        <w:spacing w:line="276" w:lineRule="auto"/>
        <w:ind w:firstLine="480"/>
        <w:rPr>
          <w:rFonts w:hint="eastAsia" w:ascii="宋体" w:hAnsi="宋体" w:eastAsia="宋体" w:cs="宋体"/>
          <w:color w:val="000000" w:themeColor="text1"/>
          <w:sz w:val="21"/>
          <w:szCs w:val="21"/>
          <w14:textFill>
            <w14:solidFill>
              <w14:schemeClr w14:val="tx1"/>
            </w14:solidFill>
          </w14:textFill>
        </w:rPr>
      </w:pPr>
    </w:p>
    <w:p>
      <w:pPr>
        <w:spacing w:line="400" w:lineRule="exact"/>
        <w:rPr>
          <w:rFonts w:hint="eastAsia" w:ascii="宋体" w:hAnsi="宋体" w:eastAsia="宋体" w:cs="宋体"/>
          <w:sz w:val="21"/>
          <w:szCs w:val="21"/>
        </w:rPr>
      </w:pPr>
      <w:r>
        <w:rPr>
          <w:rFonts w:hint="eastAsia" w:ascii="宋体" w:hAnsi="宋体" w:eastAsia="宋体" w:cs="宋体"/>
          <w:sz w:val="21"/>
          <w:szCs w:val="21"/>
        </w:rPr>
        <w:t>甲方(需方):</w:t>
      </w:r>
      <w:r>
        <w:rPr>
          <w:rFonts w:hint="eastAsia" w:ascii="宋体" w:hAnsi="宋体" w:eastAsia="宋体" w:cs="宋体"/>
          <w:sz w:val="21"/>
          <w:szCs w:val="21"/>
          <w:u w:val="single"/>
        </w:rPr>
        <w:t xml:space="preserve"> 江苏医药职业学院</w:t>
      </w:r>
    </w:p>
    <w:p>
      <w:pPr>
        <w:spacing w:line="400" w:lineRule="exact"/>
        <w:rPr>
          <w:rFonts w:hint="eastAsia" w:ascii="宋体" w:hAnsi="宋体" w:eastAsia="宋体" w:cs="宋体"/>
          <w:sz w:val="21"/>
          <w:szCs w:val="21"/>
        </w:rPr>
      </w:pPr>
      <w:r>
        <w:rPr>
          <w:rFonts w:hint="eastAsia" w:ascii="宋体" w:hAnsi="宋体" w:eastAsia="宋体" w:cs="宋体"/>
          <w:sz w:val="21"/>
          <w:szCs w:val="21"/>
        </w:rPr>
        <w:t>乙方(供方):</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before="312" w:beforeLines="100" w:line="276"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为了维护甲、乙双方合法权益，根据《中华人民共和国民法典》和江苏医药职业学院</w:t>
      </w:r>
      <w:r>
        <w:rPr>
          <w:rFonts w:hint="eastAsia" w:ascii="宋体" w:hAnsi="宋体" w:eastAsia="宋体" w:cs="宋体"/>
          <w:sz w:val="21"/>
          <w:szCs w:val="21"/>
          <w:u w:val="single"/>
        </w:rPr>
        <w:t>项目名称</w:t>
      </w:r>
      <w:r>
        <w:rPr>
          <w:rFonts w:hint="eastAsia" w:ascii="宋体" w:hAnsi="宋体" w:eastAsia="宋体" w:cs="宋体"/>
          <w:sz w:val="21"/>
          <w:szCs w:val="21"/>
        </w:rPr>
        <w:t>采购项目和本合同的采购文件、响应文件及其在采购过程中的承诺，经双方协商，同意签定本合同，共同遵守。</w:t>
      </w:r>
    </w:p>
    <w:p>
      <w:pPr>
        <w:spacing w:line="276" w:lineRule="auto"/>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sz w:val="21"/>
          <w:szCs w:val="21"/>
        </w:rPr>
        <w:t xml:space="preserve"> 1．采购内容：（</w:t>
      </w:r>
      <w:r>
        <w:rPr>
          <w:rFonts w:hint="eastAsia" w:ascii="宋体" w:hAnsi="宋体" w:eastAsia="宋体" w:cs="宋体"/>
          <w:b/>
          <w:sz w:val="21"/>
          <w:szCs w:val="21"/>
        </w:rPr>
        <w:t>采购编号及名称</w:t>
      </w:r>
      <w:r>
        <w:rPr>
          <w:rFonts w:hint="eastAsia" w:ascii="宋体" w:hAnsi="宋体" w:eastAsia="宋体" w:cs="宋体"/>
          <w:sz w:val="21"/>
          <w:szCs w:val="21"/>
        </w:rPr>
        <w:t>）：</w:t>
      </w:r>
    </w:p>
    <w:p>
      <w:pPr>
        <w:pStyle w:val="29"/>
        <w:spacing w:line="276" w:lineRule="auto"/>
        <w:ind w:firstLine="480"/>
        <w:rPr>
          <w:rFonts w:hint="eastAsia" w:ascii="宋体" w:hAnsi="宋体" w:eastAsia="宋体" w:cs="宋体"/>
          <w:sz w:val="21"/>
          <w:szCs w:val="21"/>
        </w:rPr>
      </w:pPr>
      <w:r>
        <w:rPr>
          <w:rFonts w:hint="eastAsia" w:ascii="宋体" w:hAnsi="宋体" w:eastAsia="宋体" w:cs="宋体"/>
          <w:sz w:val="21"/>
          <w:szCs w:val="21"/>
        </w:rPr>
        <w:t>2．合同工期:合同签订后</w:t>
      </w:r>
      <w:r>
        <w:rPr>
          <w:rFonts w:hint="eastAsia" w:ascii="宋体" w:hAnsi="宋体" w:eastAsia="宋体" w:cs="宋体"/>
          <w:sz w:val="21"/>
          <w:szCs w:val="21"/>
          <w:u w:val="single"/>
        </w:rPr>
        <w:t xml:space="preserve">      </w:t>
      </w:r>
      <w:r>
        <w:rPr>
          <w:rFonts w:hint="eastAsia" w:ascii="宋体" w:hAnsi="宋体" w:eastAsia="宋体" w:cs="宋体"/>
          <w:sz w:val="21"/>
          <w:szCs w:val="21"/>
        </w:rPr>
        <w:t>天安装到位。</w:t>
      </w:r>
    </w:p>
    <w:p>
      <w:pPr>
        <w:pStyle w:val="29"/>
        <w:spacing w:line="276" w:lineRule="auto"/>
        <w:ind w:firstLine="420" w:firstLineChars="199"/>
        <w:rPr>
          <w:rFonts w:hint="eastAsia" w:ascii="宋体" w:hAnsi="宋体" w:eastAsia="宋体" w:cs="宋体"/>
          <w:color w:val="FF0000"/>
          <w:sz w:val="21"/>
          <w:szCs w:val="21"/>
        </w:rPr>
      </w:pPr>
      <w:r>
        <w:rPr>
          <w:rFonts w:hint="eastAsia" w:ascii="宋体" w:hAnsi="宋体" w:eastAsia="宋体" w:cs="宋体"/>
          <w:b/>
          <w:sz w:val="21"/>
          <w:szCs w:val="21"/>
        </w:rPr>
        <w:t>3．采购内容、价格及采购清单</w:t>
      </w:r>
    </w:p>
    <w:tbl>
      <w:tblPr>
        <w:tblStyle w:val="30"/>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709"/>
        <w:gridCol w:w="1559"/>
        <w:gridCol w:w="1719"/>
        <w:gridCol w:w="850"/>
        <w:gridCol w:w="709"/>
        <w:gridCol w:w="709"/>
        <w:gridCol w:w="709"/>
        <w:gridCol w:w="850"/>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670"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268" w:type="dxa"/>
            <w:gridSpan w:val="2"/>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采购货物名称（进口设备须标明英文名）</w:t>
            </w:r>
          </w:p>
        </w:tc>
        <w:tc>
          <w:tcPr>
            <w:tcW w:w="1719"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品牌/型号</w:t>
            </w:r>
          </w:p>
        </w:tc>
        <w:tc>
          <w:tcPr>
            <w:tcW w:w="850"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厂商</w:t>
            </w:r>
          </w:p>
        </w:tc>
        <w:tc>
          <w:tcPr>
            <w:tcW w:w="709"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709"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单价</w:t>
            </w:r>
          </w:p>
          <w:p>
            <w:pPr>
              <w:jc w:val="center"/>
              <w:rPr>
                <w:rFonts w:hint="eastAsia" w:ascii="宋体" w:hAnsi="宋体" w:eastAsia="宋体" w:cs="宋体"/>
                <w:b/>
                <w:sz w:val="21"/>
                <w:szCs w:val="21"/>
              </w:rPr>
            </w:pPr>
            <w:r>
              <w:rPr>
                <w:rFonts w:hint="eastAsia" w:ascii="宋体" w:hAnsi="宋体" w:eastAsia="宋体" w:cs="宋体"/>
                <w:b/>
                <w:sz w:val="21"/>
                <w:szCs w:val="21"/>
              </w:rPr>
              <w:t>（元）</w:t>
            </w:r>
          </w:p>
        </w:tc>
        <w:tc>
          <w:tcPr>
            <w:tcW w:w="709"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总价</w:t>
            </w:r>
          </w:p>
          <w:p>
            <w:pPr>
              <w:jc w:val="center"/>
              <w:rPr>
                <w:rFonts w:hint="eastAsia" w:ascii="宋体" w:hAnsi="宋体" w:eastAsia="宋体" w:cs="宋体"/>
                <w:b/>
                <w:sz w:val="21"/>
                <w:szCs w:val="21"/>
              </w:rPr>
            </w:pPr>
            <w:r>
              <w:rPr>
                <w:rFonts w:hint="eastAsia" w:ascii="宋体" w:hAnsi="宋体" w:eastAsia="宋体" w:cs="宋体"/>
                <w:b/>
                <w:sz w:val="21"/>
                <w:szCs w:val="21"/>
              </w:rPr>
              <w:t>（元）</w:t>
            </w:r>
          </w:p>
        </w:tc>
        <w:tc>
          <w:tcPr>
            <w:tcW w:w="850"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免费</w:t>
            </w:r>
          </w:p>
          <w:p>
            <w:pPr>
              <w:jc w:val="center"/>
              <w:rPr>
                <w:rFonts w:hint="eastAsia" w:ascii="宋体" w:hAnsi="宋体" w:eastAsia="宋体" w:cs="宋体"/>
                <w:b/>
                <w:sz w:val="21"/>
                <w:szCs w:val="21"/>
              </w:rPr>
            </w:pPr>
            <w:r>
              <w:rPr>
                <w:rFonts w:hint="eastAsia" w:ascii="宋体" w:hAnsi="宋体" w:eastAsia="宋体" w:cs="宋体"/>
                <w:b/>
                <w:sz w:val="21"/>
                <w:szCs w:val="21"/>
              </w:rPr>
              <w:t>质保期</w:t>
            </w:r>
          </w:p>
        </w:tc>
        <w:tc>
          <w:tcPr>
            <w:tcW w:w="827"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交货</w:t>
            </w:r>
          </w:p>
          <w:p>
            <w:pPr>
              <w:jc w:val="center"/>
              <w:rPr>
                <w:rFonts w:hint="eastAsia" w:ascii="宋体" w:hAnsi="宋体" w:eastAsia="宋体" w:cs="宋体"/>
                <w:b/>
                <w:sz w:val="21"/>
                <w:szCs w:val="21"/>
              </w:rPr>
            </w:pPr>
            <w:r>
              <w:rPr>
                <w:rFonts w:hint="eastAsia" w:ascii="宋体" w:hAnsi="宋体" w:eastAsia="宋体" w:cs="宋体"/>
                <w:b/>
                <w:sz w:val="21"/>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7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268"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71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850" w:type="dxa"/>
          </w:tcPr>
          <w:p>
            <w:pPr>
              <w:spacing w:line="360" w:lineRule="auto"/>
              <w:jc w:val="center"/>
              <w:rPr>
                <w:rFonts w:hint="eastAsia" w:ascii="宋体" w:hAnsi="宋体" w:eastAsia="宋体" w:cs="宋体"/>
                <w:sz w:val="21"/>
                <w:szCs w:val="21"/>
              </w:rPr>
            </w:pPr>
          </w:p>
        </w:tc>
        <w:tc>
          <w:tcPr>
            <w:tcW w:w="70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70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709" w:type="dxa"/>
          </w:tcPr>
          <w:p>
            <w:pPr>
              <w:spacing w:line="360" w:lineRule="auto"/>
              <w:jc w:val="center"/>
              <w:rPr>
                <w:rFonts w:hint="eastAsia" w:ascii="宋体" w:hAnsi="宋体" w:eastAsia="宋体" w:cs="宋体"/>
                <w:sz w:val="21"/>
                <w:szCs w:val="21"/>
              </w:rPr>
            </w:pPr>
          </w:p>
        </w:tc>
        <w:tc>
          <w:tcPr>
            <w:tcW w:w="850" w:type="dxa"/>
            <w:vAlign w:val="center"/>
          </w:tcPr>
          <w:p>
            <w:pPr>
              <w:spacing w:line="360" w:lineRule="auto"/>
              <w:jc w:val="center"/>
              <w:rPr>
                <w:rFonts w:hint="eastAsia" w:ascii="宋体" w:hAnsi="宋体" w:eastAsia="宋体" w:cs="宋体"/>
                <w:sz w:val="21"/>
                <w:szCs w:val="21"/>
              </w:rPr>
            </w:pPr>
          </w:p>
        </w:tc>
        <w:tc>
          <w:tcPr>
            <w:tcW w:w="827" w:type="dxa"/>
            <w:vAlign w:val="center"/>
          </w:tcPr>
          <w:p>
            <w:pPr>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268" w:type="dxa"/>
            <w:gridSpan w:val="2"/>
            <w:vAlign w:val="center"/>
          </w:tcPr>
          <w:p>
            <w:pPr>
              <w:spacing w:line="360" w:lineRule="auto"/>
              <w:jc w:val="center"/>
              <w:rPr>
                <w:rFonts w:hint="eastAsia" w:ascii="宋体" w:hAnsi="宋体" w:eastAsia="宋体" w:cs="宋体"/>
                <w:sz w:val="21"/>
                <w:szCs w:val="21"/>
              </w:rPr>
            </w:pPr>
          </w:p>
        </w:tc>
        <w:tc>
          <w:tcPr>
            <w:tcW w:w="1719" w:type="dxa"/>
            <w:vAlign w:val="center"/>
          </w:tcPr>
          <w:p>
            <w:pPr>
              <w:spacing w:line="360" w:lineRule="auto"/>
              <w:jc w:val="center"/>
              <w:rPr>
                <w:rFonts w:hint="eastAsia" w:ascii="宋体" w:hAnsi="宋体" w:eastAsia="宋体" w:cs="宋体"/>
                <w:sz w:val="21"/>
                <w:szCs w:val="21"/>
              </w:rPr>
            </w:pPr>
          </w:p>
        </w:tc>
        <w:tc>
          <w:tcPr>
            <w:tcW w:w="850" w:type="dxa"/>
          </w:tcPr>
          <w:p>
            <w:pPr>
              <w:spacing w:line="360" w:lineRule="auto"/>
              <w:jc w:val="center"/>
              <w:rPr>
                <w:rFonts w:hint="eastAsia" w:ascii="宋体" w:hAnsi="宋体" w:eastAsia="宋体" w:cs="宋体"/>
                <w:sz w:val="21"/>
                <w:szCs w:val="21"/>
              </w:rPr>
            </w:pPr>
          </w:p>
        </w:tc>
        <w:tc>
          <w:tcPr>
            <w:tcW w:w="709" w:type="dxa"/>
            <w:vAlign w:val="center"/>
          </w:tcPr>
          <w:p>
            <w:pPr>
              <w:spacing w:line="360" w:lineRule="auto"/>
              <w:jc w:val="center"/>
              <w:rPr>
                <w:rFonts w:hint="eastAsia" w:ascii="宋体" w:hAnsi="宋体" w:eastAsia="宋体" w:cs="宋体"/>
                <w:sz w:val="21"/>
                <w:szCs w:val="21"/>
              </w:rPr>
            </w:pPr>
          </w:p>
        </w:tc>
        <w:tc>
          <w:tcPr>
            <w:tcW w:w="709" w:type="dxa"/>
            <w:vAlign w:val="center"/>
          </w:tcPr>
          <w:p>
            <w:pPr>
              <w:spacing w:line="360" w:lineRule="auto"/>
              <w:jc w:val="center"/>
              <w:rPr>
                <w:rFonts w:hint="eastAsia" w:ascii="宋体" w:hAnsi="宋体" w:eastAsia="宋体" w:cs="宋体"/>
                <w:sz w:val="21"/>
                <w:szCs w:val="21"/>
              </w:rPr>
            </w:pPr>
          </w:p>
        </w:tc>
        <w:tc>
          <w:tcPr>
            <w:tcW w:w="709" w:type="dxa"/>
          </w:tcPr>
          <w:p>
            <w:pPr>
              <w:spacing w:line="360" w:lineRule="auto"/>
              <w:jc w:val="center"/>
              <w:rPr>
                <w:rFonts w:hint="eastAsia" w:ascii="宋体" w:hAnsi="宋体" w:eastAsia="宋体" w:cs="宋体"/>
                <w:sz w:val="21"/>
                <w:szCs w:val="21"/>
              </w:rPr>
            </w:pPr>
          </w:p>
        </w:tc>
        <w:tc>
          <w:tcPr>
            <w:tcW w:w="850" w:type="dxa"/>
            <w:vAlign w:val="center"/>
          </w:tcPr>
          <w:p>
            <w:pPr>
              <w:spacing w:line="360" w:lineRule="auto"/>
              <w:jc w:val="center"/>
              <w:rPr>
                <w:rFonts w:hint="eastAsia" w:ascii="宋体" w:hAnsi="宋体" w:eastAsia="宋体" w:cs="宋体"/>
                <w:sz w:val="21"/>
                <w:szCs w:val="21"/>
              </w:rPr>
            </w:pPr>
          </w:p>
        </w:tc>
        <w:tc>
          <w:tcPr>
            <w:tcW w:w="827" w:type="dxa"/>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268" w:type="dxa"/>
            <w:gridSpan w:val="2"/>
            <w:vAlign w:val="center"/>
          </w:tcPr>
          <w:p>
            <w:pPr>
              <w:spacing w:line="360" w:lineRule="auto"/>
              <w:jc w:val="center"/>
              <w:rPr>
                <w:rFonts w:hint="eastAsia" w:ascii="宋体" w:hAnsi="宋体" w:eastAsia="宋体" w:cs="宋体"/>
                <w:sz w:val="21"/>
                <w:szCs w:val="21"/>
              </w:rPr>
            </w:pPr>
          </w:p>
        </w:tc>
        <w:tc>
          <w:tcPr>
            <w:tcW w:w="1719" w:type="dxa"/>
            <w:vAlign w:val="center"/>
          </w:tcPr>
          <w:p>
            <w:pPr>
              <w:spacing w:line="360" w:lineRule="auto"/>
              <w:jc w:val="center"/>
              <w:rPr>
                <w:rFonts w:hint="eastAsia" w:ascii="宋体" w:hAnsi="宋体" w:eastAsia="宋体" w:cs="宋体"/>
                <w:sz w:val="21"/>
                <w:szCs w:val="21"/>
              </w:rPr>
            </w:pPr>
          </w:p>
        </w:tc>
        <w:tc>
          <w:tcPr>
            <w:tcW w:w="850" w:type="dxa"/>
          </w:tcPr>
          <w:p>
            <w:pPr>
              <w:spacing w:line="360" w:lineRule="auto"/>
              <w:jc w:val="center"/>
              <w:rPr>
                <w:rFonts w:hint="eastAsia" w:ascii="宋体" w:hAnsi="宋体" w:eastAsia="宋体" w:cs="宋体"/>
                <w:sz w:val="21"/>
                <w:szCs w:val="21"/>
              </w:rPr>
            </w:pPr>
          </w:p>
        </w:tc>
        <w:tc>
          <w:tcPr>
            <w:tcW w:w="709" w:type="dxa"/>
            <w:vAlign w:val="center"/>
          </w:tcPr>
          <w:p>
            <w:pPr>
              <w:spacing w:line="360" w:lineRule="auto"/>
              <w:jc w:val="center"/>
              <w:rPr>
                <w:rFonts w:hint="eastAsia" w:ascii="宋体" w:hAnsi="宋体" w:eastAsia="宋体" w:cs="宋体"/>
                <w:sz w:val="21"/>
                <w:szCs w:val="21"/>
              </w:rPr>
            </w:pPr>
          </w:p>
        </w:tc>
        <w:tc>
          <w:tcPr>
            <w:tcW w:w="709" w:type="dxa"/>
            <w:vAlign w:val="center"/>
          </w:tcPr>
          <w:p>
            <w:pPr>
              <w:spacing w:line="360" w:lineRule="auto"/>
              <w:jc w:val="center"/>
              <w:rPr>
                <w:rFonts w:hint="eastAsia" w:ascii="宋体" w:hAnsi="宋体" w:eastAsia="宋体" w:cs="宋体"/>
                <w:sz w:val="21"/>
                <w:szCs w:val="21"/>
              </w:rPr>
            </w:pPr>
          </w:p>
        </w:tc>
        <w:tc>
          <w:tcPr>
            <w:tcW w:w="709" w:type="dxa"/>
          </w:tcPr>
          <w:p>
            <w:pPr>
              <w:spacing w:line="360" w:lineRule="auto"/>
              <w:jc w:val="center"/>
              <w:rPr>
                <w:rFonts w:hint="eastAsia" w:ascii="宋体" w:hAnsi="宋体" w:eastAsia="宋体" w:cs="宋体"/>
                <w:sz w:val="21"/>
                <w:szCs w:val="21"/>
              </w:rPr>
            </w:pPr>
          </w:p>
        </w:tc>
        <w:tc>
          <w:tcPr>
            <w:tcW w:w="850" w:type="dxa"/>
            <w:vAlign w:val="center"/>
          </w:tcPr>
          <w:p>
            <w:pPr>
              <w:spacing w:line="360" w:lineRule="auto"/>
              <w:jc w:val="center"/>
              <w:rPr>
                <w:rFonts w:hint="eastAsia" w:ascii="宋体" w:hAnsi="宋体" w:eastAsia="宋体" w:cs="宋体"/>
                <w:sz w:val="21"/>
                <w:szCs w:val="21"/>
              </w:rPr>
            </w:pPr>
          </w:p>
        </w:tc>
        <w:tc>
          <w:tcPr>
            <w:tcW w:w="827" w:type="dxa"/>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spacing w:line="360" w:lineRule="auto"/>
              <w:jc w:val="center"/>
              <w:rPr>
                <w:rFonts w:hint="eastAsia" w:ascii="宋体" w:hAnsi="宋体" w:eastAsia="宋体" w:cs="宋体"/>
                <w:sz w:val="21"/>
                <w:szCs w:val="21"/>
              </w:rPr>
            </w:pPr>
          </w:p>
        </w:tc>
        <w:tc>
          <w:tcPr>
            <w:tcW w:w="2268" w:type="dxa"/>
            <w:gridSpan w:val="2"/>
            <w:vAlign w:val="center"/>
          </w:tcPr>
          <w:p>
            <w:pPr>
              <w:spacing w:line="360" w:lineRule="auto"/>
              <w:jc w:val="center"/>
              <w:rPr>
                <w:rFonts w:hint="eastAsia" w:ascii="宋体" w:hAnsi="宋体" w:eastAsia="宋体" w:cs="宋体"/>
                <w:sz w:val="21"/>
                <w:szCs w:val="21"/>
              </w:rPr>
            </w:pPr>
          </w:p>
        </w:tc>
        <w:tc>
          <w:tcPr>
            <w:tcW w:w="1719" w:type="dxa"/>
            <w:vAlign w:val="center"/>
          </w:tcPr>
          <w:p>
            <w:pPr>
              <w:spacing w:line="360" w:lineRule="auto"/>
              <w:jc w:val="center"/>
              <w:rPr>
                <w:rFonts w:hint="eastAsia" w:ascii="宋体" w:hAnsi="宋体" w:eastAsia="宋体" w:cs="宋体"/>
                <w:sz w:val="21"/>
                <w:szCs w:val="21"/>
              </w:rPr>
            </w:pPr>
          </w:p>
        </w:tc>
        <w:tc>
          <w:tcPr>
            <w:tcW w:w="850" w:type="dxa"/>
          </w:tcPr>
          <w:p>
            <w:pPr>
              <w:spacing w:line="360" w:lineRule="auto"/>
              <w:jc w:val="center"/>
              <w:rPr>
                <w:rFonts w:hint="eastAsia" w:ascii="宋体" w:hAnsi="宋体" w:eastAsia="宋体" w:cs="宋体"/>
                <w:sz w:val="21"/>
                <w:szCs w:val="21"/>
              </w:rPr>
            </w:pPr>
          </w:p>
        </w:tc>
        <w:tc>
          <w:tcPr>
            <w:tcW w:w="709" w:type="dxa"/>
            <w:vAlign w:val="center"/>
          </w:tcPr>
          <w:p>
            <w:pPr>
              <w:spacing w:line="360" w:lineRule="auto"/>
              <w:jc w:val="center"/>
              <w:rPr>
                <w:rFonts w:hint="eastAsia" w:ascii="宋体" w:hAnsi="宋体" w:eastAsia="宋体" w:cs="宋体"/>
                <w:sz w:val="21"/>
                <w:szCs w:val="21"/>
              </w:rPr>
            </w:pPr>
          </w:p>
        </w:tc>
        <w:tc>
          <w:tcPr>
            <w:tcW w:w="709" w:type="dxa"/>
            <w:vAlign w:val="center"/>
          </w:tcPr>
          <w:p>
            <w:pPr>
              <w:spacing w:line="360" w:lineRule="auto"/>
              <w:jc w:val="center"/>
              <w:rPr>
                <w:rFonts w:hint="eastAsia" w:ascii="宋体" w:hAnsi="宋体" w:eastAsia="宋体" w:cs="宋体"/>
                <w:sz w:val="21"/>
                <w:szCs w:val="21"/>
              </w:rPr>
            </w:pPr>
          </w:p>
        </w:tc>
        <w:tc>
          <w:tcPr>
            <w:tcW w:w="709" w:type="dxa"/>
          </w:tcPr>
          <w:p>
            <w:pPr>
              <w:spacing w:line="360" w:lineRule="auto"/>
              <w:jc w:val="center"/>
              <w:rPr>
                <w:rFonts w:hint="eastAsia" w:ascii="宋体" w:hAnsi="宋体" w:eastAsia="宋体" w:cs="宋体"/>
                <w:sz w:val="21"/>
                <w:szCs w:val="21"/>
              </w:rPr>
            </w:pPr>
          </w:p>
        </w:tc>
        <w:tc>
          <w:tcPr>
            <w:tcW w:w="850" w:type="dxa"/>
            <w:vAlign w:val="center"/>
          </w:tcPr>
          <w:p>
            <w:pPr>
              <w:spacing w:line="360" w:lineRule="auto"/>
              <w:jc w:val="center"/>
              <w:rPr>
                <w:rFonts w:hint="eastAsia" w:ascii="宋体" w:hAnsi="宋体" w:eastAsia="宋体" w:cs="宋体"/>
                <w:sz w:val="21"/>
                <w:szCs w:val="21"/>
              </w:rPr>
            </w:pPr>
          </w:p>
        </w:tc>
        <w:tc>
          <w:tcPr>
            <w:tcW w:w="827" w:type="dxa"/>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1" w:type="dxa"/>
            <w:gridSpan w:val="10"/>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合计：（大写）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79" w:type="dxa"/>
            <w:gridSpan w:val="2"/>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甲方</w:t>
            </w:r>
          </w:p>
        </w:tc>
        <w:tc>
          <w:tcPr>
            <w:tcW w:w="7932" w:type="dxa"/>
            <w:gridSpan w:val="8"/>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联系人：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79" w:type="dxa"/>
            <w:gridSpan w:val="2"/>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乙方</w:t>
            </w:r>
          </w:p>
        </w:tc>
        <w:tc>
          <w:tcPr>
            <w:tcW w:w="7932" w:type="dxa"/>
            <w:gridSpan w:val="8"/>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联系人：       联系方式：</w:t>
            </w:r>
          </w:p>
        </w:tc>
      </w:tr>
    </w:tbl>
    <w:p>
      <w:pPr>
        <w:spacing w:line="276" w:lineRule="auto"/>
        <w:jc w:val="left"/>
        <w:rPr>
          <w:rFonts w:hint="eastAsia" w:ascii="宋体" w:hAnsi="宋体" w:eastAsia="宋体" w:cs="宋体"/>
          <w:sz w:val="21"/>
          <w:szCs w:val="21"/>
        </w:rPr>
      </w:pPr>
      <w:r>
        <w:rPr>
          <w:rFonts w:hint="eastAsia" w:ascii="宋体" w:hAnsi="宋体" w:eastAsia="宋体" w:cs="宋体"/>
          <w:sz w:val="21"/>
          <w:szCs w:val="21"/>
        </w:rPr>
        <w:t>　　4．本合同总价为货物供货、运输、保险、装卸、安装调试及技术、验收（含第三方验收）、培训、售后服务、税费等的全部费用，即“交钥匙工程”，实行固定总价包干。除发生下列因素可调整合同价外，不得以任何其他理由调整任何费用。</w:t>
      </w:r>
    </w:p>
    <w:p>
      <w:pPr>
        <w:spacing w:line="276" w:lineRule="auto"/>
        <w:jc w:val="left"/>
        <w:rPr>
          <w:rFonts w:hint="eastAsia" w:ascii="宋体" w:hAnsi="宋体" w:eastAsia="宋体" w:cs="宋体"/>
          <w:sz w:val="21"/>
          <w:szCs w:val="21"/>
        </w:rPr>
      </w:pPr>
      <w:r>
        <w:rPr>
          <w:rFonts w:hint="eastAsia" w:ascii="宋体" w:hAnsi="宋体" w:eastAsia="宋体" w:cs="宋体"/>
          <w:sz w:val="21"/>
          <w:szCs w:val="21"/>
        </w:rPr>
        <w:t xml:space="preserve">    4.1甲方因安装地点改变等原因提出的货物数量变更，经甲乙双方同意，可以签订补充协议。</w:t>
      </w:r>
    </w:p>
    <w:p>
      <w:pPr>
        <w:spacing w:line="276"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4.2乙方因成交产品型号停产，生产厂家出具替代型号与停产证明，但不得更改该产品成交金额，经甲乙双方同意可以签订补充协议。</w:t>
      </w:r>
    </w:p>
    <w:p>
      <w:pPr>
        <w:spacing w:line="276"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4.3属乙方投标漏项少算的设备及服务费用不得追补。</w:t>
      </w:r>
    </w:p>
    <w:p>
      <w:pPr>
        <w:spacing w:line="276" w:lineRule="auto"/>
        <w:jc w:val="left"/>
        <w:rPr>
          <w:rFonts w:hint="eastAsia" w:ascii="宋体" w:hAnsi="宋体" w:eastAsia="宋体" w:cs="宋体"/>
          <w:sz w:val="21"/>
          <w:szCs w:val="21"/>
        </w:rPr>
      </w:pPr>
      <w:r>
        <w:rPr>
          <w:rFonts w:hint="eastAsia" w:ascii="宋体" w:hAnsi="宋体" w:eastAsia="宋体" w:cs="宋体"/>
          <w:sz w:val="21"/>
          <w:szCs w:val="21"/>
        </w:rPr>
        <w:t xml:space="preserve">    5．设备、材料供应</w:t>
      </w:r>
    </w:p>
    <w:p>
      <w:pPr>
        <w:spacing w:line="276" w:lineRule="auto"/>
        <w:jc w:val="left"/>
        <w:rPr>
          <w:rFonts w:hint="eastAsia" w:ascii="宋体" w:hAnsi="宋体" w:eastAsia="宋体" w:cs="宋体"/>
          <w:sz w:val="21"/>
          <w:szCs w:val="21"/>
        </w:rPr>
      </w:pPr>
      <w:r>
        <w:rPr>
          <w:rFonts w:hint="eastAsia" w:ascii="宋体" w:hAnsi="宋体" w:eastAsia="宋体" w:cs="宋体"/>
          <w:sz w:val="21"/>
          <w:szCs w:val="21"/>
        </w:rPr>
        <w:t xml:space="preserve">    本合同范围所需的设备均由乙方提供。采购供应的材料、设备均须有合格证、质保书等相关技术资料。如发现不合格的设备材料，由乙方承担全部的经济损失和责任。</w:t>
      </w:r>
    </w:p>
    <w:p>
      <w:pPr>
        <w:spacing w:line="276" w:lineRule="auto"/>
        <w:jc w:val="left"/>
        <w:rPr>
          <w:rFonts w:hint="eastAsia" w:ascii="宋体" w:hAnsi="宋体" w:eastAsia="宋体" w:cs="宋体"/>
          <w:sz w:val="21"/>
          <w:szCs w:val="21"/>
        </w:rPr>
      </w:pPr>
      <w:r>
        <w:rPr>
          <w:rFonts w:hint="eastAsia" w:ascii="宋体" w:hAnsi="宋体" w:eastAsia="宋体" w:cs="宋体"/>
          <w:sz w:val="21"/>
          <w:szCs w:val="21"/>
        </w:rPr>
        <w:t xml:space="preserve">    6.产品包装</w:t>
      </w:r>
    </w:p>
    <w:p>
      <w:pPr>
        <w:spacing w:line="276" w:lineRule="auto"/>
        <w:jc w:val="left"/>
        <w:rPr>
          <w:rFonts w:hint="eastAsia" w:ascii="宋体" w:hAnsi="宋体" w:eastAsia="宋体" w:cs="宋体"/>
          <w:sz w:val="21"/>
          <w:szCs w:val="21"/>
        </w:rPr>
      </w:pPr>
      <w:r>
        <w:rPr>
          <w:rFonts w:hint="eastAsia" w:ascii="宋体" w:hAnsi="宋体" w:eastAsia="宋体" w:cs="宋体"/>
          <w:sz w:val="21"/>
          <w:szCs w:val="21"/>
        </w:rPr>
        <w:t xml:space="preserve">    6.1为了保证设备在长途运输和装卸过程中的安全，产品包装应符合国家或专业（部）标准规定。由于包装不善导致设备锈蚀、失缺或损坏，由乙方承担一切责任。</w:t>
      </w:r>
    </w:p>
    <w:p>
      <w:pPr>
        <w:spacing w:line="276" w:lineRule="auto"/>
        <w:jc w:val="left"/>
        <w:rPr>
          <w:rFonts w:hint="eastAsia" w:ascii="宋体" w:hAnsi="宋体" w:eastAsia="宋体" w:cs="宋体"/>
          <w:sz w:val="21"/>
          <w:szCs w:val="21"/>
        </w:rPr>
      </w:pPr>
      <w:r>
        <w:rPr>
          <w:rFonts w:hint="eastAsia" w:ascii="宋体" w:hAnsi="宋体" w:eastAsia="宋体" w:cs="宋体"/>
          <w:sz w:val="21"/>
          <w:szCs w:val="21"/>
        </w:rPr>
        <w:t xml:space="preserve">    6.2每一包装箱内必须附有装箱清单。</w:t>
      </w:r>
    </w:p>
    <w:p>
      <w:pPr>
        <w:spacing w:line="276" w:lineRule="auto"/>
        <w:jc w:val="left"/>
        <w:rPr>
          <w:rFonts w:hint="eastAsia" w:ascii="宋体" w:hAnsi="宋体" w:eastAsia="宋体" w:cs="宋体"/>
          <w:sz w:val="21"/>
          <w:szCs w:val="21"/>
        </w:rPr>
      </w:pPr>
      <w:r>
        <w:rPr>
          <w:rFonts w:hint="eastAsia" w:ascii="宋体" w:hAnsi="宋体" w:eastAsia="宋体" w:cs="宋体"/>
          <w:sz w:val="21"/>
          <w:szCs w:val="21"/>
        </w:rPr>
        <w:t xml:space="preserve">    7．产品资料</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档案资料，包括：设备的数量、型号、规格，设备生产厂家的产品检测证书，出厂检验报告，合格证书，产品说明书等有关资料。如发现不合格的设备材料，由乙方承担全部的经济损失的责任。设备开箱后的全部随机资料所有权归甲方所有，开箱验收后由甲方保管。</w:t>
      </w:r>
    </w:p>
    <w:p>
      <w:pPr>
        <w:spacing w:line="276" w:lineRule="auto"/>
        <w:jc w:val="left"/>
        <w:rPr>
          <w:rFonts w:hint="eastAsia" w:ascii="宋体" w:hAnsi="宋体" w:eastAsia="宋体" w:cs="宋体"/>
          <w:sz w:val="21"/>
          <w:szCs w:val="21"/>
        </w:rPr>
      </w:pPr>
      <w:r>
        <w:rPr>
          <w:rFonts w:hint="eastAsia" w:ascii="宋体" w:hAnsi="宋体" w:eastAsia="宋体" w:cs="宋体"/>
          <w:sz w:val="21"/>
          <w:szCs w:val="21"/>
        </w:rPr>
        <w:t xml:space="preserve">    8．交付使用时间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sz w:val="21"/>
          <w:szCs w:val="21"/>
        </w:rPr>
        <w:t>交货地点：江苏医药职业学院指定地点。</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    9．付款方式与结算</w:t>
      </w:r>
    </w:p>
    <w:p>
      <w:pPr>
        <w:widowControl/>
        <w:spacing w:line="276"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9.1履约保证金支付</w:t>
      </w:r>
    </w:p>
    <w:p>
      <w:pPr>
        <w:pStyle w:val="29"/>
        <w:spacing w:line="276" w:lineRule="auto"/>
        <w:ind w:firstLine="480"/>
        <w:rPr>
          <w:rFonts w:hint="eastAsia" w:ascii="宋体" w:hAnsi="宋体" w:eastAsia="宋体" w:cs="宋体"/>
          <w:sz w:val="21"/>
          <w:szCs w:val="21"/>
          <w:lang w:val="zh-CN"/>
        </w:rPr>
      </w:pPr>
      <w:r>
        <w:rPr>
          <w:rFonts w:hint="eastAsia" w:ascii="宋体" w:hAnsi="宋体" w:eastAsia="宋体" w:cs="宋体"/>
          <w:sz w:val="21"/>
          <w:szCs w:val="21"/>
        </w:rPr>
        <w:t>在签订合同前，中标人需向招标人交纳人民币_______元作为本合同的履约保证金（具体金额为中标价的5%）。履约保证金以转帐、电汇或网汇形式汇转至招标人指定帐户并存于招标人处，待项目验收结束后无质量问题一次性无息退还。</w:t>
      </w:r>
    </w:p>
    <w:p>
      <w:pPr>
        <w:widowControl/>
        <w:spacing w:line="276"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9.2合同金额结算及支付方式：</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项目验收合格后无质量问题支付合同价的70%款项；审计合格后付至审计价的90%，余款待验收合格质保结束后无质量问题一次性无息付清。</w:t>
      </w:r>
    </w:p>
    <w:p>
      <w:pPr>
        <w:pStyle w:val="29"/>
        <w:spacing w:line="276" w:lineRule="auto"/>
        <w:ind w:firstLine="480"/>
        <w:jc w:val="left"/>
        <w:rPr>
          <w:rFonts w:hint="eastAsia" w:ascii="宋体" w:hAnsi="宋体" w:eastAsia="宋体" w:cs="宋体"/>
          <w:sz w:val="21"/>
          <w:szCs w:val="21"/>
        </w:rPr>
      </w:pPr>
      <w:r>
        <w:rPr>
          <w:rFonts w:hint="eastAsia" w:ascii="宋体" w:hAnsi="宋体" w:eastAsia="宋体" w:cs="宋体"/>
          <w:sz w:val="21"/>
          <w:szCs w:val="21"/>
        </w:rPr>
        <w:t>以上付款均以人民币通过银行支付, 付款前需提供我校财务处认可的增值税发票（仪器设备须开增值税专用发票）。</w:t>
      </w:r>
    </w:p>
    <w:p>
      <w:pPr>
        <w:spacing w:line="276"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9.3 本合同执行中相关的一切税费均由乙方负担。</w:t>
      </w:r>
    </w:p>
    <w:p>
      <w:pPr>
        <w:spacing w:line="276"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9.4 属于进口产品，用于教学和科研目的的，中标价为免税价格。</w:t>
      </w:r>
    </w:p>
    <w:p>
      <w:pPr>
        <w:spacing w:line="276"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9.5 免税产品应由甲乙双方依据海关的要求签订委托进口代理协议，确认甲乙双方的责任与义务。委托进口代理协议作为本合同的不可分割部分。</w:t>
      </w:r>
    </w:p>
    <w:p>
      <w:pPr>
        <w:spacing w:line="276"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9.6 免税产品通关时乙方必须进行商检，未商检的，造成的损失由乙方承担。</w:t>
      </w:r>
    </w:p>
    <w:p>
      <w:pPr>
        <w:spacing w:line="276"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10.验收、调试及人员培训</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10.1 </w:t>
      </w:r>
      <w:r>
        <w:rPr>
          <w:rFonts w:hint="eastAsia" w:ascii="宋体" w:hAnsi="宋体" w:eastAsia="宋体" w:cs="宋体"/>
          <w:b/>
          <w:sz w:val="21"/>
          <w:szCs w:val="21"/>
        </w:rPr>
        <w:t>验收：</w:t>
      </w:r>
      <w:r>
        <w:rPr>
          <w:rFonts w:hint="eastAsia" w:ascii="宋体" w:hAnsi="宋体" w:eastAsia="宋体" w:cs="宋体"/>
          <w:sz w:val="21"/>
          <w:szCs w:val="21"/>
        </w:rPr>
        <w:t>到货后，乙方应向甲方移交所供货物（设备）完整的使用说明书、合格证及相关资料。乙方将工作完成后，由甲方组织进行验收，如果乙方提供的货物与合同不符，甲方有权拒绝接收，由此产生的一切费用由乙方承担。验收程序如下：</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10.1.1 </w:t>
      </w:r>
      <w:r>
        <w:rPr>
          <w:rFonts w:hint="eastAsia" w:ascii="宋体" w:hAnsi="宋体" w:eastAsia="宋体" w:cs="宋体"/>
          <w:b/>
          <w:sz w:val="21"/>
          <w:szCs w:val="21"/>
        </w:rPr>
        <w:t>到货验收。</w:t>
      </w:r>
      <w:r>
        <w:rPr>
          <w:rFonts w:hint="eastAsia" w:ascii="宋体" w:hAnsi="宋体" w:eastAsia="宋体" w:cs="宋体"/>
          <w:sz w:val="21"/>
          <w:szCs w:val="21"/>
        </w:rPr>
        <w:t>到货后，检查仪器设备内外包装是否完好，有无破损、碰伤、浸湿、受潮、变形等情况。确认所验收货物件数与运输单据填写的件数一致。如发现上述问题，应做详细记录，并拍照留据。</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10.1.2 </w:t>
      </w:r>
      <w:r>
        <w:rPr>
          <w:rFonts w:hint="eastAsia" w:ascii="宋体" w:hAnsi="宋体" w:eastAsia="宋体" w:cs="宋体"/>
          <w:b/>
          <w:sz w:val="21"/>
          <w:szCs w:val="21"/>
        </w:rPr>
        <w:t>开箱（实物及数量参数）验收</w:t>
      </w:r>
      <w:r>
        <w:rPr>
          <w:rFonts w:hint="eastAsia" w:ascii="宋体" w:hAnsi="宋体" w:eastAsia="宋体" w:cs="宋体"/>
          <w:sz w:val="21"/>
          <w:szCs w:val="21"/>
        </w:rPr>
        <w:t>。到货后开箱检查仪器设备及附件外表有无残损、锈蚀、碰伤等，检查随机资料是否齐全，如仪器说明书、操作规程、检修手册、产品检验合格证书等。以装箱单为依据，逐件核对检查主机、附件的规格、型号、配置及数量。以供货合同为依据与装箱单进行核对，做好货物（设备）验收清单记录。</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10.1.3 </w:t>
      </w:r>
      <w:r>
        <w:rPr>
          <w:rFonts w:hint="eastAsia" w:ascii="宋体" w:hAnsi="宋体" w:eastAsia="宋体" w:cs="宋体"/>
          <w:b/>
          <w:sz w:val="21"/>
          <w:szCs w:val="21"/>
        </w:rPr>
        <w:t>质量验收。</w:t>
      </w:r>
      <w:r>
        <w:rPr>
          <w:rFonts w:hint="eastAsia" w:ascii="宋体" w:hAnsi="宋体" w:eastAsia="宋体" w:cs="宋体"/>
          <w:sz w:val="21"/>
          <w:szCs w:val="21"/>
        </w:rPr>
        <w:t xml:space="preserve">合同履约达到验收条件时，乙方向甲方书面发起验收申请，甲方收到乙方验收申请后启动项目验收。按照合同条款、货物（设备）使用说明书及操作手册的规定和程序进行安装、调试后进行质量验收，乙方技术人员参加，必要时可委托有资质的第三方(或政府主管部门)进行验收，所需费用由乙方承担。验收时对照货物（设备）使用说明书，进行各种技术参数测试，检查仪器的技术指标和性能是否达到要求，做好质量验收记录，验收结束出具验收报告。若仪器出现质量问题，应将详细情况书面通知供应商。自正式验收合格并交付给甲方之日起计算质保期。  </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10.2 </w:t>
      </w:r>
      <w:r>
        <w:rPr>
          <w:rFonts w:hint="eastAsia" w:ascii="宋体" w:hAnsi="宋体" w:eastAsia="宋体" w:cs="宋体"/>
          <w:b/>
          <w:sz w:val="21"/>
          <w:szCs w:val="21"/>
        </w:rPr>
        <w:t>调试</w:t>
      </w:r>
      <w:r>
        <w:rPr>
          <w:rFonts w:hint="eastAsia" w:ascii="宋体" w:hAnsi="宋体" w:eastAsia="宋体" w:cs="宋体"/>
          <w:sz w:val="21"/>
          <w:szCs w:val="21"/>
        </w:rPr>
        <w:t>：乙方负责对货物（设备）免费进行安装调试，并使其投入正常运行。</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10.3 </w:t>
      </w:r>
      <w:r>
        <w:rPr>
          <w:rFonts w:hint="eastAsia" w:ascii="宋体" w:hAnsi="宋体" w:eastAsia="宋体" w:cs="宋体"/>
          <w:b/>
          <w:sz w:val="21"/>
          <w:szCs w:val="21"/>
        </w:rPr>
        <w:t>人员培训：</w:t>
      </w:r>
      <w:r>
        <w:rPr>
          <w:rFonts w:hint="eastAsia" w:ascii="宋体" w:hAnsi="宋体" w:eastAsia="宋体" w:cs="宋体"/>
          <w:sz w:val="21"/>
          <w:szCs w:val="21"/>
        </w:rPr>
        <w:t xml:space="preserve">乙方免费对甲方人员进行必要的业务及服务培训，使其达到正确掌握设备使用要求。  </w:t>
      </w:r>
    </w:p>
    <w:p>
      <w:pPr>
        <w:spacing w:line="276"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11.保修条款</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乙方应按招标文件要求和投标文件承诺执行本项目的售后服务和保修。</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 下列情况不属保修范围:</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11.1.1 不可抗力引起的损害；</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11.1.2 用户电力系统故障(如接地不良,电压超过规定范围等)引起的损坏；</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11.1.3 用户私自维修引起的损坏；</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11.1.4 用户自行造成的机械损坏(用户正常使用除外)；</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11.1.5 其它不属于供应商负担的保修事宜；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11.2 质保期与保修期：本次合同采购清单中的提供设备质保期同该设备国家规定使用年限或设计使用寿命。约定质保期限为</w:t>
      </w:r>
      <w:r>
        <w:rPr>
          <w:rFonts w:hint="eastAsia" w:ascii="宋体" w:hAnsi="宋体" w:eastAsia="宋体" w:cs="宋体"/>
          <w:color w:val="FF0000"/>
          <w:sz w:val="21"/>
          <w:szCs w:val="21"/>
        </w:rPr>
        <w:t>（  ）</w:t>
      </w:r>
      <w:r>
        <w:rPr>
          <w:rFonts w:hint="eastAsia" w:ascii="宋体" w:hAnsi="宋体" w:eastAsia="宋体" w:cs="宋体"/>
          <w:sz w:val="21"/>
          <w:szCs w:val="21"/>
        </w:rPr>
        <w:t>年，保修期的期限以甲乙两方的验收合格之日起计算。其中，在该设备保修期内免费更换零配件及工时费。报修响应时间1小时，到达时间24小时（不可抗力下除外）。保修期满后，乙方仍应遵守本合同各条相应的服务约定(保修期满后乙方提供本产品的终身维修，且只收取材料费，其余一切费用均由乙方承担)。</w:t>
      </w:r>
    </w:p>
    <w:p>
      <w:pPr>
        <w:pStyle w:val="29"/>
        <w:spacing w:line="276" w:lineRule="auto"/>
        <w:ind w:firstLine="424" w:firstLineChars="202"/>
        <w:rPr>
          <w:rFonts w:hint="eastAsia" w:ascii="宋体" w:hAnsi="宋体" w:eastAsia="宋体" w:cs="宋体"/>
          <w:sz w:val="21"/>
          <w:szCs w:val="21"/>
        </w:rPr>
      </w:pPr>
      <w:r>
        <w:rPr>
          <w:rFonts w:hint="eastAsia" w:ascii="宋体" w:hAnsi="宋体" w:eastAsia="宋体" w:cs="宋体"/>
          <w:sz w:val="21"/>
          <w:szCs w:val="21"/>
        </w:rPr>
        <w:t>如乙方未及时履行保修义务的，每发生一次，乙方应向甲方支付违约金10000元。甲方因乙方违约而委托第三方进行维修所产生的相应维修费用，乙方同意甲方从余款中直接扣除，超过余款数额的，甲方有权要求乙方另行支付</w:t>
      </w:r>
    </w:p>
    <w:p>
      <w:pPr>
        <w:spacing w:line="276" w:lineRule="auto"/>
        <w:rPr>
          <w:rFonts w:hint="eastAsia" w:ascii="宋体" w:hAnsi="宋体" w:eastAsia="宋体" w:cs="宋体"/>
          <w:sz w:val="21"/>
          <w:szCs w:val="21"/>
        </w:rPr>
      </w:pPr>
      <w:r>
        <w:rPr>
          <w:rFonts w:hint="eastAsia" w:ascii="宋体" w:hAnsi="宋体" w:eastAsia="宋体" w:cs="宋体"/>
          <w:sz w:val="21"/>
          <w:szCs w:val="21"/>
        </w:rPr>
        <w:t>　　11.3 相关权利及义务</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11.3.1 甲方收到乙方设备后，验收时可对不符合合同要求及评标样本、不符合招标文件技术参数及指标的设备或产品拒绝接收，直至退货；</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11.3.2 甲方有权监督乙方对所交付设备进行安装调试,并督导完成；</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11.3.3 甲方有权监督乙方的售后服务,并对乙方的售后服务不符合合同要求时加以指出乃至追究合同责任；</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11.3.4 甲方在合同规定期限内履行付款责任；</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11.3.5 甲方在乙方进行安装调试时应给予协助和协调各方关系,乙方应及时提出需要甲方协助和协调的内容,以便保证合同的正常履行；</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11.3.6 甲方对乙方的技术及商业机密予以保密；</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11.3.7 乙方有权按照合同,要求甲方支付相应款项；</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11.3.8 乙方有权在实施安装调试时,提出合乎情理的协助要求；</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11.3.9 双方指定联系人,所有保修过程均应由双方经手人签字记录。</w:t>
      </w:r>
    </w:p>
    <w:p>
      <w:pPr>
        <w:spacing w:line="276"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12.产权条款</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12.1 本合同涉及设备的所有知识产权的种类、归属、许可使用方式和范围均归甲方所有，不涉及任何损害知识产权等内容。</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12.2 乙方应保证甲方在使用该设备或其任何一部分时免受第三方提出侵犯其专利权，商标权或工业产权的起诉。</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12.3 甲方在付清全部货款的90%的情况下，设备的产权归甲方所有。</w:t>
      </w:r>
    </w:p>
    <w:p>
      <w:pPr>
        <w:spacing w:line="276" w:lineRule="auto"/>
        <w:ind w:firstLine="413" w:firstLineChars="196"/>
        <w:rPr>
          <w:rFonts w:hint="eastAsia" w:ascii="宋体" w:hAnsi="宋体" w:eastAsia="宋体" w:cs="宋体"/>
          <w:b/>
          <w:sz w:val="21"/>
          <w:szCs w:val="21"/>
        </w:rPr>
      </w:pPr>
      <w:r>
        <w:rPr>
          <w:rFonts w:hint="eastAsia" w:ascii="宋体" w:hAnsi="宋体" w:eastAsia="宋体" w:cs="宋体"/>
          <w:b/>
          <w:sz w:val="21"/>
          <w:szCs w:val="21"/>
        </w:rPr>
        <w:t>13.违约条款</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13.1 乙方因违章装、卸造成设备损坏, 应赔偿实际损失, 承担违约责任；并向甲方赔付损失部分价款10 % 的违约金；</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13.2 因不符合要求需更换的产品设备必须全新并符合本合同规定的规格，质量和性能，乙方并负责因此而产生的一切费用和甲方的一切直接损失；</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13.3 乙方不履行合同或擅自变更合同,甲方扣除其全部履约保证金；</w:t>
      </w:r>
    </w:p>
    <w:p>
      <w:pPr>
        <w:spacing w:line="276" w:lineRule="auto"/>
        <w:rPr>
          <w:rFonts w:hint="eastAsia" w:ascii="宋体" w:hAnsi="宋体" w:eastAsia="宋体" w:cs="宋体"/>
          <w:b/>
          <w:sz w:val="21"/>
          <w:szCs w:val="21"/>
        </w:rPr>
      </w:pPr>
      <w:r>
        <w:rPr>
          <w:rFonts w:hint="eastAsia" w:ascii="宋体" w:hAnsi="宋体" w:eastAsia="宋体" w:cs="宋体"/>
          <w:b/>
          <w:sz w:val="21"/>
          <w:szCs w:val="21"/>
        </w:rPr>
        <w:t xml:space="preserve">    14.争议处理条款</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14.1 本合同受中华人民共和国法律管辖，并按其进行解释；</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14.2 本合同在履行过程中发生的争议，由双方当事人协商解决，也可由有关部门调解，协商或调解不成的，依法向甲方所在地人民法院起诉；</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14.3违约一方或对</w:t>
      </w:r>
      <w:bookmarkStart w:id="202" w:name="baidusnap0"/>
      <w:bookmarkEnd w:id="202"/>
      <w:r>
        <w:rPr>
          <w:rFonts w:hint="eastAsia" w:ascii="宋体" w:hAnsi="宋体" w:eastAsia="宋体" w:cs="宋体"/>
          <w:sz w:val="21"/>
          <w:szCs w:val="21"/>
        </w:rPr>
        <w:t>合同争议承担主要责任的一方,应承担对方因诉讼活动而产生的合理律师代理费及鉴定(检验)费和其他因违约产生的一切相关费用。</w:t>
      </w:r>
    </w:p>
    <w:p>
      <w:pPr>
        <w:spacing w:line="276" w:lineRule="auto"/>
        <w:ind w:firstLine="420"/>
        <w:rPr>
          <w:rFonts w:hint="eastAsia" w:ascii="宋体" w:hAnsi="宋体" w:eastAsia="宋体" w:cs="宋体"/>
          <w:b/>
          <w:sz w:val="21"/>
          <w:szCs w:val="21"/>
        </w:rPr>
      </w:pPr>
      <w:r>
        <w:rPr>
          <w:rFonts w:hint="eastAsia" w:ascii="宋体" w:hAnsi="宋体" w:eastAsia="宋体" w:cs="宋体"/>
          <w:b/>
          <w:sz w:val="21"/>
          <w:szCs w:val="21"/>
        </w:rPr>
        <w:t>15.合同生效及其他</w:t>
      </w:r>
    </w:p>
    <w:p>
      <w:pPr>
        <w:pStyle w:val="29"/>
        <w:spacing w:line="276" w:lineRule="auto"/>
        <w:ind w:firstLine="480"/>
        <w:rPr>
          <w:rFonts w:hint="eastAsia" w:ascii="宋体" w:hAnsi="宋体" w:eastAsia="宋体" w:cs="宋体"/>
          <w:sz w:val="21"/>
          <w:szCs w:val="21"/>
        </w:rPr>
      </w:pPr>
      <w:r>
        <w:rPr>
          <w:rFonts w:hint="eastAsia" w:ascii="宋体" w:hAnsi="宋体" w:eastAsia="宋体" w:cs="宋体"/>
          <w:sz w:val="21"/>
          <w:szCs w:val="21"/>
        </w:rPr>
        <w:t>15.1本合同一式肆份，甲方执叁份、乙方执壹份，经甲乙双方代表签字、加盖公章后生效，合同履行完成后自行终止。招标（采购）和投标（响应性）文件为本合同组成部分。</w:t>
      </w:r>
    </w:p>
    <w:p>
      <w:pPr>
        <w:pStyle w:val="29"/>
        <w:spacing w:line="276" w:lineRule="auto"/>
        <w:ind w:firstLine="480"/>
        <w:jc w:val="left"/>
        <w:rPr>
          <w:rFonts w:hint="eastAsia" w:ascii="宋体" w:hAnsi="宋体" w:eastAsia="宋体" w:cs="宋体"/>
          <w:sz w:val="21"/>
          <w:szCs w:val="21"/>
        </w:rPr>
      </w:pPr>
      <w:r>
        <w:rPr>
          <w:rFonts w:hint="eastAsia" w:ascii="宋体" w:hAnsi="宋体" w:eastAsia="宋体" w:cs="宋体"/>
          <w:sz w:val="21"/>
          <w:szCs w:val="21"/>
        </w:rPr>
        <w:t>15.2组成本合同的文件及解释顺序为：本合同及补充条款、中标通知书、投标（响应性）文件及其附件；招标（采购）文件及补充通知。如果乙方的投标（响应性）文件及其附件高于国家行业标准的，以投标文件及其附件为准。</w:t>
      </w:r>
    </w:p>
    <w:p>
      <w:pPr>
        <w:pStyle w:val="29"/>
        <w:spacing w:line="276" w:lineRule="auto"/>
        <w:ind w:firstLine="480"/>
        <w:rPr>
          <w:rFonts w:hint="eastAsia" w:ascii="宋体" w:hAnsi="宋体" w:eastAsia="宋体" w:cs="宋体"/>
          <w:sz w:val="21"/>
          <w:szCs w:val="21"/>
        </w:rPr>
      </w:pPr>
      <w:r>
        <w:rPr>
          <w:rFonts w:hint="eastAsia" w:ascii="宋体" w:hAnsi="宋体" w:eastAsia="宋体" w:cs="宋体"/>
          <w:sz w:val="21"/>
          <w:szCs w:val="21"/>
        </w:rPr>
        <w:t>15.3本合同生效之后，任何一方违反本合同规定，除了承担违约金外，还要承担守约方向违约方追究违约责任所支付的一切费用，包括但不限于律师费、诉讼费、保全费、公告费、鉴定费、交通食宿费等。</w:t>
      </w:r>
    </w:p>
    <w:p>
      <w:pPr>
        <w:pStyle w:val="29"/>
        <w:spacing w:line="276" w:lineRule="auto"/>
        <w:ind w:firstLine="480"/>
        <w:rPr>
          <w:rFonts w:hint="eastAsia" w:ascii="宋体" w:hAnsi="宋体" w:eastAsia="宋体" w:cs="宋体"/>
          <w:sz w:val="21"/>
          <w:szCs w:val="21"/>
        </w:rPr>
      </w:pPr>
      <w:r>
        <w:rPr>
          <w:rFonts w:hint="eastAsia" w:ascii="宋体" w:hAnsi="宋体" w:eastAsia="宋体" w:cs="宋体"/>
          <w:sz w:val="21"/>
          <w:szCs w:val="21"/>
        </w:rPr>
        <w:t>15.4 本合同未尽事宜，供需双方可签订补充协议，与本合同具有同等法律效力。</w:t>
      </w:r>
    </w:p>
    <w:p>
      <w:pPr>
        <w:pStyle w:val="29"/>
        <w:spacing w:line="276" w:lineRule="auto"/>
        <w:ind w:firstLine="480"/>
        <w:rPr>
          <w:rFonts w:hint="eastAsia" w:ascii="宋体" w:hAnsi="宋体" w:eastAsia="宋体" w:cs="宋体"/>
          <w:sz w:val="21"/>
          <w:szCs w:val="21"/>
        </w:rPr>
      </w:pPr>
      <w:r>
        <w:rPr>
          <w:rFonts w:hint="eastAsia" w:ascii="宋体" w:hAnsi="宋体" w:eastAsia="宋体" w:cs="宋体"/>
          <w:sz w:val="21"/>
          <w:szCs w:val="21"/>
        </w:rPr>
        <w:t>15.5本合同相关的招投标资料/谈判纪要以及与本合同相关的其他文件均为本合同附件，与本合同具有同等法律效力。若本合同附件与本合同内容存在不一致之处，以本合同约定为准。</w:t>
      </w:r>
    </w:p>
    <w:p>
      <w:pPr>
        <w:spacing w:line="276" w:lineRule="auto"/>
        <w:ind w:firstLine="420" w:firstLineChars="200"/>
        <w:rPr>
          <w:rFonts w:hint="eastAsia" w:ascii="宋体" w:hAnsi="宋体" w:eastAsia="宋体" w:cs="宋体"/>
          <w:sz w:val="21"/>
          <w:szCs w:val="21"/>
        </w:rPr>
      </w:pP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附件：货物清单明细</w:t>
      </w:r>
    </w:p>
    <w:p>
      <w:pPr>
        <w:spacing w:line="276" w:lineRule="auto"/>
        <w:ind w:firstLine="420"/>
        <w:rPr>
          <w:rFonts w:hint="eastAsia" w:ascii="宋体" w:hAnsi="宋体" w:eastAsia="宋体" w:cs="宋体"/>
          <w:bCs/>
          <w:color w:val="000000"/>
          <w:sz w:val="21"/>
          <w:szCs w:val="21"/>
        </w:rPr>
      </w:pPr>
    </w:p>
    <w:p>
      <w:pPr>
        <w:spacing w:line="276" w:lineRule="auto"/>
        <w:ind w:firstLine="420"/>
        <w:rPr>
          <w:rFonts w:hint="eastAsia" w:ascii="宋体" w:hAnsi="宋体" w:eastAsia="宋体" w:cs="宋体"/>
          <w:bCs/>
          <w:color w:val="000000"/>
          <w:sz w:val="21"/>
          <w:szCs w:val="21"/>
        </w:rPr>
      </w:pPr>
      <w:r>
        <w:rPr>
          <w:rFonts w:hint="eastAsia" w:ascii="宋体" w:hAnsi="宋体" w:eastAsia="宋体" w:cs="宋体"/>
          <w:bCs/>
          <w:color w:val="000000"/>
          <w:sz w:val="21"/>
          <w:szCs w:val="21"/>
        </w:rPr>
        <w:t>（以下无正文）</w:t>
      </w:r>
    </w:p>
    <w:p>
      <w:pPr>
        <w:pStyle w:val="29"/>
        <w:ind w:left="3360" w:firstLine="480"/>
        <w:rPr>
          <w:rFonts w:hint="eastAsia" w:ascii="宋体" w:hAnsi="宋体" w:eastAsia="宋体" w:cs="宋体"/>
          <w:sz w:val="21"/>
          <w:szCs w:val="21"/>
        </w:rPr>
      </w:pPr>
    </w:p>
    <w:p>
      <w:pPr>
        <w:snapToGrid w:val="0"/>
        <w:spacing w:line="360" w:lineRule="auto"/>
        <w:ind w:firstLine="413" w:firstLineChars="196"/>
        <w:jc w:val="left"/>
        <w:rPr>
          <w:rFonts w:hint="eastAsia" w:ascii="宋体" w:hAnsi="宋体" w:eastAsia="宋体" w:cs="宋体"/>
          <w:sz w:val="21"/>
          <w:szCs w:val="21"/>
        </w:rPr>
      </w:pPr>
      <w:r>
        <w:rPr>
          <w:rFonts w:hint="eastAsia" w:ascii="宋体" w:hAnsi="宋体" w:eastAsia="宋体" w:cs="宋体"/>
          <w:b/>
          <w:sz w:val="21"/>
          <w:szCs w:val="21"/>
        </w:rPr>
        <w:t>甲方</w:t>
      </w:r>
      <w:r>
        <w:rPr>
          <w:rFonts w:hint="eastAsia" w:ascii="宋体" w:hAnsi="宋体" w:eastAsia="宋体" w:cs="宋体"/>
          <w:sz w:val="21"/>
          <w:szCs w:val="21"/>
        </w:rPr>
        <w:t xml:space="preserve">(印章): 江苏医药职业学院                </w:t>
      </w:r>
      <w:r>
        <w:rPr>
          <w:rFonts w:hint="eastAsia" w:ascii="宋体" w:hAnsi="宋体" w:eastAsia="宋体" w:cs="宋体"/>
          <w:b/>
          <w:sz w:val="21"/>
          <w:szCs w:val="21"/>
        </w:rPr>
        <w:t>乙方</w:t>
      </w:r>
      <w:r>
        <w:rPr>
          <w:rFonts w:hint="eastAsia" w:ascii="宋体" w:hAnsi="宋体" w:eastAsia="宋体" w:cs="宋体"/>
          <w:sz w:val="21"/>
          <w:szCs w:val="21"/>
        </w:rPr>
        <w:t xml:space="preserve">(印章):                  </w:t>
      </w:r>
    </w:p>
    <w:p>
      <w:pPr>
        <w:snapToGrid w:val="0"/>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甲方代表(签字):                             乙方代表(签字):</w:t>
      </w:r>
    </w:p>
    <w:p>
      <w:pPr>
        <w:snapToGrid w:val="0"/>
        <w:spacing w:line="360" w:lineRule="auto"/>
        <w:ind w:left="5670" w:leftChars="200" w:hanging="5250" w:hangingChars="2500"/>
        <w:rPr>
          <w:rFonts w:hint="eastAsia" w:ascii="宋体" w:hAnsi="宋体" w:eastAsia="宋体" w:cs="宋体"/>
          <w:sz w:val="21"/>
          <w:szCs w:val="21"/>
        </w:rPr>
      </w:pPr>
      <w:r>
        <w:rPr>
          <w:rFonts w:hint="eastAsia" w:ascii="宋体" w:hAnsi="宋体" w:eastAsia="宋体" w:cs="宋体"/>
          <w:sz w:val="21"/>
          <w:szCs w:val="21"/>
        </w:rPr>
        <w:t xml:space="preserve">地址: 盐城市解放南路283号                  地址:                       </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电话:051588550311                           电话:                       </w:t>
      </w:r>
    </w:p>
    <w:p>
      <w:pPr>
        <w:autoSpaceDE w:val="0"/>
        <w:autoSpaceDN w:val="0"/>
        <w:adjustRightInd w:val="0"/>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                                          　　  </w:t>
      </w:r>
    </w:p>
    <w:p>
      <w:pPr>
        <w:autoSpaceDE w:val="0"/>
        <w:autoSpaceDN w:val="0"/>
        <w:adjustRightInd w:val="0"/>
        <w:jc w:val="left"/>
        <w:rPr>
          <w:rFonts w:hint="eastAsia" w:ascii="宋体" w:hAnsi="宋体" w:eastAsia="宋体" w:cs="宋体"/>
          <w:sz w:val="21"/>
          <w:szCs w:val="21"/>
        </w:rPr>
      </w:pPr>
    </w:p>
    <w:p>
      <w:pPr>
        <w:snapToGrid w:val="0"/>
        <w:spacing w:line="400" w:lineRule="exact"/>
        <w:ind w:firstLine="3990" w:firstLineChars="19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sz w:val="21"/>
          <w:szCs w:val="21"/>
        </w:rPr>
        <w:t xml:space="preserve">               日期:    年   月   日</w:t>
      </w:r>
    </w:p>
    <w:p/>
    <w:p>
      <w:pPr>
        <w:rPr>
          <w:rFonts w:hint="eastAsia" w:ascii="宋体" w:hAnsi="宋体" w:cs="宋体"/>
          <w:szCs w:val="21"/>
        </w:rPr>
      </w:pPr>
    </w:p>
    <w:p>
      <w:pPr>
        <w:pStyle w:val="5"/>
        <w:rPr>
          <w:rFonts w:hint="eastAsia" w:ascii="宋体" w:hAnsi="宋体" w:cs="宋体"/>
          <w:sz w:val="24"/>
          <w:szCs w:val="21"/>
        </w:rPr>
      </w:pPr>
      <w:r>
        <w:rPr>
          <w:rFonts w:hint="eastAsia"/>
        </w:rPr>
        <w:br w:type="page"/>
      </w:r>
    </w:p>
    <w:p>
      <w:pPr>
        <w:spacing w:line="460" w:lineRule="exact"/>
        <w:jc w:val="center"/>
        <w:outlineLvl w:val="0"/>
        <w:rPr>
          <w:rFonts w:ascii="宋体" w:hAnsi="宋体" w:cs="宋体"/>
          <w:b/>
          <w:color w:val="000000" w:themeColor="text1"/>
          <w:sz w:val="28"/>
          <w:szCs w:val="21"/>
          <w14:textFill>
            <w14:solidFill>
              <w14:schemeClr w14:val="tx1"/>
            </w14:solidFill>
          </w14:textFill>
        </w:rPr>
      </w:pPr>
      <w:bookmarkStart w:id="203" w:name="_Toc8010"/>
      <w:r>
        <w:rPr>
          <w:rFonts w:hint="eastAsia" w:ascii="宋体" w:hAnsi="宋体" w:cs="宋体"/>
          <w:b/>
          <w:color w:val="000000" w:themeColor="text1"/>
          <w:sz w:val="28"/>
          <w:szCs w:val="21"/>
          <w14:textFill>
            <w14:solidFill>
              <w14:schemeClr w14:val="tx1"/>
            </w14:solidFill>
          </w14:textFill>
        </w:rPr>
        <w:t>第四章  评标方法和标准</w:t>
      </w:r>
      <w:bookmarkEnd w:id="171"/>
      <w:bookmarkEnd w:id="172"/>
      <w:bookmarkEnd w:id="203"/>
    </w:p>
    <w:p>
      <w:pPr>
        <w:spacing w:line="240" w:lineRule="exact"/>
        <w:jc w:val="left"/>
        <w:rPr>
          <w:rFonts w:ascii="宋体" w:hAnsi="宋体" w:cs="宋体"/>
          <w:b/>
          <w:color w:val="000000" w:themeColor="text1"/>
          <w:szCs w:val="21"/>
          <w14:textFill>
            <w14:solidFill>
              <w14:schemeClr w14:val="tx1"/>
            </w14:solidFill>
          </w14:textFill>
        </w:rPr>
      </w:pPr>
    </w:p>
    <w:p>
      <w:pPr>
        <w:spacing w:line="440" w:lineRule="exact"/>
        <w:jc w:val="center"/>
        <w:outlineLvl w:val="1"/>
        <w:rPr>
          <w:rFonts w:ascii="宋体" w:hAnsi="宋体" w:cs="宋体"/>
          <w:b/>
          <w:color w:val="000000" w:themeColor="text1"/>
          <w:szCs w:val="21"/>
          <w14:textFill>
            <w14:solidFill>
              <w14:schemeClr w14:val="tx1"/>
            </w14:solidFill>
          </w14:textFill>
        </w:rPr>
      </w:pPr>
      <w:bookmarkStart w:id="204" w:name="_Toc108881187"/>
      <w:bookmarkStart w:id="205" w:name="_Toc4312"/>
      <w:bookmarkStart w:id="206" w:name="_Toc115881328"/>
      <w:r>
        <w:rPr>
          <w:rFonts w:hint="eastAsia" w:ascii="宋体" w:hAnsi="宋体" w:cs="宋体"/>
          <w:b/>
          <w:color w:val="000000" w:themeColor="text1"/>
          <w:szCs w:val="21"/>
          <w14:textFill>
            <w14:solidFill>
              <w14:schemeClr w14:val="tx1"/>
            </w14:solidFill>
          </w14:textFill>
        </w:rPr>
        <w:t>一、评标方法</w:t>
      </w:r>
      <w:bookmarkEnd w:id="204"/>
      <w:bookmarkEnd w:id="205"/>
      <w:bookmarkEnd w:id="206"/>
    </w:p>
    <w:p>
      <w:pPr>
        <w:spacing w:line="44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1.本项目采用“综合评分法”。本项目将按照法律法规及招标文件规定（</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须知等）及本章的规定评标。</w:t>
      </w:r>
    </w:p>
    <w:p>
      <w:pPr>
        <w:spacing w:line="44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应当以合理的报价参加竞争。评标委员会认为</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的报价明显低于其他通过符合性检查</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的报价，有可能影响产品质量或者不能诚信履约的，且</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未按照规定证明其报价合理性的，按无效投标处理。</w:t>
      </w:r>
    </w:p>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3.根据《政府采购促进中小企业发展管理办法》等有关规定，对满足价格扣除条件且在投标文件中提交了《中小企业声明函》等证明文件的</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须知23.3），对小型和微型企业产品的价格</w:t>
      </w:r>
      <w:r>
        <w:rPr>
          <w:rFonts w:hint="eastAsia" w:ascii="宋体" w:hAnsi="宋体" w:cs="宋体"/>
          <w:b/>
          <w:color w:val="000000" w:themeColor="text1"/>
          <w:szCs w:val="21"/>
          <w:u w:val="single"/>
          <w14:textFill>
            <w14:solidFill>
              <w14:schemeClr w14:val="tx1"/>
            </w14:solidFill>
          </w14:textFill>
        </w:rPr>
        <w:t>给予20%的扣除</w:t>
      </w:r>
      <w:r>
        <w:rPr>
          <w:rFonts w:hint="eastAsia" w:ascii="宋体" w:hAnsi="宋体" w:cs="宋体"/>
          <w:color w:val="000000" w:themeColor="text1"/>
          <w:szCs w:val="21"/>
          <w14:textFill>
            <w14:solidFill>
              <w14:schemeClr w14:val="tx1"/>
            </w14:solidFill>
          </w14:textFill>
        </w:rPr>
        <w:t>，本项目对残疾人福利性单位、监狱和戒毒企业（简称监狱企业）均视同小型、微型企业，对于同时属于小微企业、监狱企业或残疾人福利性单位的，不重复进行投标报价扣除。用扣除后的价格参与评审。</w:t>
      </w:r>
    </w:p>
    <w:p>
      <w:pPr>
        <w:spacing w:line="440" w:lineRule="exact"/>
        <w:ind w:firstLine="40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4.各项评分均保证到小数点后2位；评分统计（含报价分计算）按4舍5入精确到小数点后 2 位。</w:t>
      </w:r>
    </w:p>
    <w:p>
      <w:pPr>
        <w:spacing w:line="440" w:lineRule="exact"/>
        <w:ind w:firstLine="43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5.同品牌处理办法：</w:t>
      </w:r>
    </w:p>
    <w:p>
      <w:pPr>
        <w:spacing w:line="440" w:lineRule="exact"/>
        <w:ind w:firstLine="43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5.1如采用最低评标办法，则：</w:t>
      </w:r>
      <w:r>
        <w:rPr>
          <w:rFonts w:hint="eastAsia" w:ascii="宋体" w:hAnsi="宋体" w:cs="宋体"/>
          <w:b/>
          <w:color w:val="000000" w:themeColor="text1"/>
          <w:szCs w:val="21"/>
          <w:u w:val="single"/>
          <w14:textFill>
            <w14:solidFill>
              <w14:schemeClr w14:val="tx1"/>
            </w14:solidFill>
          </w14:textFill>
        </w:rPr>
        <w:t>免费质保期最长的</w:t>
      </w:r>
      <w:r>
        <w:rPr>
          <w:rFonts w:hint="eastAsia" w:ascii="宋体" w:hAnsi="宋体" w:cs="宋体"/>
          <w:color w:val="000000" w:themeColor="text1"/>
          <w:szCs w:val="21"/>
          <w14:textFill>
            <w14:solidFill>
              <w14:schemeClr w14:val="tx1"/>
            </w14:solidFill>
          </w14:textFill>
        </w:rPr>
        <w:t>参加评标。如</w:t>
      </w:r>
      <w:r>
        <w:rPr>
          <w:rFonts w:hint="eastAsia" w:ascii="宋体" w:hAnsi="宋体" w:cs="宋体"/>
          <w:b/>
          <w:color w:val="000000" w:themeColor="text1"/>
          <w:szCs w:val="21"/>
          <w:u w:val="single"/>
          <w14:textFill>
            <w14:solidFill>
              <w14:schemeClr w14:val="tx1"/>
            </w14:solidFill>
          </w14:textFill>
        </w:rPr>
        <w:t>免费质保期</w:t>
      </w:r>
      <w:r>
        <w:rPr>
          <w:rFonts w:hint="eastAsia" w:ascii="宋体" w:hAnsi="宋体" w:cs="宋体"/>
          <w:color w:val="000000" w:themeColor="text1"/>
          <w:szCs w:val="21"/>
          <w14:textFill>
            <w14:solidFill>
              <w14:schemeClr w14:val="tx1"/>
            </w14:solidFill>
          </w14:textFill>
        </w:rPr>
        <w:t>相同的，采取随机抽取方式确定；如采用综合评标法，则：</w:t>
      </w:r>
      <w:r>
        <w:rPr>
          <w:rFonts w:hint="eastAsia" w:ascii="宋体" w:hAnsi="宋体" w:cs="宋体"/>
          <w:b/>
          <w:color w:val="000000" w:themeColor="text1"/>
          <w:szCs w:val="21"/>
          <w:u w:val="single"/>
          <w14:textFill>
            <w14:solidFill>
              <w14:schemeClr w14:val="tx1"/>
            </w14:solidFill>
          </w14:textFill>
        </w:rPr>
        <w:t>报价最低的</w:t>
      </w:r>
      <w:r>
        <w:rPr>
          <w:rFonts w:hint="eastAsia" w:ascii="宋体" w:hAnsi="宋体" w:cs="宋体"/>
          <w:color w:val="000000" w:themeColor="text1"/>
          <w:szCs w:val="21"/>
          <w14:textFill>
            <w14:solidFill>
              <w14:schemeClr w14:val="tx1"/>
            </w14:solidFill>
          </w14:textFill>
        </w:rPr>
        <w:t>参加评标。如</w:t>
      </w:r>
      <w:r>
        <w:rPr>
          <w:rFonts w:hint="eastAsia" w:ascii="宋体" w:hAnsi="宋体" w:cs="宋体"/>
          <w:b/>
          <w:color w:val="000000" w:themeColor="text1"/>
          <w:szCs w:val="21"/>
          <w:u w:val="single"/>
          <w14:textFill>
            <w14:solidFill>
              <w14:schemeClr w14:val="tx1"/>
            </w14:solidFill>
          </w14:textFill>
        </w:rPr>
        <w:t>报价相同</w:t>
      </w:r>
      <w:r>
        <w:rPr>
          <w:rFonts w:hint="eastAsia" w:ascii="宋体" w:hAnsi="宋体" w:cs="宋体"/>
          <w:color w:val="000000" w:themeColor="text1"/>
          <w:szCs w:val="21"/>
          <w14:textFill>
            <w14:solidFill>
              <w14:schemeClr w14:val="tx1"/>
            </w14:solidFill>
          </w14:textFill>
        </w:rPr>
        <w:t>的，采取随机抽取方式确定。</w:t>
      </w:r>
    </w:p>
    <w:p>
      <w:pPr>
        <w:spacing w:line="440" w:lineRule="exact"/>
        <w:ind w:firstLine="420"/>
        <w:jc w:val="left"/>
        <w:rPr>
          <w:rFonts w:ascii="宋体" w:hAnsi="宋体" w:cs="宋体"/>
          <w:b/>
          <w:color w:val="000000" w:themeColor="text1"/>
          <w:szCs w:val="21"/>
          <w14:textFill>
            <w14:solidFill>
              <w14:schemeClr w14:val="tx1"/>
            </w14:solidFill>
          </w14:textFill>
        </w:rPr>
      </w:pPr>
      <w:bookmarkStart w:id="207" w:name="_Toc108881188"/>
      <w:bookmarkStart w:id="208" w:name="_Toc115881329"/>
      <w:r>
        <w:rPr>
          <w:rFonts w:hint="eastAsia" w:ascii="宋体" w:hAnsi="宋体" w:cs="宋体"/>
          <w:color w:val="000000" w:themeColor="text1"/>
          <w:szCs w:val="21"/>
          <w14:textFill>
            <w14:solidFill>
              <w14:schemeClr w14:val="tx1"/>
            </w14:solidFill>
          </w14:textFill>
        </w:rPr>
        <w:t>5.2如本项目使用综合评分法，提供相同品牌产品且通过资格审查、符合性审查的不同</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，按一家</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计算，评审后得分最高的同品牌</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获得中标人推荐资格；评审得分相同的，由采购人或者采购人委托评标委员会按照招标文件中评标办法规定的方式确定一个</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获得中标人推荐资格；未规定的采取随机抽取方式确定，其他同品牌</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不作为中标候选人。</w:t>
      </w:r>
    </w:p>
    <w:p>
      <w:pPr>
        <w:spacing w:line="440" w:lineRule="exact"/>
        <w:jc w:val="center"/>
        <w:outlineLvl w:val="1"/>
        <w:rPr>
          <w:rFonts w:ascii="宋体" w:hAnsi="宋体" w:cs="宋体"/>
          <w:b/>
          <w:color w:val="0000FF"/>
          <w:szCs w:val="21"/>
        </w:rPr>
      </w:pPr>
      <w:bookmarkStart w:id="209" w:name="_Toc14655"/>
      <w:r>
        <w:rPr>
          <w:rFonts w:hint="eastAsia" w:ascii="宋体" w:hAnsi="宋体" w:cs="宋体"/>
          <w:b/>
          <w:color w:val="000000" w:themeColor="text1"/>
          <w:szCs w:val="21"/>
          <w14:textFill>
            <w14:solidFill>
              <w14:schemeClr w14:val="tx1"/>
            </w14:solidFill>
          </w14:textFill>
        </w:rPr>
        <w:t>二、评分标准</w:t>
      </w:r>
      <w:bookmarkEnd w:id="207"/>
      <w:bookmarkEnd w:id="208"/>
      <w:bookmarkEnd w:id="209"/>
    </w:p>
    <w:tbl>
      <w:tblPr>
        <w:tblStyle w:val="30"/>
        <w:tblW w:w="985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76"/>
        <w:gridCol w:w="737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kern w:val="0"/>
                <w:sz w:val="21"/>
                <w:szCs w:val="21"/>
              </w:rPr>
            </w:pPr>
            <w:bookmarkStart w:id="210" w:name="_Toc108881189"/>
            <w:r>
              <w:rPr>
                <w:rFonts w:hint="eastAsia" w:ascii="宋体" w:hAnsi="宋体" w:eastAsia="宋体" w:cs="宋体"/>
                <w:b/>
                <w:kern w:val="0"/>
                <w:sz w:val="21"/>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sz w:val="21"/>
                <w:szCs w:val="21"/>
              </w:rPr>
            </w:pPr>
            <w:r>
              <w:rPr>
                <w:rFonts w:hint="eastAsia" w:ascii="宋体" w:hAnsi="宋体" w:eastAsia="宋体" w:cs="宋体"/>
                <w:b/>
                <w:kern w:val="0"/>
                <w:sz w:val="21"/>
                <w:szCs w:val="21"/>
              </w:rPr>
              <w:t>评审项目</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sz w:val="21"/>
                <w:szCs w:val="21"/>
              </w:rPr>
            </w:pPr>
            <w:r>
              <w:rPr>
                <w:rFonts w:hint="eastAsia" w:ascii="宋体" w:hAnsi="宋体" w:eastAsia="宋体" w:cs="宋体"/>
                <w:b/>
                <w:kern w:val="0"/>
                <w:sz w:val="21"/>
                <w:szCs w:val="21"/>
              </w:rPr>
              <w:t>评分内容</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投标报价</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30分</w:t>
            </w:r>
            <w:r>
              <w:rPr>
                <w:rFonts w:hint="eastAsia" w:ascii="宋体" w:hAnsi="宋体" w:eastAsia="宋体" w:cs="宋体"/>
                <w:kern w:val="0"/>
                <w:sz w:val="21"/>
                <w:szCs w:val="21"/>
                <w:lang w:eastAsia="zh-CN"/>
              </w:rPr>
              <w:t>）</w:t>
            </w:r>
          </w:p>
        </w:tc>
        <w:tc>
          <w:tcPr>
            <w:tcW w:w="7371" w:type="dxa"/>
            <w:tcBorders>
              <w:top w:val="single" w:color="auto" w:sz="4" w:space="0"/>
              <w:left w:val="single" w:color="auto" w:sz="4" w:space="0"/>
              <w:bottom w:val="single" w:color="auto" w:sz="4" w:space="0"/>
              <w:right w:val="single" w:color="auto" w:sz="4" w:space="0"/>
            </w:tcBorders>
          </w:tcPr>
          <w:p>
            <w:pPr>
              <w:tabs>
                <w:tab w:val="left" w:pos="-540"/>
                <w:tab w:val="left" w:pos="2880"/>
                <w:tab w:val="left" w:pos="3600"/>
                <w:tab w:val="left" w:pos="4320"/>
                <w:tab w:val="center" w:pos="4433"/>
              </w:tabs>
              <w:autoSpaceDE w:val="0"/>
              <w:autoSpaceDN w:val="0"/>
              <w:adjustRightInd w:val="0"/>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以满足招标文件要求且投标价格最低的投标报价为评标基准价，其价格分为满分30分，其他</w:t>
            </w:r>
            <w:r>
              <w:rPr>
                <w:rFonts w:hint="eastAsia" w:ascii="宋体" w:hAnsi="宋体" w:eastAsia="宋体" w:cs="宋体"/>
                <w:kern w:val="0"/>
                <w:sz w:val="21"/>
                <w:szCs w:val="21"/>
                <w:lang w:eastAsia="zh-CN"/>
              </w:rPr>
              <w:t>投标供应商</w:t>
            </w:r>
            <w:r>
              <w:rPr>
                <w:rFonts w:hint="eastAsia" w:ascii="宋体" w:hAnsi="宋体" w:eastAsia="宋体" w:cs="宋体"/>
                <w:kern w:val="0"/>
                <w:sz w:val="21"/>
                <w:szCs w:val="21"/>
              </w:rPr>
              <w:t>的价格分按照下列公式计算：投标报价得分=（评标基准价/投标报价）×30（小数点后保留两位，四舍五入）</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技术响应</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30分</w:t>
            </w:r>
            <w:r>
              <w:rPr>
                <w:rFonts w:hint="eastAsia" w:ascii="宋体" w:hAnsi="宋体" w:eastAsia="宋体" w:cs="宋体"/>
                <w:kern w:val="0"/>
                <w:sz w:val="21"/>
                <w:szCs w:val="21"/>
                <w:lang w:eastAsia="zh-CN"/>
              </w:rPr>
              <w:t>）</w:t>
            </w:r>
          </w:p>
        </w:tc>
        <w:tc>
          <w:tcPr>
            <w:tcW w:w="7371"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投标产品对招标文件具体需求的响应程度能够满足招标文件技术要求的得30分。如带“★”条款存在负偏离的，每一条负偏离扣3分，负偏离≥3条的本项不得分；未带“★”条款负偏离1项扣1分，负偏离≥5条的本项不得分。</w:t>
            </w:r>
          </w:p>
          <w:p>
            <w:pPr>
              <w:tabs>
                <w:tab w:val="left" w:pos="-540"/>
                <w:tab w:val="left" w:pos="2880"/>
                <w:tab w:val="left" w:pos="3600"/>
                <w:tab w:val="left" w:pos="4320"/>
                <w:tab w:val="center" w:pos="4433"/>
              </w:tabs>
              <w:autoSpaceDE w:val="0"/>
              <w:autoSpaceDN w:val="0"/>
              <w:adjustRightInd w:val="0"/>
              <w:spacing w:line="320" w:lineRule="exact"/>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eastAsia="zh-CN"/>
              </w:rPr>
              <w:t>投标供应商</w:t>
            </w:r>
            <w:r>
              <w:rPr>
                <w:rFonts w:hint="eastAsia" w:ascii="宋体" w:hAnsi="宋体" w:eastAsia="宋体" w:cs="宋体"/>
                <w:kern w:val="0"/>
                <w:sz w:val="21"/>
                <w:szCs w:val="21"/>
              </w:rPr>
              <w:t>需在“技术条款偏离表”中如实详细填列所投产品的技术指标，并按采购文件要求提供相应证明材料并在偏离表中标明所在页码。</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8" w:type="dxa"/>
            <w:tcBorders>
              <w:top w:val="single" w:color="auto" w:sz="4" w:space="0"/>
              <w:left w:val="single" w:color="auto" w:sz="4" w:space="0"/>
              <w:right w:val="single" w:color="auto" w:sz="4" w:space="0"/>
            </w:tcBorders>
            <w:vAlign w:val="center"/>
          </w:tcPr>
          <w:p>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项目业绩</w:t>
            </w:r>
          </w:p>
          <w:p>
            <w:pPr>
              <w:tabs>
                <w:tab w:val="left" w:pos="-540"/>
                <w:tab w:val="left" w:pos="2880"/>
                <w:tab w:val="left" w:pos="3600"/>
                <w:tab w:val="left" w:pos="4320"/>
                <w:tab w:val="center" w:pos="4433"/>
              </w:tabs>
              <w:autoSpaceDE w:val="0"/>
              <w:autoSpaceDN w:val="0"/>
              <w:adjustRightIn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cs="宋体"/>
                <w:kern w:val="0"/>
                <w:sz w:val="21"/>
                <w:szCs w:val="21"/>
                <w:lang w:val="en-US" w:eastAsia="zh-CN"/>
              </w:rPr>
              <w:t>6</w:t>
            </w:r>
            <w:r>
              <w:rPr>
                <w:rFonts w:hint="eastAsia" w:ascii="宋体" w:hAnsi="宋体" w:eastAsia="宋体" w:cs="宋体"/>
                <w:kern w:val="0"/>
                <w:sz w:val="21"/>
                <w:szCs w:val="21"/>
                <w:lang w:val="en-US" w:eastAsia="zh-CN"/>
              </w:rPr>
              <w:t>分</w:t>
            </w:r>
            <w:r>
              <w:rPr>
                <w:rFonts w:hint="eastAsia" w:ascii="宋体" w:hAnsi="宋体" w:eastAsia="宋体" w:cs="宋体"/>
                <w:kern w:val="0"/>
                <w:sz w:val="21"/>
                <w:szCs w:val="21"/>
                <w:lang w:eastAsia="zh-CN"/>
              </w:rPr>
              <w:t>）</w:t>
            </w:r>
          </w:p>
        </w:tc>
        <w:tc>
          <w:tcPr>
            <w:tcW w:w="7371" w:type="dxa"/>
            <w:tcBorders>
              <w:top w:val="single" w:color="auto" w:sz="4" w:space="0"/>
              <w:left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投标供应商</w:t>
            </w:r>
            <w:r>
              <w:rPr>
                <w:rFonts w:hint="eastAsia" w:ascii="宋体" w:hAnsi="宋体" w:eastAsia="宋体" w:cs="宋体"/>
                <w:kern w:val="0"/>
                <w:sz w:val="21"/>
                <w:szCs w:val="21"/>
              </w:rPr>
              <w:t>自2020年1月1日起（以签订合同时间为准）签订过同类设备</w:t>
            </w:r>
            <w:bookmarkStart w:id="242" w:name="_GoBack"/>
            <w:bookmarkEnd w:id="242"/>
            <w:r>
              <w:rPr>
                <w:rFonts w:hint="eastAsia" w:ascii="宋体" w:hAnsi="宋体" w:eastAsia="宋体" w:cs="宋体"/>
                <w:kern w:val="0"/>
                <w:sz w:val="21"/>
                <w:szCs w:val="21"/>
              </w:rPr>
              <w:t>销售合同业绩（由评审小组进行认定），每提供1个得2分，本项最高得6分。</w:t>
            </w:r>
          </w:p>
          <w:p>
            <w:pPr>
              <w:tabs>
                <w:tab w:val="left" w:pos="-540"/>
                <w:tab w:val="left" w:pos="2880"/>
                <w:tab w:val="left" w:pos="3600"/>
                <w:tab w:val="left" w:pos="4320"/>
                <w:tab w:val="center" w:pos="4433"/>
              </w:tabs>
              <w:autoSpaceDE w:val="0"/>
              <w:autoSpaceDN w:val="0"/>
              <w:adjustRightInd w:val="0"/>
              <w:spacing w:line="320" w:lineRule="exact"/>
              <w:ind w:firstLine="422" w:firstLineChars="200"/>
              <w:jc w:val="left"/>
              <w:rPr>
                <w:rFonts w:hint="eastAsia" w:ascii="宋体" w:hAnsi="宋体" w:eastAsia="宋体" w:cs="宋体"/>
                <w:kern w:val="0"/>
                <w:sz w:val="21"/>
                <w:szCs w:val="21"/>
              </w:rPr>
            </w:pPr>
            <w:r>
              <w:rPr>
                <w:rFonts w:hint="eastAsia" w:ascii="宋体" w:hAnsi="宋体" w:eastAsia="宋体" w:cs="宋体"/>
                <w:b/>
                <w:bCs/>
                <w:kern w:val="0"/>
                <w:sz w:val="21"/>
                <w:szCs w:val="21"/>
              </w:rPr>
              <w:t>提供合同、中标（成交）通知书且加盖</w:t>
            </w:r>
            <w:r>
              <w:rPr>
                <w:rFonts w:hint="eastAsia" w:ascii="宋体" w:hAnsi="宋体" w:eastAsia="宋体" w:cs="宋体"/>
                <w:b/>
                <w:bCs/>
                <w:kern w:val="0"/>
                <w:sz w:val="21"/>
                <w:szCs w:val="21"/>
                <w:lang w:eastAsia="zh-CN"/>
              </w:rPr>
              <w:t>投标供应商</w:t>
            </w:r>
            <w:r>
              <w:rPr>
                <w:rFonts w:hint="eastAsia" w:ascii="宋体" w:hAnsi="宋体" w:eastAsia="宋体" w:cs="宋体"/>
                <w:b/>
                <w:bCs/>
                <w:kern w:val="0"/>
                <w:sz w:val="21"/>
                <w:szCs w:val="21"/>
              </w:rPr>
              <w:t>公章的完整复印件须装订于投标文件中，否则不得分。</w:t>
            </w:r>
          </w:p>
        </w:tc>
        <w:tc>
          <w:tcPr>
            <w:tcW w:w="708" w:type="dxa"/>
            <w:tcBorders>
              <w:top w:val="single" w:color="auto" w:sz="4" w:space="0"/>
              <w:left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98"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1276" w:type="dxa"/>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实施方案</w:t>
            </w:r>
            <w:r>
              <w:rPr>
                <w:rFonts w:hint="eastAsia" w:ascii="宋体" w:hAnsi="宋体" w:eastAsia="宋体" w:cs="宋体"/>
                <w:kern w:val="0"/>
                <w:sz w:val="21"/>
                <w:szCs w:val="21"/>
                <w:lang w:eastAsia="zh-CN"/>
              </w:rPr>
              <w:t>（</w:t>
            </w:r>
            <w:r>
              <w:rPr>
                <w:rFonts w:hint="eastAsia" w:ascii="宋体" w:hAnsi="宋体" w:cs="宋体"/>
                <w:kern w:val="0"/>
                <w:sz w:val="21"/>
                <w:szCs w:val="21"/>
                <w:lang w:val="en-US" w:eastAsia="zh-CN"/>
              </w:rPr>
              <w:t>15</w:t>
            </w:r>
            <w:r>
              <w:rPr>
                <w:rFonts w:hint="eastAsia" w:ascii="宋体" w:hAnsi="宋体" w:eastAsia="宋体" w:cs="宋体"/>
                <w:kern w:val="0"/>
                <w:sz w:val="21"/>
                <w:szCs w:val="21"/>
                <w:lang w:val="en-US" w:eastAsia="zh-CN"/>
              </w:rPr>
              <w:t>分</w:t>
            </w:r>
            <w:r>
              <w:rPr>
                <w:rFonts w:hint="eastAsia" w:ascii="宋体" w:hAnsi="宋体" w:eastAsia="宋体" w:cs="宋体"/>
                <w:kern w:val="0"/>
                <w:sz w:val="21"/>
                <w:szCs w:val="21"/>
                <w:lang w:eastAsia="zh-CN"/>
              </w:rPr>
              <w:t>）</w:t>
            </w:r>
          </w:p>
        </w:tc>
        <w:tc>
          <w:tcPr>
            <w:tcW w:w="7371" w:type="dxa"/>
            <w:vAlign w:val="center"/>
          </w:tcPr>
          <w:p>
            <w:pPr>
              <w:widowControl/>
              <w:spacing w:line="320" w:lineRule="exact"/>
              <w:ind w:firstLine="422" w:firstLineChars="20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根据</w:t>
            </w:r>
            <w:r>
              <w:rPr>
                <w:rFonts w:hint="eastAsia" w:ascii="宋体" w:hAnsi="宋体" w:eastAsia="宋体" w:cs="宋体"/>
                <w:b/>
                <w:bCs/>
                <w:kern w:val="0"/>
                <w:sz w:val="21"/>
                <w:szCs w:val="21"/>
                <w:lang w:eastAsia="zh-CN"/>
              </w:rPr>
              <w:t>投标供应商</w:t>
            </w:r>
            <w:r>
              <w:rPr>
                <w:rFonts w:hint="eastAsia" w:ascii="宋体" w:hAnsi="宋体" w:eastAsia="宋体" w:cs="宋体"/>
                <w:b/>
                <w:bCs/>
                <w:kern w:val="0"/>
                <w:sz w:val="21"/>
                <w:szCs w:val="21"/>
              </w:rPr>
              <w:t>针对本项目的供货、安装方案进行评价：</w:t>
            </w:r>
          </w:p>
          <w:p>
            <w:pPr>
              <w:widowControl/>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针对本项目的产品供货、安装方案描述合理、可行、有可靠的保证措施，且能够提供更快的供货安装期，得13.1-15分；</w:t>
            </w:r>
          </w:p>
          <w:p>
            <w:pPr>
              <w:widowControl/>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针对本项目的产品供货、安装方案描述简略，仅能满足项目基础使用要求的，得11.1-13分；</w:t>
            </w:r>
          </w:p>
          <w:p>
            <w:pPr>
              <w:widowControl/>
              <w:spacing w:line="320" w:lineRule="exact"/>
              <w:ind w:left="-53" w:leftChars="-202" w:hanging="371" w:hangingChars="177"/>
              <w:jc w:val="left"/>
              <w:rPr>
                <w:rFonts w:hint="eastAsia" w:ascii="宋体" w:hAnsi="宋体" w:eastAsia="宋体" w:cs="宋体"/>
                <w:kern w:val="0"/>
                <w:sz w:val="21"/>
                <w:szCs w:val="21"/>
              </w:rPr>
            </w:pPr>
            <w:r>
              <w:rPr>
                <w:rFonts w:hint="eastAsia" w:ascii="宋体" w:hAnsi="宋体" w:eastAsia="宋体" w:cs="宋体"/>
                <w:kern w:val="0"/>
                <w:sz w:val="21"/>
                <w:szCs w:val="21"/>
              </w:rPr>
              <w:t>针     对本项目的产品供货、安装方案描述差，不能满足项目基础使用要求的，得9.1-11分；未提供方案的不得分。</w:t>
            </w:r>
          </w:p>
        </w:tc>
        <w:tc>
          <w:tcPr>
            <w:tcW w:w="708" w:type="dxa"/>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hint="eastAsia" w:ascii="宋体" w:hAnsi="宋体" w:eastAsia="宋体" w:cs="宋体"/>
                <w:kern w:val="0"/>
                <w:sz w:val="21"/>
                <w:szCs w:val="21"/>
              </w:rPr>
            </w:pPr>
            <w:r>
              <w:rPr>
                <w:rFonts w:hint="eastAsia" w:ascii="宋体" w:hAnsi="宋体" w:eastAsia="宋体" w:cs="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98"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1276" w:type="dxa"/>
            <w:vAlign w:val="center"/>
          </w:tcPr>
          <w:p>
            <w:pPr>
              <w:widowControl/>
              <w:spacing w:line="320" w:lineRule="exact"/>
              <w:jc w:val="center"/>
              <w:rPr>
                <w:rFonts w:hint="eastAsia" w:ascii="宋体" w:hAnsi="宋体" w:eastAsia="宋体" w:cs="宋体"/>
                <w:sz w:val="21"/>
                <w:szCs w:val="21"/>
              </w:rPr>
            </w:pPr>
            <w:r>
              <w:rPr>
                <w:rFonts w:hint="eastAsia" w:ascii="宋体" w:hAnsi="宋体" w:eastAsia="宋体" w:cs="宋体"/>
                <w:sz w:val="21"/>
                <w:szCs w:val="21"/>
              </w:rPr>
              <w:t>培训方案</w:t>
            </w:r>
          </w:p>
          <w:p>
            <w:pPr>
              <w:widowControl/>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lang w:eastAsia="zh-CN"/>
              </w:rPr>
              <w:t>（</w:t>
            </w:r>
            <w:r>
              <w:rPr>
                <w:rFonts w:hint="eastAsia" w:ascii="宋体" w:hAnsi="宋体" w:cs="宋体"/>
                <w:kern w:val="0"/>
                <w:sz w:val="21"/>
                <w:szCs w:val="21"/>
                <w:lang w:val="en-US" w:eastAsia="zh-CN"/>
              </w:rPr>
              <w:t>7</w:t>
            </w:r>
            <w:r>
              <w:rPr>
                <w:rFonts w:hint="eastAsia" w:ascii="宋体" w:hAnsi="宋体" w:eastAsia="宋体" w:cs="宋体"/>
                <w:kern w:val="0"/>
                <w:sz w:val="21"/>
                <w:szCs w:val="21"/>
                <w:lang w:val="en-US" w:eastAsia="zh-CN"/>
              </w:rPr>
              <w:t>分</w:t>
            </w:r>
            <w:r>
              <w:rPr>
                <w:rFonts w:hint="eastAsia" w:ascii="宋体" w:hAnsi="宋体" w:eastAsia="宋体" w:cs="宋体"/>
                <w:kern w:val="0"/>
                <w:sz w:val="21"/>
                <w:szCs w:val="21"/>
                <w:lang w:eastAsia="zh-CN"/>
              </w:rPr>
              <w:t>）</w:t>
            </w:r>
          </w:p>
        </w:tc>
        <w:tc>
          <w:tcPr>
            <w:tcW w:w="7371" w:type="dxa"/>
            <w:vAlign w:val="center"/>
          </w:tcPr>
          <w:p>
            <w:pPr>
              <w:widowControl/>
              <w:spacing w:line="32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根据</w:t>
            </w:r>
            <w:r>
              <w:rPr>
                <w:rFonts w:hint="eastAsia" w:ascii="宋体" w:hAnsi="宋体" w:eastAsia="宋体" w:cs="宋体"/>
                <w:b/>
                <w:bCs/>
                <w:sz w:val="21"/>
                <w:szCs w:val="21"/>
                <w:lang w:eastAsia="zh-CN"/>
              </w:rPr>
              <w:t>投标供应商</w:t>
            </w:r>
            <w:r>
              <w:rPr>
                <w:rFonts w:hint="eastAsia" w:ascii="宋体" w:hAnsi="宋体" w:eastAsia="宋体" w:cs="宋体"/>
                <w:b/>
                <w:bCs/>
                <w:sz w:val="21"/>
                <w:szCs w:val="21"/>
              </w:rPr>
              <w:t>提供的培训组织方案、人员安排进行评分：</w:t>
            </w:r>
          </w:p>
          <w:p>
            <w:pPr>
              <w:widowControl/>
              <w:autoSpaceDE w:val="0"/>
              <w:autoSpaceDN w:val="0"/>
              <w:adjustRightInd w:val="0"/>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培训方案科学合理，可行性强得5.1-7分；</w:t>
            </w:r>
          </w:p>
          <w:p>
            <w:pPr>
              <w:widowControl/>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培训方案较合理，可行性一般得 3.1-5分；</w:t>
            </w:r>
          </w:p>
          <w:p>
            <w:pPr>
              <w:widowControl/>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培训方案一般，可行性差得1.1-3分；未提供不得分。</w:t>
            </w:r>
          </w:p>
        </w:tc>
        <w:tc>
          <w:tcPr>
            <w:tcW w:w="708" w:type="dxa"/>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98"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1276" w:type="dxa"/>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售后服务</w:t>
            </w:r>
          </w:p>
          <w:p>
            <w:pPr>
              <w:tabs>
                <w:tab w:val="left" w:pos="-540"/>
                <w:tab w:val="left" w:pos="2880"/>
                <w:tab w:val="left" w:pos="3600"/>
                <w:tab w:val="left" w:pos="4320"/>
                <w:tab w:val="center" w:pos="4433"/>
              </w:tabs>
              <w:autoSpaceDE w:val="0"/>
              <w:autoSpaceDN w:val="0"/>
              <w:adjustRightIn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cs="宋体"/>
                <w:kern w:val="0"/>
                <w:sz w:val="21"/>
                <w:szCs w:val="21"/>
                <w:lang w:val="en-US" w:eastAsia="zh-CN"/>
              </w:rPr>
              <w:t>8</w:t>
            </w:r>
            <w:r>
              <w:rPr>
                <w:rFonts w:hint="eastAsia" w:ascii="宋体" w:hAnsi="宋体" w:eastAsia="宋体" w:cs="宋体"/>
                <w:kern w:val="0"/>
                <w:sz w:val="21"/>
                <w:szCs w:val="21"/>
                <w:lang w:val="en-US" w:eastAsia="zh-CN"/>
              </w:rPr>
              <w:t>分</w:t>
            </w:r>
            <w:r>
              <w:rPr>
                <w:rFonts w:hint="eastAsia" w:ascii="宋体" w:hAnsi="宋体" w:eastAsia="宋体" w:cs="宋体"/>
                <w:kern w:val="0"/>
                <w:sz w:val="21"/>
                <w:szCs w:val="21"/>
                <w:lang w:eastAsia="zh-CN"/>
              </w:rPr>
              <w:t>）</w:t>
            </w:r>
          </w:p>
        </w:tc>
        <w:tc>
          <w:tcPr>
            <w:tcW w:w="7371" w:type="dxa"/>
            <w:vAlign w:val="center"/>
          </w:tcPr>
          <w:p>
            <w:pPr>
              <w:widowControl/>
              <w:spacing w:line="32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根据</w:t>
            </w:r>
            <w:r>
              <w:rPr>
                <w:rFonts w:hint="eastAsia" w:ascii="宋体" w:hAnsi="宋体" w:eastAsia="宋体" w:cs="宋体"/>
                <w:b/>
                <w:bCs/>
                <w:sz w:val="21"/>
                <w:szCs w:val="21"/>
                <w:lang w:eastAsia="zh-CN"/>
              </w:rPr>
              <w:t>投标供应商</w:t>
            </w:r>
            <w:r>
              <w:rPr>
                <w:rFonts w:hint="eastAsia" w:ascii="宋体" w:hAnsi="宋体" w:eastAsia="宋体" w:cs="宋体"/>
                <w:b/>
                <w:bCs/>
                <w:sz w:val="21"/>
                <w:szCs w:val="21"/>
              </w:rPr>
              <w:t>提供的售后服务方案进行评分：</w:t>
            </w:r>
          </w:p>
          <w:p>
            <w:pPr>
              <w:widowControl/>
              <w:spacing w:line="3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提供的设备生产厂家或设备生产厂家授权的国内公司（或国内独家代理公司）售后服务承诺函，售后服务体系、服务方案、设备耗材、售后服务分支机构及人员水平详细周全、可行，并承诺更优惠的质保期能够完全满足或高于项目需求的，得6.1-8分；</w:t>
            </w:r>
          </w:p>
          <w:p>
            <w:pPr>
              <w:widowControl/>
              <w:spacing w:line="3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提供的设备生产厂家售后服务承诺函，设备厂家售后服务体系、服务方案、设备耗材、售后服务分支机构及人员水平描述简略、不详实的，得4.1-6分；</w:t>
            </w:r>
          </w:p>
          <w:p>
            <w:pPr>
              <w:widowControl/>
              <w:spacing w:line="3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未提供设备生产厂家售后服务承诺函，售后服务体系、服务方案、设备耗材、售后服务分支机构及人员水平有欠缺的，得2.1-4分；</w:t>
            </w:r>
          </w:p>
          <w:p>
            <w:pPr>
              <w:widowControl/>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未提供方案的不得分。</w:t>
            </w:r>
          </w:p>
        </w:tc>
        <w:tc>
          <w:tcPr>
            <w:tcW w:w="708" w:type="dxa"/>
            <w:vAlign w:val="center"/>
          </w:tcPr>
          <w:p>
            <w:pPr>
              <w:tabs>
                <w:tab w:val="left" w:pos="-540"/>
                <w:tab w:val="left" w:pos="2880"/>
                <w:tab w:val="left" w:pos="3600"/>
                <w:tab w:val="left" w:pos="4320"/>
                <w:tab w:val="center" w:pos="4433"/>
              </w:tabs>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98"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8</w:t>
            </w:r>
          </w:p>
        </w:tc>
        <w:tc>
          <w:tcPr>
            <w:tcW w:w="1276"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质保期</w:t>
            </w:r>
          </w:p>
          <w:p>
            <w:pPr>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lang w:eastAsia="zh-CN"/>
              </w:rPr>
              <w:t>（</w:t>
            </w: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分</w:t>
            </w:r>
            <w:r>
              <w:rPr>
                <w:rFonts w:hint="eastAsia" w:ascii="宋体" w:hAnsi="宋体" w:eastAsia="宋体" w:cs="宋体"/>
                <w:kern w:val="0"/>
                <w:sz w:val="21"/>
                <w:szCs w:val="21"/>
                <w:lang w:eastAsia="zh-CN"/>
              </w:rPr>
              <w:t>）</w:t>
            </w:r>
          </w:p>
        </w:tc>
        <w:tc>
          <w:tcPr>
            <w:tcW w:w="7371" w:type="dxa"/>
            <w:vAlign w:val="center"/>
          </w:tcPr>
          <w:p>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投标供应商</w:t>
            </w:r>
            <w:r>
              <w:rPr>
                <w:rFonts w:hint="eastAsia" w:ascii="宋体" w:hAnsi="宋体" w:eastAsia="宋体" w:cs="宋体"/>
                <w:sz w:val="21"/>
                <w:szCs w:val="21"/>
              </w:rPr>
              <w:t>满足本项目质保最低要求不得分，每承诺增加一年免费质保得2分，最高4分。</w:t>
            </w:r>
            <w:r>
              <w:rPr>
                <w:rFonts w:hint="eastAsia" w:ascii="宋体" w:hAnsi="宋体" w:eastAsia="宋体" w:cs="宋体"/>
                <w:b/>
                <w:sz w:val="21"/>
                <w:szCs w:val="21"/>
              </w:rPr>
              <w:t>（提供承诺书原件加盖</w:t>
            </w:r>
            <w:r>
              <w:rPr>
                <w:rFonts w:hint="eastAsia" w:ascii="宋体" w:hAnsi="宋体" w:eastAsia="宋体" w:cs="宋体"/>
                <w:b/>
                <w:sz w:val="21"/>
                <w:szCs w:val="21"/>
                <w:lang w:eastAsia="zh-CN"/>
              </w:rPr>
              <w:t>投标供应商</w:t>
            </w:r>
            <w:r>
              <w:rPr>
                <w:rFonts w:hint="eastAsia" w:ascii="宋体" w:hAnsi="宋体" w:eastAsia="宋体" w:cs="宋体"/>
                <w:b/>
                <w:sz w:val="21"/>
                <w:szCs w:val="21"/>
              </w:rPr>
              <w:t>公章，格式自拟）</w:t>
            </w:r>
          </w:p>
        </w:tc>
        <w:tc>
          <w:tcPr>
            <w:tcW w:w="708" w:type="dxa"/>
            <w:vAlign w:val="center"/>
          </w:tcPr>
          <w:p>
            <w:pPr>
              <w:spacing w:line="320" w:lineRule="exact"/>
              <w:jc w:val="center"/>
              <w:rPr>
                <w:rFonts w:hint="eastAsia" w:ascii="宋体" w:hAnsi="宋体" w:eastAsia="宋体" w:cs="宋体"/>
                <w:sz w:val="21"/>
                <w:szCs w:val="21"/>
              </w:rPr>
            </w:pPr>
            <w:r>
              <w:rPr>
                <w:rFonts w:hint="eastAsia" w:ascii="宋体" w:hAnsi="宋体" w:eastAsia="宋体" w:cs="宋体"/>
                <w:bCs/>
                <w:sz w:val="21"/>
                <w:szCs w:val="21"/>
              </w:rPr>
              <w:t>4</w:t>
            </w:r>
          </w:p>
        </w:tc>
      </w:tr>
    </w:tbl>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w:t>
      </w:r>
    </w:p>
    <w:p>
      <w:pPr>
        <w:spacing w:line="440" w:lineRule="exact"/>
        <w:jc w:val="center"/>
        <w:rPr>
          <w:rFonts w:ascii="宋体" w:hAnsi="宋体" w:cs="宋体"/>
          <w:b/>
          <w:color w:val="000000" w:themeColor="text1"/>
          <w:szCs w:val="21"/>
          <w14:textFill>
            <w14:solidFill>
              <w14:schemeClr w14:val="tx1"/>
            </w14:solidFill>
          </w14:textFill>
        </w:rPr>
      </w:pPr>
      <w:bookmarkStart w:id="211" w:name="_Toc115881330"/>
    </w:p>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br w:type="page"/>
      </w:r>
    </w:p>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p>
    <w:p>
      <w:pPr>
        <w:spacing w:line="460" w:lineRule="exact"/>
        <w:jc w:val="center"/>
        <w:outlineLvl w:val="0"/>
        <w:rPr>
          <w:rFonts w:ascii="宋体" w:hAnsi="宋体" w:cs="宋体"/>
          <w:b/>
          <w:color w:val="000000" w:themeColor="text1"/>
          <w:sz w:val="28"/>
          <w:szCs w:val="21"/>
          <w14:textFill>
            <w14:solidFill>
              <w14:schemeClr w14:val="tx1"/>
            </w14:solidFill>
          </w14:textFill>
        </w:rPr>
      </w:pPr>
      <w:bookmarkStart w:id="212" w:name="_Toc20357"/>
      <w:r>
        <w:rPr>
          <w:rFonts w:hint="eastAsia" w:ascii="宋体" w:hAnsi="宋体" w:cs="宋体"/>
          <w:b/>
          <w:color w:val="000000" w:themeColor="text1"/>
          <w:sz w:val="28"/>
          <w:szCs w:val="21"/>
          <w14:textFill>
            <w14:solidFill>
              <w14:schemeClr w14:val="tx1"/>
            </w14:solidFill>
          </w14:textFill>
        </w:rPr>
        <w:t>第五章 投标文件格式</w:t>
      </w:r>
      <w:bookmarkEnd w:id="210"/>
      <w:bookmarkEnd w:id="211"/>
      <w:bookmarkEnd w:id="212"/>
    </w:p>
    <w:p>
      <w:pPr>
        <w:pStyle w:val="11"/>
        <w:rPr>
          <w:rFonts w:ascii="宋体" w:hAnsi="宋体" w:eastAsia="宋体" w:cs="宋体"/>
          <w:color w:val="000000" w:themeColor="text1"/>
          <w:sz w:val="21"/>
          <w:szCs w:val="21"/>
          <w14:textFill>
            <w14:solidFill>
              <w14:schemeClr w14:val="tx1"/>
            </w14:solidFill>
          </w14:textFill>
        </w:rPr>
      </w:pPr>
    </w:p>
    <w:p>
      <w:pPr>
        <w:spacing w:line="1200" w:lineRule="exact"/>
        <w:jc w:val="center"/>
        <w:rPr>
          <w:rFonts w:ascii="宋体" w:hAnsi="宋体" w:cs="宋体"/>
          <w:b/>
          <w:color w:val="000000"/>
          <w:sz w:val="72"/>
          <w:szCs w:val="72"/>
        </w:rPr>
      </w:pPr>
      <w:r>
        <w:rPr>
          <w:rFonts w:hint="eastAsia" w:ascii="宋体" w:hAnsi="宋体" w:cs="宋体"/>
          <w:b/>
          <w:color w:val="000000"/>
          <w:sz w:val="72"/>
          <w:szCs w:val="72"/>
        </w:rPr>
        <w:t>投 标 文 件</w:t>
      </w:r>
    </w:p>
    <w:p>
      <w:pPr>
        <w:spacing w:line="480" w:lineRule="auto"/>
        <w:jc w:val="center"/>
        <w:rPr>
          <w:rFonts w:ascii="宋体" w:hAnsi="宋体" w:cs="宋体"/>
          <w:color w:val="000000"/>
          <w:sz w:val="36"/>
          <w:szCs w:val="36"/>
        </w:rPr>
      </w:pPr>
      <w:r>
        <w:rPr>
          <w:rFonts w:hint="eastAsia" w:ascii="宋体" w:hAnsi="宋体" w:cs="宋体"/>
          <w:color w:val="000000"/>
          <w:sz w:val="36"/>
          <w:szCs w:val="36"/>
        </w:rPr>
        <w:t>（正本/副本）</w:t>
      </w:r>
    </w:p>
    <w:p>
      <w:pPr>
        <w:spacing w:line="1180" w:lineRule="exact"/>
        <w:jc w:val="center"/>
        <w:rPr>
          <w:rFonts w:ascii="宋体" w:hAnsi="宋体" w:cs="宋体"/>
          <w:color w:val="000000" w:themeColor="text1"/>
          <w:szCs w:val="21"/>
          <w14:textFill>
            <w14:solidFill>
              <w14:schemeClr w14:val="tx1"/>
            </w14:solidFill>
          </w14:textFill>
        </w:rPr>
      </w:pPr>
    </w:p>
    <w:p>
      <w:pPr>
        <w:spacing w:line="1180" w:lineRule="exact"/>
        <w:ind w:firstLine="904" w:firstLineChars="300"/>
        <w:rPr>
          <w:rFonts w:ascii="宋体" w:hAnsi="宋体" w:cs="宋体"/>
          <w:b/>
          <w:color w:val="000000"/>
          <w:sz w:val="30"/>
          <w:szCs w:val="30"/>
        </w:rPr>
      </w:pPr>
      <w:r>
        <w:rPr>
          <w:rFonts w:hint="eastAsia" w:ascii="宋体" w:hAnsi="宋体" w:cs="宋体"/>
          <w:b/>
          <w:color w:val="000000"/>
          <w:sz w:val="30"/>
          <w:szCs w:val="30"/>
        </w:rPr>
        <w:t>项目名称：</w:t>
      </w:r>
    </w:p>
    <w:p>
      <w:pPr>
        <w:spacing w:line="1180" w:lineRule="exact"/>
        <w:ind w:firstLine="904" w:firstLineChars="300"/>
        <w:rPr>
          <w:rFonts w:ascii="宋体" w:hAnsi="宋体" w:cs="宋体"/>
          <w:b/>
          <w:color w:val="000000"/>
          <w:sz w:val="30"/>
          <w:szCs w:val="30"/>
        </w:rPr>
      </w:pPr>
      <w:r>
        <w:rPr>
          <w:rFonts w:hint="eastAsia" w:ascii="宋体" w:hAnsi="宋体" w:cs="宋体"/>
          <w:b/>
          <w:color w:val="000000"/>
          <w:sz w:val="30"/>
          <w:szCs w:val="30"/>
        </w:rPr>
        <w:t>项目编号：</w:t>
      </w:r>
    </w:p>
    <w:p>
      <w:pPr>
        <w:spacing w:line="1180" w:lineRule="exact"/>
        <w:ind w:firstLine="632" w:firstLineChars="300"/>
        <w:rPr>
          <w:rFonts w:ascii="宋体" w:hAnsi="宋体" w:cs="宋体"/>
          <w:b/>
          <w:color w:val="000000" w:themeColor="text1"/>
          <w:szCs w:val="21"/>
          <w14:textFill>
            <w14:solidFill>
              <w14:schemeClr w14:val="tx1"/>
            </w14:solidFill>
          </w14:textFill>
        </w:rPr>
      </w:pPr>
    </w:p>
    <w:p>
      <w:pPr>
        <w:spacing w:line="1180" w:lineRule="exact"/>
        <w:ind w:firstLine="904" w:firstLineChars="300"/>
        <w:rPr>
          <w:rFonts w:ascii="宋体" w:hAnsi="宋体" w:cs="宋体"/>
          <w:b/>
          <w:color w:val="000000"/>
          <w:sz w:val="30"/>
          <w:szCs w:val="30"/>
        </w:rPr>
      </w:pPr>
      <w:r>
        <w:rPr>
          <w:rFonts w:hint="eastAsia" w:ascii="宋体" w:hAnsi="宋体" w:cs="宋体"/>
          <w:b/>
          <w:color w:val="000000"/>
          <w:sz w:val="30"/>
          <w:szCs w:val="30"/>
          <w:lang w:eastAsia="zh-CN"/>
        </w:rPr>
        <w:t>投标供应商</w:t>
      </w:r>
      <w:r>
        <w:rPr>
          <w:rFonts w:hint="eastAsia" w:ascii="宋体" w:hAnsi="宋体" w:cs="宋体"/>
          <w:b/>
          <w:color w:val="000000"/>
          <w:sz w:val="30"/>
          <w:szCs w:val="30"/>
        </w:rPr>
        <w:t>名称 ：</w:t>
      </w:r>
    </w:p>
    <w:p>
      <w:pPr>
        <w:spacing w:line="1180" w:lineRule="exact"/>
        <w:ind w:firstLine="904" w:firstLineChars="300"/>
        <w:rPr>
          <w:rFonts w:ascii="宋体" w:hAnsi="宋体" w:cs="宋体"/>
          <w:b/>
          <w:color w:val="000000"/>
          <w:sz w:val="30"/>
          <w:szCs w:val="30"/>
        </w:rPr>
      </w:pPr>
      <w:r>
        <w:rPr>
          <w:rFonts w:hint="eastAsia" w:ascii="宋体" w:hAnsi="宋体" w:cs="宋体"/>
          <w:b/>
          <w:color w:val="000000"/>
          <w:sz w:val="30"/>
          <w:szCs w:val="30"/>
        </w:rPr>
        <w:t>日      期 ：</w:t>
      </w:r>
    </w:p>
    <w:p>
      <w:pPr>
        <w:pStyle w:val="11"/>
        <w:rPr>
          <w:rFonts w:ascii="宋体" w:hAnsi="宋体" w:eastAsia="宋体" w:cs="宋体"/>
          <w:b/>
          <w:color w:val="000000" w:themeColor="text1"/>
          <w:sz w:val="21"/>
          <w:szCs w:val="21"/>
          <w:u w:val="single"/>
          <w14:textFill>
            <w14:solidFill>
              <w14:schemeClr w14:val="tx1"/>
            </w14:solidFill>
          </w14:textFill>
        </w:rPr>
      </w:pPr>
    </w:p>
    <w:p>
      <w:pPr>
        <w:pStyle w:val="36"/>
        <w:outlineLvl w:val="9"/>
        <w:rPr>
          <w:rFonts w:ascii="宋体" w:eastAsia="宋体" w:cs="宋体"/>
          <w:b/>
          <w:color w:val="000000" w:themeColor="text1"/>
          <w:sz w:val="21"/>
          <w:szCs w:val="21"/>
          <w:u w:val="single"/>
          <w14:textFill>
            <w14:solidFill>
              <w14:schemeClr w14:val="tx1"/>
            </w14:solidFill>
          </w14:textFill>
        </w:rPr>
      </w:pPr>
    </w:p>
    <w:p>
      <w:pPr>
        <w:pStyle w:val="38"/>
        <w:rPr>
          <w:b/>
          <w:color w:val="000000" w:themeColor="text1"/>
          <w:u w:val="single"/>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pStyle w:val="23"/>
        <w:ind w:left="3360"/>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pStyle w:val="23"/>
        <w:ind w:left="3360"/>
        <w:rPr>
          <w:rFonts w:ascii="宋体" w:hAnsi="宋体" w:cs="宋体"/>
          <w:color w:val="000000" w:themeColor="text1"/>
          <w:szCs w:val="21"/>
          <w14:textFill>
            <w14:solidFill>
              <w14:schemeClr w14:val="tx1"/>
            </w14:solidFill>
          </w14:textFill>
        </w:rPr>
      </w:pPr>
    </w:p>
    <w:p>
      <w:pPr>
        <w:spacing w:line="504" w:lineRule="auto"/>
        <w:jc w:val="center"/>
        <w:rPr>
          <w:rFonts w:ascii="宋体" w:hAnsi="宋体" w:cs="宋体"/>
          <w:b/>
          <w:color w:val="000000" w:themeColor="text1"/>
          <w:szCs w:val="21"/>
          <w14:textFill>
            <w14:solidFill>
              <w14:schemeClr w14:val="tx1"/>
            </w14:solidFill>
          </w14:textFill>
        </w:rPr>
      </w:pPr>
      <w:bookmarkStart w:id="213" w:name="_Toc108881190"/>
    </w:p>
    <w:p>
      <w:pPr>
        <w:rPr>
          <w:rFonts w:ascii="宋体" w:hAnsi="宋体" w:cs="宋体"/>
          <w:b/>
          <w:color w:val="000000" w:themeColor="text1"/>
          <w:szCs w:val="21"/>
          <w14:textFill>
            <w14:solidFill>
              <w14:schemeClr w14:val="tx1"/>
            </w14:solidFill>
          </w14:textFill>
        </w:rPr>
      </w:pPr>
      <w:bookmarkStart w:id="214" w:name="_Toc115881331"/>
      <w:r>
        <w:rPr>
          <w:rFonts w:hint="eastAsia" w:ascii="宋体" w:hAnsi="宋体" w:cs="宋体"/>
          <w:b/>
          <w:color w:val="000000" w:themeColor="text1"/>
          <w:szCs w:val="21"/>
          <w14:textFill>
            <w14:solidFill>
              <w14:schemeClr w14:val="tx1"/>
            </w14:solidFill>
          </w14:textFill>
        </w:rPr>
        <w:br w:type="page"/>
      </w:r>
    </w:p>
    <w:p>
      <w:pPr>
        <w:spacing w:line="780" w:lineRule="exact"/>
        <w:jc w:val="center"/>
        <w:rPr>
          <w:rFonts w:ascii="宋体" w:hAnsi="宋体" w:cs="宋体"/>
          <w:b/>
          <w:color w:val="000000"/>
          <w:sz w:val="28"/>
          <w:szCs w:val="28"/>
        </w:rPr>
      </w:pPr>
      <w:r>
        <w:rPr>
          <w:rFonts w:hint="eastAsia" w:ascii="宋体" w:hAnsi="宋体" w:cs="宋体"/>
          <w:b/>
          <w:color w:val="000000"/>
          <w:sz w:val="28"/>
          <w:szCs w:val="28"/>
        </w:rPr>
        <w:t>投标文件目录</w:t>
      </w:r>
      <w:bookmarkEnd w:id="213"/>
      <w:bookmarkEnd w:id="214"/>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70" w:type="dxa"/>
            <w:vAlign w:val="center"/>
          </w:tcPr>
          <w:p>
            <w:pPr>
              <w:spacing w:line="503"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名称</w:t>
            </w:r>
          </w:p>
        </w:tc>
        <w:tc>
          <w:tcPr>
            <w:tcW w:w="1406" w:type="dxa"/>
            <w:vAlign w:val="center"/>
          </w:tcPr>
          <w:p>
            <w:pPr>
              <w:spacing w:line="503"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一、开标一览表（报价表）（格式）</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的资格证明文件</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三、法定代表人授权委托书（格式）</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四、投标书（格式）</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五、盐城市政府采购事前信用承诺书（格式）</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六、投标分项报价表</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七、商务要求响应情况表</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八、技术要求响应情况表</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九、投标文件的其它内容</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jc w:val="center"/>
              <w:rPr>
                <w:rFonts w:ascii="宋体" w:hAnsi="宋体" w:cs="宋体"/>
                <w:b/>
                <w:i/>
                <w:color w:val="000000" w:themeColor="text1"/>
                <w:szCs w:val="21"/>
                <w:u w:val="single"/>
                <w14:textFill>
                  <w14:solidFill>
                    <w14:schemeClr w14:val="tx1"/>
                  </w14:solidFill>
                </w14:textFill>
              </w:rPr>
            </w:pP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jc w:val="center"/>
              <w:rPr>
                <w:rFonts w:ascii="宋体" w:hAnsi="宋体" w:cs="宋体"/>
                <w:color w:val="000000" w:themeColor="text1"/>
                <w:szCs w:val="21"/>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行数不够，可按本表格式自行添加</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7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特别说明</w:t>
            </w:r>
          </w:p>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1、本目录（含页码）是专家评审的重要依据，请</w:t>
            </w:r>
            <w:r>
              <w:rPr>
                <w:rFonts w:hint="eastAsia" w:ascii="宋体" w:hAnsi="宋体" w:cs="宋体"/>
                <w:b/>
                <w:color w:val="000000" w:themeColor="text1"/>
                <w:szCs w:val="21"/>
                <w:lang w:eastAsia="zh-CN"/>
                <w14:textFill>
                  <w14:solidFill>
                    <w14:schemeClr w14:val="tx1"/>
                  </w14:solidFill>
                </w14:textFill>
              </w:rPr>
              <w:t>投标供应商</w:t>
            </w:r>
            <w:r>
              <w:rPr>
                <w:rFonts w:hint="eastAsia" w:ascii="宋体" w:hAnsi="宋体" w:cs="宋体"/>
                <w:b/>
                <w:color w:val="000000" w:themeColor="text1"/>
                <w:szCs w:val="21"/>
                <w14:textFill>
                  <w14:solidFill>
                    <w14:schemeClr w14:val="tx1"/>
                  </w14:solidFill>
                </w14:textFill>
              </w:rPr>
              <w:t>准确（完整）填写。如</w:t>
            </w:r>
            <w:r>
              <w:rPr>
                <w:rFonts w:hint="eastAsia" w:ascii="宋体" w:hAnsi="宋体" w:cs="宋体"/>
                <w:b/>
                <w:color w:val="000000" w:themeColor="text1"/>
                <w:szCs w:val="21"/>
                <w:lang w:eastAsia="zh-CN"/>
                <w14:textFill>
                  <w14:solidFill>
                    <w14:schemeClr w14:val="tx1"/>
                  </w14:solidFill>
                </w14:textFill>
              </w:rPr>
              <w:t>投标供应商</w:t>
            </w:r>
            <w:r>
              <w:rPr>
                <w:rFonts w:hint="eastAsia" w:ascii="宋体" w:hAnsi="宋体" w:cs="宋体"/>
                <w:b/>
                <w:color w:val="000000" w:themeColor="text1"/>
                <w:szCs w:val="21"/>
                <w14:textFill>
                  <w14:solidFill>
                    <w14:schemeClr w14:val="tx1"/>
                  </w14:solidFill>
                </w14:textFill>
              </w:rPr>
              <w:t>未能准确（完整）填写的，所引起的后果由</w:t>
            </w:r>
            <w:r>
              <w:rPr>
                <w:rFonts w:hint="eastAsia" w:ascii="宋体" w:hAnsi="宋体" w:cs="宋体"/>
                <w:b/>
                <w:color w:val="000000" w:themeColor="text1"/>
                <w:szCs w:val="21"/>
                <w:lang w:eastAsia="zh-CN"/>
                <w14:textFill>
                  <w14:solidFill>
                    <w14:schemeClr w14:val="tx1"/>
                  </w14:solidFill>
                </w14:textFill>
              </w:rPr>
              <w:t>投标供应商</w:t>
            </w:r>
            <w:r>
              <w:rPr>
                <w:rFonts w:hint="eastAsia" w:ascii="宋体" w:hAnsi="宋体" w:cs="宋体"/>
                <w:b/>
                <w:color w:val="000000" w:themeColor="text1"/>
                <w:szCs w:val="21"/>
                <w14:textFill>
                  <w14:solidFill>
                    <w14:schemeClr w14:val="tx1"/>
                  </w14:solidFill>
                </w14:textFill>
              </w:rPr>
              <w:t>自负。</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可以根据自身需要编辑详细的投标文件目录。</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的投标文件目录应当遵循格式规范、便于查找获得的原则（以便评审人员评审）。</w:t>
            </w:r>
          </w:p>
        </w:tc>
      </w:tr>
    </w:tbl>
    <w:p>
      <w:pPr>
        <w:pStyle w:val="11"/>
        <w:spacing w:line="360" w:lineRule="auto"/>
        <w:rPr>
          <w:rFonts w:ascii="宋体" w:hAnsi="宋体" w:eastAsia="宋体" w:cs="宋体"/>
          <w:color w:val="000000" w:themeColor="text1"/>
          <w:sz w:val="2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pStyle w:val="11"/>
        <w:rPr>
          <w:rFonts w:ascii="宋体" w:hAnsi="宋体" w:eastAsia="宋体" w:cs="宋体"/>
          <w:color w:val="000000" w:themeColor="text1"/>
          <w:sz w:val="21"/>
          <w:szCs w:val="21"/>
          <w14:textFill>
            <w14:solidFill>
              <w14:schemeClr w14:val="tx1"/>
            </w14:solidFill>
          </w14:textFill>
        </w:rPr>
      </w:pPr>
    </w:p>
    <w:p>
      <w:pPr>
        <w:spacing w:line="696" w:lineRule="auto"/>
        <w:rPr>
          <w:rFonts w:ascii="宋体" w:hAnsi="宋体" w:cs="宋体"/>
          <w:b/>
          <w:color w:val="000000" w:themeColor="text1"/>
          <w:szCs w:val="21"/>
          <w14:textFill>
            <w14:solidFill>
              <w14:schemeClr w14:val="tx1"/>
            </w14:solidFill>
          </w14:textFill>
        </w:rPr>
      </w:pPr>
      <w:bookmarkStart w:id="215" w:name="_Toc115881332"/>
    </w:p>
    <w:p>
      <w:pPr>
        <w:spacing w:line="696" w:lineRule="auto"/>
        <w:jc w:val="center"/>
        <w:rPr>
          <w:rFonts w:ascii="宋体" w:hAnsi="宋体" w:cs="宋体"/>
          <w:b/>
          <w:color w:val="000000" w:themeColor="text1"/>
          <w:szCs w:val="21"/>
          <w14:textFill>
            <w14:solidFill>
              <w14:schemeClr w14:val="tx1"/>
            </w14:solidFill>
          </w14:textFill>
        </w:rPr>
      </w:pPr>
    </w:p>
    <w:p>
      <w:pPr>
        <w:spacing w:line="696" w:lineRule="auto"/>
        <w:jc w:val="center"/>
        <w:outlineLvl w:val="2"/>
        <w:rPr>
          <w:rFonts w:ascii="宋体" w:hAnsi="宋体" w:cs="宋体"/>
          <w:b/>
          <w:color w:val="000000"/>
          <w:sz w:val="28"/>
          <w:szCs w:val="28"/>
        </w:rPr>
      </w:pPr>
      <w:r>
        <w:rPr>
          <w:rFonts w:hint="eastAsia" w:ascii="宋体" w:hAnsi="宋体" w:cs="宋体"/>
          <w:b/>
          <w:color w:val="000000"/>
          <w:sz w:val="28"/>
          <w:szCs w:val="28"/>
        </w:rPr>
        <w:t>评分索引表</w:t>
      </w:r>
      <w:bookmarkEnd w:id="215"/>
    </w:p>
    <w:tbl>
      <w:tblPr>
        <w:tblStyle w:val="30"/>
        <w:tblW w:w="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vAlign w:val="center"/>
          </w:tcPr>
          <w:p>
            <w:pPr>
              <w:widowControl/>
              <w:shd w:val="clear" w:color="auto" w:fill="FFFFFF"/>
              <w:spacing w:line="265" w:lineRule="atLeast"/>
              <w:ind w:left="420"/>
              <w:contextualSpacing/>
              <w:jc w:val="center"/>
              <w:rPr>
                <w:rFonts w:ascii="宋体" w:hAnsi="宋体" w:cs="宋体"/>
                <w:b/>
                <w:bCs/>
                <w:color w:val="000000" w:themeColor="text1"/>
                <w:kern w:val="0"/>
                <w:szCs w:val="21"/>
                <w:lang w:bidi="en-US"/>
                <w14:textFill>
                  <w14:solidFill>
                    <w14:schemeClr w14:val="tx1"/>
                  </w14:solidFill>
                </w14:textFill>
              </w:rPr>
            </w:pPr>
            <w:r>
              <w:rPr>
                <w:rFonts w:hint="eastAsia" w:ascii="宋体" w:hAnsi="宋体" w:cs="宋体"/>
                <w:b/>
                <w:color w:val="000000" w:themeColor="text1"/>
                <w:kern w:val="0"/>
                <w:szCs w:val="21"/>
                <w:lang w:eastAsia="en-US" w:bidi="en-US"/>
                <w14:textFill>
                  <w14:solidFill>
                    <w14:schemeClr w14:val="tx1"/>
                  </w14:solidFill>
                </w14:textFill>
              </w:rPr>
              <w:t>评分项目</w:t>
            </w:r>
          </w:p>
        </w:tc>
        <w:tc>
          <w:tcPr>
            <w:tcW w:w="357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lang w:bidi="en-US"/>
                <w14:textFill>
                  <w14:solidFill>
                    <w14:schemeClr w14:val="tx1"/>
                  </w14:solidFill>
                </w14:textFill>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rPr>
                <w:rFonts w:ascii="宋体" w:hAnsi="宋体" w:cs="宋体"/>
                <w:b/>
                <w:color w:val="000000" w:themeColor="text1"/>
                <w:kern w:val="0"/>
                <w:szCs w:val="21"/>
                <w:lang w:bidi="en-US"/>
                <w14:textFill>
                  <w14:solidFill>
                    <w14:schemeClr w14:val="tx1"/>
                  </w14:solidFill>
                </w14:textFill>
              </w:rPr>
            </w:pPr>
          </w:p>
        </w:tc>
        <w:tc>
          <w:tcPr>
            <w:tcW w:w="3570" w:type="dxa"/>
          </w:tcPr>
          <w:p>
            <w:pPr>
              <w:rPr>
                <w:rFonts w:ascii="宋体" w:hAnsi="宋体" w:cs="宋体"/>
                <w:b/>
                <w:color w:val="000000" w:themeColor="text1"/>
                <w:kern w:val="0"/>
                <w:szCs w:val="21"/>
                <w:lang w:bidi="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b/>
                <w:bCs/>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b/>
                <w:bCs/>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firstLine="420" w:firstLineChars="20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Borders>
              <w:bottom w:val="single" w:color="auto" w:sz="4" w:space="0"/>
            </w:tcBorders>
          </w:tcPr>
          <w:p>
            <w:pPr>
              <w:widowControl/>
              <w:shd w:val="clear" w:color="auto" w:fill="FFFFFF"/>
              <w:spacing w:line="265" w:lineRule="atLeast"/>
              <w:ind w:firstLine="420" w:firstLineChars="20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Borders>
              <w:bottom w:val="single" w:color="auto" w:sz="4" w:space="0"/>
            </w:tcBorders>
          </w:tcPr>
          <w:p>
            <w:pPr>
              <w:rPr>
                <w:rFonts w:ascii="宋体" w:hAnsi="宋体" w:cs="宋体"/>
                <w:color w:val="000000" w:themeColor="text1"/>
                <w:szCs w:val="21"/>
                <w14:textFill>
                  <w14:solidFill>
                    <w14:schemeClr w14:val="tx1"/>
                  </w14:solidFill>
                </w14:textFill>
              </w:rPr>
            </w:pPr>
          </w:p>
        </w:tc>
      </w:tr>
    </w:tbl>
    <w:p>
      <w:pPr>
        <w:pStyle w:val="11"/>
        <w:rPr>
          <w:rFonts w:ascii="宋体" w:hAnsi="宋体" w:eastAsia="宋体" w:cs="宋体"/>
          <w:color w:val="000000" w:themeColor="text1"/>
          <w:sz w:val="21"/>
          <w:szCs w:val="21"/>
          <w14:textFill>
            <w14:solidFill>
              <w14:schemeClr w14:val="tx1"/>
            </w14:solidFill>
          </w14:textFill>
        </w:rPr>
      </w:pPr>
    </w:p>
    <w:p>
      <w:pPr>
        <w:pStyle w:val="11"/>
        <w:ind w:firstLine="422" w:firstLineChars="200"/>
        <w:rPr>
          <w:rFonts w:ascii="宋体" w:hAnsi="宋体" w:eastAsia="宋体" w:cs="宋体"/>
          <w:b/>
          <w:color w:val="000000" w:themeColor="text1"/>
          <w:sz w:val="21"/>
          <w:szCs w:val="21"/>
          <w:lang w:bidi="en-US"/>
          <w14:textFill>
            <w14:solidFill>
              <w14:schemeClr w14:val="tx1"/>
            </w14:solidFill>
          </w14:textFill>
        </w:rPr>
      </w:pPr>
      <w:r>
        <w:rPr>
          <w:rFonts w:hint="eastAsia" w:ascii="宋体" w:hAnsi="宋体" w:eastAsia="宋体" w:cs="宋体"/>
          <w:b/>
          <w:color w:val="000000" w:themeColor="text1"/>
          <w:sz w:val="21"/>
          <w:szCs w:val="21"/>
          <w:lang w:bidi="en-US"/>
          <w14:textFill>
            <w14:solidFill>
              <w14:schemeClr w14:val="tx1"/>
            </w14:solidFill>
          </w14:textFill>
        </w:rPr>
        <w:t>特别说明：为提高评审效率及准确性，请供应商务必准确（完整）填写（编制），否则所引起的后果由</w:t>
      </w:r>
      <w:r>
        <w:rPr>
          <w:rFonts w:hint="eastAsia" w:ascii="宋体" w:hAnsi="宋体" w:eastAsia="宋体" w:cs="宋体"/>
          <w:b/>
          <w:color w:val="000000" w:themeColor="text1"/>
          <w:sz w:val="21"/>
          <w:szCs w:val="21"/>
          <w:lang w:eastAsia="zh-CN" w:bidi="en-US"/>
          <w14:textFill>
            <w14:solidFill>
              <w14:schemeClr w14:val="tx1"/>
            </w14:solidFill>
          </w14:textFill>
        </w:rPr>
        <w:t>投标供应商</w:t>
      </w:r>
      <w:r>
        <w:rPr>
          <w:rFonts w:hint="eastAsia" w:ascii="宋体" w:hAnsi="宋体" w:eastAsia="宋体" w:cs="宋体"/>
          <w:b/>
          <w:color w:val="000000" w:themeColor="text1"/>
          <w:sz w:val="21"/>
          <w:szCs w:val="21"/>
          <w:lang w:bidi="en-US"/>
          <w14:textFill>
            <w14:solidFill>
              <w14:schemeClr w14:val="tx1"/>
            </w14:solidFill>
          </w14:textFill>
        </w:rPr>
        <w:t>自负。</w:t>
      </w:r>
    </w:p>
    <w:p>
      <w:pPr>
        <w:spacing w:line="696" w:lineRule="auto"/>
        <w:rPr>
          <w:rFonts w:ascii="宋体" w:hAnsi="宋体" w:cs="宋体"/>
          <w:b/>
          <w:bCs/>
          <w:color w:val="000000" w:themeColor="text1"/>
          <w:szCs w:val="21"/>
          <w14:textFill>
            <w14:solidFill>
              <w14:schemeClr w14:val="tx1"/>
            </w14:solidFill>
          </w14:textFill>
        </w:rPr>
      </w:pPr>
      <w:bookmarkStart w:id="216" w:name="_Toc108881191"/>
    </w:p>
    <w:p>
      <w:pPr>
        <w:spacing w:line="696" w:lineRule="auto"/>
        <w:rPr>
          <w:rFonts w:ascii="宋体" w:hAnsi="宋体" w:cs="宋体"/>
          <w:b/>
          <w:bCs/>
          <w:color w:val="000000" w:themeColor="text1"/>
          <w:szCs w:val="21"/>
          <w14:textFill>
            <w14:solidFill>
              <w14:schemeClr w14:val="tx1"/>
            </w14:solidFill>
          </w14:textFill>
        </w:rPr>
      </w:pPr>
      <w:bookmarkStart w:id="217" w:name="_Toc115881333"/>
    </w:p>
    <w:p>
      <w:pPr>
        <w:spacing w:line="696" w:lineRule="auto"/>
        <w:jc w:val="center"/>
        <w:outlineLvl w:val="2"/>
        <w:rPr>
          <w:rFonts w:hint="eastAsia" w:ascii="宋体" w:hAnsi="宋体" w:cs="宋体"/>
          <w:b/>
          <w:color w:val="000000"/>
          <w:sz w:val="28"/>
          <w:szCs w:val="28"/>
        </w:rPr>
      </w:pPr>
      <w:r>
        <w:rPr>
          <w:rFonts w:hint="eastAsia" w:ascii="宋体" w:hAnsi="宋体" w:cs="宋体"/>
          <w:b/>
          <w:color w:val="000000"/>
          <w:sz w:val="28"/>
          <w:szCs w:val="28"/>
        </w:rPr>
        <w:t>一、开标一览表(报价表)（格式）</w:t>
      </w:r>
      <w:bookmarkEnd w:id="216"/>
      <w:bookmarkEnd w:id="217"/>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gridCol w:w="5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spacing w:line="69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项目编号</w:t>
            </w:r>
          </w:p>
        </w:tc>
        <w:tc>
          <w:tcPr>
            <w:tcW w:w="5876" w:type="dxa"/>
            <w:tcBorders>
              <w:top w:val="single" w:color="auto" w:sz="4" w:space="0"/>
              <w:left w:val="single" w:color="auto" w:sz="4" w:space="0"/>
              <w:bottom w:val="single" w:color="auto" w:sz="4" w:space="0"/>
              <w:right w:val="single" w:color="auto" w:sz="4" w:space="0"/>
            </w:tcBorders>
            <w:vAlign w:val="center"/>
          </w:tcPr>
          <w:p>
            <w:pPr>
              <w:spacing w:line="696"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spacing w:line="69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项目名称</w:t>
            </w:r>
          </w:p>
        </w:tc>
        <w:tc>
          <w:tcPr>
            <w:tcW w:w="5876" w:type="dxa"/>
            <w:tcBorders>
              <w:top w:val="single" w:color="auto" w:sz="4" w:space="0"/>
              <w:left w:val="single" w:color="auto" w:sz="4" w:space="0"/>
              <w:bottom w:val="single" w:color="auto" w:sz="4" w:space="0"/>
              <w:right w:val="single" w:color="auto" w:sz="4" w:space="0"/>
            </w:tcBorders>
            <w:vAlign w:val="center"/>
          </w:tcPr>
          <w:p>
            <w:pPr>
              <w:spacing w:line="696"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970" w:type="dxa"/>
            <w:tcBorders>
              <w:top w:val="single" w:color="auto" w:sz="4" w:space="0"/>
              <w:left w:val="single" w:color="auto" w:sz="4" w:space="0"/>
              <w:right w:val="single" w:color="auto" w:sz="4" w:space="0"/>
            </w:tcBorders>
            <w:vAlign w:val="center"/>
          </w:tcPr>
          <w:p>
            <w:pPr>
              <w:spacing w:line="69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投标价格</w:t>
            </w:r>
          </w:p>
          <w:p>
            <w:pPr>
              <w:spacing w:line="69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（投标总报价）</w:t>
            </w:r>
          </w:p>
        </w:tc>
        <w:tc>
          <w:tcPr>
            <w:tcW w:w="5876" w:type="dxa"/>
            <w:tcBorders>
              <w:top w:val="single" w:color="auto" w:sz="4" w:space="0"/>
              <w:left w:val="single" w:color="auto" w:sz="4" w:space="0"/>
              <w:right w:val="single" w:color="auto" w:sz="4" w:space="0"/>
            </w:tcBorders>
            <w:vAlign w:val="center"/>
          </w:tcPr>
          <w:p>
            <w:pPr>
              <w:spacing w:line="696" w:lineRule="auto"/>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大写：                     </w:t>
            </w:r>
          </w:p>
          <w:p>
            <w:pPr>
              <w:spacing w:line="696" w:lineRule="auto"/>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970"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产品质量标准</w:t>
            </w:r>
          </w:p>
        </w:tc>
        <w:tc>
          <w:tcPr>
            <w:tcW w:w="5876" w:type="dxa"/>
            <w:tcBorders>
              <w:top w:val="single" w:color="auto" w:sz="4" w:space="0"/>
              <w:left w:val="single" w:color="auto" w:sz="4" w:space="0"/>
              <w:right w:val="single" w:color="auto" w:sz="4" w:space="0"/>
            </w:tcBorders>
            <w:vAlign w:val="center"/>
          </w:tcPr>
          <w:p>
            <w:pPr>
              <w:spacing w:line="44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合格（全新原厂原件）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970"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免费质保期</w:t>
            </w:r>
          </w:p>
        </w:tc>
        <w:tc>
          <w:tcPr>
            <w:tcW w:w="5876" w:type="dxa"/>
            <w:tcBorders>
              <w:top w:val="single" w:color="auto" w:sz="4" w:space="0"/>
              <w:left w:val="single" w:color="auto" w:sz="4" w:space="0"/>
              <w:right w:val="single" w:color="auto" w:sz="4" w:space="0"/>
            </w:tcBorders>
            <w:vAlign w:val="center"/>
          </w:tcPr>
          <w:p>
            <w:pPr>
              <w:spacing w:line="44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年质保（原厂原件）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970"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交付或者实施的时间</w:t>
            </w:r>
          </w:p>
        </w:tc>
        <w:tc>
          <w:tcPr>
            <w:tcW w:w="5876" w:type="dxa"/>
            <w:tcBorders>
              <w:top w:val="single" w:color="auto" w:sz="4" w:space="0"/>
              <w:left w:val="single" w:color="auto" w:sz="4" w:space="0"/>
              <w:right w:val="single" w:color="auto" w:sz="4" w:space="0"/>
            </w:tcBorders>
            <w:vAlign w:val="center"/>
          </w:tcPr>
          <w:p>
            <w:pPr>
              <w:spacing w:line="44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天</w:t>
            </w:r>
            <w:r>
              <w:rPr>
                <w:rFonts w:hint="eastAsia" w:ascii="宋体" w:hAnsi="宋体" w:cs="宋体"/>
                <w:color w:val="000000" w:themeColor="text1"/>
                <w:szCs w:val="21"/>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846" w:type="dxa"/>
            <w:gridSpan w:val="2"/>
            <w:tcBorders>
              <w:top w:val="single" w:color="auto" w:sz="4" w:space="0"/>
              <w:left w:val="single" w:color="auto" w:sz="4" w:space="0"/>
              <w:bottom w:val="single" w:color="auto" w:sz="4" w:space="0"/>
              <w:right w:val="single" w:color="auto" w:sz="4" w:space="0"/>
            </w:tcBorders>
            <w:vAlign w:val="center"/>
          </w:tcPr>
          <w:p>
            <w:pPr>
              <w:pStyle w:val="16"/>
              <w:tabs>
                <w:tab w:val="left" w:pos="5580"/>
              </w:tabs>
              <w:spacing w:line="696" w:lineRule="auto"/>
              <w:jc w:val="left"/>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lang w:eastAsia="zh-CN"/>
                <w14:textFill>
                  <w14:solidFill>
                    <w14:schemeClr w14:val="tx1"/>
                  </w14:solidFill>
                </w14:textFill>
              </w:rPr>
              <w:t>投标供应商</w:t>
            </w:r>
            <w:r>
              <w:rPr>
                <w:rFonts w:hint="eastAsia" w:hAnsi="宋体" w:cs="宋体"/>
                <w:b/>
                <w:color w:val="000000" w:themeColor="text1"/>
                <w:sz w:val="21"/>
                <w:szCs w:val="21"/>
                <w14:textFill>
                  <w14:solidFill>
                    <w14:schemeClr w14:val="tx1"/>
                  </w14:solidFill>
                </w14:textFill>
              </w:rPr>
              <w:t>名称（单位公章）：</w:t>
            </w:r>
          </w:p>
          <w:p>
            <w:pPr>
              <w:pStyle w:val="16"/>
              <w:tabs>
                <w:tab w:val="left" w:pos="5580"/>
              </w:tabs>
              <w:spacing w:line="696" w:lineRule="auto"/>
              <w:jc w:val="left"/>
              <w:rPr>
                <w:rFonts w:hAnsi="宋体" w:cs="宋体"/>
                <w:b/>
                <w:color w:val="000000" w:themeColor="text1"/>
                <w:sz w:val="21"/>
                <w:szCs w:val="21"/>
                <w:u w:val="single"/>
                <w14:textFill>
                  <w14:solidFill>
                    <w14:schemeClr w14:val="tx1"/>
                  </w14:solidFill>
                </w14:textFill>
              </w:rPr>
            </w:pPr>
            <w:r>
              <w:rPr>
                <w:rFonts w:hint="eastAsia" w:hAnsi="宋体" w:cs="宋体"/>
                <w:b/>
                <w:color w:val="000000" w:themeColor="text1"/>
                <w:sz w:val="21"/>
                <w:szCs w:val="21"/>
                <w14:textFill>
                  <w14:solidFill>
                    <w14:schemeClr w14:val="tx1"/>
                  </w14:solidFill>
                </w14:textFill>
              </w:rPr>
              <w:t>法定代表人或其委托代理人(签字):</w:t>
            </w:r>
            <w:r>
              <w:rPr>
                <w:rFonts w:hint="eastAsia" w:hAnsi="宋体" w:cs="宋体"/>
                <w:b/>
                <w:color w:val="000000" w:themeColor="text1"/>
                <w:sz w:val="21"/>
                <w:szCs w:val="21"/>
                <w:u w:val="single"/>
                <w14:textFill>
                  <w14:solidFill>
                    <w14:schemeClr w14:val="tx1"/>
                  </w14:solidFill>
                </w14:textFill>
              </w:rPr>
              <w:tab/>
            </w:r>
          </w:p>
          <w:p>
            <w:pPr>
              <w:pStyle w:val="16"/>
              <w:tabs>
                <w:tab w:val="left" w:pos="5580"/>
              </w:tabs>
              <w:spacing w:line="696" w:lineRule="auto"/>
              <w:jc w:val="left"/>
              <w:rPr>
                <w:rFonts w:hAnsi="宋体" w:cs="宋体"/>
                <w:b/>
                <w:color w:val="000000" w:themeColor="text1"/>
                <w:sz w:val="21"/>
                <w:szCs w:val="21"/>
                <w:u w:val="single"/>
                <w14:textFill>
                  <w14:solidFill>
                    <w14:schemeClr w14:val="tx1"/>
                  </w14:solidFill>
                </w14:textFill>
              </w:rPr>
            </w:pPr>
            <w:r>
              <w:rPr>
                <w:rFonts w:hint="eastAsia" w:hAnsi="宋体" w:cs="宋体"/>
                <w:b/>
                <w:color w:val="000000" w:themeColor="text1"/>
                <w:sz w:val="21"/>
                <w:szCs w:val="21"/>
                <w14:textFill>
                  <w14:solidFill>
                    <w14:schemeClr w14:val="tx1"/>
                  </w14:solidFill>
                </w14:textFill>
              </w:rPr>
              <w:t>联系电话：</w:t>
            </w:r>
          </w:p>
          <w:p>
            <w:pPr>
              <w:pStyle w:val="16"/>
              <w:tabs>
                <w:tab w:val="left" w:pos="5580"/>
              </w:tabs>
              <w:spacing w:line="696" w:lineRule="auto"/>
              <w:jc w:val="left"/>
              <w:rPr>
                <w:rFonts w:hAnsi="宋体" w:cs="宋体"/>
                <w:b/>
                <w:color w:val="000000" w:themeColor="text1"/>
                <w:sz w:val="21"/>
                <w:szCs w:val="21"/>
                <w:u w:val="single"/>
                <w14:textFill>
                  <w14:solidFill>
                    <w14:schemeClr w14:val="tx1"/>
                  </w14:solidFill>
                </w14:textFill>
              </w:rPr>
            </w:pPr>
            <w:r>
              <w:rPr>
                <w:rFonts w:hint="eastAsia" w:hAnsi="宋体" w:cs="宋体"/>
                <w:b/>
                <w:color w:val="000000" w:themeColor="text1"/>
                <w:sz w:val="21"/>
                <w:szCs w:val="21"/>
                <w14:textFill>
                  <w14:solidFill>
                    <w14:schemeClr w14:val="tx1"/>
                  </w14:solidFill>
                </w14:textFill>
              </w:rPr>
              <w:t>联系地址：</w:t>
            </w:r>
          </w:p>
          <w:p>
            <w:pPr>
              <w:spacing w:line="696" w:lineRule="auto"/>
              <w:jc w:val="lef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日    期：</w:t>
            </w:r>
            <w:r>
              <w:rPr>
                <w:rFonts w:hint="eastAsia" w:ascii="宋体" w:hAnsi="宋体" w:cs="宋体"/>
                <w:b/>
                <w:color w:val="000000" w:themeColor="text1"/>
                <w:szCs w:val="21"/>
                <w:u w:val="singl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84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1.如果开标一览表（报价表）内容与投标分项报价表内容不一致的，以开标一览表（报价表）内容为准；</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2.非单一产品采购的，填写核心产品的品牌或制造商（企业商号或者注册商标）。</w:t>
            </w:r>
          </w:p>
        </w:tc>
      </w:tr>
    </w:tbl>
    <w:p>
      <w:pPr>
        <w:spacing w:line="696" w:lineRule="auto"/>
        <w:jc w:val="center"/>
        <w:rPr>
          <w:rFonts w:ascii="宋体" w:hAnsi="宋体" w:cs="宋体"/>
          <w:b/>
          <w:bCs/>
          <w:color w:val="000000" w:themeColor="text1"/>
          <w:szCs w:val="21"/>
          <w14:textFill>
            <w14:solidFill>
              <w14:schemeClr w14:val="tx1"/>
            </w14:solidFill>
          </w14:textFill>
        </w:rPr>
      </w:pPr>
      <w:bookmarkStart w:id="218" w:name="_Toc115881334"/>
      <w:bookmarkStart w:id="219" w:name="_Toc108881192"/>
    </w:p>
    <w:p>
      <w:pPr>
        <w:spacing w:line="696" w:lineRule="auto"/>
        <w:jc w:val="center"/>
        <w:rPr>
          <w:rFonts w:ascii="宋体" w:hAnsi="宋体" w:cs="宋体"/>
          <w:b/>
          <w:bCs/>
          <w:color w:val="000000" w:themeColor="text1"/>
          <w:szCs w:val="21"/>
          <w14:textFill>
            <w14:solidFill>
              <w14:schemeClr w14:val="tx1"/>
            </w14:solidFill>
          </w14:textFill>
        </w:rPr>
      </w:pPr>
    </w:p>
    <w:p>
      <w:pPr>
        <w:jc w:val="center"/>
        <w:rPr>
          <w:rFonts w:hint="eastAsia" w:ascii="宋体" w:hAnsi="宋体"/>
          <w:b/>
          <w:sz w:val="28"/>
          <w:szCs w:val="28"/>
        </w:rPr>
      </w:pPr>
    </w:p>
    <w:p>
      <w:pPr>
        <w:jc w:val="center"/>
        <w:rPr>
          <w:rFonts w:ascii="宋体" w:hAnsi="宋体"/>
          <w:b/>
          <w:sz w:val="28"/>
          <w:szCs w:val="28"/>
        </w:rPr>
      </w:pPr>
      <w:r>
        <w:rPr>
          <w:rFonts w:hint="eastAsia" w:ascii="宋体" w:hAnsi="宋体"/>
          <w:b/>
          <w:sz w:val="28"/>
          <w:szCs w:val="28"/>
        </w:rPr>
        <w:t>二、</w:t>
      </w:r>
      <w:r>
        <w:rPr>
          <w:rFonts w:hint="eastAsia" w:ascii="宋体" w:hAnsi="宋体"/>
          <w:b/>
          <w:sz w:val="28"/>
          <w:szCs w:val="28"/>
          <w:lang w:eastAsia="zh-CN"/>
        </w:rPr>
        <w:t>投标供应商</w:t>
      </w:r>
      <w:r>
        <w:rPr>
          <w:rFonts w:hint="eastAsia" w:ascii="宋体" w:hAnsi="宋体"/>
          <w:b/>
          <w:sz w:val="28"/>
          <w:szCs w:val="28"/>
        </w:rPr>
        <w:t>的资格证明文件</w:t>
      </w:r>
      <w:bookmarkEnd w:id="218"/>
      <w:bookmarkEnd w:id="219"/>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7229"/>
        <w:gridCol w:w="799"/>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2.1资格证明文件</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w:t>
            </w:r>
          </w:p>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页码</w:t>
            </w: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满足《中华人民共和国政府采购法》第二十二条规定</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（1.1）具有独立承担民事责任的能力</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提供有效的法人或者其他组织的营业执照等证明文件，自然人的身份证明</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（1.2）具有良好的商业信誉和健全的财务会计制度</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提供财务状况报告证明材料（例：审计报告、银行对账单、银行咨信证明等）；</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1.如是审计报告，须为本单位上年度（如投标截止时间为1季度，可以提供前一年度）经会计师事务所出具的审计报告（须有会计师事务所的盖章）；</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2.如是银行对账单，须为近3个月来任意1个月的银行对账单（须银行盖章）；</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银行咨信证明等相关证明如有有效期的，须保证其证明在有效期内。</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（1.3）有依法缴纳税收和社会保障资金的良好记录</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提供近3个月来任意1个月的依法缴纳税收和社会保障资金的相关材料</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（1.4）具有履行合同所必需的设备和专业技术能力（原件）</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提供具备履行合同所必需的设备和专业技术能力的证明材料（如无特殊说明，须按本表后附的格式及要求填写书面声明函）</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（1.5）参加政府采购活动前三年内，在经营活动中没有重大违法记录（原件）</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提供参加政府采购活动前3年内在经营活动中没有重大违法记录的书面声明（须按本表后附的格式及要求填写书面声明函）</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（1.6）法律、行政法规规定的其他条件（原件）</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提供具备法律、行政法规规定的其他条件的证明材料（如无特殊说明，须按本表后附的格式及要求填写书面承诺函）</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落实政府采购政策需满足的资格要求（按照采购公告的要求提供）</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本项目的特定资格要求（按照采购公告的要求提供）</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行数不够，可按本表格式自行添加</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60" w:type="dxa"/>
            <w:gridSpan w:val="4"/>
            <w:tcBorders>
              <w:top w:val="single" w:color="auto" w:sz="4" w:space="0"/>
              <w:left w:val="single" w:color="auto" w:sz="4" w:space="0"/>
              <w:bottom w:val="single" w:color="auto" w:sz="4" w:space="0"/>
              <w:right w:val="single" w:color="auto" w:sz="4" w:space="0"/>
            </w:tcBorders>
            <w:vAlign w:val="center"/>
          </w:tcPr>
          <w:p>
            <w:pPr>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特别提醒：</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1.如无特殊说明，提供复印件即可（1.4、1.5、1.6必须在正本中提供原件），复印件上请加盖本单位章。如</w:t>
            </w:r>
            <w:r>
              <w:rPr>
                <w:rFonts w:hint="eastAsia" w:ascii="宋体" w:hAnsi="宋体" w:cs="宋体"/>
                <w:bCs/>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资格证明文件提供为原件的，视为一次性证明材料（例：社保证明原件），恕不退回；</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2.如果是联合体投标，联合体各方均需提供满足本表1项要求的资格证明文件以及满足采购文件要求的其他资格证明文件（2、3项）；</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为方便供应商投标，采购人可以要求供应商提供书面</w:t>
            </w:r>
            <w:r>
              <w:rPr>
                <w:rFonts w:hint="eastAsia" w:ascii="宋体" w:hAnsi="宋体" w:cs="宋体"/>
                <w:color w:val="000000" w:themeColor="text1"/>
                <w:szCs w:val="21"/>
                <w14:textFill>
                  <w14:solidFill>
                    <w14:schemeClr w14:val="tx1"/>
                  </w14:solidFill>
                </w14:textFill>
              </w:rPr>
              <w:t>承诺（声明）</w:t>
            </w:r>
            <w:r>
              <w:rPr>
                <w:rFonts w:hint="eastAsia" w:ascii="宋体" w:hAnsi="宋体" w:cs="宋体"/>
                <w:bCs/>
                <w:color w:val="000000" w:themeColor="text1"/>
                <w:szCs w:val="21"/>
                <w14:textFill>
                  <w14:solidFill>
                    <w14:schemeClr w14:val="tx1"/>
                  </w14:solidFill>
                </w14:textFill>
              </w:rPr>
              <w:t>函代替相关</w:t>
            </w:r>
            <w:r>
              <w:rPr>
                <w:rFonts w:hint="eastAsia" w:ascii="宋体" w:hAnsi="宋体" w:cs="宋体"/>
                <w:color w:val="000000" w:themeColor="text1"/>
                <w:szCs w:val="21"/>
                <w14:textFill>
                  <w14:solidFill>
                    <w14:schemeClr w14:val="tx1"/>
                  </w14:solidFill>
                </w14:textFill>
              </w:rPr>
              <w:t>资格证明文件</w:t>
            </w:r>
            <w:r>
              <w:rPr>
                <w:rFonts w:hint="eastAsia" w:ascii="宋体" w:hAnsi="宋体" w:cs="宋体"/>
                <w:bCs/>
                <w:color w:val="000000" w:themeColor="text1"/>
                <w:szCs w:val="21"/>
                <w14:textFill>
                  <w14:solidFill>
                    <w14:schemeClr w14:val="tx1"/>
                  </w14:solidFill>
                </w14:textFill>
              </w:rPr>
              <w:t>（具体以采购文件的要求为准），但不代表供应商可以不符合其相关要求。供应商对</w:t>
            </w:r>
            <w:r>
              <w:rPr>
                <w:rFonts w:hint="eastAsia" w:ascii="宋体" w:hAnsi="宋体" w:cs="宋体"/>
                <w:color w:val="000000" w:themeColor="text1"/>
                <w:szCs w:val="21"/>
                <w14:textFill>
                  <w14:solidFill>
                    <w14:schemeClr w14:val="tx1"/>
                  </w14:solidFill>
                </w14:textFill>
              </w:rPr>
              <w:t>承诺或声明</w:t>
            </w:r>
            <w:r>
              <w:rPr>
                <w:rFonts w:hint="eastAsia" w:ascii="宋体" w:hAnsi="宋体" w:cs="宋体"/>
                <w:bCs/>
                <w:color w:val="000000" w:themeColor="text1"/>
                <w:szCs w:val="21"/>
                <w14:textFill>
                  <w14:solidFill>
                    <w14:schemeClr w14:val="tx1"/>
                  </w14:solidFill>
                </w14:textFill>
              </w:rPr>
              <w:t>的真实性负责。</w:t>
            </w:r>
          </w:p>
        </w:tc>
      </w:tr>
    </w:tbl>
    <w:p>
      <w:pPr>
        <w:spacing w:line="360" w:lineRule="auto"/>
        <w:jc w:val="left"/>
        <w:rPr>
          <w:rFonts w:ascii="宋体" w:hAnsi="宋体" w:cs="宋体"/>
          <w:b/>
          <w:color w:val="000000" w:themeColor="text1"/>
          <w:szCs w:val="21"/>
          <w14:textFill>
            <w14:solidFill>
              <w14:schemeClr w14:val="tx1"/>
            </w14:solidFill>
          </w14:textFill>
        </w:rPr>
      </w:pPr>
    </w:p>
    <w:p>
      <w:pPr>
        <w:spacing w:line="360" w:lineRule="auto"/>
        <w:jc w:val="left"/>
        <w:rPr>
          <w:rFonts w:ascii="宋体" w:hAnsi="宋体" w:cs="宋体"/>
          <w:b/>
          <w:color w:val="000000" w:themeColor="text1"/>
          <w:szCs w:val="21"/>
          <w14:textFill>
            <w14:solidFill>
              <w14:schemeClr w14:val="tx1"/>
            </w14:solidFill>
          </w14:textFill>
        </w:rPr>
      </w:pPr>
    </w:p>
    <w:p>
      <w:pPr>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1、满足《中华人民共和国政府采购法》第二十二条规定</w:t>
      </w:r>
    </w:p>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（1.1）具有独立承担民事责任的能力</w:t>
      </w:r>
    </w:p>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提供有效的法人或者其他组织的营业执照等证明文件，自然人的身份证明</w:t>
      </w:r>
    </w:p>
    <w:p>
      <w:pPr>
        <w:spacing w:line="360" w:lineRule="auto"/>
        <w:rPr>
          <w:rFonts w:ascii="宋体" w:hAnsi="宋体" w:cs="宋体"/>
          <w:b/>
          <w:color w:val="000000" w:themeColor="text1"/>
          <w:szCs w:val="21"/>
          <w14:textFill>
            <w14:solidFill>
              <w14:schemeClr w14:val="tx1"/>
            </w14:solidFill>
          </w14:textFill>
        </w:rPr>
      </w:pPr>
    </w:p>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（1.2）具有良好的商业信誉和健全的财务会计制度</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提供财务状况报告证明材料（例：审计报告、银行对账单、银行咨信证明等）；</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1.如是审计报告，须为本单位上年度（如投标截止时间为1季度，可以提供前一年度）经会计师事务所出具的审计报告（须有会计师事务所的盖章）；</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2.如是银行对账单，须为近3个月来任意1个月的银行对账单（须银行盖章）；</w:t>
      </w:r>
    </w:p>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银行咨信证明等相关证明如有有效期的，须保证其证明在有效期内。</w:t>
      </w:r>
    </w:p>
    <w:p>
      <w:pPr>
        <w:spacing w:line="380" w:lineRule="exact"/>
        <w:outlineLvl w:val="1"/>
        <w:rPr>
          <w:rFonts w:ascii="宋体" w:hAnsi="宋体" w:cs="宋体"/>
          <w:b/>
          <w:color w:val="000000" w:themeColor="text1"/>
          <w:szCs w:val="21"/>
          <w14:textFill>
            <w14:solidFill>
              <w14:schemeClr w14:val="tx1"/>
            </w14:solidFill>
          </w14:textFill>
        </w:rPr>
      </w:pPr>
      <w:bookmarkStart w:id="220" w:name="_Toc2612"/>
      <w:bookmarkStart w:id="221" w:name="_Toc13060"/>
      <w:r>
        <w:rPr>
          <w:rFonts w:hint="eastAsia" w:ascii="宋体" w:hAnsi="宋体" w:cs="宋体"/>
          <w:b/>
          <w:color w:val="000000" w:themeColor="text1"/>
          <w:szCs w:val="21"/>
          <w14:textFill>
            <w14:solidFill>
              <w14:schemeClr w14:val="tx1"/>
            </w14:solidFill>
          </w14:textFill>
        </w:rPr>
        <w:t>（1.3）有依法缴纳税收和社会保障资金的良好记录</w:t>
      </w:r>
      <w:bookmarkEnd w:id="220"/>
      <w:bookmarkEnd w:id="221"/>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提供近3个月来任意1个月的依法缴纳税收和社会保障资金的相关材料</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534" w:type="dxa"/>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1.4具有履行合同所必需的设备和专业技术能力的书面声明函（格式）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tcPr>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我方郑重声明：</w:t>
            </w:r>
          </w:p>
          <w:p>
            <w:pPr>
              <w:spacing w:line="360" w:lineRule="auto"/>
              <w:ind w:firstLine="492"/>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我方具备履行本项采购合同所必需的设备和专业技术能力，为履行本项采购合同我公司具备如下主要设备和主要专业技术能力：主要设备有：</w:t>
            </w:r>
            <w:r>
              <w:rPr>
                <w:rFonts w:hint="eastAsia" w:ascii="宋体" w:hAnsi="宋体" w:cs="宋体"/>
                <w:bCs/>
                <w:color w:val="000000" w:themeColor="text1"/>
                <w:szCs w:val="21"/>
                <w:u w:val="single"/>
                <w14:textFill>
                  <w14:solidFill>
                    <w14:schemeClr w14:val="tx1"/>
                  </w14:solidFill>
                </w14:textFill>
              </w:rPr>
              <w:t xml:space="preserve">               （一个即可）</w:t>
            </w:r>
            <w:r>
              <w:rPr>
                <w:rFonts w:hint="eastAsia" w:ascii="宋体" w:hAnsi="宋体" w:cs="宋体"/>
                <w:bCs/>
                <w:color w:val="000000" w:themeColor="text1"/>
                <w:szCs w:val="21"/>
                <w14:textFill>
                  <w14:solidFill>
                    <w14:schemeClr w14:val="tx1"/>
                  </w14:solidFill>
                </w14:textFill>
              </w:rPr>
              <w:t>。</w:t>
            </w:r>
          </w:p>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主要专业技术能力有：</w:t>
            </w:r>
            <w:r>
              <w:rPr>
                <w:rFonts w:hint="eastAsia" w:ascii="宋体" w:hAnsi="宋体" w:cs="宋体"/>
                <w:bCs/>
                <w:color w:val="000000" w:themeColor="text1"/>
                <w:szCs w:val="21"/>
                <w:u w:val="single"/>
                <w14:textFill>
                  <w14:solidFill>
                    <w14:schemeClr w14:val="tx1"/>
                  </w14:solidFill>
                </w14:textFill>
              </w:rPr>
              <w:t xml:space="preserve">          （一项即可）</w:t>
            </w:r>
            <w:r>
              <w:rPr>
                <w:rFonts w:hint="eastAsia" w:ascii="宋体" w:hAnsi="宋体" w:cs="宋体"/>
                <w:bCs/>
                <w:color w:val="000000" w:themeColor="text1"/>
                <w:szCs w:val="21"/>
                <w14:textFill>
                  <w14:solidFill>
                    <w14:schemeClr w14:val="tx1"/>
                  </w14:solidFill>
                </w14:textFill>
              </w:rPr>
              <w:t>。</w:t>
            </w:r>
          </w:p>
          <w:p>
            <w:pPr>
              <w:spacing w:line="360" w:lineRule="auto"/>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供应商名称（公章）：</w:t>
            </w:r>
          </w:p>
          <w:p>
            <w:pPr>
              <w:spacing w:line="360" w:lineRule="auto"/>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w:t>
            </w:r>
            <w:r>
              <w:rPr>
                <w:rFonts w:hint="eastAsia" w:ascii="宋体" w:hAnsi="宋体" w:cs="宋体"/>
                <w:bCs/>
                <w:color w:val="000000" w:themeColor="text1"/>
                <w:szCs w:val="21"/>
                <w14:textFill>
                  <w14:solidFill>
                    <w14:schemeClr w14:val="tx1"/>
                  </w14:solidFill>
                </w14:textFill>
              </w:rPr>
              <w:t>签字：</w:t>
            </w:r>
          </w:p>
          <w:p>
            <w:pPr>
              <w:spacing w:line="360" w:lineRule="auto"/>
              <w:ind w:firstLine="492"/>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u w:val="single"/>
                <w14:textFill>
                  <w14:solidFill>
                    <w14:schemeClr w14:val="tx1"/>
                  </w14:solidFill>
                </w14:textFill>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说明：1.供应商须按本表格式制作，并在正本中提供原件，否按无效处理。</w:t>
            </w:r>
          </w:p>
          <w:p>
            <w:pP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 如果是联合体投标，联合体各方均需提供上述证明。</w:t>
            </w:r>
          </w:p>
        </w:tc>
      </w:tr>
    </w:tbl>
    <w:p>
      <w:pPr>
        <w:spacing w:line="360" w:lineRule="auto"/>
        <w:jc w:val="left"/>
        <w:rPr>
          <w:rFonts w:ascii="宋体" w:hAnsi="宋体" w:cs="宋体"/>
          <w:b/>
          <w:color w:val="000000" w:themeColor="text1"/>
          <w:szCs w:val="21"/>
          <w14:textFill>
            <w14:solidFill>
              <w14:schemeClr w14:val="tx1"/>
            </w14:solidFill>
          </w14:textFill>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534" w:type="dxa"/>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1.5参加政府采购活动前三年内在经营活动中没有重大违法记录的书面声明函（格式）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tcPr>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我方郑重声明：</w:t>
            </w:r>
          </w:p>
          <w:p>
            <w:pPr>
              <w:spacing w:line="360" w:lineRule="auto"/>
              <w:ind w:firstLine="492"/>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我方参加本次政府采购活动前3年内，我方在经营活动中没有因违法经营受到刑事处罚或者责令停产停业、吊销许可证或者执照、较大数额罚款等行政处罚。</w:t>
            </w:r>
          </w:p>
          <w:p>
            <w:pPr>
              <w:spacing w:line="360" w:lineRule="auto"/>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供应商名称（公章）：</w:t>
            </w:r>
          </w:p>
          <w:p>
            <w:pPr>
              <w:spacing w:line="360" w:lineRule="auto"/>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w:t>
            </w:r>
            <w:r>
              <w:rPr>
                <w:rFonts w:hint="eastAsia" w:ascii="宋体" w:hAnsi="宋体" w:cs="宋体"/>
                <w:bCs/>
                <w:color w:val="000000" w:themeColor="text1"/>
                <w:szCs w:val="21"/>
                <w14:textFill>
                  <w14:solidFill>
                    <w14:schemeClr w14:val="tx1"/>
                  </w14:solidFill>
                </w14:textFill>
              </w:rPr>
              <w:t>签字：</w:t>
            </w:r>
          </w:p>
          <w:p>
            <w:pPr>
              <w:spacing w:line="360" w:lineRule="auto"/>
              <w:ind w:firstLine="492"/>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u w:val="single"/>
                <w14:textFill>
                  <w14:solidFill>
                    <w14:schemeClr w14:val="tx1"/>
                  </w14:solidFill>
                </w14:textFill>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说明：1.供应商须按本表格式制作，并在正本中提供原件，否按无效处理。</w:t>
            </w:r>
          </w:p>
          <w:p>
            <w:pP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 如果是联合体投标，联合体各方均需提供上述证明。</w:t>
            </w:r>
          </w:p>
        </w:tc>
      </w:tr>
    </w:tbl>
    <w:p>
      <w:pPr>
        <w:spacing w:line="360" w:lineRule="auto"/>
        <w:jc w:val="left"/>
        <w:rPr>
          <w:rFonts w:ascii="宋体" w:hAnsi="宋体" w:cs="宋体"/>
          <w:b/>
          <w:color w:val="000000" w:themeColor="text1"/>
          <w:szCs w:val="21"/>
          <w14:textFill>
            <w14:solidFill>
              <w14:schemeClr w14:val="tx1"/>
            </w14:solidFill>
          </w14:textFill>
        </w:rPr>
      </w:pPr>
    </w:p>
    <w:p>
      <w:pPr>
        <w:pStyle w:val="11"/>
        <w:rPr>
          <w:rFonts w:ascii="宋体" w:hAnsi="宋体" w:eastAsia="宋体" w:cs="宋体"/>
          <w:color w:val="000000" w:themeColor="text1"/>
          <w:sz w:val="21"/>
          <w:szCs w:val="21"/>
          <w14:textFill>
            <w14:solidFill>
              <w14:schemeClr w14:val="tx1"/>
            </w14:solidFill>
          </w14:textFill>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534" w:type="dxa"/>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1.6具备法律、行政法规规定的其他条件的书面承诺函（格式）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tcPr>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我方郑重声明：</w:t>
            </w:r>
          </w:p>
          <w:p>
            <w:pPr>
              <w:spacing w:line="360" w:lineRule="auto"/>
              <w:ind w:firstLine="492"/>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我方（联合体）具有合法从事本次采购内容的经营资格（含</w:t>
            </w:r>
            <w:r>
              <w:rPr>
                <w:rFonts w:hint="eastAsia" w:ascii="宋体" w:hAnsi="宋体" w:cs="宋体"/>
                <w:color w:val="000000" w:themeColor="text1"/>
                <w:kern w:val="0"/>
                <w:szCs w:val="21"/>
                <w14:textFill>
                  <w14:solidFill>
                    <w14:schemeClr w14:val="tx1"/>
                  </w14:solidFill>
                </w14:textFill>
              </w:rPr>
              <w:t>准入性资质</w:t>
            </w:r>
            <w:r>
              <w:rPr>
                <w:rFonts w:hint="eastAsia" w:ascii="宋体" w:hAnsi="宋体" w:cs="宋体"/>
                <w:bCs/>
                <w:color w:val="000000" w:themeColor="text1"/>
                <w:szCs w:val="21"/>
                <w14:textFill>
                  <w14:solidFill>
                    <w14:schemeClr w14:val="tx1"/>
                  </w14:solidFill>
                </w14:textFill>
              </w:rPr>
              <w:t>等行政许可）以及</w:t>
            </w:r>
            <w:r>
              <w:rPr>
                <w:rFonts w:hint="eastAsia" w:ascii="宋体" w:hAnsi="宋体" w:cs="宋体"/>
                <w:color w:val="000000" w:themeColor="text1"/>
                <w:szCs w:val="21"/>
                <w14:textFill>
                  <w14:solidFill>
                    <w14:schemeClr w14:val="tx1"/>
                  </w14:solidFill>
                </w14:textFill>
              </w:rPr>
              <w:t>具备法律、行政法规规定的其他条件</w:t>
            </w:r>
            <w:r>
              <w:rPr>
                <w:rFonts w:hint="eastAsia" w:ascii="宋体" w:hAnsi="宋体" w:cs="宋体"/>
                <w:bCs/>
                <w:color w:val="000000" w:themeColor="text1"/>
                <w:szCs w:val="21"/>
                <w14:textFill>
                  <w14:solidFill>
                    <w14:schemeClr w14:val="tx1"/>
                  </w14:solidFill>
                </w14:textFill>
              </w:rPr>
              <w:t>。</w:t>
            </w:r>
          </w:p>
          <w:p>
            <w:pPr>
              <w:spacing w:line="360" w:lineRule="auto"/>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供应商名称（公章）：</w:t>
            </w:r>
          </w:p>
          <w:p>
            <w:pPr>
              <w:spacing w:line="360" w:lineRule="auto"/>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w:t>
            </w:r>
            <w:r>
              <w:rPr>
                <w:rFonts w:hint="eastAsia" w:ascii="宋体" w:hAnsi="宋体" w:cs="宋体"/>
                <w:bCs/>
                <w:color w:val="000000" w:themeColor="text1"/>
                <w:szCs w:val="21"/>
                <w14:textFill>
                  <w14:solidFill>
                    <w14:schemeClr w14:val="tx1"/>
                  </w14:solidFill>
                </w14:textFill>
              </w:rPr>
              <w:t>签字：</w:t>
            </w:r>
          </w:p>
          <w:p>
            <w:pPr>
              <w:spacing w:line="360" w:lineRule="auto"/>
              <w:ind w:firstLine="492"/>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u w:val="single"/>
                <w14:textFill>
                  <w14:solidFill>
                    <w14:schemeClr w14:val="tx1"/>
                  </w14:solidFill>
                </w14:textFill>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说明：1.供应商须按本表格式制作，并在正本中提供原件，否按无效处理。</w:t>
            </w:r>
          </w:p>
          <w:p>
            <w:pP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 如果是联合体投标，联合体各方均需提供上述证明。</w:t>
            </w:r>
          </w:p>
        </w:tc>
      </w:tr>
    </w:tbl>
    <w:p>
      <w:pPr>
        <w:spacing w:line="360" w:lineRule="auto"/>
        <w:jc w:val="left"/>
        <w:rPr>
          <w:rFonts w:ascii="宋体" w:hAnsi="宋体" w:cs="宋体"/>
          <w:b/>
          <w:color w:val="000000" w:themeColor="text1"/>
          <w:szCs w:val="21"/>
          <w14:textFill>
            <w14:solidFill>
              <w14:schemeClr w14:val="tx1"/>
            </w14:solidFill>
          </w14:textFill>
        </w:rPr>
      </w:pPr>
    </w:p>
    <w:p>
      <w:pPr>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2、落实政府采购政策需满足的资格要求（按照采购公告的要求提供）</w:t>
      </w:r>
    </w:p>
    <w:p>
      <w:pPr>
        <w:spacing w:line="360" w:lineRule="auto"/>
        <w:jc w:val="left"/>
        <w:rPr>
          <w:rFonts w:ascii="宋体" w:hAnsi="宋体" w:cs="宋体"/>
          <w:b/>
          <w:color w:val="000000" w:themeColor="text1"/>
          <w:szCs w:val="21"/>
          <w14:textFill>
            <w14:solidFill>
              <w14:schemeClr w14:val="tx1"/>
            </w14:solidFill>
          </w14:textFill>
        </w:rPr>
      </w:pPr>
    </w:p>
    <w:p>
      <w:pPr>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3、本项目的特定资格要求（按照采购公告的要求提供）</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73"/>
        <w:gridCol w:w="3709"/>
        <w:gridCol w:w="1739"/>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902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2.1供应商自行承诺表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p>
        </w:tc>
        <w:tc>
          <w:tcPr>
            <w:tcW w:w="3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采购文件的商务条款</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供应商承诺</w:t>
            </w:r>
          </w:p>
        </w:tc>
        <w:tc>
          <w:tcPr>
            <w:tcW w:w="11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供应商的关联性</w:t>
            </w:r>
          </w:p>
        </w:tc>
        <w:tc>
          <w:tcPr>
            <w:tcW w:w="3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单位负责人为同一人或者存在直接控股、管理关系的不同供应商，不得参加同一合同项下的政府采购活动。</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满足/不满足</w:t>
            </w:r>
          </w:p>
          <w:p>
            <w:pPr>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（或列出所有关联性单位）</w:t>
            </w:r>
          </w:p>
        </w:tc>
        <w:tc>
          <w:tcPr>
            <w:tcW w:w="11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失信被执行人、重大税收违法案件当事人名单，以及重大违法纪录</w:t>
            </w:r>
          </w:p>
        </w:tc>
        <w:tc>
          <w:tcPr>
            <w:tcW w:w="3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不得在中国政府采购网被列入政府采购严重违法失信行为记录名单，或在“信用中国”网站被列入失信被执行人、重大税收违法案件当事人名单，以及存在《政府采购法实施条例》第十九条规定的行政处罚记录。</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满足/不满足</w:t>
            </w:r>
          </w:p>
          <w:p>
            <w:pPr>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（请在本表后付其截图）</w:t>
            </w:r>
          </w:p>
        </w:tc>
        <w:tc>
          <w:tcPr>
            <w:tcW w:w="11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保证金</w:t>
            </w:r>
          </w:p>
        </w:tc>
        <w:tc>
          <w:tcPr>
            <w:tcW w:w="3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根据江苏省财政厅的规定，为降低</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投标成本，取消政府采购投标保证金。</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无须填写</w:t>
            </w:r>
          </w:p>
        </w:tc>
        <w:tc>
          <w:tcPr>
            <w:tcW w:w="11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26" w:type="dxa"/>
            <w:gridSpan w:val="5"/>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法定代表人或其委托代理人（签字）：                       </w:t>
            </w:r>
            <w:r>
              <w:rPr>
                <w:rFonts w:hint="eastAsia" w:ascii="宋体" w:hAnsi="宋体" w:cs="宋体"/>
                <w:b/>
                <w:color w:val="000000" w:themeColor="text1"/>
                <w:szCs w:val="21"/>
                <w:u w:val="single"/>
                <w14:textFill>
                  <w14:solidFill>
                    <w14:schemeClr w14:val="tx1"/>
                  </w14:solidFill>
                </w14:textFill>
              </w:rPr>
              <w:tab/>
            </w:r>
          </w:p>
          <w:p>
            <w:pP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供应商(盖单位章)：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26"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1.用“满足/不满足/”响应来表明该要求是否被满足；</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2.供应商对本表承诺的真实性负责；</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有关联关系单位的（与供应商单位负责人为同一人或存在直接控股、管理关系的其他单位），如供应商知道未参加同一合同项下的政府采购活动的，填“满足”。如供应商不知道，须列出所有有关联关系的单位（可另页表达）。</w:t>
            </w:r>
          </w:p>
        </w:tc>
      </w:tr>
    </w:tbl>
    <w:p>
      <w:pPr>
        <w:pStyle w:val="16"/>
        <w:tabs>
          <w:tab w:val="left" w:pos="5580"/>
        </w:tabs>
        <w:spacing w:line="600" w:lineRule="exact"/>
        <w:rPr>
          <w:rFonts w:hAnsi="宋体" w:cs="宋体"/>
          <w:b/>
          <w:color w:val="000000" w:themeColor="text1"/>
          <w:sz w:val="21"/>
          <w:szCs w:val="21"/>
          <w14:textFill>
            <w14:solidFill>
              <w14:schemeClr w14:val="tx1"/>
            </w14:solidFill>
          </w14:textFill>
        </w:rPr>
      </w:pPr>
    </w:p>
    <w:p>
      <w:pPr>
        <w:spacing w:line="696" w:lineRule="auto"/>
        <w:jc w:val="center"/>
        <w:outlineLvl w:val="1"/>
        <w:rPr>
          <w:rFonts w:ascii="宋体" w:hAnsi="宋体" w:cs="宋体"/>
          <w:b/>
          <w:color w:val="000000"/>
          <w:kern w:val="0"/>
          <w:sz w:val="28"/>
          <w:szCs w:val="28"/>
        </w:rPr>
      </w:pPr>
      <w:bookmarkStart w:id="222" w:name="_Toc115881335"/>
      <w:bookmarkStart w:id="223" w:name="_Toc108881193"/>
      <w:bookmarkStart w:id="224" w:name="_Toc7634"/>
      <w:r>
        <w:rPr>
          <w:rFonts w:hint="eastAsia" w:ascii="宋体" w:hAnsi="宋体" w:cs="宋体"/>
          <w:b/>
          <w:color w:val="000000"/>
          <w:kern w:val="0"/>
          <w:sz w:val="28"/>
          <w:szCs w:val="28"/>
        </w:rPr>
        <w:t>三、法定代表人授权委托书(格式）</w:t>
      </w:r>
      <w:bookmarkEnd w:id="222"/>
      <w:bookmarkEnd w:id="223"/>
      <w:bookmarkEnd w:id="224"/>
    </w:p>
    <w:p>
      <w:pPr>
        <w:pStyle w:val="4"/>
        <w:spacing w:line="600" w:lineRule="exact"/>
        <w:ind w:firstLine="422"/>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（自然人投标的无需提供）</w:t>
      </w:r>
    </w:p>
    <w:p>
      <w:pPr>
        <w:spacing w:line="6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本授权书声明：注册于</w:t>
      </w:r>
      <w:r>
        <w:rPr>
          <w:rFonts w:hint="eastAsia" w:ascii="宋体" w:hAnsi="宋体" w:cs="宋体"/>
          <w:b/>
          <w:i/>
          <w:color w:val="000000" w:themeColor="text1"/>
          <w:szCs w:val="21"/>
          <w:u w:val="single"/>
          <w14:textFill>
            <w14:solidFill>
              <w14:schemeClr w14:val="tx1"/>
            </w14:solidFill>
          </w14:textFill>
        </w:rPr>
        <w:t xml:space="preserve">           （地区的名称。例：江苏盐城）</w:t>
      </w:r>
      <w:r>
        <w:rPr>
          <w:rFonts w:hint="eastAsia" w:ascii="宋体" w:hAnsi="宋体" w:cs="宋体"/>
          <w:color w:val="000000" w:themeColor="text1"/>
          <w:szCs w:val="21"/>
          <w14:textFill>
            <w14:solidFill>
              <w14:schemeClr w14:val="tx1"/>
            </w14:solidFill>
          </w14:textFill>
        </w:rPr>
        <w:t>的</w:t>
      </w:r>
      <w:r>
        <w:rPr>
          <w:rFonts w:hint="eastAsia" w:ascii="宋体" w:hAnsi="宋体" w:cs="宋体"/>
          <w:b/>
          <w:i/>
          <w:color w:val="000000" w:themeColor="text1"/>
          <w:szCs w:val="21"/>
          <w:u w:val="single"/>
          <w14:textFill>
            <w14:solidFill>
              <w14:schemeClr w14:val="tx1"/>
            </w14:solidFill>
          </w14:textFill>
        </w:rPr>
        <w:t xml:space="preserve">           （</w:t>
      </w:r>
      <w:r>
        <w:rPr>
          <w:rFonts w:hint="eastAsia" w:ascii="宋体" w:hAnsi="宋体" w:cs="宋体"/>
          <w:b/>
          <w:i/>
          <w:color w:val="000000" w:themeColor="text1"/>
          <w:szCs w:val="21"/>
          <w:u w:val="single"/>
          <w:lang w:eastAsia="zh-CN"/>
          <w14:textFill>
            <w14:solidFill>
              <w14:schemeClr w14:val="tx1"/>
            </w14:solidFill>
          </w14:textFill>
        </w:rPr>
        <w:t>投标供应商</w:t>
      </w:r>
      <w:r>
        <w:rPr>
          <w:rFonts w:hint="eastAsia" w:ascii="宋体" w:hAnsi="宋体" w:cs="宋体"/>
          <w:b/>
          <w:i/>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的在下面签字的</w:t>
      </w:r>
      <w:r>
        <w:rPr>
          <w:rFonts w:hint="eastAsia" w:ascii="宋体" w:hAnsi="宋体" w:cs="宋体"/>
          <w:b/>
          <w:i/>
          <w:color w:val="000000" w:themeColor="text1"/>
          <w:szCs w:val="21"/>
          <w:u w:val="single"/>
          <w14:textFill>
            <w14:solidFill>
              <w14:schemeClr w14:val="tx1"/>
            </w14:solidFill>
          </w14:textFill>
        </w:rPr>
        <w:t xml:space="preserve">         （法人代表姓名、职务）</w:t>
      </w:r>
      <w:r>
        <w:rPr>
          <w:rFonts w:hint="eastAsia" w:ascii="宋体" w:hAnsi="宋体" w:cs="宋体"/>
          <w:color w:val="000000" w:themeColor="text1"/>
          <w:szCs w:val="21"/>
          <w14:textFill>
            <w14:solidFill>
              <w14:schemeClr w14:val="tx1"/>
            </w14:solidFill>
          </w14:textFill>
        </w:rPr>
        <w:t>代表我单位授权</w:t>
      </w:r>
      <w:r>
        <w:rPr>
          <w:rFonts w:hint="eastAsia" w:ascii="宋体" w:hAnsi="宋体" w:cs="宋体"/>
          <w:b/>
          <w:i/>
          <w:color w:val="000000" w:themeColor="text1"/>
          <w:szCs w:val="21"/>
          <w:u w:val="single"/>
          <w14:textFill>
            <w14:solidFill>
              <w14:schemeClr w14:val="tx1"/>
            </w14:solidFill>
          </w14:textFill>
        </w:rPr>
        <w:t xml:space="preserve">                   （单位名称）</w:t>
      </w:r>
      <w:r>
        <w:rPr>
          <w:rFonts w:hint="eastAsia" w:ascii="宋体" w:hAnsi="宋体" w:cs="宋体"/>
          <w:color w:val="000000" w:themeColor="text1"/>
          <w:szCs w:val="21"/>
          <w14:textFill>
            <w14:solidFill>
              <w14:schemeClr w14:val="tx1"/>
            </w14:solidFill>
          </w14:textFill>
        </w:rPr>
        <w:t>的在下面签字的</w:t>
      </w:r>
      <w:r>
        <w:rPr>
          <w:rFonts w:hint="eastAsia" w:ascii="宋体" w:hAnsi="宋体" w:cs="宋体"/>
          <w:b/>
          <w:i/>
          <w:color w:val="000000" w:themeColor="text1"/>
          <w:szCs w:val="21"/>
          <w:u w:val="single"/>
          <w14:textFill>
            <w14:solidFill>
              <w14:schemeClr w14:val="tx1"/>
            </w14:solidFill>
          </w14:textFill>
        </w:rPr>
        <w:t xml:space="preserve">                （被授权人的姓名、职务）</w:t>
      </w:r>
      <w:r>
        <w:rPr>
          <w:rFonts w:hint="eastAsia" w:ascii="宋体" w:hAnsi="宋体" w:cs="宋体"/>
          <w:color w:val="000000" w:themeColor="text1"/>
          <w:szCs w:val="21"/>
          <w14:textFill>
            <w14:solidFill>
              <w14:schemeClr w14:val="tx1"/>
            </w14:solidFill>
          </w14:textFill>
        </w:rPr>
        <w:t>为我单位的合法代理人（授权代表），就</w:t>
      </w:r>
      <w:r>
        <w:rPr>
          <w:rFonts w:hint="eastAsia" w:ascii="宋体" w:hAnsi="宋体" w:cs="宋体"/>
          <w:b/>
          <w:i/>
          <w:color w:val="000000" w:themeColor="text1"/>
          <w:szCs w:val="21"/>
          <w:u w:val="single"/>
          <w14:textFill>
            <w14:solidFill>
              <w14:schemeClr w14:val="tx1"/>
            </w14:solidFill>
          </w14:textFill>
        </w:rPr>
        <w:t xml:space="preserve">             （项目名称）</w:t>
      </w:r>
      <w:r>
        <w:rPr>
          <w:rFonts w:hint="eastAsia" w:ascii="宋体" w:hAnsi="宋体" w:cs="宋体"/>
          <w:color w:val="000000" w:themeColor="text1"/>
          <w:szCs w:val="21"/>
          <w14:textFill>
            <w14:solidFill>
              <w14:schemeClr w14:val="tx1"/>
            </w14:solidFill>
          </w14:textFill>
        </w:rPr>
        <w:t>的投标（响应），以我单位名义处理一切与之有关的事务。</w:t>
      </w:r>
    </w:p>
    <w:p>
      <w:pPr>
        <w:spacing w:line="6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本授权书于</w:t>
      </w:r>
      <w:r>
        <w:rPr>
          <w:rFonts w:hint="eastAsia" w:ascii="宋体" w:hAnsi="宋体" w:cs="宋体"/>
          <w:color w:val="000000" w:themeColor="text1"/>
          <w:szCs w:val="21"/>
          <w:u w:val="single"/>
          <w14:textFill>
            <w14:solidFill>
              <w14:schemeClr w14:val="tx1"/>
            </w14:solidFill>
          </w14:textFill>
        </w:rPr>
        <w:t xml:space="preserve">           年     月     </w:t>
      </w:r>
      <w:r>
        <w:rPr>
          <w:rFonts w:hint="eastAsia" w:ascii="宋体" w:hAnsi="宋体" w:cs="宋体"/>
          <w:color w:val="000000" w:themeColor="text1"/>
          <w:szCs w:val="21"/>
          <w14:textFill>
            <w14:solidFill>
              <w14:schemeClr w14:val="tx1"/>
            </w14:solidFill>
          </w14:textFill>
        </w:rPr>
        <w:t>日签字生效,特此声明。</w:t>
      </w:r>
    </w:p>
    <w:p>
      <w:pPr>
        <w:spacing w:line="6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（盖单位章）：</w:t>
      </w:r>
    </w:p>
    <w:p>
      <w:pPr>
        <w:spacing w:line="6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法定代表人（签字或签章）：</w:t>
      </w:r>
    </w:p>
    <w:p>
      <w:pPr>
        <w:spacing w:line="6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委托代理人（签字或签章）：</w:t>
      </w:r>
    </w:p>
    <w:p>
      <w:pPr>
        <w:spacing w:line="6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        期：</w:t>
      </w:r>
    </w:p>
    <w:p>
      <w:pPr>
        <w:spacing w:line="600" w:lineRule="exact"/>
        <w:ind w:firstLine="420" w:firstLineChars="200"/>
        <w:jc w:val="center"/>
        <w:rPr>
          <w:rFonts w:ascii="宋体" w:hAnsi="宋体" w:cs="宋体"/>
          <w:color w:val="000000" w:themeColor="text1"/>
          <w:szCs w:val="21"/>
          <w14:textFill>
            <w14:solidFill>
              <w14:schemeClr w14:val="tx1"/>
            </w14:solidFill>
          </w14:textFill>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法定代表人有效身份证明</w:t>
            </w:r>
          </w:p>
        </w:tc>
        <w:tc>
          <w:tcPr>
            <w:tcW w:w="4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委托代理人（被授权人）有效身份证明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color w:val="000000" w:themeColor="text1"/>
                <w:szCs w:val="21"/>
                <w14:textFill>
                  <w14:solidFill>
                    <w14:schemeClr w14:val="tx1"/>
                  </w14:solidFill>
                </w14:textFill>
              </w:rPr>
            </w:pPr>
            <w:r>
              <w:rPr>
                <w:rFonts w:hint="eastAsia" w:ascii="宋体" w:hAnsi="宋体" w:cs="宋体"/>
                <w:i/>
                <w:color w:val="000000" w:themeColor="text1"/>
                <w:szCs w:val="21"/>
                <w14:textFill>
                  <w14:solidFill>
                    <w14:schemeClr w14:val="tx1"/>
                  </w14:solidFill>
                </w14:textFill>
              </w:rPr>
              <w:t>（身份证复印件粘贴处）</w:t>
            </w:r>
          </w:p>
          <w:p>
            <w:pPr>
              <w:jc w:val="center"/>
              <w:rPr>
                <w:rFonts w:ascii="宋体" w:hAnsi="宋体" w:cs="宋体"/>
                <w:i/>
                <w:color w:val="000000" w:themeColor="text1"/>
                <w:szCs w:val="21"/>
                <w14:textFill>
                  <w14:solidFill>
                    <w14:schemeClr w14:val="tx1"/>
                  </w14:solidFill>
                </w14:textFill>
              </w:rPr>
            </w:pPr>
          </w:p>
          <w:p>
            <w:pPr>
              <w:jc w:val="center"/>
              <w:rPr>
                <w:rFonts w:ascii="宋体" w:hAnsi="宋体" w:cs="宋体"/>
                <w:i/>
                <w:color w:val="000000" w:themeColor="text1"/>
                <w:szCs w:val="21"/>
                <w14:textFill>
                  <w14:solidFill>
                    <w14:schemeClr w14:val="tx1"/>
                  </w14:solidFill>
                </w14:textFill>
              </w:rPr>
            </w:pPr>
            <w:r>
              <w:rPr>
                <w:rFonts w:hint="eastAsia" w:ascii="宋体" w:hAnsi="宋体" w:cs="宋体"/>
                <w:i/>
                <w:color w:val="000000" w:themeColor="text1"/>
                <w:szCs w:val="21"/>
                <w14:textFill>
                  <w14:solidFill>
                    <w14:schemeClr w14:val="tx1"/>
                  </w14:solidFill>
                </w14:textFill>
              </w:rPr>
              <w:t>（可电子粘贴）</w:t>
            </w:r>
          </w:p>
          <w:p>
            <w:pPr>
              <w:jc w:val="center"/>
              <w:rPr>
                <w:rFonts w:ascii="宋体" w:hAnsi="宋体" w:cs="宋体"/>
                <w:i/>
                <w:color w:val="000000" w:themeColor="text1"/>
                <w:szCs w:val="21"/>
                <w14:textFill>
                  <w14:solidFill>
                    <w14:schemeClr w14:val="tx1"/>
                  </w14:solidFill>
                </w14:textFill>
              </w:rPr>
            </w:pPr>
          </w:p>
          <w:p>
            <w:pPr>
              <w:jc w:val="center"/>
              <w:rPr>
                <w:rFonts w:ascii="宋体" w:hAnsi="宋体" w:cs="宋体"/>
                <w:i/>
                <w:color w:val="000000" w:themeColor="text1"/>
                <w:szCs w:val="21"/>
                <w14:textFill>
                  <w14:solidFill>
                    <w14:schemeClr w14:val="tx1"/>
                  </w14:solidFill>
                </w14:textFill>
              </w:rPr>
            </w:pPr>
            <w:r>
              <w:rPr>
                <w:rFonts w:hint="eastAsia" w:ascii="宋体" w:hAnsi="宋体" w:cs="宋体"/>
                <w:i/>
                <w:color w:val="000000" w:themeColor="text1"/>
                <w:szCs w:val="21"/>
                <w14:textFill>
                  <w14:solidFill>
                    <w14:schemeClr w14:val="tx1"/>
                  </w14:solidFill>
                </w14:textFill>
              </w:rPr>
              <w:t>（证明材料可另页，不限于本框内）</w:t>
            </w:r>
          </w:p>
        </w:tc>
        <w:tc>
          <w:tcPr>
            <w:tcW w:w="4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color w:val="000000" w:themeColor="text1"/>
                <w:szCs w:val="21"/>
                <w14:textFill>
                  <w14:solidFill>
                    <w14:schemeClr w14:val="tx1"/>
                  </w14:solidFill>
                </w14:textFill>
              </w:rPr>
            </w:pPr>
            <w:r>
              <w:rPr>
                <w:rFonts w:hint="eastAsia" w:ascii="宋体" w:hAnsi="宋体" w:cs="宋体"/>
                <w:i/>
                <w:color w:val="000000" w:themeColor="text1"/>
                <w:szCs w:val="21"/>
                <w14:textFill>
                  <w14:solidFill>
                    <w14:schemeClr w14:val="tx1"/>
                  </w14:solidFill>
                </w14:textFill>
              </w:rPr>
              <w:t>（身份证复印件粘贴处）</w:t>
            </w:r>
          </w:p>
          <w:p>
            <w:pPr>
              <w:jc w:val="center"/>
              <w:rPr>
                <w:rFonts w:ascii="宋体" w:hAnsi="宋体" w:cs="宋体"/>
                <w:i/>
                <w:color w:val="000000" w:themeColor="text1"/>
                <w:szCs w:val="21"/>
                <w14:textFill>
                  <w14:solidFill>
                    <w14:schemeClr w14:val="tx1"/>
                  </w14:solidFill>
                </w14:textFill>
              </w:rPr>
            </w:pPr>
          </w:p>
          <w:p>
            <w:pPr>
              <w:jc w:val="center"/>
              <w:rPr>
                <w:rFonts w:ascii="宋体" w:hAnsi="宋体" w:cs="宋体"/>
                <w:i/>
                <w:color w:val="000000" w:themeColor="text1"/>
                <w:szCs w:val="21"/>
                <w14:textFill>
                  <w14:solidFill>
                    <w14:schemeClr w14:val="tx1"/>
                  </w14:solidFill>
                </w14:textFill>
              </w:rPr>
            </w:pPr>
            <w:r>
              <w:rPr>
                <w:rFonts w:hint="eastAsia" w:ascii="宋体" w:hAnsi="宋体" w:cs="宋体"/>
                <w:i/>
                <w:color w:val="000000" w:themeColor="text1"/>
                <w:szCs w:val="21"/>
                <w14:textFill>
                  <w14:solidFill>
                    <w14:schemeClr w14:val="tx1"/>
                  </w14:solidFill>
                </w14:textFill>
              </w:rPr>
              <w:t>（可电子粘贴）</w:t>
            </w:r>
          </w:p>
          <w:p>
            <w:pPr>
              <w:jc w:val="center"/>
              <w:rPr>
                <w:rFonts w:ascii="宋体" w:hAnsi="宋体" w:cs="宋体"/>
                <w:i/>
                <w:color w:val="000000" w:themeColor="text1"/>
                <w:szCs w:val="21"/>
                <w14:textFill>
                  <w14:solidFill>
                    <w14:schemeClr w14:val="tx1"/>
                  </w14:solidFill>
                </w14:textFill>
              </w:rPr>
            </w:pPr>
          </w:p>
          <w:p>
            <w:pPr>
              <w:jc w:val="center"/>
              <w:rPr>
                <w:rFonts w:ascii="宋体" w:hAnsi="宋体" w:cs="宋体"/>
                <w:i/>
                <w:color w:val="000000" w:themeColor="text1"/>
                <w:szCs w:val="21"/>
                <w14:textFill>
                  <w14:solidFill>
                    <w14:schemeClr w14:val="tx1"/>
                  </w14:solidFill>
                </w14:textFill>
              </w:rPr>
            </w:pPr>
            <w:r>
              <w:rPr>
                <w:rFonts w:hint="eastAsia" w:ascii="宋体" w:hAnsi="宋体" w:cs="宋体"/>
                <w:i/>
                <w:color w:val="000000" w:themeColor="text1"/>
                <w:szCs w:val="21"/>
                <w14:textFill>
                  <w14:solidFill>
                    <w14:schemeClr w14:val="tx1"/>
                  </w14:solidFill>
                </w14:textFill>
              </w:rPr>
              <w:t>（证明材料可另页，不限于本框内）</w:t>
            </w:r>
          </w:p>
        </w:tc>
      </w:tr>
    </w:tbl>
    <w:p>
      <w:pPr>
        <w:pStyle w:val="4"/>
        <w:spacing w:line="600" w:lineRule="exact"/>
        <w:ind w:firstLine="422"/>
        <w:jc w:val="center"/>
        <w:rPr>
          <w:rFonts w:ascii="宋体" w:hAnsi="宋体" w:cs="宋体"/>
          <w:b/>
          <w:i/>
          <w:color w:val="000000" w:themeColor="text1"/>
          <w:sz w:val="21"/>
          <w:szCs w:val="21"/>
          <w:u w:val="single"/>
          <w14:textFill>
            <w14:solidFill>
              <w14:schemeClr w14:val="tx1"/>
            </w14:solidFill>
          </w14:textFill>
        </w:rPr>
      </w:pPr>
      <w:r>
        <w:rPr>
          <w:rFonts w:hint="eastAsia" w:ascii="宋体" w:hAnsi="宋体" w:cs="宋体"/>
          <w:b/>
          <w:color w:val="000000" w:themeColor="text1"/>
          <w:sz w:val="21"/>
          <w:szCs w:val="21"/>
          <w:u w:val="single"/>
          <w14:textFill>
            <w14:solidFill>
              <w14:schemeClr w14:val="tx1"/>
            </w14:solidFill>
          </w14:textFill>
        </w:rPr>
        <w:t>（备注：如</w:t>
      </w:r>
      <w:r>
        <w:rPr>
          <w:rFonts w:hint="eastAsia" w:ascii="宋体" w:hAnsi="宋体" w:cs="宋体"/>
          <w:b/>
          <w:color w:val="000000" w:themeColor="text1"/>
          <w:sz w:val="21"/>
          <w:szCs w:val="21"/>
          <w:u w:val="single"/>
          <w:lang w:eastAsia="zh-CN"/>
          <w14:textFill>
            <w14:solidFill>
              <w14:schemeClr w14:val="tx1"/>
            </w14:solidFill>
          </w14:textFill>
        </w:rPr>
        <w:t>投标供应商</w:t>
      </w:r>
      <w:r>
        <w:rPr>
          <w:rFonts w:hint="eastAsia" w:ascii="宋体" w:hAnsi="宋体" w:cs="宋体"/>
          <w:b/>
          <w:color w:val="000000" w:themeColor="text1"/>
          <w:sz w:val="21"/>
          <w:szCs w:val="21"/>
          <w:u w:val="single"/>
          <w14:textFill>
            <w14:solidFill>
              <w14:schemeClr w14:val="tx1"/>
            </w14:solidFill>
          </w14:textFill>
        </w:rPr>
        <w:t>组成联合体参加投标，则联合体各方均须加盖公章）</w:t>
      </w:r>
    </w:p>
    <w:p>
      <w:pPr>
        <w:pStyle w:val="22"/>
        <w:rPr>
          <w:rFonts w:ascii="宋体" w:hAnsi="宋体" w:cs="宋体"/>
          <w:color w:val="000000" w:themeColor="text1"/>
          <w:sz w:val="21"/>
          <w:szCs w:val="21"/>
          <w14:textFill>
            <w14:solidFill>
              <w14:schemeClr w14:val="tx1"/>
            </w14:solidFill>
          </w14:textFill>
        </w:rPr>
      </w:pPr>
    </w:p>
    <w:p>
      <w:pPr>
        <w:pStyle w:val="22"/>
        <w:rPr>
          <w:rFonts w:ascii="宋体" w:hAnsi="宋体" w:cs="宋体"/>
          <w:color w:val="000000" w:themeColor="text1"/>
          <w:sz w:val="21"/>
          <w:szCs w:val="21"/>
          <w14:textFill>
            <w14:solidFill>
              <w14:schemeClr w14:val="tx1"/>
            </w14:solidFill>
          </w14:textFill>
        </w:rPr>
      </w:pPr>
    </w:p>
    <w:p>
      <w:pPr>
        <w:pStyle w:val="22"/>
        <w:rPr>
          <w:rFonts w:ascii="宋体" w:hAnsi="宋体" w:cs="宋体"/>
          <w:color w:val="000000" w:themeColor="text1"/>
          <w:sz w:val="21"/>
          <w:szCs w:val="21"/>
          <w14:textFill>
            <w14:solidFill>
              <w14:schemeClr w14:val="tx1"/>
            </w14:solidFill>
          </w14:textFill>
        </w:rPr>
      </w:pPr>
    </w:p>
    <w:p>
      <w:pPr>
        <w:pStyle w:val="22"/>
        <w:rPr>
          <w:rFonts w:ascii="宋体" w:hAnsi="宋体" w:cs="宋体"/>
          <w:color w:val="000000" w:themeColor="text1"/>
          <w:sz w:val="21"/>
          <w:szCs w:val="21"/>
          <w14:textFill>
            <w14:solidFill>
              <w14:schemeClr w14:val="tx1"/>
            </w14:solidFill>
          </w14:textFill>
        </w:rPr>
      </w:pPr>
      <w:bookmarkStart w:id="225" w:name="_Toc108881194"/>
      <w:bookmarkStart w:id="226" w:name="_Toc115881336"/>
    </w:p>
    <w:p>
      <w:pPr>
        <w:spacing w:line="696" w:lineRule="auto"/>
        <w:jc w:val="center"/>
        <w:outlineLvl w:val="1"/>
        <w:rPr>
          <w:rFonts w:ascii="宋体" w:hAnsi="宋体" w:cs="宋体"/>
          <w:b/>
          <w:color w:val="000000"/>
          <w:kern w:val="0"/>
          <w:sz w:val="28"/>
          <w:szCs w:val="28"/>
        </w:rPr>
      </w:pPr>
      <w:bookmarkStart w:id="227" w:name="_Toc9060"/>
      <w:r>
        <w:rPr>
          <w:rFonts w:hint="eastAsia" w:ascii="宋体" w:hAnsi="宋体" w:cs="宋体"/>
          <w:b/>
          <w:color w:val="000000"/>
          <w:kern w:val="0"/>
          <w:sz w:val="28"/>
          <w:szCs w:val="28"/>
        </w:rPr>
        <w:t>四、投标书（格式）</w:t>
      </w:r>
      <w:bookmarkEnd w:id="225"/>
      <w:bookmarkEnd w:id="226"/>
      <w:bookmarkEnd w:id="227"/>
    </w:p>
    <w:p>
      <w:pPr>
        <w:pStyle w:val="22"/>
        <w:rPr>
          <w:rFonts w:ascii="宋体" w:hAnsi="宋体" w:cs="宋体"/>
          <w:color w:val="000000" w:themeColor="text1"/>
          <w:sz w:val="21"/>
          <w:szCs w:val="21"/>
          <w14:textFill>
            <w14:solidFill>
              <w14:schemeClr w14:val="tx1"/>
            </w14:solidFill>
          </w14:textFill>
        </w:rPr>
      </w:pPr>
    </w:p>
    <w:p>
      <w:pPr>
        <w:spacing w:line="360" w:lineRule="auto"/>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致：    </w:t>
      </w:r>
      <w:r>
        <w:rPr>
          <w:rFonts w:hint="eastAsia" w:ascii="宋体" w:hAnsi="宋体" w:cs="宋体"/>
          <w:b/>
          <w:i/>
          <w:color w:val="000000" w:themeColor="text1"/>
          <w:szCs w:val="21"/>
          <w:u w:val="single"/>
          <w14:textFill>
            <w14:solidFill>
              <w14:schemeClr w14:val="tx1"/>
            </w14:solidFill>
          </w14:textFill>
        </w:rPr>
        <w:t>(</w:t>
      </w:r>
      <w:r>
        <w:rPr>
          <w:rFonts w:hint="eastAsia" w:ascii="宋体" w:hAnsi="宋体" w:cs="宋体"/>
          <w:b/>
          <w:i/>
          <w:color w:val="000000" w:themeColor="text1"/>
          <w:kern w:val="0"/>
          <w:szCs w:val="21"/>
          <w:u w:val="single"/>
          <w14:textFill>
            <w14:solidFill>
              <w14:schemeClr w14:val="tx1"/>
            </w14:solidFill>
          </w14:textFill>
        </w:rPr>
        <w:t>采购人或携手阳光公司的名称</w:t>
      </w:r>
      <w:r>
        <w:rPr>
          <w:rFonts w:hint="eastAsia" w:ascii="宋体" w:hAnsi="宋体" w:cs="宋体"/>
          <w:b/>
          <w:i/>
          <w:color w:val="000000" w:themeColor="text1"/>
          <w:szCs w:val="21"/>
          <w:u w:val="single"/>
          <w14:textFill>
            <w14:solidFill>
              <w14:schemeClr w14:val="tx1"/>
            </w14:solidFill>
          </w14:textFill>
        </w:rPr>
        <w:t>)</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根据贵方</w:t>
      </w:r>
      <w:r>
        <w:rPr>
          <w:rFonts w:hint="eastAsia" w:hAnsi="宋体" w:cs="宋体"/>
          <w:b/>
          <w:i/>
          <w:color w:val="000000" w:themeColor="text1"/>
          <w:sz w:val="21"/>
          <w:szCs w:val="21"/>
          <w:u w:val="single"/>
          <w14:textFill>
            <w14:solidFill>
              <w14:schemeClr w14:val="tx1"/>
            </w14:solidFill>
          </w14:textFill>
        </w:rPr>
        <w:t xml:space="preserve"> (项目名称)</w:t>
      </w:r>
      <w:r>
        <w:rPr>
          <w:rFonts w:hint="eastAsia" w:hAnsi="宋体" w:cs="宋体"/>
          <w:color w:val="000000" w:themeColor="text1"/>
          <w:sz w:val="21"/>
          <w:szCs w:val="21"/>
          <w14:textFill>
            <w14:solidFill>
              <w14:schemeClr w14:val="tx1"/>
            </w14:solidFill>
          </w14:textFill>
        </w:rPr>
        <w:t>项目的投标邀请</w:t>
      </w:r>
      <w:r>
        <w:rPr>
          <w:rFonts w:hint="eastAsia" w:hAnsi="宋体" w:cs="宋体"/>
          <w:b/>
          <w:i/>
          <w:color w:val="000000" w:themeColor="text1"/>
          <w:sz w:val="21"/>
          <w:szCs w:val="21"/>
          <w:u w:val="single"/>
          <w14:textFill>
            <w14:solidFill>
              <w14:schemeClr w14:val="tx1"/>
            </w14:solidFill>
          </w14:textFill>
        </w:rPr>
        <w:t>(采购编号)</w:t>
      </w:r>
      <w:r>
        <w:rPr>
          <w:rFonts w:hint="eastAsia" w:hAnsi="宋体" w:cs="宋体"/>
          <w:color w:val="000000" w:themeColor="text1"/>
          <w:sz w:val="21"/>
          <w:szCs w:val="21"/>
          <w14:textFill>
            <w14:solidFill>
              <w14:schemeClr w14:val="tx1"/>
            </w14:solidFill>
          </w14:textFill>
        </w:rPr>
        <w:t>,签字代表</w:t>
      </w:r>
      <w:r>
        <w:rPr>
          <w:rFonts w:hint="eastAsia" w:hAnsi="宋体" w:cs="宋体"/>
          <w:b/>
          <w:i/>
          <w:color w:val="000000" w:themeColor="text1"/>
          <w:sz w:val="21"/>
          <w:szCs w:val="21"/>
          <w:u w:val="single"/>
          <w14:textFill>
            <w14:solidFill>
              <w14:schemeClr w14:val="tx1"/>
            </w14:solidFill>
          </w14:textFill>
        </w:rPr>
        <w:t>(姓名、职务)</w:t>
      </w:r>
      <w:r>
        <w:rPr>
          <w:rFonts w:hint="eastAsia" w:hAnsi="宋体" w:cs="宋体"/>
          <w:color w:val="000000" w:themeColor="text1"/>
          <w:sz w:val="21"/>
          <w:szCs w:val="21"/>
          <w14:textFill>
            <w14:solidFill>
              <w14:schemeClr w14:val="tx1"/>
            </w14:solidFill>
          </w14:textFill>
        </w:rPr>
        <w:t>经正式授权并代表</w:t>
      </w:r>
      <w:r>
        <w:rPr>
          <w:rFonts w:hint="eastAsia" w:hAnsi="宋体" w:cs="宋体"/>
          <w:color w:val="000000" w:themeColor="text1"/>
          <w:sz w:val="21"/>
          <w:szCs w:val="21"/>
          <w:lang w:eastAsia="zh-CN"/>
          <w14:textFill>
            <w14:solidFill>
              <w14:schemeClr w14:val="tx1"/>
            </w14:solidFill>
          </w14:textFill>
        </w:rPr>
        <w:t>投标供应商</w:t>
      </w:r>
      <w:r>
        <w:rPr>
          <w:rFonts w:hint="eastAsia" w:hAnsi="宋体" w:cs="宋体"/>
          <w:b/>
          <w:i/>
          <w:color w:val="000000" w:themeColor="text1"/>
          <w:sz w:val="21"/>
          <w:szCs w:val="21"/>
          <w:u w:val="single"/>
          <w14:textFill>
            <w14:solidFill>
              <w14:schemeClr w14:val="tx1"/>
            </w14:solidFill>
          </w14:textFill>
        </w:rPr>
        <w:t>（</w:t>
      </w:r>
      <w:r>
        <w:rPr>
          <w:rFonts w:hint="eastAsia" w:hAnsi="宋体" w:cs="宋体"/>
          <w:b/>
          <w:i/>
          <w:color w:val="000000" w:themeColor="text1"/>
          <w:sz w:val="21"/>
          <w:szCs w:val="21"/>
          <w:u w:val="single"/>
          <w:lang w:eastAsia="zh-CN"/>
          <w14:textFill>
            <w14:solidFill>
              <w14:schemeClr w14:val="tx1"/>
            </w14:solidFill>
          </w14:textFill>
        </w:rPr>
        <w:t>投标供应商</w:t>
      </w:r>
      <w:r>
        <w:rPr>
          <w:rFonts w:hint="eastAsia" w:hAnsi="宋体" w:cs="宋体"/>
          <w:b/>
          <w:i/>
          <w:color w:val="000000" w:themeColor="text1"/>
          <w:sz w:val="21"/>
          <w:szCs w:val="21"/>
          <w:u w:val="single"/>
          <w14:textFill>
            <w14:solidFill>
              <w14:schemeClr w14:val="tx1"/>
            </w14:solidFill>
          </w14:textFill>
        </w:rPr>
        <w:t>名称）</w:t>
      </w:r>
      <w:r>
        <w:rPr>
          <w:rFonts w:hint="eastAsia" w:hAnsi="宋体" w:cs="宋体"/>
          <w:color w:val="000000" w:themeColor="text1"/>
          <w:sz w:val="21"/>
          <w:szCs w:val="21"/>
          <w14:textFill>
            <w14:solidFill>
              <w14:schemeClr w14:val="tx1"/>
            </w14:solidFill>
          </w14:textFill>
        </w:rPr>
        <w:t>提交下述文件正本</w:t>
      </w:r>
      <w:r>
        <w:rPr>
          <w:rFonts w:hint="eastAsia" w:hAnsi="宋体" w:cs="宋体"/>
          <w:b/>
          <w:color w:val="000000" w:themeColor="text1"/>
          <w:sz w:val="21"/>
          <w:szCs w:val="21"/>
          <w:u w:val="single"/>
          <w14:textFill>
            <w14:solidFill>
              <w14:schemeClr w14:val="tx1"/>
            </w14:solidFill>
          </w14:textFill>
        </w:rPr>
        <w:t>1</w:t>
      </w:r>
      <w:r>
        <w:rPr>
          <w:rFonts w:hint="eastAsia" w:hAnsi="宋体" w:cs="宋体"/>
          <w:color w:val="000000" w:themeColor="text1"/>
          <w:sz w:val="21"/>
          <w:szCs w:val="21"/>
          <w14:textFill>
            <w14:solidFill>
              <w14:schemeClr w14:val="tx1"/>
            </w14:solidFill>
          </w14:textFill>
        </w:rPr>
        <w:t>份、副本4</w:t>
      </w:r>
      <w:r>
        <w:rPr>
          <w:rFonts w:hint="eastAsia" w:hAnsi="宋体" w:cs="宋体"/>
          <w:b/>
          <w:color w:val="000000" w:themeColor="text1"/>
          <w:sz w:val="21"/>
          <w:szCs w:val="21"/>
          <w14:textFill>
            <w14:solidFill>
              <w14:schemeClr w14:val="tx1"/>
            </w14:solidFill>
          </w14:textFill>
        </w:rPr>
        <w:t>份</w:t>
      </w:r>
      <w:r>
        <w:rPr>
          <w:rFonts w:hint="eastAsia" w:hAnsi="宋体" w:cs="宋体"/>
          <w:color w:val="000000" w:themeColor="text1"/>
          <w:sz w:val="21"/>
          <w:szCs w:val="21"/>
          <w14:textFill>
            <w14:solidFill>
              <w14:schemeClr w14:val="tx1"/>
            </w14:solidFill>
          </w14:textFill>
        </w:rPr>
        <w:t>。</w:t>
      </w:r>
    </w:p>
    <w:p>
      <w:pPr>
        <w:pStyle w:val="16"/>
        <w:tabs>
          <w:tab w:val="left" w:pos="5580"/>
        </w:tabs>
        <w:spacing w:line="360" w:lineRule="auto"/>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据此，签字代表宣布同意如下：</w:t>
      </w:r>
    </w:p>
    <w:p>
      <w:pPr>
        <w:pStyle w:val="16"/>
        <w:tabs>
          <w:tab w:val="left" w:pos="5580"/>
        </w:tabs>
        <w:spacing w:line="360" w:lineRule="auto"/>
        <w:ind w:firstLine="420" w:firstLineChars="200"/>
        <w:rPr>
          <w:rFonts w:hAnsi="宋体" w:cs="宋体"/>
          <w:color w:val="000000" w:themeColor="text1"/>
          <w:spacing w:val="15"/>
          <w:sz w:val="21"/>
          <w:szCs w:val="21"/>
          <w:u w:val="single"/>
          <w14:textFill>
            <w14:solidFill>
              <w14:schemeClr w14:val="tx1"/>
            </w14:solidFill>
          </w14:textFill>
        </w:rPr>
      </w:pPr>
      <w:r>
        <w:rPr>
          <w:rFonts w:hint="eastAsia" w:hAnsi="宋体" w:cs="宋体"/>
          <w:color w:val="000000" w:themeColor="text1"/>
          <w:sz w:val="21"/>
          <w:szCs w:val="21"/>
          <w14:textFill>
            <w14:solidFill>
              <w14:schemeClr w14:val="tx1"/>
            </w14:solidFill>
          </w14:textFill>
        </w:rPr>
        <w:t>（1）附投标价格表中规定的应提供产品（货物、服务、工程）的投标总价详见开标一览表。</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（2）本投标有效期为自投标截止之日起</w:t>
      </w:r>
      <w:r>
        <w:rPr>
          <w:rFonts w:hint="eastAsia" w:hAnsi="宋体" w:cs="宋体"/>
          <w:color w:val="000000" w:themeColor="text1"/>
          <w:sz w:val="21"/>
          <w:szCs w:val="21"/>
          <w:u w:val="single"/>
          <w14:textFill>
            <w14:solidFill>
              <w14:schemeClr w14:val="tx1"/>
            </w14:solidFill>
          </w14:textFill>
        </w:rPr>
        <w:t>60</w:t>
      </w:r>
      <w:r>
        <w:rPr>
          <w:rFonts w:hint="eastAsia" w:hAnsi="宋体" w:cs="宋体"/>
          <w:color w:val="000000" w:themeColor="text1"/>
          <w:sz w:val="21"/>
          <w:szCs w:val="21"/>
          <w14:textFill>
            <w14:solidFill>
              <w14:schemeClr w14:val="tx1"/>
            </w14:solidFill>
          </w14:textFill>
        </w:rPr>
        <w:t>个日历日。</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（3）已详细审查全部招标文件，包括所有补充通知（如果有的话），完全理解并同意放弃对这方面有不明、误解和质疑的权力。</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（4）在规定的开标时间后，遵守招标文件中有关保证金的规定。</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（5）我方不是为本项目提供整体设计、规范编制或者项目管理、监理、检测等服务的供应商，我方不是采购代理机构的附属机构。</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（6）在领取中标通知书的同时按招标文件规定的形式，向盐城市携手阳光集中采购代理有限公司一次性支付中标服务费。</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（7）按照贵方可能要求，提供与其投标有关的一切数据或资料，完全理解贵方不一定接受最低价的投标或收到的任何投标。</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（8）按照招标文件的规定履行合同责任和义务。</w:t>
      </w:r>
    </w:p>
    <w:p>
      <w:pPr>
        <w:pStyle w:val="16"/>
        <w:tabs>
          <w:tab w:val="left" w:pos="5580"/>
        </w:tabs>
        <w:spacing w:line="360" w:lineRule="auto"/>
        <w:ind w:firstLine="422" w:firstLineChars="200"/>
        <w:rPr>
          <w:rFonts w:hAnsi="宋体" w:cs="宋体"/>
          <w:b/>
          <w:color w:val="000000" w:themeColor="text1"/>
          <w:sz w:val="21"/>
          <w:szCs w:val="21"/>
          <w:u w:val="single"/>
          <w14:textFill>
            <w14:solidFill>
              <w14:schemeClr w14:val="tx1"/>
            </w14:solidFill>
          </w14:textFill>
        </w:rPr>
      </w:pPr>
      <w:r>
        <w:rPr>
          <w:rFonts w:hint="eastAsia" w:hAnsi="宋体" w:cs="宋体"/>
          <w:b/>
          <w:color w:val="000000" w:themeColor="text1"/>
          <w:sz w:val="21"/>
          <w:szCs w:val="21"/>
          <w:u w:val="single"/>
          <w14:textFill>
            <w14:solidFill>
              <w14:schemeClr w14:val="tx1"/>
            </w14:solidFill>
          </w14:textFill>
        </w:rPr>
        <w:t>（9）评审期间，如采购人或携手阳光相关工作人员无法与我方委托代理人联系（联系</w:t>
      </w:r>
      <w:r>
        <w:rPr>
          <w:rFonts w:hint="eastAsia" w:hAnsi="宋体" w:cs="宋体"/>
          <w:b/>
          <w:i/>
          <w:color w:val="000000" w:themeColor="text1"/>
          <w:sz w:val="21"/>
          <w:szCs w:val="21"/>
          <w:u w:val="single"/>
          <w14:textFill>
            <w14:solidFill>
              <w14:schemeClr w14:val="tx1"/>
            </w14:solidFill>
          </w14:textFill>
        </w:rPr>
        <w:t xml:space="preserve">手机号： </w:t>
      </w:r>
      <w:r>
        <w:rPr>
          <w:rFonts w:hint="eastAsia" w:hAnsi="宋体" w:cs="宋体"/>
          <w:b/>
          <w:color w:val="000000" w:themeColor="text1"/>
          <w:sz w:val="21"/>
          <w:szCs w:val="21"/>
          <w:u w:val="single"/>
          <w14:textFill>
            <w14:solidFill>
              <w14:schemeClr w14:val="tx1"/>
            </w14:solidFill>
          </w14:textFill>
        </w:rPr>
        <w:t xml:space="preserve">                    ）或我方委托代理人接到通知后15分钟内未及时向评审人员进行澄清等（含未按要求提供相关证明材料等）情形的，评审人员有权视为我方放弃澄清等相关所有权益（以贵方或评审人员理解为准）。</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与本投标有关的一切正式往来信函请寄：</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地  址：</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投标供应商</w:t>
      </w:r>
      <w:r>
        <w:rPr>
          <w:rFonts w:hint="eastAsia" w:hAnsi="宋体" w:cs="宋体"/>
          <w:color w:val="000000" w:themeColor="text1"/>
          <w:sz w:val="21"/>
          <w:szCs w:val="21"/>
          <w14:textFill>
            <w14:solidFill>
              <w14:schemeClr w14:val="tx1"/>
            </w14:solidFill>
          </w14:textFill>
        </w:rPr>
        <w:t>（须盖单位章）：</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法定代表人或其委托代理人(须签字或盖章)：</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电子函件或传真：</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日  期：</w:t>
      </w:r>
    </w:p>
    <w:p>
      <w:pPr>
        <w:spacing w:line="696" w:lineRule="auto"/>
        <w:jc w:val="center"/>
        <w:rPr>
          <w:rFonts w:ascii="宋体" w:hAnsi="宋体" w:cs="宋体"/>
          <w:b/>
          <w:bCs/>
          <w:color w:val="000000" w:themeColor="text1"/>
          <w:szCs w:val="21"/>
          <w14:textFill>
            <w14:solidFill>
              <w14:schemeClr w14:val="tx1"/>
            </w14:solidFill>
          </w14:textFill>
        </w:rPr>
      </w:pPr>
      <w:bookmarkStart w:id="228" w:name="_Toc108881195"/>
    </w:p>
    <w:p>
      <w:pPr>
        <w:spacing w:line="696" w:lineRule="auto"/>
        <w:jc w:val="center"/>
        <w:outlineLvl w:val="1"/>
        <w:rPr>
          <w:rFonts w:ascii="宋体" w:hAnsi="宋体" w:cs="宋体"/>
          <w:b/>
          <w:color w:val="000000"/>
          <w:kern w:val="0"/>
          <w:sz w:val="28"/>
          <w:szCs w:val="28"/>
        </w:rPr>
      </w:pPr>
      <w:bookmarkStart w:id="229" w:name="_Toc28443"/>
      <w:bookmarkStart w:id="230" w:name="_Toc115881337"/>
      <w:r>
        <w:rPr>
          <w:rFonts w:hint="eastAsia" w:ascii="宋体" w:hAnsi="宋体" w:cs="宋体"/>
          <w:b/>
          <w:color w:val="000000"/>
          <w:kern w:val="0"/>
          <w:sz w:val="28"/>
          <w:szCs w:val="28"/>
        </w:rPr>
        <w:t>五、盐城市政府采购事前信用承诺书（格式）</w:t>
      </w:r>
      <w:bookmarkEnd w:id="228"/>
      <w:bookmarkEnd w:id="229"/>
      <w:bookmarkEnd w:id="230"/>
    </w:p>
    <w:p>
      <w:pPr>
        <w:spacing w:line="540" w:lineRule="atLeast"/>
        <w:ind w:firstLine="420"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为营造我市公开、公平、公正、诚实守信的政府采购交易环境，树立诚信守法的</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形象，本人代表本单位作出以下承诺：</w:t>
      </w:r>
    </w:p>
    <w:p>
      <w:pPr>
        <w:widowControl/>
        <w:spacing w:line="540" w:lineRule="atLeas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40" w:lineRule="atLeas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40" w:lineRule="atLeas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（三）严格依照国家和省、市关于政府采购的法律、法规、规章、规范性文件，参加政府采购投标活动；积极履行社会责任，促进廉政建设； </w:t>
      </w:r>
    </w:p>
    <w:p>
      <w:pPr>
        <w:widowControl/>
        <w:spacing w:line="540" w:lineRule="atLeas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（四）严格遵守即时信息公示规定，及时维护和更新盐城市政府采购网中与本单位相关的信息；</w:t>
      </w:r>
    </w:p>
    <w:p>
      <w:pPr>
        <w:widowControl/>
        <w:spacing w:line="540" w:lineRule="atLeas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五）自我约束、自我管理，守合同、重信用，自觉维护政府采购交易的良好秩序，与参与本次政府采购活动的其他供应商不存在直接控股或管理关系，不参与围标串标、弄虚作假、骗取中标、干扰评标、违约毁约等行为；</w:t>
      </w:r>
    </w:p>
    <w:p>
      <w:pPr>
        <w:widowControl/>
        <w:spacing w:line="540" w:lineRule="atLeas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（六）自觉接受政府、行业组织、社会公众、新闻舆论的监督；</w:t>
      </w:r>
    </w:p>
    <w:p>
      <w:pPr>
        <w:widowControl/>
        <w:spacing w:line="540" w:lineRule="atLeas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40" w:lineRule="atLeas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（八）本人已认真阅读了上述承诺，并向本单位员工作了宣传教育。</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投标供应商</w:t>
      </w:r>
      <w:r>
        <w:rPr>
          <w:rFonts w:hint="eastAsia" w:hAnsi="宋体" w:cs="宋体"/>
          <w:color w:val="000000" w:themeColor="text1"/>
          <w:sz w:val="21"/>
          <w:szCs w:val="21"/>
          <w14:textFill>
            <w14:solidFill>
              <w14:schemeClr w14:val="tx1"/>
            </w14:solidFill>
          </w14:textFill>
        </w:rPr>
        <w:t>（须盖单位章）：</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法定代表人 (须签字或盖章)：</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日  期：</w:t>
      </w:r>
    </w:p>
    <w:p>
      <w:pPr>
        <w:pStyle w:val="22"/>
        <w:rPr>
          <w:rFonts w:ascii="宋体" w:hAnsi="宋体" w:cs="宋体"/>
          <w:color w:val="000000" w:themeColor="text1"/>
          <w:sz w:val="21"/>
          <w:szCs w:val="21"/>
          <w14:textFill>
            <w14:solidFill>
              <w14:schemeClr w14:val="tx1"/>
            </w14:solidFill>
          </w14:textFill>
        </w:rPr>
      </w:pPr>
      <w:bookmarkStart w:id="231" w:name="_Toc115881338"/>
      <w:bookmarkStart w:id="232" w:name="_Toc108881196"/>
    </w:p>
    <w:p>
      <w:pPr>
        <w:spacing w:line="696" w:lineRule="auto"/>
        <w:jc w:val="center"/>
        <w:outlineLvl w:val="1"/>
        <w:rPr>
          <w:rFonts w:ascii="宋体" w:hAnsi="宋体" w:cs="宋体"/>
          <w:b/>
          <w:color w:val="000000"/>
          <w:kern w:val="0"/>
          <w:sz w:val="28"/>
          <w:szCs w:val="28"/>
        </w:rPr>
      </w:pPr>
      <w:bookmarkStart w:id="233" w:name="_Toc23966"/>
      <w:r>
        <w:rPr>
          <w:rFonts w:hint="eastAsia" w:ascii="宋体" w:hAnsi="宋体" w:cs="宋体"/>
          <w:b/>
          <w:color w:val="000000"/>
          <w:kern w:val="0"/>
          <w:sz w:val="28"/>
          <w:szCs w:val="28"/>
        </w:rPr>
        <w:t>六、投标分项报价表（格式）</w:t>
      </w:r>
      <w:bookmarkEnd w:id="231"/>
      <w:bookmarkEnd w:id="232"/>
      <w:bookmarkEnd w:id="233"/>
    </w:p>
    <w:tbl>
      <w:tblPr>
        <w:tblStyle w:val="30"/>
        <w:tblpPr w:leftFromText="180" w:rightFromText="180" w:vertAnchor="text" w:horzAnchor="margin" w:tblpY="29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695"/>
        <w:gridCol w:w="1560"/>
        <w:gridCol w:w="2268"/>
        <w:gridCol w:w="822"/>
        <w:gridCol w:w="832"/>
        <w:gridCol w:w="982"/>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p>
        </w:tc>
        <w:tc>
          <w:tcPr>
            <w:tcW w:w="765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765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681"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695"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分项名称</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（品目）</w:t>
            </w:r>
          </w:p>
        </w:tc>
        <w:tc>
          <w:tcPr>
            <w:tcW w:w="1560"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货物的品牌</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或制造商名称</w:t>
            </w:r>
          </w:p>
        </w:tc>
        <w:tc>
          <w:tcPr>
            <w:tcW w:w="2268"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型号和规格</w:t>
            </w:r>
          </w:p>
        </w:tc>
        <w:tc>
          <w:tcPr>
            <w:tcW w:w="822"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产地</w:t>
            </w:r>
          </w:p>
        </w:tc>
        <w:tc>
          <w:tcPr>
            <w:tcW w:w="832"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982"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单价</w:t>
            </w:r>
          </w:p>
        </w:tc>
        <w:tc>
          <w:tcPr>
            <w:tcW w:w="1191" w:type="dxa"/>
            <w:tcBorders>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名称</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i/>
                <w:color w:val="000000" w:themeColor="text1"/>
                <w:szCs w:val="21"/>
                <w:u w:val="singl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技术性能在《技术要求响应情况表》中响应</w:t>
            </w: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（★主要的产品信息必填）</w:t>
            </w:r>
          </w:p>
        </w:tc>
        <w:tc>
          <w:tcPr>
            <w:tcW w:w="1560"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top w:val="single" w:color="auto" w:sz="4" w:space="0"/>
              <w:left w:val="single" w:color="auto" w:sz="4" w:space="0"/>
              <w:right w:val="single" w:color="auto" w:sz="4" w:space="0"/>
            </w:tcBorders>
            <w:vAlign w:val="center"/>
          </w:tcPr>
          <w:p>
            <w:pPr>
              <w:spacing w:line="360" w:lineRule="auto"/>
              <w:rPr>
                <w:rFonts w:ascii="宋体" w:hAnsi="宋体" w:cs="宋体"/>
                <w:b/>
                <w:i/>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i/>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1560"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1560"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备品备件</w:t>
            </w:r>
          </w:p>
        </w:tc>
        <w:tc>
          <w:tcPr>
            <w:tcW w:w="1560"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专用工具</w:t>
            </w:r>
          </w:p>
        </w:tc>
        <w:tc>
          <w:tcPr>
            <w:tcW w:w="1560"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安装、调试、检验</w:t>
            </w:r>
          </w:p>
        </w:tc>
        <w:tc>
          <w:tcPr>
            <w:tcW w:w="1560"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培训</w:t>
            </w:r>
          </w:p>
        </w:tc>
        <w:tc>
          <w:tcPr>
            <w:tcW w:w="1560"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技术服务</w:t>
            </w:r>
          </w:p>
        </w:tc>
        <w:tc>
          <w:tcPr>
            <w:tcW w:w="1560"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货物运至最终目的地的运输费和保险费用</w:t>
            </w:r>
          </w:p>
        </w:tc>
        <w:tc>
          <w:tcPr>
            <w:tcW w:w="1560"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p>
        </w:tc>
        <w:tc>
          <w:tcPr>
            <w:tcW w:w="1560"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color w:val="000000" w:themeColor="text1"/>
                <w:szCs w:val="21"/>
                <w:u w:val="single"/>
                <w14:textFill>
                  <w14:solidFill>
                    <w14:schemeClr w14:val="tx1"/>
                  </w14:solidFill>
                </w14:textFill>
              </w:rPr>
            </w:pPr>
          </w:p>
        </w:tc>
        <w:tc>
          <w:tcPr>
            <w:tcW w:w="1560"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p>
        </w:tc>
        <w:tc>
          <w:tcPr>
            <w:tcW w:w="1560"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left w:val="single" w:color="auto" w:sz="4" w:space="0"/>
              <w:right w:val="single" w:color="auto" w:sz="4" w:space="0"/>
            </w:tcBorders>
            <w:vAlign w:val="center"/>
          </w:tcPr>
          <w:p>
            <w:pPr>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行数不够，可按本表格式自行添加</w:t>
            </w: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10031"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总价（人民币）：</w:t>
            </w:r>
            <w:r>
              <w:rPr>
                <w:rFonts w:hint="eastAsia" w:ascii="宋体" w:hAnsi="宋体" w:cs="宋体"/>
                <w:b/>
                <w:color w:val="000000" w:themeColor="text1"/>
                <w:szCs w:val="21"/>
                <w:u w:val="single"/>
                <w14:textFill>
                  <w14:solidFill>
                    <w14:schemeClr w14:val="tx1"/>
                  </w14:solidFill>
                </w14:textFill>
              </w:rPr>
              <w:t xml:space="preserve">                元（小写）。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31"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(盖单位章)</w:t>
            </w:r>
            <w:r>
              <w:rPr>
                <w:rFonts w:hint="eastAsia" w:ascii="宋体" w:hAnsi="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31"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1.如果本表与开标一览表（报价表）内容不一致的，以开标一览表（报价表）内容为准；</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应如实填写货物名称、型号和规格、货物运至最终目的地的运输费和保险费用等。</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3.上述各项的详细分项报价，可以另页描述。如果</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认为需要，可以每种品目填写一份该表。</w:t>
            </w:r>
          </w:p>
        </w:tc>
      </w:tr>
    </w:tbl>
    <w:p>
      <w:pPr>
        <w:pStyle w:val="16"/>
        <w:tabs>
          <w:tab w:val="left" w:pos="5580"/>
        </w:tabs>
        <w:spacing w:line="360" w:lineRule="auto"/>
        <w:rPr>
          <w:rFonts w:hAnsi="宋体" w:cs="宋体"/>
          <w:color w:val="000000" w:themeColor="text1"/>
          <w:sz w:val="21"/>
          <w:szCs w:val="21"/>
          <w14:textFill>
            <w14:solidFill>
              <w14:schemeClr w14:val="tx1"/>
            </w14:solidFill>
          </w14:textFill>
        </w:rPr>
      </w:pPr>
    </w:p>
    <w:p>
      <w:pPr>
        <w:pStyle w:val="16"/>
        <w:tabs>
          <w:tab w:val="left" w:pos="5580"/>
        </w:tabs>
        <w:spacing w:line="360" w:lineRule="auto"/>
        <w:rPr>
          <w:rFonts w:hAnsi="宋体" w:cs="宋体"/>
          <w:color w:val="000000" w:themeColor="text1"/>
          <w:sz w:val="21"/>
          <w:szCs w:val="21"/>
          <w14:textFill>
            <w14:solidFill>
              <w14:schemeClr w14:val="tx1"/>
            </w14:solidFill>
          </w14:textFill>
        </w:rPr>
      </w:pPr>
    </w:p>
    <w:tbl>
      <w:tblPr>
        <w:tblStyle w:val="30"/>
        <w:tblpPr w:leftFromText="180" w:rightFromText="180" w:vertAnchor="text" w:horzAnchor="margin" w:tblpY="9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711"/>
        <w:gridCol w:w="453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项目编号</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项目名称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名称（品目）</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投标供应商</w:t>
            </w:r>
            <w:r>
              <w:rPr>
                <w:rFonts w:hint="eastAsia" w:ascii="宋体" w:hAnsi="宋体" w:cs="宋体"/>
                <w:b/>
                <w:color w:val="000000" w:themeColor="text1"/>
                <w:szCs w:val="21"/>
                <w14:textFill>
                  <w14:solidFill>
                    <w14:schemeClr w14:val="tx1"/>
                  </w14:solidFill>
                </w14:textFill>
              </w:rPr>
              <w:t>响应（承诺）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产品质量标准</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合格（符合国家强制标准），全新原厂原件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免费质量保证期</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提供       年免费原厂质保（均须为原厂原件</w:t>
            </w:r>
            <w:r>
              <w:rPr>
                <w:rFonts w:hint="eastAsia" w:ascii="宋体" w:hAnsi="宋体" w:cs="宋体"/>
                <w:color w:val="000000" w:themeColor="text1"/>
                <w:szCs w:val="21"/>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交付或者实施的时间</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天（日历天）内供货（送达）、安装调试完毕并达到采购人的验收标准。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交付或者实施的地点</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江苏盐城（具体地点服从采购人的另行通知）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是否接受招标文件的</w:t>
            </w:r>
          </w:p>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采购资金的支付方式、时间、条件（付款条件）</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（“接受”或“不接受”）</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是否接受招标文件的</w:t>
            </w:r>
          </w:p>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包装和运输要求</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（“接受”或“不接受”）</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保险</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本次报价包括了与项目有关的保险费用。</w:t>
            </w:r>
          </w:p>
          <w:p>
            <w:pPr>
              <w:rPr>
                <w:rFonts w:ascii="宋体" w:hAnsi="宋体" w:cs="宋体"/>
                <w:color w:val="000000" w:themeColor="text1"/>
                <w:szCs w:val="21"/>
                <w14:textFill>
                  <w14:solidFill>
                    <w14:schemeClr w14:val="tx1"/>
                  </w14:solidFill>
                </w14:textFill>
              </w:rPr>
            </w:pPr>
            <w:r>
              <w:rPr>
                <w:rFonts w:hint="eastAsia" w:ascii="宋体" w:hAnsi="宋体" w:cs="宋体"/>
                <w:iCs/>
                <w:color w:val="000000" w:themeColor="text1"/>
                <w:szCs w:val="21"/>
                <w14:textFill>
                  <w14:solidFill>
                    <w14:schemeClr w14:val="tx1"/>
                  </w14:solidFill>
                </w14:textFill>
              </w:rPr>
              <w:t>其它承诺：</w:t>
            </w:r>
            <w:r>
              <w:rPr>
                <w:rFonts w:hint="eastAsia" w:ascii="宋体" w:hAnsi="宋体" w:cs="宋体"/>
                <w:i/>
                <w:iCs/>
                <w:color w:val="000000" w:themeColor="text1"/>
                <w:szCs w:val="21"/>
                <w:u w:val="single"/>
                <w14:textFill>
                  <w14:solidFill>
                    <w14:schemeClr w14:val="tx1"/>
                  </w14:solidFill>
                </w14:textFill>
              </w:rPr>
              <w:t>可另页详述（应答），但须标注其所在页码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27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具体的售后服务等其它要求</w:t>
            </w:r>
            <w:r>
              <w:rPr>
                <w:rFonts w:hint="eastAsia" w:ascii="宋体" w:hAnsi="宋体" w:cs="宋体"/>
                <w:b/>
                <w:i/>
                <w:color w:val="000000" w:themeColor="text1"/>
                <w:szCs w:val="21"/>
                <w:u w:val="single"/>
                <w14:textFill>
                  <w14:solidFill>
                    <w14:schemeClr w14:val="tx1"/>
                  </w14:solidFill>
                </w14:textFill>
              </w:rPr>
              <w:t>（可根据招标文件要求自行添加）</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i/>
                <w:iCs/>
                <w:color w:val="000000" w:themeColor="text1"/>
                <w:szCs w:val="21"/>
                <w:u w:val="single"/>
                <w14:textFill>
                  <w14:solidFill>
                    <w14:schemeClr w14:val="tx1"/>
                  </w14:solidFill>
                </w14:textFill>
              </w:rPr>
              <w:t>可另页详述（应答），但须标注其所在页码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i/>
                <w:color w:val="000000" w:themeColor="text1"/>
                <w:szCs w:val="21"/>
                <w:u w:val="single"/>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u w:val="singl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c>
          <w:tcPr>
            <w:tcW w:w="2711"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cs="宋体"/>
                <w:b/>
                <w:i/>
                <w:color w:val="000000" w:themeColor="text1"/>
                <w:kern w:val="0"/>
                <w:szCs w:val="21"/>
                <w:u w:val="single"/>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行数不够，可按本表格式自行添加</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法定代表人或其委托代理人（签字）：                  </w:t>
            </w:r>
          </w:p>
          <w:p>
            <w:pPr>
              <w:spacing w:line="456" w:lineRule="auto"/>
              <w:jc w:val="lef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u w:val="single"/>
                <w:lang w:eastAsia="zh-CN"/>
                <w14:textFill>
                  <w14:solidFill>
                    <w14:schemeClr w14:val="tx1"/>
                  </w14:solidFill>
                </w14:textFill>
              </w:rPr>
              <w:t>投标供应商</w:t>
            </w:r>
            <w:r>
              <w:rPr>
                <w:rFonts w:hint="eastAsia" w:ascii="宋体" w:hAnsi="宋体" w:cs="宋体"/>
                <w:b/>
                <w:color w:val="000000" w:themeColor="text1"/>
                <w:szCs w:val="21"/>
                <w:u w:val="single"/>
                <w14:textFill>
                  <w14:solidFill>
                    <w14:schemeClr w14:val="tx1"/>
                  </w14:solidFill>
                </w14:textFill>
              </w:rPr>
              <w:t xml:space="preserve">(盖单位章)：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需按招标文件中的商务要求进行应答（详细描述如何满足该需求）。</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2.如本表表格填写不便的，可以另页详述（应答），但必须给出确切的位置索引（标注内容的所在页码）。</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可根据其投标内容进一步细化上述表格，并可增添其它表格或说明以便进一步明确投标内容。</w:t>
            </w:r>
          </w:p>
        </w:tc>
      </w:tr>
    </w:tbl>
    <w:p>
      <w:pPr>
        <w:spacing w:line="696" w:lineRule="auto"/>
        <w:jc w:val="center"/>
        <w:outlineLvl w:val="1"/>
        <w:rPr>
          <w:rFonts w:ascii="宋体" w:hAnsi="宋体" w:cs="宋体"/>
          <w:b/>
          <w:color w:val="000000"/>
          <w:kern w:val="0"/>
          <w:sz w:val="28"/>
          <w:szCs w:val="28"/>
        </w:rPr>
        <w:sectPr>
          <w:headerReference r:id="rId4" w:type="default"/>
          <w:footerReference r:id="rId5" w:type="default"/>
          <w:pgSz w:w="11906" w:h="16838"/>
          <w:pgMar w:top="1077" w:right="1077" w:bottom="1191" w:left="1304" w:header="680" w:footer="992" w:gutter="0"/>
          <w:cols w:space="720" w:num="1"/>
          <w:docGrid w:type="lines" w:linePitch="312" w:charSpace="0"/>
        </w:sectPr>
      </w:pPr>
      <w:bookmarkStart w:id="234" w:name="_Toc108881197"/>
      <w:bookmarkStart w:id="235" w:name="_Toc115881339"/>
      <w:bookmarkStart w:id="236" w:name="_Toc10314"/>
      <w:r>
        <w:rPr>
          <w:rFonts w:hint="eastAsia" w:ascii="宋体" w:hAnsi="宋体" w:cs="宋体"/>
          <w:b/>
          <w:color w:val="000000"/>
          <w:kern w:val="0"/>
          <w:sz w:val="28"/>
          <w:szCs w:val="28"/>
        </w:rPr>
        <w:t>七、商务要求响应情况表</w:t>
      </w:r>
      <w:bookmarkEnd w:id="234"/>
      <w:bookmarkEnd w:id="235"/>
      <w:bookmarkEnd w:id="236"/>
    </w:p>
    <w:tbl>
      <w:tblPr>
        <w:tblStyle w:val="30"/>
        <w:tblpPr w:leftFromText="180" w:rightFromText="180" w:vertAnchor="text" w:horzAnchor="margin" w:tblpY="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241"/>
        <w:gridCol w:w="2454"/>
        <w:gridCol w:w="283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p>
        </w:tc>
        <w:tc>
          <w:tcPr>
            <w:tcW w:w="684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684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2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名称（品目）</w:t>
            </w: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招标文件要求</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响应（承诺）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例：“显示屏”</w:t>
            </w:r>
          </w:p>
          <w:p>
            <w:pPr>
              <w:pStyle w:val="16"/>
              <w:spacing w:line="360" w:lineRule="auto"/>
              <w:jc w:val="center"/>
              <w:rPr>
                <w:rFonts w:hAnsi="宋体" w:cs="宋体"/>
                <w:i/>
                <w:color w:val="000000" w:themeColor="text1"/>
                <w:sz w:val="21"/>
                <w:szCs w:val="21"/>
                <w:u w:val="single"/>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（注：仅示例如何填写，与投标内容无关）</w:t>
            </w: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例：“LED显示屏，</w:t>
            </w:r>
            <w:r>
              <w:rPr>
                <w:rFonts w:hint="eastAsia" w:ascii="宋体" w:hAnsi="宋体" w:cs="宋体"/>
                <w:i/>
                <w:color w:val="000000" w:themeColor="text1"/>
                <w:szCs w:val="21"/>
                <w:u w:val="single"/>
                <w:shd w:val="clear" w:color="auto" w:fill="FFFFFF"/>
                <w14:textFill>
                  <w14:solidFill>
                    <w14:schemeClr w14:val="tx1"/>
                  </w14:solidFill>
                </w14:textFill>
              </w:rPr>
              <w:t>p2.5，模组尺寸160*160</w:t>
            </w:r>
            <w:r>
              <w:rPr>
                <w:rFonts w:hint="eastAsia" w:ascii="宋体" w:hAnsi="宋体" w:cs="宋体"/>
                <w:i/>
                <w:color w:val="000000" w:themeColor="text1"/>
                <w:szCs w:val="21"/>
                <w:u w:val="single"/>
                <w14:textFill>
                  <w14:solidFill>
                    <w14:schemeClr w14:val="tx1"/>
                  </w14:solidFill>
                </w14:textFill>
              </w:rPr>
              <w:t>……”</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例1：“LED显示屏，</w:t>
            </w:r>
            <w:r>
              <w:rPr>
                <w:rFonts w:hint="eastAsia" w:ascii="宋体" w:hAnsi="宋体" w:cs="宋体"/>
                <w:i/>
                <w:color w:val="000000" w:themeColor="text1"/>
                <w:szCs w:val="21"/>
                <w:u w:val="single"/>
                <w:shd w:val="clear" w:color="auto" w:fill="FFFFFF"/>
                <w14:textFill>
                  <w14:solidFill>
                    <w14:schemeClr w14:val="tx1"/>
                  </w14:solidFill>
                </w14:textFill>
              </w:rPr>
              <w:t>p2.5，模组尺寸160*160</w:t>
            </w:r>
            <w:r>
              <w:rPr>
                <w:rFonts w:hint="eastAsia" w:ascii="宋体" w:hAnsi="宋体" w:cs="宋体"/>
                <w:i/>
                <w:color w:val="000000" w:themeColor="text1"/>
                <w:szCs w:val="21"/>
                <w:u w:val="single"/>
                <w14:textFill>
                  <w14:solidFill>
                    <w14:schemeClr w14:val="tx1"/>
                  </w14:solidFill>
                </w14:textFill>
              </w:rPr>
              <w:t>……；</w:t>
            </w:r>
          </w:p>
          <w:p>
            <w:pPr>
              <w:spacing w:line="360" w:lineRule="auto"/>
              <w:jc w:val="left"/>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例2：“详见投标文件第55页”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满足/不满足/</w:t>
            </w:r>
          </w:p>
          <w:p>
            <w:pPr>
              <w:spacing w:line="360" w:lineRule="auto"/>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部分满足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可另页详述（应答），</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行数不够，可按本表格式自行添加</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我公司确认，除以上“偏离说明”栏中列明的偏差外，我公司无条件接受招标文件规定的所有技术要求（技术规格）等。</w:t>
            </w:r>
          </w:p>
          <w:p>
            <w:pPr>
              <w:spacing w:line="360" w:lineRule="auto"/>
              <w:jc w:val="left"/>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法定代表人或其委托代理人（签字）：                  </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u w:val="single"/>
                <w:lang w:eastAsia="zh-CN"/>
                <w14:textFill>
                  <w14:solidFill>
                    <w14:schemeClr w14:val="tx1"/>
                  </w14:solidFill>
                </w14:textFill>
              </w:rPr>
              <w:t>投标供应商</w:t>
            </w:r>
            <w:r>
              <w:rPr>
                <w:rFonts w:hint="eastAsia" w:ascii="宋体" w:hAnsi="宋体" w:cs="宋体"/>
                <w:b/>
                <w:color w:val="000000" w:themeColor="text1"/>
                <w:szCs w:val="21"/>
                <w:u w:val="single"/>
                <w14:textFill>
                  <w14:solidFill>
                    <w14:schemeClr w14:val="tx1"/>
                  </w14:solidFill>
                </w14:textFill>
              </w:rPr>
              <w:t xml:space="preserve">(盖单位章)：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需按招标文件对技术要求（技术规格）进行应答（详细描述如何满足该需求）</w:t>
            </w:r>
            <w:r>
              <w:rPr>
                <w:rFonts w:hint="eastAsia" w:ascii="宋体" w:hAnsi="宋体" w:cs="宋体"/>
                <w:b/>
                <w:color w:val="000000" w:themeColor="text1"/>
                <w:szCs w:val="21"/>
                <w14:textFill>
                  <w14:solidFill>
                    <w14:schemeClr w14:val="tx1"/>
                  </w14:solidFill>
                </w14:textFill>
              </w:rPr>
              <w:t>不得直接复制粘贴采购要求，否则将视同为未实质性响应</w:t>
            </w:r>
            <w:r>
              <w:rPr>
                <w:rFonts w:hint="eastAsia" w:ascii="宋体" w:hAnsi="宋体" w:cs="宋体"/>
                <w:color w:val="000000" w:themeColor="text1"/>
                <w:szCs w:val="21"/>
                <w14:textFill>
                  <w14:solidFill>
                    <w14:schemeClr w14:val="tx1"/>
                  </w14:solidFill>
                </w14:textFill>
              </w:rPr>
              <w:t>。如本表表格填写不便的，可以另页详述（应答），但必须给出确切的位置索引（标注具体内容的所在页码）。</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用“满足/不满足/部分满足”响应来表明该需求是否被满足，不得使用“明白”、“理解”等词语。如与采购需求之间有偏差时必须用“部分满足”响应来表明该需求未被完全满足的情况，并用确切的描述解释如何规避该偏差。如不能实现采购需求时必须用“不满足”来响应。</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eastAsia="zh-CN"/>
                <w14:textFill>
                  <w14:solidFill>
                    <w14:schemeClr w14:val="tx1"/>
                  </w14:solidFill>
                </w14:textFill>
              </w:rPr>
              <w:t>投标供应商</w:t>
            </w:r>
            <w:r>
              <w:rPr>
                <w:rFonts w:hint="eastAsia" w:ascii="宋体" w:hAnsi="宋体" w:cs="宋体"/>
                <w:color w:val="000000" w:themeColor="text1"/>
                <w:szCs w:val="21"/>
                <w14:textFill>
                  <w14:solidFill>
                    <w14:schemeClr w14:val="tx1"/>
                  </w14:solidFill>
                </w14:textFill>
              </w:rPr>
              <w:t>可根据其投标内容进一步细化上述表格，并可增添其它表格或说明以便进一步明确投标内容。</w:t>
            </w:r>
          </w:p>
        </w:tc>
      </w:tr>
    </w:tbl>
    <w:p>
      <w:pPr>
        <w:spacing w:line="696" w:lineRule="auto"/>
        <w:jc w:val="center"/>
        <w:outlineLvl w:val="1"/>
        <w:rPr>
          <w:rFonts w:ascii="宋体" w:hAnsi="宋体" w:cs="宋体"/>
          <w:b/>
          <w:color w:val="000000"/>
          <w:kern w:val="0"/>
          <w:sz w:val="28"/>
          <w:szCs w:val="28"/>
        </w:rPr>
        <w:sectPr>
          <w:pgSz w:w="11906" w:h="16838"/>
          <w:pgMar w:top="1440" w:right="1080" w:bottom="1440" w:left="1080" w:header="851" w:footer="992" w:gutter="0"/>
          <w:cols w:space="720" w:num="1"/>
          <w:docGrid w:type="lines" w:linePitch="312" w:charSpace="0"/>
        </w:sectPr>
      </w:pPr>
      <w:bookmarkStart w:id="237" w:name="_Toc108881198"/>
      <w:bookmarkStart w:id="238" w:name="_Toc9240"/>
      <w:bookmarkStart w:id="239" w:name="_Toc115881340"/>
      <w:r>
        <w:rPr>
          <w:rFonts w:hint="eastAsia" w:ascii="宋体" w:hAnsi="宋体" w:cs="宋体"/>
          <w:b/>
          <w:color w:val="000000"/>
          <w:kern w:val="0"/>
          <w:sz w:val="28"/>
          <w:szCs w:val="28"/>
        </w:rPr>
        <w:t>八、技术要求响应情况表</w:t>
      </w:r>
      <w:bookmarkEnd w:id="237"/>
      <w:bookmarkEnd w:id="238"/>
      <w:bookmarkEnd w:id="239"/>
    </w:p>
    <w:p>
      <w:pPr>
        <w:spacing w:line="696" w:lineRule="auto"/>
        <w:jc w:val="center"/>
        <w:outlineLvl w:val="1"/>
        <w:rPr>
          <w:rFonts w:ascii="宋体" w:hAnsi="宋体" w:cs="宋体"/>
          <w:b/>
          <w:color w:val="000000" w:themeColor="text1"/>
          <w:sz w:val="28"/>
          <w:szCs w:val="28"/>
          <w14:textFill>
            <w14:solidFill>
              <w14:schemeClr w14:val="tx1"/>
            </w14:solidFill>
          </w14:textFill>
        </w:rPr>
      </w:pPr>
      <w:bookmarkStart w:id="240" w:name="_Toc492"/>
      <w:bookmarkStart w:id="241" w:name="_Toc145929028"/>
      <w:r>
        <w:rPr>
          <w:rFonts w:hint="eastAsia" w:ascii="宋体" w:hAnsi="宋体" w:cs="宋体"/>
          <w:b/>
          <w:color w:val="000000" w:themeColor="text1"/>
          <w:sz w:val="28"/>
          <w:szCs w:val="28"/>
          <w14:textFill>
            <w14:solidFill>
              <w14:schemeClr w14:val="tx1"/>
            </w14:solidFill>
          </w14:textFill>
        </w:rPr>
        <w:t>九、投标文件的其它内容</w:t>
      </w:r>
      <w:bookmarkEnd w:id="240"/>
      <w:bookmarkEnd w:id="241"/>
    </w:p>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证明投标标的的合格性和符合招标文件规定的技术文件等</w:t>
      </w:r>
    </w:p>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（包括但不限于:招标文件要求及</w:t>
      </w:r>
      <w:r>
        <w:rPr>
          <w:rFonts w:hint="eastAsia" w:asciiTheme="minorEastAsia" w:hAnsiTheme="minorEastAsia" w:eastAsiaTheme="minorEastAsia" w:cstheme="minorEastAsia"/>
          <w:b/>
          <w:szCs w:val="21"/>
          <w:lang w:eastAsia="zh-CN"/>
        </w:rPr>
        <w:t>投标供应商</w:t>
      </w:r>
      <w:r>
        <w:rPr>
          <w:rFonts w:hint="eastAsia" w:asciiTheme="minorEastAsia" w:hAnsiTheme="minorEastAsia" w:eastAsiaTheme="minorEastAsia" w:cstheme="minorEastAsia"/>
          <w:b/>
          <w:szCs w:val="21"/>
        </w:rPr>
        <w:t>认为应当提供相关文件等）</w:t>
      </w:r>
    </w:p>
    <w:p>
      <w:pPr>
        <w:spacing w:line="360" w:lineRule="auto"/>
        <w:jc w:val="center"/>
        <w:rPr>
          <w:rFonts w:asciiTheme="minorEastAsia" w:hAnsiTheme="minorEastAsia" w:eastAsiaTheme="minorEastAsia" w:cstheme="minorEastAsia"/>
          <w:b/>
          <w:spacing w:val="6"/>
          <w:szCs w:val="21"/>
        </w:rPr>
      </w:pPr>
      <w:r>
        <w:rPr>
          <w:rFonts w:hint="eastAsia" w:asciiTheme="minorEastAsia" w:hAnsiTheme="minorEastAsia" w:eastAsiaTheme="minorEastAsia" w:cstheme="minorEastAsia"/>
          <w:b/>
          <w:color w:val="000000"/>
          <w:spacing w:val="6"/>
          <w:szCs w:val="21"/>
        </w:rPr>
        <w:t>1.</w:t>
      </w:r>
      <w:r>
        <w:rPr>
          <w:rFonts w:hint="eastAsia" w:asciiTheme="minorEastAsia" w:hAnsiTheme="minorEastAsia" w:eastAsiaTheme="minorEastAsia" w:cstheme="minorEastAsia"/>
          <w:b/>
          <w:spacing w:val="6"/>
          <w:szCs w:val="21"/>
        </w:rPr>
        <w:t>《中小企业声明函》</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i/>
          <w:kern w:val="0"/>
          <w:szCs w:val="21"/>
          <w:u w:val="single"/>
        </w:rPr>
        <w:t>（单位名称）</w:t>
      </w:r>
      <w:r>
        <w:rPr>
          <w:rFonts w:hint="eastAsia" w:asciiTheme="minorEastAsia" w:hAnsiTheme="minorEastAsia" w:eastAsiaTheme="minorEastAsia" w:cstheme="minorEastAsia"/>
          <w:kern w:val="0"/>
          <w:szCs w:val="21"/>
        </w:rPr>
        <w:t>的</w:t>
      </w:r>
      <w:r>
        <w:rPr>
          <w:rFonts w:hint="eastAsia" w:asciiTheme="minorEastAsia" w:hAnsiTheme="minorEastAsia" w:eastAsiaTheme="minorEastAsia" w:cstheme="minorEastAsia"/>
          <w:i/>
          <w:kern w:val="0"/>
          <w:szCs w:val="21"/>
          <w:u w:val="single"/>
        </w:rPr>
        <w:t>（项目名称）</w:t>
      </w:r>
      <w:r>
        <w:rPr>
          <w:rFonts w:hint="eastAsia" w:asciiTheme="minorEastAsia" w:hAnsiTheme="minorEastAsia" w:eastAsiaTheme="minorEastAsia" w:cstheme="minorEastAsia"/>
          <w:kern w:val="0"/>
          <w:szCs w:val="21"/>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ind w:firstLine="315" w:firstLineChars="15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 </w:t>
      </w:r>
      <w:r>
        <w:rPr>
          <w:rFonts w:hint="eastAsia" w:asciiTheme="minorEastAsia" w:hAnsiTheme="minorEastAsia" w:eastAsiaTheme="minorEastAsia" w:cstheme="minorEastAsia"/>
          <w:i/>
          <w:kern w:val="0"/>
          <w:szCs w:val="21"/>
          <w:u w:val="single"/>
        </w:rPr>
        <w:t xml:space="preserve">（标的名称） </w:t>
      </w:r>
      <w:r>
        <w:rPr>
          <w:rFonts w:hint="eastAsia" w:asciiTheme="minorEastAsia" w:hAnsiTheme="minorEastAsia" w:eastAsiaTheme="minorEastAsia" w:cstheme="minorEastAsia"/>
          <w:kern w:val="0"/>
          <w:szCs w:val="21"/>
        </w:rPr>
        <w:t>，属于</w:t>
      </w:r>
      <w:r>
        <w:rPr>
          <w:rFonts w:hint="eastAsia" w:asciiTheme="minorEastAsia" w:hAnsiTheme="minorEastAsia" w:eastAsiaTheme="minorEastAsia" w:cstheme="minorEastAsia"/>
          <w:i/>
          <w:kern w:val="0"/>
          <w:szCs w:val="21"/>
          <w:u w:val="single"/>
        </w:rPr>
        <w:t>（采购文件中明确的所属行业）</w:t>
      </w:r>
      <w:r>
        <w:rPr>
          <w:rFonts w:hint="eastAsia" w:asciiTheme="minorEastAsia" w:hAnsiTheme="minorEastAsia" w:eastAsiaTheme="minorEastAsia" w:cstheme="minorEastAsia"/>
          <w:kern w:val="0"/>
          <w:szCs w:val="21"/>
        </w:rPr>
        <w:t>行业；制造商为</w:t>
      </w:r>
      <w:r>
        <w:rPr>
          <w:rFonts w:hint="eastAsia" w:asciiTheme="minorEastAsia" w:hAnsiTheme="minorEastAsia" w:eastAsiaTheme="minorEastAsia" w:cstheme="minorEastAsia"/>
          <w:i/>
          <w:kern w:val="0"/>
          <w:szCs w:val="21"/>
          <w:u w:val="single"/>
        </w:rPr>
        <w:t>（企业名称）</w:t>
      </w:r>
      <w:r>
        <w:rPr>
          <w:rFonts w:hint="eastAsia" w:asciiTheme="minorEastAsia" w:hAnsiTheme="minorEastAsia" w:eastAsiaTheme="minorEastAsia" w:cstheme="minorEastAsia"/>
          <w:kern w:val="0"/>
          <w:szCs w:val="21"/>
        </w:rPr>
        <w:t>，从业人员人，营业收入为万元，资产总额为万元①，属于</w:t>
      </w:r>
      <w:r>
        <w:rPr>
          <w:rFonts w:hint="eastAsia" w:asciiTheme="minorEastAsia" w:hAnsiTheme="minorEastAsia" w:eastAsiaTheme="minorEastAsia" w:cstheme="minorEastAsia"/>
          <w:i/>
          <w:kern w:val="0"/>
          <w:szCs w:val="21"/>
          <w:u w:val="single"/>
        </w:rPr>
        <w:t>（中型企业、小型企业、微型企业）</w:t>
      </w:r>
      <w:r>
        <w:rPr>
          <w:rFonts w:hint="eastAsia" w:asciiTheme="minorEastAsia" w:hAnsiTheme="minorEastAsia" w:eastAsiaTheme="minorEastAsia" w:cstheme="minorEastAsia"/>
          <w:kern w:val="0"/>
          <w:szCs w:val="21"/>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 </w:t>
      </w:r>
      <w:r>
        <w:rPr>
          <w:rFonts w:hint="eastAsia" w:asciiTheme="minorEastAsia" w:hAnsiTheme="minorEastAsia" w:eastAsiaTheme="minorEastAsia" w:cstheme="minorEastAsia"/>
          <w:i/>
          <w:kern w:val="0"/>
          <w:szCs w:val="21"/>
          <w:u w:val="single"/>
        </w:rPr>
        <w:t>（标的名称）</w:t>
      </w:r>
      <w:r>
        <w:rPr>
          <w:rFonts w:hint="eastAsia" w:asciiTheme="minorEastAsia" w:hAnsiTheme="minorEastAsia" w:eastAsiaTheme="minorEastAsia" w:cstheme="minorEastAsia"/>
          <w:kern w:val="0"/>
          <w:szCs w:val="21"/>
        </w:rPr>
        <w:t xml:space="preserve"> ，属于</w:t>
      </w:r>
      <w:r>
        <w:rPr>
          <w:rFonts w:hint="eastAsia" w:asciiTheme="minorEastAsia" w:hAnsiTheme="minorEastAsia" w:eastAsiaTheme="minorEastAsia" w:cstheme="minorEastAsia"/>
          <w:i/>
          <w:kern w:val="0"/>
          <w:szCs w:val="21"/>
          <w:u w:val="single"/>
        </w:rPr>
        <w:t>（采购文件中明确的所属行业）</w:t>
      </w:r>
      <w:r>
        <w:rPr>
          <w:rFonts w:hint="eastAsia" w:asciiTheme="minorEastAsia" w:hAnsiTheme="minorEastAsia" w:eastAsiaTheme="minorEastAsia" w:cstheme="minorEastAsia"/>
          <w:kern w:val="0"/>
          <w:szCs w:val="21"/>
        </w:rPr>
        <w:t>行业；制造商为</w:t>
      </w:r>
      <w:r>
        <w:rPr>
          <w:rFonts w:hint="eastAsia" w:asciiTheme="minorEastAsia" w:hAnsiTheme="minorEastAsia" w:eastAsiaTheme="minorEastAsia" w:cstheme="minorEastAsia"/>
          <w:i/>
          <w:kern w:val="0"/>
          <w:szCs w:val="21"/>
          <w:u w:val="single"/>
        </w:rPr>
        <w:t>（企业名称）</w:t>
      </w:r>
      <w:r>
        <w:rPr>
          <w:rFonts w:hint="eastAsia" w:asciiTheme="minorEastAsia" w:hAnsiTheme="minorEastAsia" w:eastAsiaTheme="minorEastAsia" w:cstheme="minorEastAsia"/>
          <w:kern w:val="0"/>
          <w:szCs w:val="21"/>
        </w:rPr>
        <w:t>，从业人员人，营业收入为万元，资产总额为万元①，属于</w:t>
      </w:r>
      <w:r>
        <w:rPr>
          <w:rFonts w:hint="eastAsia" w:asciiTheme="minorEastAsia" w:hAnsiTheme="minorEastAsia" w:eastAsiaTheme="minorEastAsia" w:cstheme="minorEastAsia"/>
          <w:i/>
          <w:kern w:val="0"/>
          <w:szCs w:val="21"/>
          <w:u w:val="single"/>
        </w:rPr>
        <w:t>（中型企业、小型企业、微型企业）</w:t>
      </w:r>
      <w:r>
        <w:rPr>
          <w:rFonts w:hint="eastAsia" w:asciiTheme="minorEastAsia" w:hAnsiTheme="minorEastAsia" w:eastAsiaTheme="minorEastAsia" w:cstheme="minorEastAsia"/>
          <w:kern w:val="0"/>
          <w:szCs w:val="21"/>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以上企业，不属于大企业的分支机构，不存在控股股东为大企业的情形，也不存在与大企业的负责人为同一人的情形。</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本企业对上述声明内容的真实性负责。如有虚假，将依法承担相应责任。</w:t>
      </w:r>
    </w:p>
    <w:p>
      <w:pPr>
        <w:autoSpaceDE w:val="0"/>
        <w:autoSpaceDN w:val="0"/>
        <w:adjustRightInd w:val="0"/>
        <w:spacing w:line="360" w:lineRule="auto"/>
        <w:ind w:firstLine="4329" w:firstLineChars="195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pacing w:val="6"/>
          <w:szCs w:val="21"/>
        </w:rPr>
        <w:t>企业名称（盖章）：</w:t>
      </w:r>
    </w:p>
    <w:p>
      <w:pPr>
        <w:autoSpaceDE w:val="0"/>
        <w:autoSpaceDN w:val="0"/>
        <w:adjustRightInd w:val="0"/>
        <w:spacing w:line="360" w:lineRule="auto"/>
        <w:ind w:firstLine="4305" w:firstLineChars="20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日期：年月日</w:t>
      </w:r>
    </w:p>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①从业人员、营业收入、资产总额填报上一年度数据，无上一年度数据的新成立企业可不填报</w:t>
      </w:r>
    </w:p>
    <w:p>
      <w:pPr>
        <w:pStyle w:val="11"/>
        <w:spacing w:line="360" w:lineRule="auto"/>
        <w:rPr>
          <w:rFonts w:asciiTheme="minorEastAsia" w:hAnsiTheme="minorEastAsia" w:eastAsiaTheme="minorEastAsia" w:cstheme="minorEastAsia"/>
          <w:sz w:val="21"/>
          <w:szCs w:val="21"/>
        </w:rPr>
      </w:pPr>
    </w:p>
    <w:p>
      <w:pPr>
        <w:keepNext/>
        <w:keepLines/>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2.《残疾人福利性单位声明函》</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本单位郑重声明，根据《财政部 民政部 中国残疾人联合会关于促进残疾人就业政府采购政策的通知》（财库</w:t>
      </w:r>
      <w:r>
        <w:rPr>
          <w:rFonts w:hint="eastAsia" w:asciiTheme="minorEastAsia" w:hAnsiTheme="minorEastAsia" w:eastAsiaTheme="minorEastAsia" w:cstheme="minorEastAsia"/>
          <w:szCs w:val="21"/>
        </w:rPr>
        <w:t>〔2017〕 141</w:t>
      </w:r>
      <w:r>
        <w:rPr>
          <w:rFonts w:hint="eastAsia" w:asciiTheme="minorEastAsia" w:hAnsiTheme="minorEastAsia" w:eastAsiaTheme="minorEastAsia" w:cstheme="minorEastAsia"/>
          <w:spacing w:val="6"/>
          <w:szCs w:val="21"/>
        </w:rPr>
        <w:t>号）的规定，本单位为符合条件的残疾人福利性单位。本单位参加</w:t>
      </w:r>
      <w:r>
        <w:rPr>
          <w:rFonts w:hint="eastAsia" w:asciiTheme="minorEastAsia" w:hAnsiTheme="minorEastAsia" w:eastAsiaTheme="minorEastAsia" w:cstheme="minorEastAsia"/>
          <w:szCs w:val="21"/>
        </w:rPr>
        <w:t>项目编号为的单位的项目采购活动</w:t>
      </w:r>
      <w:r>
        <w:rPr>
          <w:rFonts w:hint="eastAsia" w:asciiTheme="minorEastAsia" w:hAnsiTheme="minorEastAsia" w:eastAsiaTheme="minorEastAsia" w:cstheme="minorEastAsia"/>
          <w:spacing w:val="6"/>
          <w:szCs w:val="21"/>
        </w:rPr>
        <w:t>提供本单位制造的货物（由本单位承担工程、提供服务），或提供其他残疾人福利性单位制造的货物。</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本单位对上述声明的真实性负责。如有虚假，将依法承担相应责任。</w:t>
      </w:r>
    </w:p>
    <w:p>
      <w:pPr>
        <w:snapToGrid w:val="0"/>
        <w:spacing w:line="360" w:lineRule="auto"/>
        <w:ind w:firstLine="4200" w:firstLineChars="20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单位（公章）：</w:t>
      </w:r>
    </w:p>
    <w:p>
      <w:pPr>
        <w:snapToGrid w:val="0"/>
        <w:spacing w:line="360" w:lineRule="auto"/>
        <w:ind w:firstLine="4200" w:firstLineChars="2000"/>
        <w:rPr>
          <w:rFonts w:asciiTheme="minorEastAsia" w:hAnsiTheme="minorEastAsia" w:eastAsiaTheme="minorEastAsia" w:cstheme="minorEastAsia"/>
          <w:b/>
          <w:bCs/>
          <w:szCs w:val="21"/>
          <w:u w:val="single"/>
        </w:rPr>
      </w:pPr>
      <w:r>
        <w:rPr>
          <w:rFonts w:hint="eastAsia" w:asciiTheme="minorEastAsia" w:hAnsiTheme="minorEastAsia" w:eastAsiaTheme="minorEastAsia" w:cstheme="minorEastAsia"/>
          <w:szCs w:val="21"/>
        </w:rPr>
        <w:t>日期：年月日</w:t>
      </w:r>
    </w:p>
    <w:p>
      <w:pPr>
        <w:spacing w:line="312" w:lineRule="auto"/>
        <w:rPr>
          <w:rFonts w:asciiTheme="minorEastAsia" w:hAnsiTheme="minorEastAsia" w:eastAsiaTheme="minorEastAsia" w:cstheme="minorEastAsia"/>
          <w:b/>
          <w:bCs/>
          <w:szCs w:val="21"/>
          <w:u w:val="single"/>
        </w:rPr>
      </w:pPr>
    </w:p>
    <w:p>
      <w:pPr>
        <w:spacing w:line="312" w:lineRule="auto"/>
        <w:jc w:val="center"/>
        <w:rPr>
          <w:rFonts w:ascii="宋体" w:hAnsi="宋体" w:cs="宋体"/>
          <w:color w:val="000000"/>
          <w:szCs w:val="21"/>
        </w:rPr>
      </w:pPr>
      <w:r>
        <w:rPr>
          <w:rFonts w:hint="eastAsia" w:asciiTheme="minorEastAsia" w:hAnsiTheme="minorEastAsia" w:eastAsiaTheme="minorEastAsia" w:cstheme="minorEastAsia"/>
          <w:b/>
          <w:bCs/>
          <w:szCs w:val="21"/>
          <w:u w:val="single"/>
        </w:rPr>
        <w:t>感谢您对携手阳光公司的支持，欢迎您向我们提出宝贵建议。</w:t>
      </w:r>
    </w:p>
    <w:sectPr>
      <w:headerReference r:id="rId6" w:type="default"/>
      <w:footerReference r:id="rId7"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
    <w:altName w:val="宋体"/>
    <w:panose1 w:val="00000000000000000000"/>
    <w:charset w:val="86"/>
    <w:family w:val="auto"/>
    <w:pitch w:val="default"/>
    <w:sig w:usb0="00000000" w:usb1="00000000" w:usb2="00000012" w:usb3="00000000" w:csb0="00040001" w:csb1="00000000"/>
  </w:font>
  <w:font w:name="汉仪粗黑简">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Cs w:val="21"/>
      </w:rPr>
    </w:pPr>
    <w:r>
      <w:rPr>
        <w:rFonts w:hint="eastAsia" w:ascii="宋体" w:hAnsi="宋体"/>
        <w:b/>
        <w:szCs w:val="21"/>
      </w:rPr>
      <w:t>盐城市携手阳光集中采购代理有限公司</w:t>
    </w:r>
    <w:r>
      <w:rPr>
        <w:rFonts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 MERGEFORMAT </w:instrText>
    </w:r>
    <w:r>
      <w:rPr>
        <w:rFonts w:ascii="宋体" w:hAnsi="宋体"/>
        <w:b/>
        <w:color w:val="000000"/>
        <w:szCs w:val="21"/>
      </w:rPr>
      <w:fldChar w:fldCharType="separate"/>
    </w:r>
    <w:r>
      <w:rPr>
        <w:rFonts w:ascii="宋体" w:hAnsi="宋体"/>
        <w:b/>
        <w:color w:val="000000"/>
        <w:szCs w:val="21"/>
        <w:lang w:val="zh-CN"/>
      </w:rPr>
      <w:t>30</w:t>
    </w:r>
    <w:r>
      <w:rPr>
        <w:rFonts w:ascii="宋体" w:hAnsi="宋体"/>
        <w:b/>
        <w:color w:val="000000"/>
        <w:szCs w:val="21"/>
      </w:rPr>
      <w:fldChar w:fldCharType="end"/>
    </w:r>
    <w:r>
      <w:rPr>
        <w:rFonts w:ascii="宋体" w:hAnsi="宋体"/>
        <w:b/>
        <w:color w:val="00000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Cs w:val="21"/>
      </w:rPr>
    </w:pPr>
    <w:r>
      <w:rPr>
        <w:rFonts w:hint="eastAsia" w:ascii="宋体" w:hAnsi="宋体"/>
        <w:b/>
        <w:szCs w:val="21"/>
      </w:rPr>
      <w:t>盐城市携手阳光集中采购代理有限公司</w:t>
    </w:r>
    <w:r>
      <w:rPr>
        <w:rFonts w:hint="eastAsia"/>
        <w:b/>
        <w:color w:val="000000"/>
        <w:szCs w:val="21"/>
      </w:rPr>
      <w:t>（</w:t>
    </w:r>
    <w:r>
      <w:rPr>
        <w:rFonts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 MERGEFORMAT </w:instrText>
    </w:r>
    <w:r>
      <w:rPr>
        <w:rFonts w:ascii="宋体" w:hAnsi="宋体"/>
        <w:b/>
        <w:color w:val="000000"/>
        <w:szCs w:val="21"/>
      </w:rPr>
      <w:fldChar w:fldCharType="separate"/>
    </w:r>
    <w:r>
      <w:rPr>
        <w:rFonts w:ascii="宋体" w:hAnsi="宋体"/>
        <w:b/>
        <w:color w:val="000000"/>
        <w:szCs w:val="21"/>
        <w:lang w:val="zh-CN"/>
      </w:rPr>
      <w:t>45</w:t>
    </w:r>
    <w:r>
      <w:rPr>
        <w:rFonts w:ascii="宋体" w:hAnsi="宋体"/>
        <w:b/>
        <w:color w:val="000000"/>
        <w:szCs w:val="21"/>
      </w:rPr>
      <w:fldChar w:fldCharType="end"/>
    </w:r>
    <w:r>
      <w:rPr>
        <w:rFonts w:ascii="宋体" w:hAnsi="宋体"/>
        <w:b/>
        <w:color w:val="000000"/>
        <w:szCs w:val="21"/>
      </w:rPr>
      <w:t>页</w:t>
    </w:r>
    <w:r>
      <w:rPr>
        <w:rFonts w:hint="eastAsia" w:ascii="宋体" w:hAnsi="宋体"/>
        <w:b/>
        <w:color w:val="000000"/>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Cs w:val="21"/>
      </w:rPr>
    </w:pPr>
    <w:r>
      <w:pict>
        <v:shape id="PowerPlusWaterMarkObject33037" o:spid="_x0000_s2049" o:spt="136" type="#_x0000_t136" style="position:absolute;left:0pt;height:32.2pt;width:641.2pt;mso-position-horizontal:center;mso-position-horizontal-relative:margin;mso-position-vertical:center;mso-position-vertical-relative:margin;rotation:-2949120f;z-index:-251640832;mso-width-relative:page;mso-height-relative:page;" fillcolor="#C0C0C0" filled="t" stroked="f" coordsize="21600,21600">
          <v:path/>
          <v:fill on="t" opacity="32768f" focussize="0,0"/>
          <v:stroke on="f"/>
          <v:imagedata o:title=""/>
          <o:lock v:ext="edit" aspectratio="t"/>
          <v:textpath on="t" fitshape="t" fitpath="t" trim="t" xscale="f" string="盐城市携手阳光集中采购代理有限公司版权所有、严禁摘抄" style="font-family:微软雅黑;font-size:36pt;v-text-align:center;"/>
        </v:shape>
      </w:pict>
    </w:r>
    <w:r>
      <w:rPr>
        <w:rFonts w:hint="eastAsia"/>
        <w:b/>
        <w:szCs w:val="21"/>
      </w:rPr>
      <w:t>术业有专攻、政采有阳光</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Cs w:val="21"/>
      </w:rPr>
    </w:pPr>
    <w:r>
      <w:rPr>
        <w:b/>
      </w:rPr>
      <mc:AlternateContent>
        <mc:Choice Requires="wps">
          <w:drawing>
            <wp:anchor distT="0" distB="0" distL="114300" distR="114300" simplePos="0" relativeHeight="251676672" behindDoc="0" locked="0" layoutInCell="1" allowOverlap="1">
              <wp:simplePos x="0" y="0"/>
              <wp:positionH relativeFrom="column">
                <wp:posOffset>7620</wp:posOffset>
              </wp:positionH>
              <wp:positionV relativeFrom="paragraph">
                <wp:posOffset>167005</wp:posOffset>
              </wp:positionV>
              <wp:extent cx="6323330" cy="0"/>
              <wp:effectExtent l="0" t="7620" r="0" b="8255"/>
              <wp:wrapNone/>
              <wp:docPr id="4" name="自选图形 6149"/>
              <wp:cNvGraphicFramePr/>
              <a:graphic xmlns:a="http://schemas.openxmlformats.org/drawingml/2006/main">
                <a:graphicData uri="http://schemas.microsoft.com/office/word/2010/wordprocessingShape">
                  <wps:wsp>
                    <wps:cNvCnPr/>
                    <wps:spPr bwMode="auto">
                      <a:xfrm>
                        <a:off x="0" y="0"/>
                        <a:ext cx="6323330" cy="0"/>
                      </a:xfrm>
                      <a:prstGeom prst="straightConnector1">
                        <a:avLst/>
                      </a:prstGeom>
                      <a:noFill/>
                      <a:ln w="15875">
                        <a:solidFill>
                          <a:srgbClr val="739CC3"/>
                        </a:solidFill>
                        <a:round/>
                      </a:ln>
                      <a:effectLst/>
                    </wps:spPr>
                    <wps:bodyPr/>
                  </wps:wsp>
                </a:graphicData>
              </a:graphic>
            </wp:anchor>
          </w:drawing>
        </mc:Choice>
        <mc:Fallback>
          <w:pict>
            <v:shape id="自选图形 6149" o:spid="_x0000_s1026" o:spt="32" type="#_x0000_t32" style="position:absolute;left:0pt;margin-left:0.6pt;margin-top:13.15pt;height:0pt;width:497.9pt;z-index:251676672;mso-width-relative:page;mso-height-relative:page;" filled="f" stroked="t" coordsize="21600,21600" o:gfxdata="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1/QNvUAAAABwEAAA8AAAAA&#10;AAAAAQAgAAAAIgAAAGRycy9kb3ducmV2LnhtbFBLAQIUABQAAAAIAIdO4kBNEOcP3wEAAJUDAAAO&#10;AAAAAAAAAAEAIAAAACMBAABkcnMvZTJvRG9jLnhtbFBLBQYAAAAABgAGAFkBAAB0BQAAAAA=&#10;">
              <v:fill on="f" focussize="0,0"/>
              <v:stroke weight="1.25pt" color="#739CC3" joinstyle="round"/>
              <v:imagedata o:title=""/>
              <o:lock v:ext="edit" aspectratio="f"/>
            </v:shape>
          </w:pict>
        </mc:Fallback>
      </mc:AlternateContent>
    </w:r>
    <w:r>
      <w:rPr>
        <w:b/>
      </w:rPr>
      <w:pict>
        <v:shape id="_x0000_s2052" o:spid="_x0000_s2052" o:spt="136" type="#_x0000_t136" style="position:absolute;left:0pt;height:24.6pt;width:641.55pt;mso-position-horizontal:center;mso-position-horizontal-relative:margin;mso-position-vertical:center;mso-position-vertical-relative:margin;rotation:20643840f;z-index:-251638784;mso-width-relative:page;mso-height-relative:page;" fillcolor="#C0C0C0" filled="t" stroked="f" coordsize="21600,21600" o:allowincell="f">
          <v:path/>
          <v:fill on="t" opacity="32768f" focussize="0,0"/>
          <v:stroke on="f"/>
          <v:imagedata o:title=""/>
          <o:lock v:ext="edit"/>
          <v:textpath on="t" fitshape="t" fitpath="t" trim="t" xscale="f" string="盐城市携手阳光集中采购代理有限公司版权所有、严禁摘抄" style="font-family:宋体;font-size:8pt;v-text-align:center;"/>
        </v:shape>
      </w:pict>
    </w:r>
    <w:r>
      <w:rPr>
        <w:rFonts w:hint="eastAsia"/>
        <w:b/>
        <w:szCs w:val="21"/>
      </w:rPr>
      <w:t>术业有专攻、政采有阳光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Y2Y5YTYwZjJhZjQxNWNlYmI3ZjJmMzI3ZjUxNjEifQ=="/>
  </w:docVars>
  <w:rsids>
    <w:rsidRoot w:val="362A1B67"/>
    <w:rsid w:val="000016F8"/>
    <w:rsid w:val="00001C8E"/>
    <w:rsid w:val="0001736C"/>
    <w:rsid w:val="00023AE2"/>
    <w:rsid w:val="000275B9"/>
    <w:rsid w:val="000316B8"/>
    <w:rsid w:val="00034000"/>
    <w:rsid w:val="00036B07"/>
    <w:rsid w:val="00041E63"/>
    <w:rsid w:val="00046A2D"/>
    <w:rsid w:val="00071B8E"/>
    <w:rsid w:val="00081B72"/>
    <w:rsid w:val="00082625"/>
    <w:rsid w:val="000851B2"/>
    <w:rsid w:val="00085646"/>
    <w:rsid w:val="00091652"/>
    <w:rsid w:val="000A2297"/>
    <w:rsid w:val="000B4817"/>
    <w:rsid w:val="000D0124"/>
    <w:rsid w:val="000D31A9"/>
    <w:rsid w:val="000D51E0"/>
    <w:rsid w:val="000D783F"/>
    <w:rsid w:val="000F1064"/>
    <w:rsid w:val="000F19FC"/>
    <w:rsid w:val="0010624D"/>
    <w:rsid w:val="00116683"/>
    <w:rsid w:val="00116AA0"/>
    <w:rsid w:val="00120A92"/>
    <w:rsid w:val="001467EC"/>
    <w:rsid w:val="00154AAC"/>
    <w:rsid w:val="001756B4"/>
    <w:rsid w:val="001814E7"/>
    <w:rsid w:val="00184034"/>
    <w:rsid w:val="001A69B1"/>
    <w:rsid w:val="001C0BC5"/>
    <w:rsid w:val="001C0E56"/>
    <w:rsid w:val="001E500B"/>
    <w:rsid w:val="001F31CE"/>
    <w:rsid w:val="001F64AD"/>
    <w:rsid w:val="001F720C"/>
    <w:rsid w:val="0020334F"/>
    <w:rsid w:val="0020613E"/>
    <w:rsid w:val="0021212F"/>
    <w:rsid w:val="00214204"/>
    <w:rsid w:val="00224128"/>
    <w:rsid w:val="002269D4"/>
    <w:rsid w:val="00234A27"/>
    <w:rsid w:val="0024527F"/>
    <w:rsid w:val="00246233"/>
    <w:rsid w:val="00247964"/>
    <w:rsid w:val="00247B18"/>
    <w:rsid w:val="00263DE9"/>
    <w:rsid w:val="00274234"/>
    <w:rsid w:val="002852DA"/>
    <w:rsid w:val="00285E01"/>
    <w:rsid w:val="002951E1"/>
    <w:rsid w:val="002A05CA"/>
    <w:rsid w:val="002A377A"/>
    <w:rsid w:val="002A3AD8"/>
    <w:rsid w:val="002A3F4A"/>
    <w:rsid w:val="002B41DE"/>
    <w:rsid w:val="002C2589"/>
    <w:rsid w:val="002D3B43"/>
    <w:rsid w:val="002E39CB"/>
    <w:rsid w:val="002E66A7"/>
    <w:rsid w:val="002F4571"/>
    <w:rsid w:val="003002D2"/>
    <w:rsid w:val="00305FBD"/>
    <w:rsid w:val="00311CCD"/>
    <w:rsid w:val="00312AE1"/>
    <w:rsid w:val="00327376"/>
    <w:rsid w:val="00330542"/>
    <w:rsid w:val="00341ED6"/>
    <w:rsid w:val="0034696A"/>
    <w:rsid w:val="003535F8"/>
    <w:rsid w:val="00354161"/>
    <w:rsid w:val="003550AC"/>
    <w:rsid w:val="003563FD"/>
    <w:rsid w:val="00396429"/>
    <w:rsid w:val="00396DEE"/>
    <w:rsid w:val="00397FF1"/>
    <w:rsid w:val="003A2FD2"/>
    <w:rsid w:val="003A51C4"/>
    <w:rsid w:val="003B022D"/>
    <w:rsid w:val="003B44A6"/>
    <w:rsid w:val="003D5939"/>
    <w:rsid w:val="003D670D"/>
    <w:rsid w:val="003D7E60"/>
    <w:rsid w:val="003E36A4"/>
    <w:rsid w:val="003F2C20"/>
    <w:rsid w:val="0040150C"/>
    <w:rsid w:val="0040274E"/>
    <w:rsid w:val="004110F2"/>
    <w:rsid w:val="00423C6D"/>
    <w:rsid w:val="004266DA"/>
    <w:rsid w:val="00427431"/>
    <w:rsid w:val="004313ED"/>
    <w:rsid w:val="00434E6A"/>
    <w:rsid w:val="00435474"/>
    <w:rsid w:val="00436FD0"/>
    <w:rsid w:val="00440672"/>
    <w:rsid w:val="00446904"/>
    <w:rsid w:val="004479E5"/>
    <w:rsid w:val="0045397C"/>
    <w:rsid w:val="00456395"/>
    <w:rsid w:val="00460AB1"/>
    <w:rsid w:val="004616BE"/>
    <w:rsid w:val="00465099"/>
    <w:rsid w:val="004679CD"/>
    <w:rsid w:val="00473F8D"/>
    <w:rsid w:val="00493900"/>
    <w:rsid w:val="004A0808"/>
    <w:rsid w:val="004B60F9"/>
    <w:rsid w:val="004B6EBB"/>
    <w:rsid w:val="004C5A40"/>
    <w:rsid w:val="004C7B41"/>
    <w:rsid w:val="004D5F29"/>
    <w:rsid w:val="004E616D"/>
    <w:rsid w:val="004F3F79"/>
    <w:rsid w:val="004F69A5"/>
    <w:rsid w:val="0051278D"/>
    <w:rsid w:val="00520401"/>
    <w:rsid w:val="00530752"/>
    <w:rsid w:val="00541A85"/>
    <w:rsid w:val="0054217F"/>
    <w:rsid w:val="00542988"/>
    <w:rsid w:val="005433AB"/>
    <w:rsid w:val="00545461"/>
    <w:rsid w:val="00546EDC"/>
    <w:rsid w:val="00555137"/>
    <w:rsid w:val="0055637C"/>
    <w:rsid w:val="00565C8E"/>
    <w:rsid w:val="00567379"/>
    <w:rsid w:val="00574BA8"/>
    <w:rsid w:val="00586ACD"/>
    <w:rsid w:val="005A77F1"/>
    <w:rsid w:val="005B0EC8"/>
    <w:rsid w:val="005C779F"/>
    <w:rsid w:val="005E7397"/>
    <w:rsid w:val="005F09CF"/>
    <w:rsid w:val="005F25FC"/>
    <w:rsid w:val="0061633E"/>
    <w:rsid w:val="00616591"/>
    <w:rsid w:val="006208A0"/>
    <w:rsid w:val="006259B3"/>
    <w:rsid w:val="00634251"/>
    <w:rsid w:val="006432CA"/>
    <w:rsid w:val="006475C4"/>
    <w:rsid w:val="00647D65"/>
    <w:rsid w:val="006540DA"/>
    <w:rsid w:val="00654AFE"/>
    <w:rsid w:val="006718B2"/>
    <w:rsid w:val="00675CC3"/>
    <w:rsid w:val="006768C1"/>
    <w:rsid w:val="00694131"/>
    <w:rsid w:val="006A1B37"/>
    <w:rsid w:val="006A73E4"/>
    <w:rsid w:val="006A7A8F"/>
    <w:rsid w:val="006C3745"/>
    <w:rsid w:val="006C72BC"/>
    <w:rsid w:val="006D58EC"/>
    <w:rsid w:val="006D6351"/>
    <w:rsid w:val="006E10CB"/>
    <w:rsid w:val="006E56E0"/>
    <w:rsid w:val="006F0A27"/>
    <w:rsid w:val="00701372"/>
    <w:rsid w:val="00705FF9"/>
    <w:rsid w:val="00712758"/>
    <w:rsid w:val="0072221F"/>
    <w:rsid w:val="00735312"/>
    <w:rsid w:val="0074763D"/>
    <w:rsid w:val="00752306"/>
    <w:rsid w:val="00754D1B"/>
    <w:rsid w:val="0076073D"/>
    <w:rsid w:val="00761733"/>
    <w:rsid w:val="007720C1"/>
    <w:rsid w:val="0077332A"/>
    <w:rsid w:val="00775CD2"/>
    <w:rsid w:val="00776058"/>
    <w:rsid w:val="007770DD"/>
    <w:rsid w:val="00780493"/>
    <w:rsid w:val="0078070D"/>
    <w:rsid w:val="00784788"/>
    <w:rsid w:val="00790537"/>
    <w:rsid w:val="00790E94"/>
    <w:rsid w:val="007959C2"/>
    <w:rsid w:val="007A07A7"/>
    <w:rsid w:val="007A2FE6"/>
    <w:rsid w:val="007D116B"/>
    <w:rsid w:val="007D3802"/>
    <w:rsid w:val="007D75C3"/>
    <w:rsid w:val="007E4B02"/>
    <w:rsid w:val="007E5501"/>
    <w:rsid w:val="007E790B"/>
    <w:rsid w:val="007F7916"/>
    <w:rsid w:val="008011CB"/>
    <w:rsid w:val="0080783C"/>
    <w:rsid w:val="00807E4E"/>
    <w:rsid w:val="00811B26"/>
    <w:rsid w:val="008156D0"/>
    <w:rsid w:val="00817BC0"/>
    <w:rsid w:val="00831D9A"/>
    <w:rsid w:val="008368D9"/>
    <w:rsid w:val="00845B0D"/>
    <w:rsid w:val="00856FAF"/>
    <w:rsid w:val="00863463"/>
    <w:rsid w:val="00881355"/>
    <w:rsid w:val="00890EE5"/>
    <w:rsid w:val="008911D9"/>
    <w:rsid w:val="00895E46"/>
    <w:rsid w:val="008967CE"/>
    <w:rsid w:val="0089730E"/>
    <w:rsid w:val="008A1149"/>
    <w:rsid w:val="008C08A6"/>
    <w:rsid w:val="008D5CB7"/>
    <w:rsid w:val="008E0FC7"/>
    <w:rsid w:val="008E1482"/>
    <w:rsid w:val="008E1D7B"/>
    <w:rsid w:val="008E30FB"/>
    <w:rsid w:val="008F0B95"/>
    <w:rsid w:val="008F21A5"/>
    <w:rsid w:val="008F2F3A"/>
    <w:rsid w:val="008F7CB4"/>
    <w:rsid w:val="00900CB2"/>
    <w:rsid w:val="00906222"/>
    <w:rsid w:val="009070D7"/>
    <w:rsid w:val="00914C32"/>
    <w:rsid w:val="00916CB8"/>
    <w:rsid w:val="00925CA5"/>
    <w:rsid w:val="00940AA8"/>
    <w:rsid w:val="00942D36"/>
    <w:rsid w:val="009467EC"/>
    <w:rsid w:val="00952109"/>
    <w:rsid w:val="00957081"/>
    <w:rsid w:val="00970147"/>
    <w:rsid w:val="009777FB"/>
    <w:rsid w:val="0098087D"/>
    <w:rsid w:val="009C7CD4"/>
    <w:rsid w:val="009D16B6"/>
    <w:rsid w:val="009D226B"/>
    <w:rsid w:val="009D7531"/>
    <w:rsid w:val="009E0EBD"/>
    <w:rsid w:val="009E54DF"/>
    <w:rsid w:val="009E60FA"/>
    <w:rsid w:val="009F3C26"/>
    <w:rsid w:val="00A028AE"/>
    <w:rsid w:val="00A25C33"/>
    <w:rsid w:val="00A33257"/>
    <w:rsid w:val="00A45F9D"/>
    <w:rsid w:val="00A566D5"/>
    <w:rsid w:val="00A603D0"/>
    <w:rsid w:val="00A645CB"/>
    <w:rsid w:val="00A67F48"/>
    <w:rsid w:val="00A81A6E"/>
    <w:rsid w:val="00A84C4D"/>
    <w:rsid w:val="00A914AD"/>
    <w:rsid w:val="00AA1A86"/>
    <w:rsid w:val="00AA2EF4"/>
    <w:rsid w:val="00AA7D21"/>
    <w:rsid w:val="00AC440F"/>
    <w:rsid w:val="00AD309C"/>
    <w:rsid w:val="00AD7CF5"/>
    <w:rsid w:val="00AE4605"/>
    <w:rsid w:val="00AF6A22"/>
    <w:rsid w:val="00B1375E"/>
    <w:rsid w:val="00B21298"/>
    <w:rsid w:val="00B2195F"/>
    <w:rsid w:val="00B36A4F"/>
    <w:rsid w:val="00B655B7"/>
    <w:rsid w:val="00B7130A"/>
    <w:rsid w:val="00B759CB"/>
    <w:rsid w:val="00B80BC0"/>
    <w:rsid w:val="00B84AA7"/>
    <w:rsid w:val="00B91E2C"/>
    <w:rsid w:val="00BA1C5D"/>
    <w:rsid w:val="00BA2A2B"/>
    <w:rsid w:val="00BB2EE9"/>
    <w:rsid w:val="00BB43FE"/>
    <w:rsid w:val="00BC23E8"/>
    <w:rsid w:val="00BC2B21"/>
    <w:rsid w:val="00BE3458"/>
    <w:rsid w:val="00BF6C3A"/>
    <w:rsid w:val="00BF7932"/>
    <w:rsid w:val="00C027DF"/>
    <w:rsid w:val="00C03A49"/>
    <w:rsid w:val="00C15F71"/>
    <w:rsid w:val="00C22B0E"/>
    <w:rsid w:val="00C267B0"/>
    <w:rsid w:val="00C536EE"/>
    <w:rsid w:val="00C55603"/>
    <w:rsid w:val="00C579A4"/>
    <w:rsid w:val="00C613FB"/>
    <w:rsid w:val="00C64C19"/>
    <w:rsid w:val="00C71DDA"/>
    <w:rsid w:val="00C763AC"/>
    <w:rsid w:val="00C94652"/>
    <w:rsid w:val="00C9625E"/>
    <w:rsid w:val="00CA1F46"/>
    <w:rsid w:val="00CA5DEE"/>
    <w:rsid w:val="00CC57D5"/>
    <w:rsid w:val="00CD4CF7"/>
    <w:rsid w:val="00CF6C8C"/>
    <w:rsid w:val="00D02170"/>
    <w:rsid w:val="00D02320"/>
    <w:rsid w:val="00D02FD2"/>
    <w:rsid w:val="00D032A1"/>
    <w:rsid w:val="00D0368D"/>
    <w:rsid w:val="00D15007"/>
    <w:rsid w:val="00D169E3"/>
    <w:rsid w:val="00D22DDA"/>
    <w:rsid w:val="00D31AD7"/>
    <w:rsid w:val="00D415E4"/>
    <w:rsid w:val="00D46AA8"/>
    <w:rsid w:val="00D5688F"/>
    <w:rsid w:val="00D56F13"/>
    <w:rsid w:val="00D62393"/>
    <w:rsid w:val="00D67D98"/>
    <w:rsid w:val="00D67FEE"/>
    <w:rsid w:val="00D70807"/>
    <w:rsid w:val="00D71EB5"/>
    <w:rsid w:val="00D7446B"/>
    <w:rsid w:val="00D75EE6"/>
    <w:rsid w:val="00D81569"/>
    <w:rsid w:val="00DA1A24"/>
    <w:rsid w:val="00DA2629"/>
    <w:rsid w:val="00DA33D5"/>
    <w:rsid w:val="00DA787D"/>
    <w:rsid w:val="00DB74EE"/>
    <w:rsid w:val="00DD1A8A"/>
    <w:rsid w:val="00DD4BCB"/>
    <w:rsid w:val="00DF2CF7"/>
    <w:rsid w:val="00E02E27"/>
    <w:rsid w:val="00E02EFD"/>
    <w:rsid w:val="00E15216"/>
    <w:rsid w:val="00E17E64"/>
    <w:rsid w:val="00E231A7"/>
    <w:rsid w:val="00E308CC"/>
    <w:rsid w:val="00E31848"/>
    <w:rsid w:val="00E322FB"/>
    <w:rsid w:val="00E32886"/>
    <w:rsid w:val="00E37F75"/>
    <w:rsid w:val="00E425DE"/>
    <w:rsid w:val="00E53934"/>
    <w:rsid w:val="00E55E42"/>
    <w:rsid w:val="00E600F2"/>
    <w:rsid w:val="00E63694"/>
    <w:rsid w:val="00E67CC9"/>
    <w:rsid w:val="00E67E8E"/>
    <w:rsid w:val="00E72C5D"/>
    <w:rsid w:val="00E81CD8"/>
    <w:rsid w:val="00E82ECF"/>
    <w:rsid w:val="00E83862"/>
    <w:rsid w:val="00E8449F"/>
    <w:rsid w:val="00E93FBB"/>
    <w:rsid w:val="00EA2F2F"/>
    <w:rsid w:val="00EB00E5"/>
    <w:rsid w:val="00EB4F05"/>
    <w:rsid w:val="00EB5FF9"/>
    <w:rsid w:val="00EC0008"/>
    <w:rsid w:val="00EC40FB"/>
    <w:rsid w:val="00EC4AAC"/>
    <w:rsid w:val="00EC4C50"/>
    <w:rsid w:val="00EE276B"/>
    <w:rsid w:val="00EE47F7"/>
    <w:rsid w:val="00EF3F0B"/>
    <w:rsid w:val="00F014CC"/>
    <w:rsid w:val="00F146D4"/>
    <w:rsid w:val="00F17454"/>
    <w:rsid w:val="00F174AF"/>
    <w:rsid w:val="00F21AAB"/>
    <w:rsid w:val="00F22FF2"/>
    <w:rsid w:val="00F275E9"/>
    <w:rsid w:val="00F27856"/>
    <w:rsid w:val="00F36BA7"/>
    <w:rsid w:val="00F4199B"/>
    <w:rsid w:val="00F4268F"/>
    <w:rsid w:val="00F47C77"/>
    <w:rsid w:val="00F53038"/>
    <w:rsid w:val="00F530CC"/>
    <w:rsid w:val="00F61750"/>
    <w:rsid w:val="00F63BB1"/>
    <w:rsid w:val="00F64770"/>
    <w:rsid w:val="00F71289"/>
    <w:rsid w:val="00F7210C"/>
    <w:rsid w:val="00F738A0"/>
    <w:rsid w:val="00F74729"/>
    <w:rsid w:val="00F771DD"/>
    <w:rsid w:val="00F8158C"/>
    <w:rsid w:val="00F913D4"/>
    <w:rsid w:val="00F9731F"/>
    <w:rsid w:val="00F973C7"/>
    <w:rsid w:val="00FA0028"/>
    <w:rsid w:val="00FA3D79"/>
    <w:rsid w:val="00FB2763"/>
    <w:rsid w:val="00FB7B0A"/>
    <w:rsid w:val="00FC0D61"/>
    <w:rsid w:val="00FD2CBB"/>
    <w:rsid w:val="00FD5B97"/>
    <w:rsid w:val="00FE1D87"/>
    <w:rsid w:val="00FF6605"/>
    <w:rsid w:val="0101331E"/>
    <w:rsid w:val="01227B80"/>
    <w:rsid w:val="01255120"/>
    <w:rsid w:val="015679D0"/>
    <w:rsid w:val="016A347B"/>
    <w:rsid w:val="01B110AA"/>
    <w:rsid w:val="01F36FCC"/>
    <w:rsid w:val="01FB40D3"/>
    <w:rsid w:val="020250AD"/>
    <w:rsid w:val="021527A1"/>
    <w:rsid w:val="022278B2"/>
    <w:rsid w:val="025A5E20"/>
    <w:rsid w:val="025A704C"/>
    <w:rsid w:val="02765728"/>
    <w:rsid w:val="027D0F8C"/>
    <w:rsid w:val="027F4D04"/>
    <w:rsid w:val="02837B03"/>
    <w:rsid w:val="02883D22"/>
    <w:rsid w:val="028C5A81"/>
    <w:rsid w:val="02EE1086"/>
    <w:rsid w:val="02FB6CDA"/>
    <w:rsid w:val="03057289"/>
    <w:rsid w:val="036A1E94"/>
    <w:rsid w:val="03B33413"/>
    <w:rsid w:val="03F079D9"/>
    <w:rsid w:val="03FB660C"/>
    <w:rsid w:val="041B280B"/>
    <w:rsid w:val="044262F7"/>
    <w:rsid w:val="044E1D39"/>
    <w:rsid w:val="04610B65"/>
    <w:rsid w:val="046930FC"/>
    <w:rsid w:val="0499464F"/>
    <w:rsid w:val="04B0389B"/>
    <w:rsid w:val="04B8274F"/>
    <w:rsid w:val="04C335CE"/>
    <w:rsid w:val="052120A3"/>
    <w:rsid w:val="052676B9"/>
    <w:rsid w:val="052F1D0F"/>
    <w:rsid w:val="05300538"/>
    <w:rsid w:val="053E4A03"/>
    <w:rsid w:val="054933A7"/>
    <w:rsid w:val="05753047"/>
    <w:rsid w:val="058645FB"/>
    <w:rsid w:val="059C656F"/>
    <w:rsid w:val="05A76A4C"/>
    <w:rsid w:val="05DF2F6E"/>
    <w:rsid w:val="05EC3CFE"/>
    <w:rsid w:val="05F72E03"/>
    <w:rsid w:val="066B5CCB"/>
    <w:rsid w:val="068E5516"/>
    <w:rsid w:val="069A210C"/>
    <w:rsid w:val="06A37B17"/>
    <w:rsid w:val="06A66D03"/>
    <w:rsid w:val="06B93983"/>
    <w:rsid w:val="06D43123"/>
    <w:rsid w:val="06D66EBD"/>
    <w:rsid w:val="070C4535"/>
    <w:rsid w:val="07293490"/>
    <w:rsid w:val="073E518E"/>
    <w:rsid w:val="077D2FDF"/>
    <w:rsid w:val="079B25E0"/>
    <w:rsid w:val="07BC2556"/>
    <w:rsid w:val="07C40E9D"/>
    <w:rsid w:val="07D77390"/>
    <w:rsid w:val="07E163D5"/>
    <w:rsid w:val="07F46FEF"/>
    <w:rsid w:val="08070A00"/>
    <w:rsid w:val="084B0776"/>
    <w:rsid w:val="08AD3BAB"/>
    <w:rsid w:val="08B64722"/>
    <w:rsid w:val="08BB68D0"/>
    <w:rsid w:val="08CA0902"/>
    <w:rsid w:val="08CF4683"/>
    <w:rsid w:val="08D262A8"/>
    <w:rsid w:val="08FF35C4"/>
    <w:rsid w:val="090D2965"/>
    <w:rsid w:val="093D2F14"/>
    <w:rsid w:val="094D16B8"/>
    <w:rsid w:val="0962481E"/>
    <w:rsid w:val="097D7547"/>
    <w:rsid w:val="097D7E05"/>
    <w:rsid w:val="097E3AE5"/>
    <w:rsid w:val="097F5A20"/>
    <w:rsid w:val="0994055C"/>
    <w:rsid w:val="0995137D"/>
    <w:rsid w:val="09CF2342"/>
    <w:rsid w:val="09D83256"/>
    <w:rsid w:val="09DA6CC4"/>
    <w:rsid w:val="09DE4A06"/>
    <w:rsid w:val="09E6794E"/>
    <w:rsid w:val="09FE4D70"/>
    <w:rsid w:val="0A595E3B"/>
    <w:rsid w:val="0A5B632D"/>
    <w:rsid w:val="0A79472F"/>
    <w:rsid w:val="0A825C26"/>
    <w:rsid w:val="0AA03A6A"/>
    <w:rsid w:val="0AA14293"/>
    <w:rsid w:val="0AC27AB4"/>
    <w:rsid w:val="0ACF5A6A"/>
    <w:rsid w:val="0AF53255"/>
    <w:rsid w:val="0B2428ED"/>
    <w:rsid w:val="0B6161A3"/>
    <w:rsid w:val="0B687F93"/>
    <w:rsid w:val="0B776EC0"/>
    <w:rsid w:val="0BA31874"/>
    <w:rsid w:val="0BB717D7"/>
    <w:rsid w:val="0BC47C2C"/>
    <w:rsid w:val="0C236700"/>
    <w:rsid w:val="0C291044"/>
    <w:rsid w:val="0C2A7A8F"/>
    <w:rsid w:val="0C2C7CAB"/>
    <w:rsid w:val="0C3C259B"/>
    <w:rsid w:val="0C403DDB"/>
    <w:rsid w:val="0C41302A"/>
    <w:rsid w:val="0C447CB9"/>
    <w:rsid w:val="0C4F1BEB"/>
    <w:rsid w:val="0C516F71"/>
    <w:rsid w:val="0C782EF0"/>
    <w:rsid w:val="0CD90540"/>
    <w:rsid w:val="0D1129FD"/>
    <w:rsid w:val="0D183D8B"/>
    <w:rsid w:val="0D3F57BC"/>
    <w:rsid w:val="0D4C1C87"/>
    <w:rsid w:val="0D5D44B5"/>
    <w:rsid w:val="0D774F56"/>
    <w:rsid w:val="0D9A669A"/>
    <w:rsid w:val="0D9D0734"/>
    <w:rsid w:val="0DC95E8B"/>
    <w:rsid w:val="0DE66142"/>
    <w:rsid w:val="0DE7680D"/>
    <w:rsid w:val="0DEB5944"/>
    <w:rsid w:val="0E010E09"/>
    <w:rsid w:val="0E19425F"/>
    <w:rsid w:val="0E286250"/>
    <w:rsid w:val="0E3665B7"/>
    <w:rsid w:val="0E39045D"/>
    <w:rsid w:val="0E3C3018"/>
    <w:rsid w:val="0E62296F"/>
    <w:rsid w:val="0E71409B"/>
    <w:rsid w:val="0ED20405"/>
    <w:rsid w:val="0EDA2FEF"/>
    <w:rsid w:val="0F15222C"/>
    <w:rsid w:val="0F18046C"/>
    <w:rsid w:val="0F410148"/>
    <w:rsid w:val="0F475A3E"/>
    <w:rsid w:val="0F5B4403"/>
    <w:rsid w:val="0F7D306C"/>
    <w:rsid w:val="0F882BE7"/>
    <w:rsid w:val="0F8B1A2C"/>
    <w:rsid w:val="0F9A4F2B"/>
    <w:rsid w:val="0FAE09D7"/>
    <w:rsid w:val="0FB12275"/>
    <w:rsid w:val="0FB57FB7"/>
    <w:rsid w:val="0FC65D20"/>
    <w:rsid w:val="0FD04DF1"/>
    <w:rsid w:val="10153558"/>
    <w:rsid w:val="10476E1D"/>
    <w:rsid w:val="104A6951"/>
    <w:rsid w:val="105D5D5A"/>
    <w:rsid w:val="10AF4A06"/>
    <w:rsid w:val="10C167E4"/>
    <w:rsid w:val="10C763EA"/>
    <w:rsid w:val="10E87F18"/>
    <w:rsid w:val="10FD1C16"/>
    <w:rsid w:val="11114067"/>
    <w:rsid w:val="11164A85"/>
    <w:rsid w:val="111D5E14"/>
    <w:rsid w:val="11271AB8"/>
    <w:rsid w:val="113849FC"/>
    <w:rsid w:val="11461FE1"/>
    <w:rsid w:val="11984976"/>
    <w:rsid w:val="11A46535"/>
    <w:rsid w:val="11AC0F46"/>
    <w:rsid w:val="11CA48D8"/>
    <w:rsid w:val="11D706B9"/>
    <w:rsid w:val="11F50CE9"/>
    <w:rsid w:val="12080872"/>
    <w:rsid w:val="12107727"/>
    <w:rsid w:val="12117DB8"/>
    <w:rsid w:val="121C02BE"/>
    <w:rsid w:val="121C431D"/>
    <w:rsid w:val="12687563"/>
    <w:rsid w:val="12754004"/>
    <w:rsid w:val="128B2877"/>
    <w:rsid w:val="12975631"/>
    <w:rsid w:val="1299771C"/>
    <w:rsid w:val="12C16C73"/>
    <w:rsid w:val="12D06EB6"/>
    <w:rsid w:val="12F7648C"/>
    <w:rsid w:val="131C2204"/>
    <w:rsid w:val="133B4C77"/>
    <w:rsid w:val="13426191"/>
    <w:rsid w:val="1347361C"/>
    <w:rsid w:val="13473662"/>
    <w:rsid w:val="135A480D"/>
    <w:rsid w:val="13660293"/>
    <w:rsid w:val="1368169B"/>
    <w:rsid w:val="13710699"/>
    <w:rsid w:val="137B5074"/>
    <w:rsid w:val="13A445CA"/>
    <w:rsid w:val="13B47B12"/>
    <w:rsid w:val="13F3192F"/>
    <w:rsid w:val="140F5871"/>
    <w:rsid w:val="144A5C2E"/>
    <w:rsid w:val="144B713C"/>
    <w:rsid w:val="1466786F"/>
    <w:rsid w:val="14717E92"/>
    <w:rsid w:val="14724AB6"/>
    <w:rsid w:val="14810A3E"/>
    <w:rsid w:val="148B7538"/>
    <w:rsid w:val="149F41D0"/>
    <w:rsid w:val="14C55CE2"/>
    <w:rsid w:val="14CA0061"/>
    <w:rsid w:val="14DA49C1"/>
    <w:rsid w:val="14F03EE3"/>
    <w:rsid w:val="15211C4B"/>
    <w:rsid w:val="15324B8E"/>
    <w:rsid w:val="15443765"/>
    <w:rsid w:val="15736F65"/>
    <w:rsid w:val="157D650A"/>
    <w:rsid w:val="157F578C"/>
    <w:rsid w:val="15866F2A"/>
    <w:rsid w:val="15A9411A"/>
    <w:rsid w:val="15B67624"/>
    <w:rsid w:val="15C6392F"/>
    <w:rsid w:val="160A4F1B"/>
    <w:rsid w:val="16341CFD"/>
    <w:rsid w:val="16393D39"/>
    <w:rsid w:val="167744DB"/>
    <w:rsid w:val="1683496B"/>
    <w:rsid w:val="16886814"/>
    <w:rsid w:val="168F32E6"/>
    <w:rsid w:val="16C84A74"/>
    <w:rsid w:val="16D27BE2"/>
    <w:rsid w:val="16D771C7"/>
    <w:rsid w:val="16E01DBD"/>
    <w:rsid w:val="171B0984"/>
    <w:rsid w:val="17261D73"/>
    <w:rsid w:val="17465999"/>
    <w:rsid w:val="174F7450"/>
    <w:rsid w:val="175F3493"/>
    <w:rsid w:val="17AF1790"/>
    <w:rsid w:val="17B80644"/>
    <w:rsid w:val="17BE3DD2"/>
    <w:rsid w:val="17F35B20"/>
    <w:rsid w:val="17F77241"/>
    <w:rsid w:val="18021CD6"/>
    <w:rsid w:val="181B72DB"/>
    <w:rsid w:val="184019AC"/>
    <w:rsid w:val="18407B66"/>
    <w:rsid w:val="184B14B9"/>
    <w:rsid w:val="18655025"/>
    <w:rsid w:val="186662F2"/>
    <w:rsid w:val="188104BD"/>
    <w:rsid w:val="18965ABA"/>
    <w:rsid w:val="18A86B9B"/>
    <w:rsid w:val="18C106AC"/>
    <w:rsid w:val="18CE20EA"/>
    <w:rsid w:val="18CE7660"/>
    <w:rsid w:val="18F712F7"/>
    <w:rsid w:val="190E0811"/>
    <w:rsid w:val="1926420A"/>
    <w:rsid w:val="19287A4C"/>
    <w:rsid w:val="19422C35"/>
    <w:rsid w:val="19486114"/>
    <w:rsid w:val="196A2073"/>
    <w:rsid w:val="197A603E"/>
    <w:rsid w:val="199B1FCC"/>
    <w:rsid w:val="19AC7DD1"/>
    <w:rsid w:val="19AD0473"/>
    <w:rsid w:val="19B25567"/>
    <w:rsid w:val="19DE1D4A"/>
    <w:rsid w:val="19FD67E3"/>
    <w:rsid w:val="1A02204B"/>
    <w:rsid w:val="1A07140F"/>
    <w:rsid w:val="1A154DA1"/>
    <w:rsid w:val="1A2056A9"/>
    <w:rsid w:val="1A347B93"/>
    <w:rsid w:val="1A4C59BC"/>
    <w:rsid w:val="1A562397"/>
    <w:rsid w:val="1A785273"/>
    <w:rsid w:val="1A864B29"/>
    <w:rsid w:val="1A9A04D5"/>
    <w:rsid w:val="1AAB623F"/>
    <w:rsid w:val="1ABD41C4"/>
    <w:rsid w:val="1AD82DAC"/>
    <w:rsid w:val="1B157B5C"/>
    <w:rsid w:val="1B1B17E0"/>
    <w:rsid w:val="1B2349D2"/>
    <w:rsid w:val="1B326960"/>
    <w:rsid w:val="1B373F76"/>
    <w:rsid w:val="1B6A4FBB"/>
    <w:rsid w:val="1B7C2C5F"/>
    <w:rsid w:val="1BA55384"/>
    <w:rsid w:val="1BDB0DA5"/>
    <w:rsid w:val="1BE063BC"/>
    <w:rsid w:val="1C0E117B"/>
    <w:rsid w:val="1C140973"/>
    <w:rsid w:val="1C505664"/>
    <w:rsid w:val="1C5D1630"/>
    <w:rsid w:val="1C784846"/>
    <w:rsid w:val="1C7C14FF"/>
    <w:rsid w:val="1C821221"/>
    <w:rsid w:val="1C881132"/>
    <w:rsid w:val="1CAB4C1C"/>
    <w:rsid w:val="1CB11952"/>
    <w:rsid w:val="1CCB1FF0"/>
    <w:rsid w:val="1CE1575A"/>
    <w:rsid w:val="1CEC6434"/>
    <w:rsid w:val="1D2F6BAE"/>
    <w:rsid w:val="1D2F75FB"/>
    <w:rsid w:val="1D506B65"/>
    <w:rsid w:val="1D550375"/>
    <w:rsid w:val="1D570900"/>
    <w:rsid w:val="1D61352C"/>
    <w:rsid w:val="1D6A233A"/>
    <w:rsid w:val="1D877B74"/>
    <w:rsid w:val="1D8863E1"/>
    <w:rsid w:val="1D8D4321"/>
    <w:rsid w:val="1D976F4E"/>
    <w:rsid w:val="1DCA1E79"/>
    <w:rsid w:val="1DCB2DDC"/>
    <w:rsid w:val="1DE33CD0"/>
    <w:rsid w:val="1DFE701D"/>
    <w:rsid w:val="1E14059F"/>
    <w:rsid w:val="1E1B192D"/>
    <w:rsid w:val="1E205195"/>
    <w:rsid w:val="1E226631"/>
    <w:rsid w:val="1E313FB3"/>
    <w:rsid w:val="1E5B7F7C"/>
    <w:rsid w:val="1E6F6EC6"/>
    <w:rsid w:val="1E7B061E"/>
    <w:rsid w:val="1E8066E5"/>
    <w:rsid w:val="1E94348E"/>
    <w:rsid w:val="1EB3600A"/>
    <w:rsid w:val="1ECD27F5"/>
    <w:rsid w:val="1ED470A1"/>
    <w:rsid w:val="1EDE6ADB"/>
    <w:rsid w:val="1EF64B18"/>
    <w:rsid w:val="1F1162C7"/>
    <w:rsid w:val="1F157FEC"/>
    <w:rsid w:val="1F244811"/>
    <w:rsid w:val="1F3543D1"/>
    <w:rsid w:val="1F386FFD"/>
    <w:rsid w:val="1F552C1D"/>
    <w:rsid w:val="1F58358F"/>
    <w:rsid w:val="1F6F0CDC"/>
    <w:rsid w:val="1F721A21"/>
    <w:rsid w:val="1F852AAF"/>
    <w:rsid w:val="1FC875CB"/>
    <w:rsid w:val="1FCF29CF"/>
    <w:rsid w:val="1FE92D2C"/>
    <w:rsid w:val="1FFD287D"/>
    <w:rsid w:val="2000702C"/>
    <w:rsid w:val="20317AB3"/>
    <w:rsid w:val="20362A4E"/>
    <w:rsid w:val="206A094A"/>
    <w:rsid w:val="20A563AA"/>
    <w:rsid w:val="20BF0710"/>
    <w:rsid w:val="20CE2C87"/>
    <w:rsid w:val="20D373A8"/>
    <w:rsid w:val="20DD55C0"/>
    <w:rsid w:val="20FB5A46"/>
    <w:rsid w:val="21286B8A"/>
    <w:rsid w:val="2149055F"/>
    <w:rsid w:val="214C004F"/>
    <w:rsid w:val="215C0EAE"/>
    <w:rsid w:val="21670C2F"/>
    <w:rsid w:val="2178128D"/>
    <w:rsid w:val="21815F4B"/>
    <w:rsid w:val="21823A71"/>
    <w:rsid w:val="21F36C22"/>
    <w:rsid w:val="222114DC"/>
    <w:rsid w:val="2221328A"/>
    <w:rsid w:val="224C4B12"/>
    <w:rsid w:val="224D3AFB"/>
    <w:rsid w:val="22635280"/>
    <w:rsid w:val="227B299A"/>
    <w:rsid w:val="228D0920"/>
    <w:rsid w:val="22921111"/>
    <w:rsid w:val="22934188"/>
    <w:rsid w:val="22A46395"/>
    <w:rsid w:val="22B32A8D"/>
    <w:rsid w:val="22B8599C"/>
    <w:rsid w:val="22C6199A"/>
    <w:rsid w:val="22C92FCC"/>
    <w:rsid w:val="22CC31F6"/>
    <w:rsid w:val="22CD7F3B"/>
    <w:rsid w:val="22D30A28"/>
    <w:rsid w:val="22D87DED"/>
    <w:rsid w:val="22F340D5"/>
    <w:rsid w:val="22F97D63"/>
    <w:rsid w:val="234C277D"/>
    <w:rsid w:val="238E2BA1"/>
    <w:rsid w:val="2393640A"/>
    <w:rsid w:val="23A71402"/>
    <w:rsid w:val="23AE66CF"/>
    <w:rsid w:val="23C10881"/>
    <w:rsid w:val="23FA0237"/>
    <w:rsid w:val="24084702"/>
    <w:rsid w:val="242C16EC"/>
    <w:rsid w:val="24305BD0"/>
    <w:rsid w:val="246456B0"/>
    <w:rsid w:val="2466617A"/>
    <w:rsid w:val="247022A7"/>
    <w:rsid w:val="249C309C"/>
    <w:rsid w:val="24A95308"/>
    <w:rsid w:val="24B672B1"/>
    <w:rsid w:val="24E862E1"/>
    <w:rsid w:val="24F86524"/>
    <w:rsid w:val="252A7D7C"/>
    <w:rsid w:val="253908EB"/>
    <w:rsid w:val="253C1F85"/>
    <w:rsid w:val="254479BB"/>
    <w:rsid w:val="254F23F1"/>
    <w:rsid w:val="2556149D"/>
    <w:rsid w:val="25764776"/>
    <w:rsid w:val="257A620F"/>
    <w:rsid w:val="25A22934"/>
    <w:rsid w:val="25D564AB"/>
    <w:rsid w:val="25E20F82"/>
    <w:rsid w:val="25E47AF0"/>
    <w:rsid w:val="25E71733"/>
    <w:rsid w:val="25E935F0"/>
    <w:rsid w:val="26040EF9"/>
    <w:rsid w:val="2604714B"/>
    <w:rsid w:val="262449BF"/>
    <w:rsid w:val="2634595C"/>
    <w:rsid w:val="26346C43"/>
    <w:rsid w:val="2669103C"/>
    <w:rsid w:val="26763BCF"/>
    <w:rsid w:val="269009DE"/>
    <w:rsid w:val="269F0C21"/>
    <w:rsid w:val="26B836F3"/>
    <w:rsid w:val="26CB02AF"/>
    <w:rsid w:val="26E44C79"/>
    <w:rsid w:val="26F31699"/>
    <w:rsid w:val="27007912"/>
    <w:rsid w:val="270A69E3"/>
    <w:rsid w:val="27117B86"/>
    <w:rsid w:val="27165388"/>
    <w:rsid w:val="271F3D3B"/>
    <w:rsid w:val="272730F1"/>
    <w:rsid w:val="276F1A45"/>
    <w:rsid w:val="27D56FF1"/>
    <w:rsid w:val="27DD5EA5"/>
    <w:rsid w:val="27EF5E2F"/>
    <w:rsid w:val="2828082C"/>
    <w:rsid w:val="284A0BC8"/>
    <w:rsid w:val="284C442A"/>
    <w:rsid w:val="28727A72"/>
    <w:rsid w:val="28901037"/>
    <w:rsid w:val="289651BD"/>
    <w:rsid w:val="28AA5A71"/>
    <w:rsid w:val="28B577B6"/>
    <w:rsid w:val="28D81409"/>
    <w:rsid w:val="28E051EA"/>
    <w:rsid w:val="28F107FE"/>
    <w:rsid w:val="2907142C"/>
    <w:rsid w:val="29480202"/>
    <w:rsid w:val="295959FF"/>
    <w:rsid w:val="2964687E"/>
    <w:rsid w:val="29777BB7"/>
    <w:rsid w:val="297F5EFD"/>
    <w:rsid w:val="29802F8C"/>
    <w:rsid w:val="29A50C45"/>
    <w:rsid w:val="29BB3FC4"/>
    <w:rsid w:val="29BD1AEA"/>
    <w:rsid w:val="29CA4B8D"/>
    <w:rsid w:val="2A043BBD"/>
    <w:rsid w:val="2A047719"/>
    <w:rsid w:val="2A0E0598"/>
    <w:rsid w:val="2A44045E"/>
    <w:rsid w:val="2A486993"/>
    <w:rsid w:val="2A513ACE"/>
    <w:rsid w:val="2A5F4D16"/>
    <w:rsid w:val="2A9071FF"/>
    <w:rsid w:val="2A9133E6"/>
    <w:rsid w:val="2AAA2063"/>
    <w:rsid w:val="2AAB5086"/>
    <w:rsid w:val="2AC80521"/>
    <w:rsid w:val="2AC8468D"/>
    <w:rsid w:val="2ACA0963"/>
    <w:rsid w:val="2AD215C5"/>
    <w:rsid w:val="2AD43590"/>
    <w:rsid w:val="2AEE7399"/>
    <w:rsid w:val="2AF21C68"/>
    <w:rsid w:val="2B00796F"/>
    <w:rsid w:val="2B031B1F"/>
    <w:rsid w:val="2B03342D"/>
    <w:rsid w:val="2B350611"/>
    <w:rsid w:val="2B585F6F"/>
    <w:rsid w:val="2B591CE7"/>
    <w:rsid w:val="2B771B53"/>
    <w:rsid w:val="2B772B27"/>
    <w:rsid w:val="2B8723B0"/>
    <w:rsid w:val="2B8C5BD2"/>
    <w:rsid w:val="2BB331A5"/>
    <w:rsid w:val="2BB72C49"/>
    <w:rsid w:val="2BC2163A"/>
    <w:rsid w:val="2BE041B6"/>
    <w:rsid w:val="2BEE68D3"/>
    <w:rsid w:val="2BEF3B51"/>
    <w:rsid w:val="2C22032B"/>
    <w:rsid w:val="2C2A71DF"/>
    <w:rsid w:val="2C2B5431"/>
    <w:rsid w:val="2C2E4F21"/>
    <w:rsid w:val="2C3D33B6"/>
    <w:rsid w:val="2C5B55EB"/>
    <w:rsid w:val="2C672FBC"/>
    <w:rsid w:val="2C764070"/>
    <w:rsid w:val="2C773DF0"/>
    <w:rsid w:val="2C7C3EDF"/>
    <w:rsid w:val="2C86549C"/>
    <w:rsid w:val="2CA647B0"/>
    <w:rsid w:val="2CAD6FBD"/>
    <w:rsid w:val="2CEA52EC"/>
    <w:rsid w:val="2D12214D"/>
    <w:rsid w:val="2D2D342B"/>
    <w:rsid w:val="2D3C71CA"/>
    <w:rsid w:val="2D4C1B03"/>
    <w:rsid w:val="2D68635B"/>
    <w:rsid w:val="2D7E3C87"/>
    <w:rsid w:val="2D802544"/>
    <w:rsid w:val="2D82443B"/>
    <w:rsid w:val="2DFD4010"/>
    <w:rsid w:val="2E0F48DF"/>
    <w:rsid w:val="2E1B5A55"/>
    <w:rsid w:val="2E2465DC"/>
    <w:rsid w:val="2E2C3D21"/>
    <w:rsid w:val="2E2D4A25"/>
    <w:rsid w:val="2E355A57"/>
    <w:rsid w:val="2E3F3416"/>
    <w:rsid w:val="2E5F1A8F"/>
    <w:rsid w:val="2E6C3ADF"/>
    <w:rsid w:val="2E7A61FC"/>
    <w:rsid w:val="2E7C01C6"/>
    <w:rsid w:val="2E890E4A"/>
    <w:rsid w:val="2E9C43C4"/>
    <w:rsid w:val="2ED246EE"/>
    <w:rsid w:val="2ED51684"/>
    <w:rsid w:val="2EDA313F"/>
    <w:rsid w:val="2EFC4E63"/>
    <w:rsid w:val="2F300FB0"/>
    <w:rsid w:val="2F3C7955"/>
    <w:rsid w:val="2F634EE2"/>
    <w:rsid w:val="2F8B61E7"/>
    <w:rsid w:val="2FA93C74"/>
    <w:rsid w:val="2FD268A1"/>
    <w:rsid w:val="2FDE4077"/>
    <w:rsid w:val="2FE04785"/>
    <w:rsid w:val="2FED0C50"/>
    <w:rsid w:val="2FF81ACE"/>
    <w:rsid w:val="30032221"/>
    <w:rsid w:val="300466C5"/>
    <w:rsid w:val="300E150D"/>
    <w:rsid w:val="300E30A0"/>
    <w:rsid w:val="30110DE2"/>
    <w:rsid w:val="30123FFF"/>
    <w:rsid w:val="30180806"/>
    <w:rsid w:val="3034062C"/>
    <w:rsid w:val="305D7845"/>
    <w:rsid w:val="306F163B"/>
    <w:rsid w:val="307750E9"/>
    <w:rsid w:val="30E107B4"/>
    <w:rsid w:val="31175F84"/>
    <w:rsid w:val="3126266B"/>
    <w:rsid w:val="31556AAC"/>
    <w:rsid w:val="315A2315"/>
    <w:rsid w:val="31790FDA"/>
    <w:rsid w:val="31807FCD"/>
    <w:rsid w:val="319D3AE7"/>
    <w:rsid w:val="31AF440F"/>
    <w:rsid w:val="31B400AF"/>
    <w:rsid w:val="31B8508B"/>
    <w:rsid w:val="31BA4166"/>
    <w:rsid w:val="31CD0D39"/>
    <w:rsid w:val="31D67BED"/>
    <w:rsid w:val="31D810C6"/>
    <w:rsid w:val="31E130B4"/>
    <w:rsid w:val="31F55998"/>
    <w:rsid w:val="31FE0EF2"/>
    <w:rsid w:val="321B36E9"/>
    <w:rsid w:val="3229511D"/>
    <w:rsid w:val="322975DE"/>
    <w:rsid w:val="32425283"/>
    <w:rsid w:val="324C7EAF"/>
    <w:rsid w:val="32666042"/>
    <w:rsid w:val="326E42CA"/>
    <w:rsid w:val="32773D06"/>
    <w:rsid w:val="327D275F"/>
    <w:rsid w:val="32B10AC5"/>
    <w:rsid w:val="32CC2C84"/>
    <w:rsid w:val="32E14A9C"/>
    <w:rsid w:val="32E225C2"/>
    <w:rsid w:val="330C5891"/>
    <w:rsid w:val="33311883"/>
    <w:rsid w:val="334119DE"/>
    <w:rsid w:val="33574D5E"/>
    <w:rsid w:val="33712D71"/>
    <w:rsid w:val="33801D40"/>
    <w:rsid w:val="338F3C47"/>
    <w:rsid w:val="33A71511"/>
    <w:rsid w:val="33F829BD"/>
    <w:rsid w:val="341F6F52"/>
    <w:rsid w:val="34325348"/>
    <w:rsid w:val="34480949"/>
    <w:rsid w:val="344A041F"/>
    <w:rsid w:val="345C0152"/>
    <w:rsid w:val="34884182"/>
    <w:rsid w:val="34930017"/>
    <w:rsid w:val="34E24A8D"/>
    <w:rsid w:val="35026026"/>
    <w:rsid w:val="35037D99"/>
    <w:rsid w:val="350667E1"/>
    <w:rsid w:val="35241A74"/>
    <w:rsid w:val="35335357"/>
    <w:rsid w:val="35376B59"/>
    <w:rsid w:val="353C06AF"/>
    <w:rsid w:val="355F7EFA"/>
    <w:rsid w:val="35603F38"/>
    <w:rsid w:val="35625A6E"/>
    <w:rsid w:val="35753BC1"/>
    <w:rsid w:val="35777939"/>
    <w:rsid w:val="35971C6B"/>
    <w:rsid w:val="35B20971"/>
    <w:rsid w:val="35E1035F"/>
    <w:rsid w:val="35F7332A"/>
    <w:rsid w:val="35F965A0"/>
    <w:rsid w:val="361E7DB5"/>
    <w:rsid w:val="362A1B67"/>
    <w:rsid w:val="364C4922"/>
    <w:rsid w:val="36590DED"/>
    <w:rsid w:val="36B6623F"/>
    <w:rsid w:val="36C175C6"/>
    <w:rsid w:val="36EA0D42"/>
    <w:rsid w:val="370E7E29"/>
    <w:rsid w:val="3710594F"/>
    <w:rsid w:val="371600E9"/>
    <w:rsid w:val="372B50A7"/>
    <w:rsid w:val="3736112E"/>
    <w:rsid w:val="37513B77"/>
    <w:rsid w:val="375A2988"/>
    <w:rsid w:val="37694DC0"/>
    <w:rsid w:val="379C0A32"/>
    <w:rsid w:val="37A10C9D"/>
    <w:rsid w:val="37F039D3"/>
    <w:rsid w:val="380B55F3"/>
    <w:rsid w:val="38251764"/>
    <w:rsid w:val="382A45EF"/>
    <w:rsid w:val="383330A9"/>
    <w:rsid w:val="38685317"/>
    <w:rsid w:val="388F4F9A"/>
    <w:rsid w:val="38991974"/>
    <w:rsid w:val="38A65E3F"/>
    <w:rsid w:val="38BE22E2"/>
    <w:rsid w:val="38D15CEB"/>
    <w:rsid w:val="38DD5D05"/>
    <w:rsid w:val="39130EE6"/>
    <w:rsid w:val="3914724D"/>
    <w:rsid w:val="39251DC5"/>
    <w:rsid w:val="393755D6"/>
    <w:rsid w:val="39424D13"/>
    <w:rsid w:val="395B4E7C"/>
    <w:rsid w:val="397F6DBC"/>
    <w:rsid w:val="39BF0B13"/>
    <w:rsid w:val="39D4668B"/>
    <w:rsid w:val="39D52E79"/>
    <w:rsid w:val="3A463592"/>
    <w:rsid w:val="3A485400"/>
    <w:rsid w:val="3A4A561C"/>
    <w:rsid w:val="3A5913BB"/>
    <w:rsid w:val="3A601248"/>
    <w:rsid w:val="3A742699"/>
    <w:rsid w:val="3A762824"/>
    <w:rsid w:val="3A95616C"/>
    <w:rsid w:val="3ABB3E24"/>
    <w:rsid w:val="3AD44ADC"/>
    <w:rsid w:val="3AD90A06"/>
    <w:rsid w:val="3AF31810"/>
    <w:rsid w:val="3AF923D7"/>
    <w:rsid w:val="3AFD55BB"/>
    <w:rsid w:val="3B023801"/>
    <w:rsid w:val="3B084C2D"/>
    <w:rsid w:val="3B20012B"/>
    <w:rsid w:val="3B4F1D9F"/>
    <w:rsid w:val="3B6348DA"/>
    <w:rsid w:val="3BBA7C64"/>
    <w:rsid w:val="3BC13445"/>
    <w:rsid w:val="3BD72EE0"/>
    <w:rsid w:val="3BDC6748"/>
    <w:rsid w:val="3BFE66BE"/>
    <w:rsid w:val="3C3F2833"/>
    <w:rsid w:val="3C495460"/>
    <w:rsid w:val="3C5F1072"/>
    <w:rsid w:val="3C7076A7"/>
    <w:rsid w:val="3C942B7F"/>
    <w:rsid w:val="3CD76F0F"/>
    <w:rsid w:val="3CDE029E"/>
    <w:rsid w:val="3D000214"/>
    <w:rsid w:val="3D3879AE"/>
    <w:rsid w:val="3D485717"/>
    <w:rsid w:val="3D582E2A"/>
    <w:rsid w:val="3D624A2B"/>
    <w:rsid w:val="3D7117EB"/>
    <w:rsid w:val="3D9F17DB"/>
    <w:rsid w:val="3DF00DF6"/>
    <w:rsid w:val="3E032ABD"/>
    <w:rsid w:val="3E1A6821"/>
    <w:rsid w:val="3E2B7513"/>
    <w:rsid w:val="3E3D2DA2"/>
    <w:rsid w:val="3E5F0F6A"/>
    <w:rsid w:val="3E642A25"/>
    <w:rsid w:val="3E68075C"/>
    <w:rsid w:val="3E6A0E6E"/>
    <w:rsid w:val="3E854E75"/>
    <w:rsid w:val="3EA10BF2"/>
    <w:rsid w:val="3EEB275F"/>
    <w:rsid w:val="3EFC2A5E"/>
    <w:rsid w:val="3F0062A9"/>
    <w:rsid w:val="3F125FDD"/>
    <w:rsid w:val="3F1D32FF"/>
    <w:rsid w:val="3F312A4E"/>
    <w:rsid w:val="3F3C78B5"/>
    <w:rsid w:val="3F4E170B"/>
    <w:rsid w:val="3F582DB4"/>
    <w:rsid w:val="3F5C79A7"/>
    <w:rsid w:val="3F7D5B4C"/>
    <w:rsid w:val="3F7E275E"/>
    <w:rsid w:val="3FC574F3"/>
    <w:rsid w:val="3FFE510E"/>
    <w:rsid w:val="4010515C"/>
    <w:rsid w:val="401907F3"/>
    <w:rsid w:val="401E25EE"/>
    <w:rsid w:val="40416B7A"/>
    <w:rsid w:val="40503261"/>
    <w:rsid w:val="40752AFC"/>
    <w:rsid w:val="40755B94"/>
    <w:rsid w:val="408D1DBF"/>
    <w:rsid w:val="4093153B"/>
    <w:rsid w:val="40970E8F"/>
    <w:rsid w:val="40B74CA2"/>
    <w:rsid w:val="40BE4471"/>
    <w:rsid w:val="40C65F85"/>
    <w:rsid w:val="410B7187"/>
    <w:rsid w:val="41432F6C"/>
    <w:rsid w:val="414A5F02"/>
    <w:rsid w:val="41931657"/>
    <w:rsid w:val="4197500C"/>
    <w:rsid w:val="41DD3D70"/>
    <w:rsid w:val="41EF4A6B"/>
    <w:rsid w:val="420460B1"/>
    <w:rsid w:val="421B4715"/>
    <w:rsid w:val="42201E72"/>
    <w:rsid w:val="42332E3A"/>
    <w:rsid w:val="425C4AE5"/>
    <w:rsid w:val="42925DB2"/>
    <w:rsid w:val="42985594"/>
    <w:rsid w:val="42A15FF5"/>
    <w:rsid w:val="42A76DCA"/>
    <w:rsid w:val="42D40179"/>
    <w:rsid w:val="42F02AD9"/>
    <w:rsid w:val="42FA5706"/>
    <w:rsid w:val="43686B13"/>
    <w:rsid w:val="436C6603"/>
    <w:rsid w:val="43A20746"/>
    <w:rsid w:val="43B4601F"/>
    <w:rsid w:val="43C755E8"/>
    <w:rsid w:val="43E42222"/>
    <w:rsid w:val="43E97E7C"/>
    <w:rsid w:val="44242A3A"/>
    <w:rsid w:val="443133A9"/>
    <w:rsid w:val="4439400C"/>
    <w:rsid w:val="44406DAA"/>
    <w:rsid w:val="445D368E"/>
    <w:rsid w:val="446C4D53"/>
    <w:rsid w:val="4475773A"/>
    <w:rsid w:val="44DB21F3"/>
    <w:rsid w:val="44F1580E"/>
    <w:rsid w:val="450F36EA"/>
    <w:rsid w:val="45123BD8"/>
    <w:rsid w:val="45207905"/>
    <w:rsid w:val="453E5BDD"/>
    <w:rsid w:val="453F2418"/>
    <w:rsid w:val="4581664C"/>
    <w:rsid w:val="45837C34"/>
    <w:rsid w:val="458C7E36"/>
    <w:rsid w:val="459D4C65"/>
    <w:rsid w:val="45C344D5"/>
    <w:rsid w:val="460D0F18"/>
    <w:rsid w:val="46295A03"/>
    <w:rsid w:val="462F0DEF"/>
    <w:rsid w:val="466808A0"/>
    <w:rsid w:val="467852BF"/>
    <w:rsid w:val="469F0A9E"/>
    <w:rsid w:val="46A56BA1"/>
    <w:rsid w:val="46E666CD"/>
    <w:rsid w:val="46FD57C4"/>
    <w:rsid w:val="47002980"/>
    <w:rsid w:val="470B69A7"/>
    <w:rsid w:val="47262F6D"/>
    <w:rsid w:val="4743767B"/>
    <w:rsid w:val="474A4AE9"/>
    <w:rsid w:val="476D1B91"/>
    <w:rsid w:val="478A11B8"/>
    <w:rsid w:val="478F28C0"/>
    <w:rsid w:val="47941C85"/>
    <w:rsid w:val="47A83982"/>
    <w:rsid w:val="47B40579"/>
    <w:rsid w:val="47DB3D58"/>
    <w:rsid w:val="47E726FC"/>
    <w:rsid w:val="47FD6C65"/>
    <w:rsid w:val="48020765"/>
    <w:rsid w:val="48914416"/>
    <w:rsid w:val="48E36096"/>
    <w:rsid w:val="490177EE"/>
    <w:rsid w:val="49170DBF"/>
    <w:rsid w:val="493642ED"/>
    <w:rsid w:val="49463453"/>
    <w:rsid w:val="494E2307"/>
    <w:rsid w:val="49564E45"/>
    <w:rsid w:val="4970308C"/>
    <w:rsid w:val="49746212"/>
    <w:rsid w:val="49940662"/>
    <w:rsid w:val="49BE123B"/>
    <w:rsid w:val="49F654D9"/>
    <w:rsid w:val="4A1B1292"/>
    <w:rsid w:val="4A2B43F6"/>
    <w:rsid w:val="4A437992"/>
    <w:rsid w:val="4A4E5B36"/>
    <w:rsid w:val="4A5A33C8"/>
    <w:rsid w:val="4A7144FF"/>
    <w:rsid w:val="4AAA5C63"/>
    <w:rsid w:val="4AB417BD"/>
    <w:rsid w:val="4ADD4937"/>
    <w:rsid w:val="4AE80733"/>
    <w:rsid w:val="4AEB582E"/>
    <w:rsid w:val="4AEC627C"/>
    <w:rsid w:val="4B045373"/>
    <w:rsid w:val="4B1D43D5"/>
    <w:rsid w:val="4B1E616B"/>
    <w:rsid w:val="4B241572"/>
    <w:rsid w:val="4B38501D"/>
    <w:rsid w:val="4B3E2818"/>
    <w:rsid w:val="4B5D7EA8"/>
    <w:rsid w:val="4B78366B"/>
    <w:rsid w:val="4B7A193D"/>
    <w:rsid w:val="4B7C23F1"/>
    <w:rsid w:val="4B976928"/>
    <w:rsid w:val="4B9958D6"/>
    <w:rsid w:val="4BAF2DEC"/>
    <w:rsid w:val="4BB050FB"/>
    <w:rsid w:val="4BB70638"/>
    <w:rsid w:val="4BBE0F3C"/>
    <w:rsid w:val="4BF278C5"/>
    <w:rsid w:val="4C1D4C9C"/>
    <w:rsid w:val="4C2E4820"/>
    <w:rsid w:val="4C2E5100"/>
    <w:rsid w:val="4C371778"/>
    <w:rsid w:val="4C37194B"/>
    <w:rsid w:val="4C72455F"/>
    <w:rsid w:val="4C7D362F"/>
    <w:rsid w:val="4C7F267A"/>
    <w:rsid w:val="4C894D6F"/>
    <w:rsid w:val="4C8F3363"/>
    <w:rsid w:val="4C96179F"/>
    <w:rsid w:val="4C9B3AB5"/>
    <w:rsid w:val="4C9E7102"/>
    <w:rsid w:val="4CBE5242"/>
    <w:rsid w:val="4CD34FFD"/>
    <w:rsid w:val="4CE924D7"/>
    <w:rsid w:val="4CF803E4"/>
    <w:rsid w:val="4D0F5E59"/>
    <w:rsid w:val="4D3C6078"/>
    <w:rsid w:val="4D60180E"/>
    <w:rsid w:val="4D6F79FF"/>
    <w:rsid w:val="4D9D0319"/>
    <w:rsid w:val="4DA129EE"/>
    <w:rsid w:val="4DD0587C"/>
    <w:rsid w:val="4DE65204"/>
    <w:rsid w:val="4DF80E20"/>
    <w:rsid w:val="4DFB5952"/>
    <w:rsid w:val="4E0256F8"/>
    <w:rsid w:val="4E044182"/>
    <w:rsid w:val="4E534A5B"/>
    <w:rsid w:val="4E6846F8"/>
    <w:rsid w:val="4E891B5B"/>
    <w:rsid w:val="4EA215B1"/>
    <w:rsid w:val="4EA73A0E"/>
    <w:rsid w:val="4EAA6232"/>
    <w:rsid w:val="4EE11CA2"/>
    <w:rsid w:val="4F126A45"/>
    <w:rsid w:val="4F165675"/>
    <w:rsid w:val="4F22402A"/>
    <w:rsid w:val="4F5902F9"/>
    <w:rsid w:val="4F754A92"/>
    <w:rsid w:val="4F9C2DEA"/>
    <w:rsid w:val="4FB31116"/>
    <w:rsid w:val="4FC450D1"/>
    <w:rsid w:val="4FDD43E5"/>
    <w:rsid w:val="4FF20B5F"/>
    <w:rsid w:val="50081462"/>
    <w:rsid w:val="50396D0A"/>
    <w:rsid w:val="503E30D6"/>
    <w:rsid w:val="507A08A8"/>
    <w:rsid w:val="50872924"/>
    <w:rsid w:val="50A15412"/>
    <w:rsid w:val="50AC6291"/>
    <w:rsid w:val="50B213CE"/>
    <w:rsid w:val="50C07DA5"/>
    <w:rsid w:val="50C730CB"/>
    <w:rsid w:val="51022355"/>
    <w:rsid w:val="51340732"/>
    <w:rsid w:val="51361FFF"/>
    <w:rsid w:val="514F30C0"/>
    <w:rsid w:val="51630116"/>
    <w:rsid w:val="5167040A"/>
    <w:rsid w:val="517B5C63"/>
    <w:rsid w:val="51BD44CE"/>
    <w:rsid w:val="51C220EF"/>
    <w:rsid w:val="51D13AD5"/>
    <w:rsid w:val="51DC2BA6"/>
    <w:rsid w:val="51E77C7B"/>
    <w:rsid w:val="520378E4"/>
    <w:rsid w:val="521C0134"/>
    <w:rsid w:val="523C1897"/>
    <w:rsid w:val="524F6CA8"/>
    <w:rsid w:val="5253273C"/>
    <w:rsid w:val="52844092"/>
    <w:rsid w:val="52C10884"/>
    <w:rsid w:val="52D049DF"/>
    <w:rsid w:val="52D15A59"/>
    <w:rsid w:val="52E31D12"/>
    <w:rsid w:val="531047F5"/>
    <w:rsid w:val="531A3230"/>
    <w:rsid w:val="532F074A"/>
    <w:rsid w:val="5334431C"/>
    <w:rsid w:val="53373E0C"/>
    <w:rsid w:val="536C1D08"/>
    <w:rsid w:val="5399227B"/>
    <w:rsid w:val="539F032F"/>
    <w:rsid w:val="53BD36C9"/>
    <w:rsid w:val="53CB7B14"/>
    <w:rsid w:val="53CE29C2"/>
    <w:rsid w:val="53D8114B"/>
    <w:rsid w:val="53F9144F"/>
    <w:rsid w:val="53FF492A"/>
    <w:rsid w:val="540957A8"/>
    <w:rsid w:val="54113C3E"/>
    <w:rsid w:val="541505F1"/>
    <w:rsid w:val="54183C3E"/>
    <w:rsid w:val="541B530F"/>
    <w:rsid w:val="541B5F0D"/>
    <w:rsid w:val="542B3971"/>
    <w:rsid w:val="54352A41"/>
    <w:rsid w:val="543F741C"/>
    <w:rsid w:val="54452097"/>
    <w:rsid w:val="54762769"/>
    <w:rsid w:val="5486504B"/>
    <w:rsid w:val="54A56C35"/>
    <w:rsid w:val="54B308BD"/>
    <w:rsid w:val="54BB2F47"/>
    <w:rsid w:val="54C8174B"/>
    <w:rsid w:val="54E61B86"/>
    <w:rsid w:val="54F14BBA"/>
    <w:rsid w:val="55050666"/>
    <w:rsid w:val="550D3076"/>
    <w:rsid w:val="552D346E"/>
    <w:rsid w:val="552F11B7"/>
    <w:rsid w:val="554051FA"/>
    <w:rsid w:val="5551093D"/>
    <w:rsid w:val="5553717F"/>
    <w:rsid w:val="5567079D"/>
    <w:rsid w:val="556B6251"/>
    <w:rsid w:val="55741FDF"/>
    <w:rsid w:val="5583536A"/>
    <w:rsid w:val="55915A56"/>
    <w:rsid w:val="559F5298"/>
    <w:rsid w:val="55A01340"/>
    <w:rsid w:val="55B26BF3"/>
    <w:rsid w:val="56083D5B"/>
    <w:rsid w:val="562E599A"/>
    <w:rsid w:val="56336B0D"/>
    <w:rsid w:val="56356D29"/>
    <w:rsid w:val="56441BFE"/>
    <w:rsid w:val="565F7902"/>
    <w:rsid w:val="56B27079"/>
    <w:rsid w:val="56CB571F"/>
    <w:rsid w:val="56E60023"/>
    <w:rsid w:val="56E95360"/>
    <w:rsid w:val="57560D05"/>
    <w:rsid w:val="576355D3"/>
    <w:rsid w:val="57640FA0"/>
    <w:rsid w:val="57664CC0"/>
    <w:rsid w:val="57921934"/>
    <w:rsid w:val="57A66520"/>
    <w:rsid w:val="57BD0D84"/>
    <w:rsid w:val="57BE68AA"/>
    <w:rsid w:val="57E75E01"/>
    <w:rsid w:val="587F6039"/>
    <w:rsid w:val="58A65CBC"/>
    <w:rsid w:val="58C24114"/>
    <w:rsid w:val="58C24893"/>
    <w:rsid w:val="590D6AC3"/>
    <w:rsid w:val="59376914"/>
    <w:rsid w:val="593C100D"/>
    <w:rsid w:val="593F3A1A"/>
    <w:rsid w:val="594B0611"/>
    <w:rsid w:val="5952374E"/>
    <w:rsid w:val="595E20F3"/>
    <w:rsid w:val="597E09E7"/>
    <w:rsid w:val="597F3864"/>
    <w:rsid w:val="59A10231"/>
    <w:rsid w:val="59B9557B"/>
    <w:rsid w:val="59DA5CBA"/>
    <w:rsid w:val="5A074538"/>
    <w:rsid w:val="5A147441"/>
    <w:rsid w:val="5A1B5605"/>
    <w:rsid w:val="5A7476F4"/>
    <w:rsid w:val="5A8215C5"/>
    <w:rsid w:val="5A9F6E67"/>
    <w:rsid w:val="5AA719E3"/>
    <w:rsid w:val="5AA955EF"/>
    <w:rsid w:val="5AC42BDF"/>
    <w:rsid w:val="5ADA7E9F"/>
    <w:rsid w:val="5B060C94"/>
    <w:rsid w:val="5B0B44FC"/>
    <w:rsid w:val="5B1D1191"/>
    <w:rsid w:val="5B2347E5"/>
    <w:rsid w:val="5B383250"/>
    <w:rsid w:val="5B3E042E"/>
    <w:rsid w:val="5B4041A6"/>
    <w:rsid w:val="5B5F72E5"/>
    <w:rsid w:val="5B655A75"/>
    <w:rsid w:val="5B871DD5"/>
    <w:rsid w:val="5B922527"/>
    <w:rsid w:val="5BBC0880"/>
    <w:rsid w:val="5BD70E12"/>
    <w:rsid w:val="5BEF4C00"/>
    <w:rsid w:val="5C204225"/>
    <w:rsid w:val="5C3655A9"/>
    <w:rsid w:val="5C3929A3"/>
    <w:rsid w:val="5C6304E0"/>
    <w:rsid w:val="5C910A31"/>
    <w:rsid w:val="5CA73351"/>
    <w:rsid w:val="5CAD3DA6"/>
    <w:rsid w:val="5CBF48D8"/>
    <w:rsid w:val="5CC26737"/>
    <w:rsid w:val="5D1A7C60"/>
    <w:rsid w:val="5D600B2F"/>
    <w:rsid w:val="5D6F0D72"/>
    <w:rsid w:val="5D787D8E"/>
    <w:rsid w:val="5D8D11F8"/>
    <w:rsid w:val="5D8D5264"/>
    <w:rsid w:val="5D9205BD"/>
    <w:rsid w:val="5DEF5A0F"/>
    <w:rsid w:val="5DF26102"/>
    <w:rsid w:val="5E03770C"/>
    <w:rsid w:val="5E61439A"/>
    <w:rsid w:val="5E6847CD"/>
    <w:rsid w:val="5E7303EE"/>
    <w:rsid w:val="5E9228D4"/>
    <w:rsid w:val="5EAA7B88"/>
    <w:rsid w:val="5EB31E59"/>
    <w:rsid w:val="5EB839EA"/>
    <w:rsid w:val="5ED115B9"/>
    <w:rsid w:val="5F0279C4"/>
    <w:rsid w:val="5F1A4D0E"/>
    <w:rsid w:val="5F2A00A0"/>
    <w:rsid w:val="5F313E05"/>
    <w:rsid w:val="5F367B26"/>
    <w:rsid w:val="5F4D6E91"/>
    <w:rsid w:val="5F59429D"/>
    <w:rsid w:val="5F6661A5"/>
    <w:rsid w:val="5FA64E91"/>
    <w:rsid w:val="5FB62BC7"/>
    <w:rsid w:val="5FBF1411"/>
    <w:rsid w:val="5FC66C44"/>
    <w:rsid w:val="5FD17AC2"/>
    <w:rsid w:val="5FF217E7"/>
    <w:rsid w:val="600808F0"/>
    <w:rsid w:val="602C46E8"/>
    <w:rsid w:val="60367925"/>
    <w:rsid w:val="603E2C7E"/>
    <w:rsid w:val="604324C2"/>
    <w:rsid w:val="60681B1C"/>
    <w:rsid w:val="606D435A"/>
    <w:rsid w:val="60885CA7"/>
    <w:rsid w:val="60934D78"/>
    <w:rsid w:val="60AC10A4"/>
    <w:rsid w:val="60C457EE"/>
    <w:rsid w:val="60D45F50"/>
    <w:rsid w:val="60FB3360"/>
    <w:rsid w:val="61045211"/>
    <w:rsid w:val="610F160F"/>
    <w:rsid w:val="612861BC"/>
    <w:rsid w:val="612B2820"/>
    <w:rsid w:val="61326FFC"/>
    <w:rsid w:val="614A3380"/>
    <w:rsid w:val="61671FBA"/>
    <w:rsid w:val="616C52DB"/>
    <w:rsid w:val="616C7377"/>
    <w:rsid w:val="61753621"/>
    <w:rsid w:val="618943CD"/>
    <w:rsid w:val="619E1C26"/>
    <w:rsid w:val="61B82265"/>
    <w:rsid w:val="61C158B1"/>
    <w:rsid w:val="61CB6793"/>
    <w:rsid w:val="61E23389"/>
    <w:rsid w:val="61EF2482"/>
    <w:rsid w:val="61EF54AA"/>
    <w:rsid w:val="61FE4473"/>
    <w:rsid w:val="620677CB"/>
    <w:rsid w:val="621D6D4D"/>
    <w:rsid w:val="622639C9"/>
    <w:rsid w:val="622C5484"/>
    <w:rsid w:val="62353789"/>
    <w:rsid w:val="62562501"/>
    <w:rsid w:val="62602AAB"/>
    <w:rsid w:val="62642590"/>
    <w:rsid w:val="628E2720"/>
    <w:rsid w:val="62CE02E9"/>
    <w:rsid w:val="62D058DC"/>
    <w:rsid w:val="62DB2A06"/>
    <w:rsid w:val="62E32B18"/>
    <w:rsid w:val="63133F4E"/>
    <w:rsid w:val="631D301E"/>
    <w:rsid w:val="631D45A6"/>
    <w:rsid w:val="631D4DCC"/>
    <w:rsid w:val="63352116"/>
    <w:rsid w:val="633B5253"/>
    <w:rsid w:val="634603C6"/>
    <w:rsid w:val="63650337"/>
    <w:rsid w:val="636D46E3"/>
    <w:rsid w:val="638C4074"/>
    <w:rsid w:val="63A728E8"/>
    <w:rsid w:val="63D27965"/>
    <w:rsid w:val="640502D6"/>
    <w:rsid w:val="64066FDC"/>
    <w:rsid w:val="640779B7"/>
    <w:rsid w:val="640B731B"/>
    <w:rsid w:val="642F3009"/>
    <w:rsid w:val="644840CB"/>
    <w:rsid w:val="64813139"/>
    <w:rsid w:val="649015CE"/>
    <w:rsid w:val="64C5571C"/>
    <w:rsid w:val="650325A3"/>
    <w:rsid w:val="65066F2E"/>
    <w:rsid w:val="656B2FE5"/>
    <w:rsid w:val="65796B36"/>
    <w:rsid w:val="659C2113"/>
    <w:rsid w:val="65A215B9"/>
    <w:rsid w:val="65A90EBC"/>
    <w:rsid w:val="65B75534"/>
    <w:rsid w:val="65C81A4F"/>
    <w:rsid w:val="65DF45BB"/>
    <w:rsid w:val="65EA3499"/>
    <w:rsid w:val="661A3845"/>
    <w:rsid w:val="662621EA"/>
    <w:rsid w:val="6655119C"/>
    <w:rsid w:val="66575D7D"/>
    <w:rsid w:val="665A00E6"/>
    <w:rsid w:val="667A530E"/>
    <w:rsid w:val="669F0930"/>
    <w:rsid w:val="66AB50FE"/>
    <w:rsid w:val="66EA2B70"/>
    <w:rsid w:val="66F13DA0"/>
    <w:rsid w:val="66F916AD"/>
    <w:rsid w:val="67193AFD"/>
    <w:rsid w:val="6732696D"/>
    <w:rsid w:val="674F751F"/>
    <w:rsid w:val="675759A0"/>
    <w:rsid w:val="67633AB0"/>
    <w:rsid w:val="67760F4F"/>
    <w:rsid w:val="678C2521"/>
    <w:rsid w:val="679933E7"/>
    <w:rsid w:val="67AB0BF9"/>
    <w:rsid w:val="67B61761"/>
    <w:rsid w:val="67BD6639"/>
    <w:rsid w:val="67C1041C"/>
    <w:rsid w:val="67ED6375"/>
    <w:rsid w:val="67F7371C"/>
    <w:rsid w:val="680B5B3B"/>
    <w:rsid w:val="680D3662"/>
    <w:rsid w:val="685E5CDD"/>
    <w:rsid w:val="6864524C"/>
    <w:rsid w:val="6870599E"/>
    <w:rsid w:val="68706417"/>
    <w:rsid w:val="68784853"/>
    <w:rsid w:val="689005C2"/>
    <w:rsid w:val="68A11FFC"/>
    <w:rsid w:val="68AC6398"/>
    <w:rsid w:val="68B61D88"/>
    <w:rsid w:val="68B65AF9"/>
    <w:rsid w:val="68EF55BF"/>
    <w:rsid w:val="68F23CD8"/>
    <w:rsid w:val="68FC0779"/>
    <w:rsid w:val="68FD6917"/>
    <w:rsid w:val="690D143F"/>
    <w:rsid w:val="69196036"/>
    <w:rsid w:val="69246AA9"/>
    <w:rsid w:val="69261E17"/>
    <w:rsid w:val="694D5CE0"/>
    <w:rsid w:val="6954706E"/>
    <w:rsid w:val="69643755"/>
    <w:rsid w:val="698E560F"/>
    <w:rsid w:val="69922853"/>
    <w:rsid w:val="69B30239"/>
    <w:rsid w:val="69BD3B76"/>
    <w:rsid w:val="69DC05B3"/>
    <w:rsid w:val="69EF7487"/>
    <w:rsid w:val="6A0E546F"/>
    <w:rsid w:val="6A244992"/>
    <w:rsid w:val="6A2C6867"/>
    <w:rsid w:val="6A34260B"/>
    <w:rsid w:val="6A3D1BFD"/>
    <w:rsid w:val="6A5070DE"/>
    <w:rsid w:val="6A6B0B13"/>
    <w:rsid w:val="6AAB3FEE"/>
    <w:rsid w:val="6AB97AD1"/>
    <w:rsid w:val="6ADC77CB"/>
    <w:rsid w:val="6AF162E4"/>
    <w:rsid w:val="6B59087A"/>
    <w:rsid w:val="6B695F28"/>
    <w:rsid w:val="6B700A62"/>
    <w:rsid w:val="6B87197D"/>
    <w:rsid w:val="6BA30330"/>
    <w:rsid w:val="6BB40298"/>
    <w:rsid w:val="6BBF1117"/>
    <w:rsid w:val="6BCB1861"/>
    <w:rsid w:val="6BD46244"/>
    <w:rsid w:val="6BDD1D01"/>
    <w:rsid w:val="6BE76250"/>
    <w:rsid w:val="6BFF399D"/>
    <w:rsid w:val="6C0C3C30"/>
    <w:rsid w:val="6C1A00FB"/>
    <w:rsid w:val="6C1E0459"/>
    <w:rsid w:val="6C3C1A66"/>
    <w:rsid w:val="6C4A6222"/>
    <w:rsid w:val="6C5B1825"/>
    <w:rsid w:val="6C8D4FD3"/>
    <w:rsid w:val="6C9C4FB4"/>
    <w:rsid w:val="6CC25503"/>
    <w:rsid w:val="6CCD33BF"/>
    <w:rsid w:val="6CFA617E"/>
    <w:rsid w:val="6D1A60D0"/>
    <w:rsid w:val="6D3A657B"/>
    <w:rsid w:val="6D3A78E6"/>
    <w:rsid w:val="6D3E250F"/>
    <w:rsid w:val="6D505D9E"/>
    <w:rsid w:val="6D9D5488"/>
    <w:rsid w:val="6DB30807"/>
    <w:rsid w:val="6DC36570"/>
    <w:rsid w:val="6DC70686"/>
    <w:rsid w:val="6DD30EA9"/>
    <w:rsid w:val="6DE54739"/>
    <w:rsid w:val="6DE85BCB"/>
    <w:rsid w:val="6DFA6436"/>
    <w:rsid w:val="6DFB21AE"/>
    <w:rsid w:val="6DFD1A82"/>
    <w:rsid w:val="6E0E3C8F"/>
    <w:rsid w:val="6E2E74DD"/>
    <w:rsid w:val="6E4A0A40"/>
    <w:rsid w:val="6E4E22DE"/>
    <w:rsid w:val="6E567D69"/>
    <w:rsid w:val="6E6876E0"/>
    <w:rsid w:val="6E6B2E90"/>
    <w:rsid w:val="6E71421E"/>
    <w:rsid w:val="6E937F29"/>
    <w:rsid w:val="6EC407F2"/>
    <w:rsid w:val="6F003164"/>
    <w:rsid w:val="6F046E40"/>
    <w:rsid w:val="6F165703"/>
    <w:rsid w:val="6F173018"/>
    <w:rsid w:val="6F255735"/>
    <w:rsid w:val="6F4E709D"/>
    <w:rsid w:val="6F525B32"/>
    <w:rsid w:val="6F632D80"/>
    <w:rsid w:val="6F63625D"/>
    <w:rsid w:val="6F683873"/>
    <w:rsid w:val="6FAE5D9C"/>
    <w:rsid w:val="6FCA12D5"/>
    <w:rsid w:val="6FF957E3"/>
    <w:rsid w:val="6FFA10C7"/>
    <w:rsid w:val="6FFB6495"/>
    <w:rsid w:val="70117A67"/>
    <w:rsid w:val="702308F0"/>
    <w:rsid w:val="704C075F"/>
    <w:rsid w:val="70622071"/>
    <w:rsid w:val="706933FF"/>
    <w:rsid w:val="706C685F"/>
    <w:rsid w:val="706D73FE"/>
    <w:rsid w:val="70765B1C"/>
    <w:rsid w:val="708E1B55"/>
    <w:rsid w:val="70C73094"/>
    <w:rsid w:val="70D016D0"/>
    <w:rsid w:val="71031AA6"/>
    <w:rsid w:val="711B176D"/>
    <w:rsid w:val="71566079"/>
    <w:rsid w:val="717D3CD5"/>
    <w:rsid w:val="71926986"/>
    <w:rsid w:val="71931673"/>
    <w:rsid w:val="71931C0B"/>
    <w:rsid w:val="719E532A"/>
    <w:rsid w:val="71A6519E"/>
    <w:rsid w:val="71C17073"/>
    <w:rsid w:val="71C64881"/>
    <w:rsid w:val="71C70D7B"/>
    <w:rsid w:val="71D84CE0"/>
    <w:rsid w:val="72013BF9"/>
    <w:rsid w:val="720A0BFF"/>
    <w:rsid w:val="723B701D"/>
    <w:rsid w:val="724F0D1A"/>
    <w:rsid w:val="72A526E9"/>
    <w:rsid w:val="72A52CC7"/>
    <w:rsid w:val="72AB7BB5"/>
    <w:rsid w:val="72BA082F"/>
    <w:rsid w:val="72E06587"/>
    <w:rsid w:val="72F77CB0"/>
    <w:rsid w:val="72FB430F"/>
    <w:rsid w:val="731C0E14"/>
    <w:rsid w:val="73281C56"/>
    <w:rsid w:val="7350457E"/>
    <w:rsid w:val="73695125"/>
    <w:rsid w:val="736D1458"/>
    <w:rsid w:val="73791D2E"/>
    <w:rsid w:val="7384715C"/>
    <w:rsid w:val="73867F6D"/>
    <w:rsid w:val="73B01345"/>
    <w:rsid w:val="73E43BD8"/>
    <w:rsid w:val="73FB6A64"/>
    <w:rsid w:val="74171171"/>
    <w:rsid w:val="74192A57"/>
    <w:rsid w:val="74365CEE"/>
    <w:rsid w:val="74406B6D"/>
    <w:rsid w:val="744120B0"/>
    <w:rsid w:val="74515D0F"/>
    <w:rsid w:val="74732A9E"/>
    <w:rsid w:val="748E5B2A"/>
    <w:rsid w:val="74983962"/>
    <w:rsid w:val="74A50BEC"/>
    <w:rsid w:val="74AA1CA9"/>
    <w:rsid w:val="74B65081"/>
    <w:rsid w:val="74D774D1"/>
    <w:rsid w:val="74E8308A"/>
    <w:rsid w:val="74ED4817"/>
    <w:rsid w:val="7538771C"/>
    <w:rsid w:val="7544443B"/>
    <w:rsid w:val="75472470"/>
    <w:rsid w:val="754D1541"/>
    <w:rsid w:val="755723C0"/>
    <w:rsid w:val="75862CA5"/>
    <w:rsid w:val="759622C6"/>
    <w:rsid w:val="75A44ED9"/>
    <w:rsid w:val="75E66D42"/>
    <w:rsid w:val="75E672A0"/>
    <w:rsid w:val="76642C4E"/>
    <w:rsid w:val="766C59F7"/>
    <w:rsid w:val="7675235D"/>
    <w:rsid w:val="76760624"/>
    <w:rsid w:val="767A40FC"/>
    <w:rsid w:val="769B54C8"/>
    <w:rsid w:val="76D313AC"/>
    <w:rsid w:val="76D773C6"/>
    <w:rsid w:val="76DA66C0"/>
    <w:rsid w:val="76F105F2"/>
    <w:rsid w:val="773F310C"/>
    <w:rsid w:val="776F54FE"/>
    <w:rsid w:val="777F5BFE"/>
    <w:rsid w:val="77A35EE0"/>
    <w:rsid w:val="77B070F5"/>
    <w:rsid w:val="77B37656"/>
    <w:rsid w:val="77B51620"/>
    <w:rsid w:val="77C23F98"/>
    <w:rsid w:val="78585CB2"/>
    <w:rsid w:val="786170B2"/>
    <w:rsid w:val="78886D34"/>
    <w:rsid w:val="789711D5"/>
    <w:rsid w:val="78B22DD4"/>
    <w:rsid w:val="78D45AD6"/>
    <w:rsid w:val="78F9378E"/>
    <w:rsid w:val="79053EE1"/>
    <w:rsid w:val="790A7749"/>
    <w:rsid w:val="79152036"/>
    <w:rsid w:val="79274CCF"/>
    <w:rsid w:val="79542F67"/>
    <w:rsid w:val="796F0971"/>
    <w:rsid w:val="79975481"/>
    <w:rsid w:val="799A528E"/>
    <w:rsid w:val="79AC7312"/>
    <w:rsid w:val="79CA35C3"/>
    <w:rsid w:val="79CC239E"/>
    <w:rsid w:val="79F67C69"/>
    <w:rsid w:val="7A0B5527"/>
    <w:rsid w:val="7A1A0982"/>
    <w:rsid w:val="7A3B22B0"/>
    <w:rsid w:val="7A3C1B84"/>
    <w:rsid w:val="7A405098"/>
    <w:rsid w:val="7A6A3C78"/>
    <w:rsid w:val="7A9279F6"/>
    <w:rsid w:val="7AA5597C"/>
    <w:rsid w:val="7AC07DB4"/>
    <w:rsid w:val="7AC83418"/>
    <w:rsid w:val="7ACB4CB6"/>
    <w:rsid w:val="7AF56D6A"/>
    <w:rsid w:val="7B187EFC"/>
    <w:rsid w:val="7B191EC6"/>
    <w:rsid w:val="7B5B0730"/>
    <w:rsid w:val="7B7B66DC"/>
    <w:rsid w:val="7B876E2F"/>
    <w:rsid w:val="7B8A691F"/>
    <w:rsid w:val="7B95779E"/>
    <w:rsid w:val="7BB530EA"/>
    <w:rsid w:val="7BB816DF"/>
    <w:rsid w:val="7BD06A28"/>
    <w:rsid w:val="7BDC34AC"/>
    <w:rsid w:val="7BFA03E0"/>
    <w:rsid w:val="7C350F81"/>
    <w:rsid w:val="7C58336E"/>
    <w:rsid w:val="7C64394E"/>
    <w:rsid w:val="7CAB1B33"/>
    <w:rsid w:val="7CAD0B17"/>
    <w:rsid w:val="7CF1204D"/>
    <w:rsid w:val="7CF67CAA"/>
    <w:rsid w:val="7D01709E"/>
    <w:rsid w:val="7D11248E"/>
    <w:rsid w:val="7D1B1F25"/>
    <w:rsid w:val="7D4944D0"/>
    <w:rsid w:val="7D6027A4"/>
    <w:rsid w:val="7D781125"/>
    <w:rsid w:val="7D7F0706"/>
    <w:rsid w:val="7D8C5DEA"/>
    <w:rsid w:val="7D8E7AB2"/>
    <w:rsid w:val="7DA57A41"/>
    <w:rsid w:val="7DB163E5"/>
    <w:rsid w:val="7DF86D46"/>
    <w:rsid w:val="7DFB1059"/>
    <w:rsid w:val="7DFC3B04"/>
    <w:rsid w:val="7DFC4599"/>
    <w:rsid w:val="7E795155"/>
    <w:rsid w:val="7E933D3D"/>
    <w:rsid w:val="7EA83C8C"/>
    <w:rsid w:val="7EC565EC"/>
    <w:rsid w:val="7EE36A72"/>
    <w:rsid w:val="7EEA1BAF"/>
    <w:rsid w:val="7F1762D2"/>
    <w:rsid w:val="7F4D213E"/>
    <w:rsid w:val="7F594F87"/>
    <w:rsid w:val="7F62204B"/>
    <w:rsid w:val="7F647934"/>
    <w:rsid w:val="7F6C1FFF"/>
    <w:rsid w:val="7F767AB1"/>
    <w:rsid w:val="7FA75CF2"/>
    <w:rsid w:val="7FB1091F"/>
    <w:rsid w:val="7FB27487"/>
    <w:rsid w:val="7FC566AD"/>
    <w:rsid w:val="7FD12D6F"/>
    <w:rsid w:val="7FD60E21"/>
    <w:rsid w:val="7FE24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semiHidden="0" w:name="heading 4"/>
    <w:lsdException w:qFormat="1" w:uiPriority="9" w:name="heading 5"/>
    <w:lsdException w:qFormat="1" w:uiPriority="0" w:name="heading 6"/>
    <w:lsdException w:qFormat="1" w:unhideWhenUsed="0" w:uiPriority="9" w:semiHidden="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qFormat="1" w:uiPriority="99" w:semiHidden="0" w:name="index 5"/>
    <w:lsdException w:uiPriority="0" w:name="index 6"/>
    <w:lsdException w:uiPriority="0" w:name="index 7"/>
    <w:lsdException w:uiPriority="0" w:name="index 8"/>
    <w:lsdException w:qFormat="1" w:uiPriority="99"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iPriority="99"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90" w:line="578" w:lineRule="auto"/>
      <w:outlineLvl w:val="0"/>
    </w:pPr>
    <w:rPr>
      <w:rFonts w:eastAsia="华文细黑"/>
      <w:b/>
      <w:bCs/>
      <w:kern w:val="44"/>
      <w:sz w:val="30"/>
      <w:szCs w:val="44"/>
    </w:rPr>
  </w:style>
  <w:style w:type="paragraph" w:styleId="3">
    <w:name w:val="heading 2"/>
    <w:basedOn w:val="1"/>
    <w:next w:val="4"/>
    <w:qFormat/>
    <w:uiPriority w:val="9"/>
    <w:pPr>
      <w:keepNext/>
      <w:keepLines/>
      <w:spacing w:before="260" w:after="260" w:line="416" w:lineRule="auto"/>
      <w:jc w:val="center"/>
      <w:outlineLvl w:val="1"/>
    </w:pPr>
    <w:rPr>
      <w:rFonts w:ascii="Arial" w:hAnsi="Arial" w:eastAsia="幼圆"/>
      <w:b/>
      <w:kern w:val="0"/>
      <w:sz w:val="44"/>
      <w:szCs w:val="20"/>
    </w:rPr>
  </w:style>
  <w:style w:type="paragraph" w:styleId="5">
    <w:name w:val="heading 3"/>
    <w:basedOn w:val="1"/>
    <w:next w:val="1"/>
    <w:link w:val="51"/>
    <w:qFormat/>
    <w:uiPriority w:val="0"/>
    <w:pPr>
      <w:keepNext/>
      <w:keepLines/>
      <w:spacing w:line="416" w:lineRule="auto"/>
      <w:outlineLvl w:val="2"/>
    </w:pPr>
    <w:rPr>
      <w:b/>
      <w:kern w:val="0"/>
      <w:sz w:val="32"/>
      <w:szCs w:val="20"/>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semiHidden/>
    <w:unhideWhenUsed/>
    <w:qFormat/>
    <w:uiPriority w:val="9"/>
    <w:pPr>
      <w:keepNext/>
      <w:keepLines/>
      <w:spacing w:before="280" w:after="290" w:line="372" w:lineRule="auto"/>
      <w:outlineLvl w:val="4"/>
    </w:pPr>
    <w:rPr>
      <w:b/>
      <w:sz w:val="28"/>
    </w:rPr>
  </w:style>
  <w:style w:type="paragraph" w:styleId="8">
    <w:name w:val="heading 7"/>
    <w:basedOn w:val="1"/>
    <w:next w:val="1"/>
    <w:qFormat/>
    <w:uiPriority w:val="9"/>
    <w:pPr>
      <w:keepNext/>
      <w:keepLines/>
      <w:spacing w:before="240" w:after="64" w:line="320" w:lineRule="auto"/>
      <w:outlineLvl w:val="6"/>
    </w:pPr>
    <w:rPr>
      <w:b/>
      <w:bCs/>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kern w:val="0"/>
      <w:sz w:val="20"/>
      <w:szCs w:val="20"/>
    </w:rPr>
  </w:style>
  <w:style w:type="paragraph" w:styleId="9">
    <w:name w:val="index 5"/>
    <w:basedOn w:val="1"/>
    <w:next w:val="1"/>
    <w:unhideWhenUsed/>
    <w:qFormat/>
    <w:uiPriority w:val="99"/>
    <w:pPr>
      <w:jc w:val="center"/>
    </w:pPr>
    <w:rPr>
      <w:rFonts w:ascii="方正小标宋简体" w:hAnsi="宋体" w:eastAsia="方正小标宋简体"/>
      <w:snapToGrid w:val="0"/>
      <w:kern w:val="0"/>
      <w:sz w:val="32"/>
      <w:szCs w:val="32"/>
    </w:rPr>
  </w:style>
  <w:style w:type="paragraph" w:styleId="10">
    <w:name w:val="annotation text"/>
    <w:basedOn w:val="1"/>
    <w:link w:val="54"/>
    <w:qFormat/>
    <w:uiPriority w:val="99"/>
    <w:pPr>
      <w:jc w:val="left"/>
    </w:pPr>
    <w:rPr>
      <w:kern w:val="0"/>
      <w:sz w:val="20"/>
    </w:rPr>
  </w:style>
  <w:style w:type="paragraph" w:styleId="11">
    <w:name w:val="Body Text"/>
    <w:basedOn w:val="1"/>
    <w:next w:val="1"/>
    <w:qFormat/>
    <w:uiPriority w:val="99"/>
    <w:rPr>
      <w:rFonts w:ascii="楷体_GB2312" w:hAnsi="Arial" w:eastAsia="楷体_GB2312"/>
      <w:kern w:val="0"/>
      <w:sz w:val="28"/>
      <w:szCs w:val="20"/>
    </w:rPr>
  </w:style>
  <w:style w:type="paragraph" w:styleId="12">
    <w:name w:val="Body Text Indent"/>
    <w:basedOn w:val="1"/>
    <w:next w:val="13"/>
    <w:qFormat/>
    <w:uiPriority w:val="0"/>
    <w:pPr>
      <w:ind w:firstLine="645"/>
    </w:pPr>
    <w:rPr>
      <w:rFonts w:ascii="楷体_GB2312" w:eastAsia="楷体_GB2312"/>
      <w:kern w:val="0"/>
      <w:sz w:val="32"/>
      <w:szCs w:val="20"/>
    </w:rPr>
  </w:style>
  <w:style w:type="paragraph" w:styleId="13">
    <w:name w:val="envelope return"/>
    <w:basedOn w:val="1"/>
    <w:unhideWhenUsed/>
    <w:qFormat/>
    <w:uiPriority w:val="0"/>
    <w:pPr>
      <w:snapToGrid w:val="0"/>
    </w:pPr>
    <w:rPr>
      <w:rFonts w:ascii="Arial" w:hAnsi="Arial"/>
    </w:rPr>
  </w:style>
  <w:style w:type="paragraph" w:styleId="14">
    <w:name w:val="index 4"/>
    <w:basedOn w:val="1"/>
    <w:next w:val="1"/>
    <w:unhideWhenUsed/>
    <w:qFormat/>
    <w:uiPriority w:val="99"/>
    <w:pPr>
      <w:ind w:firstLine="420" w:firstLineChars="200"/>
      <w:jc w:val="left"/>
    </w:pPr>
    <w:rPr>
      <w:rFonts w:ascii="宋体" w:hAnsi="宋体"/>
      <w:color w:val="FF0000"/>
      <w:szCs w:val="21"/>
    </w:rPr>
  </w:style>
  <w:style w:type="paragraph" w:styleId="15">
    <w:name w:val="toc 3"/>
    <w:basedOn w:val="1"/>
    <w:next w:val="1"/>
    <w:unhideWhenUsed/>
    <w:qFormat/>
    <w:uiPriority w:val="39"/>
    <w:pPr>
      <w:ind w:left="840" w:leftChars="400"/>
    </w:pPr>
  </w:style>
  <w:style w:type="paragraph" w:styleId="16">
    <w:name w:val="Plain Text"/>
    <w:basedOn w:val="1"/>
    <w:link w:val="52"/>
    <w:qFormat/>
    <w:uiPriority w:val="0"/>
    <w:rPr>
      <w:rFonts w:ascii="宋体" w:hAnsi="Courier New"/>
      <w:kern w:val="0"/>
      <w:sz w:val="20"/>
      <w:szCs w:val="20"/>
    </w:rPr>
  </w:style>
  <w:style w:type="paragraph" w:styleId="17">
    <w:name w:val="Body Text Indent 2"/>
    <w:basedOn w:val="1"/>
    <w:qFormat/>
    <w:uiPriority w:val="0"/>
    <w:pPr>
      <w:widowControl/>
      <w:spacing w:before="100" w:beforeAutospacing="1" w:after="100" w:afterAutospacing="1"/>
      <w:jc w:val="left"/>
    </w:pPr>
    <w:rPr>
      <w:rFonts w:ascii="宋体" w:hAnsi="宋体"/>
      <w:kern w:val="0"/>
      <w:sz w:val="24"/>
    </w:rPr>
  </w:style>
  <w:style w:type="paragraph" w:styleId="18">
    <w:name w:val="Balloon Text"/>
    <w:basedOn w:val="1"/>
    <w:link w:val="42"/>
    <w:qFormat/>
    <w:uiPriority w:val="0"/>
    <w:rPr>
      <w:sz w:val="18"/>
      <w:szCs w:val="18"/>
    </w:rPr>
  </w:style>
  <w:style w:type="paragraph" w:styleId="19">
    <w:name w:val="footer"/>
    <w:basedOn w:val="1"/>
    <w:link w:val="43"/>
    <w:qFormat/>
    <w:uiPriority w:val="0"/>
    <w:pPr>
      <w:tabs>
        <w:tab w:val="center" w:pos="4153"/>
        <w:tab w:val="right" w:pos="8306"/>
      </w:tabs>
      <w:snapToGrid w:val="0"/>
      <w:jc w:val="left"/>
    </w:pPr>
    <w:rPr>
      <w:sz w:val="18"/>
      <w:szCs w:val="18"/>
    </w:rPr>
  </w:style>
  <w:style w:type="paragraph" w:styleId="20">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line="360" w:lineRule="auto"/>
    </w:pPr>
    <w:rPr>
      <w:rFonts w:asciiTheme="minorHAnsi" w:hAnsiTheme="minorHAnsi" w:cstheme="minorBidi"/>
      <w:sz w:val="24"/>
    </w:rPr>
  </w:style>
  <w:style w:type="paragraph" w:styleId="22">
    <w:name w:val="Body Text Indent 3"/>
    <w:basedOn w:val="1"/>
    <w:unhideWhenUsed/>
    <w:qFormat/>
    <w:uiPriority w:val="99"/>
    <w:pPr>
      <w:spacing w:after="120"/>
      <w:ind w:left="420" w:leftChars="200"/>
    </w:pPr>
    <w:rPr>
      <w:sz w:val="16"/>
      <w:szCs w:val="16"/>
    </w:rPr>
  </w:style>
  <w:style w:type="paragraph" w:styleId="23">
    <w:name w:val="index 9"/>
    <w:basedOn w:val="1"/>
    <w:next w:val="1"/>
    <w:unhideWhenUsed/>
    <w:qFormat/>
    <w:uiPriority w:val="99"/>
    <w:pPr>
      <w:ind w:left="1600" w:leftChars="1600"/>
    </w:pPr>
  </w:style>
  <w:style w:type="paragraph" w:styleId="24">
    <w:name w:val="toc 2"/>
    <w:basedOn w:val="1"/>
    <w:next w:val="1"/>
    <w:qFormat/>
    <w:uiPriority w:val="39"/>
    <w:pPr>
      <w:spacing w:line="360" w:lineRule="auto"/>
      <w:ind w:left="420" w:leftChars="200"/>
    </w:pPr>
    <w:rPr>
      <w:rFonts w:asciiTheme="minorHAnsi" w:hAnsiTheme="minorHAnsi" w:cstheme="minorBidi"/>
      <w:sz w:val="24"/>
    </w:rPr>
  </w:style>
  <w:style w:type="paragraph" w:styleId="25">
    <w:name w:val="Normal (Web)"/>
    <w:basedOn w:val="1"/>
    <w:qFormat/>
    <w:uiPriority w:val="0"/>
    <w:pPr>
      <w:widowControl/>
      <w:spacing w:before="100" w:beforeAutospacing="1" w:after="100" w:afterAutospacing="1"/>
    </w:pPr>
    <w:rPr>
      <w:rFonts w:ascii="宋体" w:hAnsi="宋体"/>
      <w:kern w:val="0"/>
      <w:sz w:val="24"/>
      <w:szCs w:val="20"/>
    </w:rPr>
  </w:style>
  <w:style w:type="paragraph" w:styleId="26">
    <w:name w:val="Title"/>
    <w:basedOn w:val="1"/>
    <w:next w:val="1"/>
    <w:link w:val="53"/>
    <w:qFormat/>
    <w:uiPriority w:val="0"/>
    <w:pPr>
      <w:spacing w:before="240" w:after="60"/>
      <w:jc w:val="center"/>
      <w:outlineLvl w:val="0"/>
    </w:pPr>
    <w:rPr>
      <w:rFonts w:asciiTheme="majorHAnsi" w:hAnsiTheme="majorHAnsi" w:eastAsiaTheme="majorEastAsia" w:cstheme="majorBidi"/>
      <w:b/>
      <w:bCs/>
      <w:sz w:val="32"/>
      <w:szCs w:val="32"/>
    </w:rPr>
  </w:style>
  <w:style w:type="paragraph" w:styleId="27">
    <w:name w:val="annotation subject"/>
    <w:basedOn w:val="10"/>
    <w:next w:val="10"/>
    <w:link w:val="55"/>
    <w:semiHidden/>
    <w:unhideWhenUsed/>
    <w:qFormat/>
    <w:uiPriority w:val="0"/>
    <w:rPr>
      <w:b/>
      <w:bCs/>
      <w:kern w:val="2"/>
      <w:sz w:val="21"/>
    </w:rPr>
  </w:style>
  <w:style w:type="paragraph" w:styleId="28">
    <w:name w:val="Body Text First Indent"/>
    <w:basedOn w:val="11"/>
    <w:unhideWhenUsed/>
    <w:qFormat/>
    <w:uiPriority w:val="99"/>
    <w:pPr>
      <w:spacing w:after="120"/>
      <w:ind w:firstLine="420" w:firstLineChars="100"/>
    </w:pPr>
    <w:rPr>
      <w:rFonts w:ascii="Times New Roman"/>
      <w:sz w:val="21"/>
    </w:rPr>
  </w:style>
  <w:style w:type="paragraph" w:styleId="29">
    <w:name w:val="Body Text First Indent 2"/>
    <w:basedOn w:val="1"/>
    <w:next w:val="1"/>
    <w:qFormat/>
    <w:uiPriority w:val="0"/>
    <w:pPr>
      <w:spacing w:line="360" w:lineRule="auto"/>
      <w:ind w:firstLine="420" w:firstLineChars="200"/>
    </w:pPr>
    <w:rPr>
      <w:rFonts w:ascii="宋体" w:hAnsi="宋体"/>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Hyperlink"/>
    <w:qFormat/>
    <w:uiPriority w:val="99"/>
    <w:rPr>
      <w:color w:val="0000FF"/>
      <w:u w:val="single"/>
    </w:rPr>
  </w:style>
  <w:style w:type="character" w:styleId="35">
    <w:name w:val="annotation reference"/>
    <w:qFormat/>
    <w:uiPriority w:val="99"/>
    <w:rPr>
      <w:sz w:val="21"/>
      <w:szCs w:val="21"/>
    </w:rPr>
  </w:style>
  <w:style w:type="paragraph" w:customStyle="1" w:styleId="36">
    <w:name w:val="一级条标题"/>
    <w:basedOn w:val="37"/>
    <w:next w:val="38"/>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37">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38">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39">
    <w:name w:val="Heading1"/>
    <w:basedOn w:val="1"/>
    <w:next w:val="1"/>
    <w:qFormat/>
    <w:uiPriority w:val="0"/>
    <w:pPr>
      <w:keepNext/>
      <w:textAlignment w:val="baseline"/>
    </w:pPr>
    <w:rPr>
      <w:rFonts w:ascii="等线 Light" w:eastAsia="等线 Light"/>
      <w:sz w:val="28"/>
      <w:szCs w:val="20"/>
    </w:rPr>
  </w:style>
  <w:style w:type="paragraph" w:customStyle="1" w:styleId="40">
    <w:name w:val="首行缩进"/>
    <w:basedOn w:val="1"/>
    <w:qFormat/>
    <w:uiPriority w:val="0"/>
    <w:pPr>
      <w:ind w:firstLine="480" w:firstLineChars="200"/>
    </w:pPr>
    <w:rPr>
      <w:szCs w:val="20"/>
      <w:lang w:val="zh-CN"/>
    </w:rPr>
  </w:style>
  <w:style w:type="character" w:customStyle="1" w:styleId="41">
    <w:name w:val="页眉 Char"/>
    <w:link w:val="20"/>
    <w:qFormat/>
    <w:uiPriority w:val="0"/>
    <w:rPr>
      <w:rFonts w:ascii="Times New Roman" w:hAnsi="Times New Roman" w:eastAsia="宋体" w:cs="Times New Roman"/>
      <w:kern w:val="2"/>
      <w:sz w:val="18"/>
      <w:szCs w:val="18"/>
    </w:rPr>
  </w:style>
  <w:style w:type="character" w:customStyle="1" w:styleId="42">
    <w:name w:val="批注框文本 Char"/>
    <w:link w:val="18"/>
    <w:qFormat/>
    <w:uiPriority w:val="0"/>
    <w:rPr>
      <w:rFonts w:ascii="Times New Roman" w:hAnsi="Times New Roman" w:eastAsia="宋体" w:cs="Times New Roman"/>
      <w:kern w:val="2"/>
      <w:sz w:val="18"/>
      <w:szCs w:val="18"/>
    </w:rPr>
  </w:style>
  <w:style w:type="character" w:customStyle="1" w:styleId="43">
    <w:name w:val="页脚 Char"/>
    <w:link w:val="19"/>
    <w:qFormat/>
    <w:uiPriority w:val="0"/>
    <w:rPr>
      <w:rFonts w:ascii="Times New Roman" w:hAnsi="Times New Roman" w:eastAsia="宋体" w:cs="Times New Roman"/>
      <w:kern w:val="2"/>
      <w:sz w:val="18"/>
      <w:szCs w:val="18"/>
    </w:rPr>
  </w:style>
  <w:style w:type="paragraph" w:styleId="44">
    <w:name w:val="List Paragraph"/>
    <w:basedOn w:val="1"/>
    <w:qFormat/>
    <w:uiPriority w:val="34"/>
    <w:pPr>
      <w:ind w:firstLine="420" w:firstLineChars="200"/>
    </w:pPr>
    <w:rPr>
      <w:rFonts w:ascii="Calibri" w:hAnsi="Calibri"/>
      <w:kern w:val="0"/>
      <w:sz w:val="20"/>
      <w:szCs w:val="20"/>
    </w:rPr>
  </w:style>
  <w:style w:type="paragraph" w:customStyle="1" w:styleId="45">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6">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47">
    <w:name w:val="纯文本1"/>
    <w:basedOn w:val="1"/>
    <w:qFormat/>
    <w:uiPriority w:val="0"/>
    <w:pPr>
      <w:adjustRightInd w:val="0"/>
    </w:pPr>
    <w:rPr>
      <w:rFonts w:ascii="宋体" w:hAnsi="Courier New" w:eastAsia="楷体_GB2312"/>
      <w:sz w:val="28"/>
      <w:szCs w:val="20"/>
    </w:rPr>
  </w:style>
  <w:style w:type="table" w:customStyle="1" w:styleId="4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正文1"/>
    <w:next w:val="1"/>
    <w:qFormat/>
    <w:uiPriority w:val="0"/>
    <w:pPr>
      <w:widowControl w:val="0"/>
      <w:jc w:val="both"/>
    </w:pPr>
    <w:rPr>
      <w:rFonts w:ascii="Calibri" w:hAnsi="Calibri" w:eastAsia="宋体" w:cs="Times New Roman"/>
      <w:kern w:val="2"/>
      <w:sz w:val="21"/>
      <w:szCs w:val="21"/>
      <w:lang w:val="en-US" w:eastAsia="zh-CN" w:bidi="ar-SA"/>
    </w:rPr>
  </w:style>
  <w:style w:type="character" w:customStyle="1" w:styleId="51">
    <w:name w:val="标题 3 Char"/>
    <w:link w:val="5"/>
    <w:qFormat/>
    <w:uiPriority w:val="0"/>
    <w:rPr>
      <w:b/>
      <w:sz w:val="32"/>
    </w:rPr>
  </w:style>
  <w:style w:type="character" w:customStyle="1" w:styleId="52">
    <w:name w:val="纯文本 Char"/>
    <w:link w:val="16"/>
    <w:qFormat/>
    <w:locked/>
    <w:uiPriority w:val="0"/>
    <w:rPr>
      <w:rFonts w:ascii="宋体" w:hAnsi="Courier New"/>
    </w:rPr>
  </w:style>
  <w:style w:type="character" w:customStyle="1" w:styleId="53">
    <w:name w:val="标题 Char"/>
    <w:basedOn w:val="32"/>
    <w:link w:val="26"/>
    <w:qFormat/>
    <w:uiPriority w:val="0"/>
    <w:rPr>
      <w:rFonts w:asciiTheme="majorHAnsi" w:hAnsiTheme="majorHAnsi" w:eastAsiaTheme="majorEastAsia" w:cstheme="majorBidi"/>
      <w:b/>
      <w:bCs/>
      <w:kern w:val="2"/>
      <w:sz w:val="32"/>
      <w:szCs w:val="32"/>
    </w:rPr>
  </w:style>
  <w:style w:type="character" w:customStyle="1" w:styleId="54">
    <w:name w:val="批注文字 Char"/>
    <w:basedOn w:val="32"/>
    <w:link w:val="10"/>
    <w:qFormat/>
    <w:uiPriority w:val="99"/>
    <w:rPr>
      <w:szCs w:val="24"/>
    </w:rPr>
  </w:style>
  <w:style w:type="character" w:customStyle="1" w:styleId="55">
    <w:name w:val="批注主题 Char"/>
    <w:basedOn w:val="54"/>
    <w:link w:val="27"/>
    <w:semiHidden/>
    <w:qFormat/>
    <w:uiPriority w:val="0"/>
    <w:rPr>
      <w:b/>
      <w:bCs/>
      <w:kern w:val="2"/>
      <w:sz w:val="21"/>
      <w:szCs w:val="24"/>
    </w:rPr>
  </w:style>
  <w:style w:type="paragraph" w:customStyle="1" w:styleId="5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7">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58">
    <w:name w:val="（一）正文标题"/>
    <w:basedOn w:val="5"/>
    <w:qFormat/>
    <w:uiPriority w:val="0"/>
    <w:pPr>
      <w:keepNext w:val="0"/>
      <w:keepLines w:val="0"/>
      <w:tabs>
        <w:tab w:val="left" w:pos="993"/>
        <w:tab w:val="left" w:pos="1134"/>
        <w:tab w:val="left" w:pos="1276"/>
        <w:tab w:val="left" w:pos="1418"/>
      </w:tabs>
      <w:wordWrap w:val="0"/>
      <w:ind w:firstLine="200" w:firstLineChars="200"/>
    </w:pPr>
    <w:rPr>
      <w:rFonts w:ascii="仿宋_GB2312" w:hAnsi="仿宋_GB2312" w:eastAsia="楷体"/>
      <w:szCs w:val="28"/>
    </w:rPr>
  </w:style>
  <w:style w:type="paragraph" w:customStyle="1" w:styleId="59">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60">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paragraph" w:customStyle="1" w:styleId="61">
    <w:name w:val="Table Text"/>
    <w:basedOn w:val="1"/>
    <w:semiHidden/>
    <w:qFormat/>
    <w:uiPriority w:val="0"/>
    <w:rPr>
      <w:rFonts w:ascii="宋体" w:hAnsi="宋体" w:cs="宋体"/>
      <w:sz w:val="20"/>
      <w:szCs w:val="20"/>
      <w:lang w:eastAsia="en-US"/>
    </w:rPr>
  </w:style>
  <w:style w:type="paragraph" w:customStyle="1" w:styleId="62">
    <w:name w:val="二级目录"/>
    <w:next w:val="1"/>
    <w:qFormat/>
    <w:uiPriority w:val="99"/>
    <w:pPr>
      <w:tabs>
        <w:tab w:val="left" w:pos="360"/>
        <w:tab w:val="left" w:pos="720"/>
      </w:tabs>
      <w:spacing w:after="160" w:line="256" w:lineRule="auto"/>
      <w:outlineLvl w:val="1"/>
    </w:pPr>
    <w:rPr>
      <w:rFonts w:ascii="Times New Roman" w:hAnsi="Times New Roman" w:eastAsia="宋体" w:cs="Times New Roman"/>
      <w:b/>
      <w:bCs/>
      <w:kern w:val="2"/>
      <w:sz w:val="28"/>
      <w:szCs w:val="28"/>
      <w:lang w:val="en-US" w:eastAsia="zh-CN" w:bidi="ar-SA"/>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6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textRotate="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048E0-40A9-4BD5-80E2-01C0746A83A3}">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45</Pages>
  <Words>6435</Words>
  <Characters>36680</Characters>
  <Lines>305</Lines>
  <Paragraphs>86</Paragraphs>
  <TotalTime>21</TotalTime>
  <ScaleCrop>false</ScaleCrop>
  <LinksUpToDate>false</LinksUpToDate>
  <CharactersWithSpaces>43029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2022-06-18T07:01:00Z</dcterms:created>
  <dc:creator>ASUS</dc:creator>
  <cp:lastModifiedBy>WPS_1665191703</cp:lastModifiedBy>
  <cp:lastPrinted>2023-04-17T01:52:00Z</cp:lastPrinted>
  <dcterms:modified xsi:type="dcterms:W3CDTF">2023-12-07T01:03:47Z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C9BC52A496F447F1A8305D3F62F9E50F_13</vt:lpwstr>
  </property>
</Properties>
</file>