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8" w:beforeLines="100" w:line="500" w:lineRule="exact"/>
        <w:jc w:val="center"/>
        <w:outlineLvl w:val="0"/>
        <w:rPr>
          <w:rFonts w:ascii="宋体" w:hAnsi="宋体"/>
          <w:bCs/>
          <w:sz w:val="24"/>
          <w:lang w:val="zh-CN"/>
        </w:rPr>
      </w:pPr>
      <w:bookmarkStart w:id="0" w:name="项目需求"/>
      <w:r>
        <w:rPr>
          <w:rFonts w:hint="eastAsia" w:ascii="方正小标宋_GBK" w:hAnsi="方正小标宋_GBK" w:eastAsia="方正小标宋_GBK" w:cs="方正小标宋_GBK"/>
          <w:sz w:val="44"/>
          <w:szCs w:val="44"/>
        </w:rPr>
        <w:t>项目需求</w:t>
      </w:r>
      <w:bookmarkEnd w:id="0"/>
    </w:p>
    <w:p>
      <w:pPr>
        <w:widowControl/>
        <w:spacing w:line="440" w:lineRule="exact"/>
        <w:jc w:val="left"/>
        <w:rPr>
          <w:rFonts w:hint="eastAsia" w:ascii="宋体" w:hAnsi="宋体" w:cs="宋体"/>
          <w:sz w:val="24"/>
        </w:rPr>
      </w:pPr>
      <w:r>
        <w:rPr>
          <w:rFonts w:hint="eastAsia" w:ascii="宋体" w:hAnsi="宋体" w:cs="宋体"/>
          <w:sz w:val="24"/>
        </w:rPr>
        <w:t xml:space="preserve">    </w:t>
      </w:r>
    </w:p>
    <w:p>
      <w:pPr>
        <w:widowControl/>
        <w:spacing w:line="440" w:lineRule="exact"/>
        <w:ind w:firstLine="480" w:firstLineChars="200"/>
        <w:jc w:val="left"/>
        <w:rPr>
          <w:rFonts w:ascii="宋体" w:hAnsi="宋体" w:cs="宋体"/>
          <w:sz w:val="24"/>
        </w:rPr>
      </w:pPr>
      <w:r>
        <w:rPr>
          <w:rFonts w:hint="eastAsia" w:ascii="宋体" w:hAnsi="宋体" w:cs="宋体"/>
          <w:sz w:val="24"/>
        </w:rPr>
        <w:t>本项目主要按上级主管部门对学校西园体育馆消防验收意见反馈表整改要求实施。</w:t>
      </w:r>
    </w:p>
    <w:p>
      <w:pPr>
        <w:tabs>
          <w:tab w:val="left" w:pos="900"/>
        </w:tabs>
        <w:spacing w:line="500" w:lineRule="exact"/>
        <w:ind w:firstLine="482" w:firstLineChars="200"/>
        <w:outlineLvl w:val="1"/>
        <w:rPr>
          <w:rFonts w:ascii="宋体" w:hAnsi="宋体" w:cs="宋体"/>
          <w:b/>
          <w:sz w:val="24"/>
        </w:rPr>
      </w:pPr>
      <w:r>
        <w:rPr>
          <w:rFonts w:hint="eastAsia" w:ascii="宋体" w:hAnsi="宋体" w:cs="宋体"/>
          <w:b/>
          <w:sz w:val="24"/>
        </w:rPr>
        <w:t>一、建筑：</w:t>
      </w:r>
    </w:p>
    <w:p>
      <w:pPr>
        <w:widowControl/>
        <w:spacing w:line="440" w:lineRule="exact"/>
        <w:jc w:val="left"/>
        <w:rPr>
          <w:rFonts w:ascii="宋体" w:hAnsi="宋体" w:cs="宋体"/>
          <w:b/>
          <w:sz w:val="24"/>
        </w:rPr>
      </w:pPr>
      <w:r>
        <w:rPr>
          <w:rFonts w:hint="eastAsia" w:ascii="宋体" w:hAnsi="宋体" w:cs="宋体"/>
          <w:b/>
          <w:sz w:val="24"/>
        </w:rPr>
        <w:t xml:space="preserve">    1、自然排烟未按图设置；</w:t>
      </w:r>
    </w:p>
    <w:p>
      <w:pPr>
        <w:widowControl/>
        <w:spacing w:line="440" w:lineRule="exact"/>
        <w:jc w:val="left"/>
        <w:rPr>
          <w:rFonts w:ascii="宋体" w:hAnsi="宋体" w:cs="宋体"/>
          <w:sz w:val="24"/>
        </w:rPr>
      </w:pPr>
      <w:r>
        <w:rPr>
          <w:rFonts w:hint="eastAsia" w:ascii="宋体" w:hAnsi="宋体" w:cs="宋体"/>
          <w:sz w:val="24"/>
        </w:rPr>
        <w:t xml:space="preserve">    增设电动防排烟装置。根据立面图统计共有下悬外开窗68樘，MQ2内有下悬窗12个、MQ3内有下悬窗8个、MQ4内有下悬窗48个、尺寸900~950×1200mm共68樘，每樘配置电动开窗机，开启角度为70度，电动排烟窗与原幕墙使用的玻璃和颜色一致。</w:t>
      </w:r>
    </w:p>
    <w:p>
      <w:pPr>
        <w:widowControl/>
        <w:spacing w:line="440" w:lineRule="exact"/>
        <w:jc w:val="left"/>
        <w:rPr>
          <w:rFonts w:ascii="宋体" w:hAnsi="宋体" w:cs="宋体"/>
          <w:sz w:val="24"/>
        </w:rPr>
      </w:pPr>
      <w:r>
        <w:rPr>
          <w:rFonts w:hint="eastAsia" w:ascii="宋体" w:hAnsi="宋体" w:cs="宋体"/>
          <w:sz w:val="24"/>
        </w:rPr>
        <w:t xml:space="preserve">    本工程消防排烟窗暂划分3组控制分区，配置3套控制箱，系统可实现消防排烟电动开启，也可实现每个控制分区日常通风的电动启闭。电动排烟窗所需消防专用220V双电源，需由得英楼敷设至消防联动控制箱安装位置处。</w:t>
      </w:r>
    </w:p>
    <w:p>
      <w:pPr>
        <w:widowControl/>
        <w:spacing w:line="440" w:lineRule="exact"/>
        <w:jc w:val="left"/>
        <w:rPr>
          <w:rFonts w:ascii="宋体" w:hAnsi="宋体" w:cs="宋体"/>
          <w:b/>
          <w:sz w:val="24"/>
        </w:rPr>
      </w:pPr>
      <w:r>
        <w:rPr>
          <w:rFonts w:hint="eastAsia" w:ascii="宋体" w:hAnsi="宋体" w:cs="宋体"/>
          <w:b/>
          <w:sz w:val="24"/>
        </w:rPr>
        <w:t xml:space="preserve">    2、防火门顺序器不能实现功能，防火门框未灌浆，子扇部分未安装顺序器及闭门器；</w:t>
      </w:r>
    </w:p>
    <w:p>
      <w:pPr>
        <w:widowControl/>
        <w:spacing w:line="440" w:lineRule="exact"/>
        <w:jc w:val="left"/>
        <w:rPr>
          <w:rFonts w:ascii="宋体" w:hAnsi="宋体" w:cs="宋体"/>
          <w:sz w:val="24"/>
        </w:rPr>
      </w:pPr>
      <w:r>
        <w:rPr>
          <w:rFonts w:hint="eastAsia" w:ascii="宋体" w:hAnsi="宋体" w:cs="宋体"/>
          <w:sz w:val="24"/>
        </w:rPr>
        <w:t xml:space="preserve">    调整防火门顺序器确保实现功能，采用水泥砂浆强度等级:M10混合砂灌实；重新安装部分子扇顺序器及闭门器。</w:t>
      </w:r>
    </w:p>
    <w:p>
      <w:pPr>
        <w:widowControl/>
        <w:spacing w:line="440" w:lineRule="exact"/>
        <w:jc w:val="left"/>
        <w:rPr>
          <w:rFonts w:ascii="宋体" w:hAnsi="宋体" w:cs="宋体"/>
          <w:b/>
          <w:sz w:val="24"/>
        </w:rPr>
      </w:pPr>
      <w:r>
        <w:rPr>
          <w:rFonts w:hint="eastAsia" w:ascii="宋体" w:hAnsi="宋体" w:cs="宋体"/>
          <w:b/>
          <w:sz w:val="24"/>
        </w:rPr>
        <w:t xml:space="preserve">    3、配电间、器材室等房间未设置顶板。不符合《建筑设计防火规范》GB50016-2014(2018 年版)第 6.2.4 条、第 6.2.7 条； </w:t>
      </w:r>
    </w:p>
    <w:p>
      <w:pPr>
        <w:widowControl/>
        <w:spacing w:line="440" w:lineRule="exact"/>
        <w:ind w:firstLine="480"/>
        <w:jc w:val="left"/>
        <w:rPr>
          <w:rFonts w:ascii="宋体" w:hAnsi="宋体" w:cs="宋体"/>
          <w:sz w:val="24"/>
        </w:rPr>
      </w:pPr>
      <w:r>
        <w:rPr>
          <w:rFonts w:hint="eastAsia" w:ascii="宋体" w:hAnsi="宋体" w:cs="宋体"/>
          <w:sz w:val="24"/>
        </w:rPr>
        <w:t>1）配电间及其他屋顶采用5×10镀锌方管为主龙骨；考虑体育器材室顶跨度大采用18号C型钢主龙骨；</w:t>
      </w:r>
    </w:p>
    <w:p>
      <w:pPr>
        <w:widowControl/>
        <w:spacing w:line="440" w:lineRule="exact"/>
        <w:ind w:firstLine="480"/>
        <w:jc w:val="left"/>
        <w:rPr>
          <w:rFonts w:ascii="宋体" w:hAnsi="宋体" w:cs="宋体"/>
          <w:sz w:val="24"/>
        </w:rPr>
      </w:pPr>
      <w:r>
        <w:rPr>
          <w:rFonts w:hint="eastAsia" w:ascii="宋体" w:hAnsi="宋体" w:cs="宋体"/>
          <w:sz w:val="24"/>
        </w:rPr>
        <w:t>2）4×8镀锌方管附龙骨；</w:t>
      </w:r>
    </w:p>
    <w:p>
      <w:pPr>
        <w:widowControl/>
        <w:spacing w:line="440" w:lineRule="exact"/>
        <w:ind w:firstLine="480"/>
        <w:jc w:val="left"/>
        <w:rPr>
          <w:rFonts w:ascii="宋体" w:hAnsi="宋体" w:cs="宋体"/>
          <w:sz w:val="24"/>
        </w:rPr>
      </w:pPr>
      <w:r>
        <w:rPr>
          <w:rFonts w:hint="eastAsia" w:ascii="宋体" w:hAnsi="宋体" w:cs="宋体"/>
          <w:sz w:val="24"/>
        </w:rPr>
        <w:t>3）顶面采用5公分厚岩棉夹芯板；</w:t>
      </w:r>
    </w:p>
    <w:p>
      <w:pPr>
        <w:widowControl/>
        <w:spacing w:line="440" w:lineRule="exact"/>
        <w:jc w:val="left"/>
        <w:rPr>
          <w:rFonts w:ascii="宋体" w:hAnsi="宋体" w:cs="宋体"/>
          <w:b/>
          <w:sz w:val="24"/>
        </w:rPr>
      </w:pPr>
      <w:r>
        <w:rPr>
          <w:rFonts w:hint="eastAsia" w:ascii="宋体" w:hAnsi="宋体" w:cs="宋体"/>
          <w:b/>
          <w:sz w:val="24"/>
        </w:rPr>
        <w:t xml:space="preserve">    4、楼梯间未与其他部位作防分隔。不符合《建筑设计防火规范》 GB50016-2014(2018 年版)第 6.4.2-2 条； </w:t>
      </w:r>
    </w:p>
    <w:p>
      <w:pPr>
        <w:widowControl/>
        <w:spacing w:line="440" w:lineRule="exact"/>
        <w:ind w:firstLine="480"/>
        <w:jc w:val="left"/>
        <w:rPr>
          <w:rFonts w:ascii="宋体" w:hAnsi="宋体" w:cs="宋体"/>
          <w:sz w:val="24"/>
        </w:rPr>
      </w:pPr>
      <w:r>
        <w:rPr>
          <w:rFonts w:hint="eastAsia" w:ascii="宋体" w:hAnsi="宋体" w:cs="宋体"/>
          <w:sz w:val="24"/>
        </w:rPr>
        <w:t>1）部位：楼梯间防火墙</w:t>
      </w:r>
    </w:p>
    <w:p>
      <w:pPr>
        <w:widowControl/>
        <w:spacing w:line="440" w:lineRule="exact"/>
        <w:ind w:firstLine="480"/>
        <w:jc w:val="left"/>
        <w:rPr>
          <w:rFonts w:ascii="宋体" w:hAnsi="宋体" w:cs="宋体"/>
          <w:sz w:val="24"/>
        </w:rPr>
      </w:pPr>
      <w:r>
        <w:rPr>
          <w:rFonts w:hint="eastAsia" w:ascii="宋体" w:hAnsi="宋体" w:cs="宋体"/>
          <w:sz w:val="24"/>
        </w:rPr>
        <w:t>2）砌块品种、规格、强度等级:MU15混凝土多孔砖</w:t>
      </w:r>
    </w:p>
    <w:p>
      <w:pPr>
        <w:widowControl/>
        <w:spacing w:line="440" w:lineRule="exact"/>
        <w:ind w:firstLine="480"/>
        <w:jc w:val="left"/>
        <w:rPr>
          <w:rFonts w:ascii="宋体" w:hAnsi="宋体" w:cs="宋体"/>
          <w:sz w:val="24"/>
        </w:rPr>
      </w:pPr>
      <w:r>
        <w:rPr>
          <w:rFonts w:hint="eastAsia" w:ascii="宋体" w:hAnsi="宋体" w:cs="宋体"/>
          <w:sz w:val="24"/>
        </w:rPr>
        <w:t>3）墙体类型:240厚内墙</w:t>
      </w:r>
    </w:p>
    <w:p>
      <w:pPr>
        <w:widowControl/>
        <w:spacing w:line="440" w:lineRule="exact"/>
        <w:ind w:firstLine="480"/>
        <w:jc w:val="left"/>
        <w:rPr>
          <w:rFonts w:ascii="宋体" w:hAnsi="宋体" w:cs="宋体"/>
          <w:sz w:val="24"/>
        </w:rPr>
      </w:pPr>
      <w:r>
        <w:rPr>
          <w:rFonts w:hint="eastAsia" w:ascii="宋体" w:hAnsi="宋体" w:cs="宋体"/>
          <w:sz w:val="24"/>
        </w:rPr>
        <w:t>4）砂浆强度等级:M5混合砂浆。</w:t>
      </w:r>
    </w:p>
    <w:p>
      <w:pPr>
        <w:widowControl/>
        <w:spacing w:line="440" w:lineRule="exact"/>
        <w:jc w:val="left"/>
        <w:rPr>
          <w:rFonts w:ascii="宋体" w:hAnsi="宋体" w:cs="宋体"/>
          <w:b/>
          <w:sz w:val="24"/>
        </w:rPr>
      </w:pPr>
      <w:r>
        <w:rPr>
          <w:rFonts w:hint="eastAsia" w:ascii="宋体" w:hAnsi="宋体" w:cs="宋体"/>
          <w:b/>
          <w:sz w:val="24"/>
        </w:rPr>
        <w:t xml:space="preserve">    5、门厅西侧安全出口净宽750mm，风雨操场西侧安全出口净宽1300mm。不符合《建筑设计防火规范》GB50016-2014(2018 年版)第 5.5.18 条、第 5.5.19 条；</w:t>
      </w:r>
    </w:p>
    <w:p>
      <w:pPr>
        <w:widowControl/>
        <w:spacing w:line="440" w:lineRule="exact"/>
        <w:ind w:firstLine="480"/>
        <w:jc w:val="left"/>
        <w:rPr>
          <w:rFonts w:ascii="宋体" w:hAnsi="宋体" w:cs="宋体"/>
          <w:sz w:val="24"/>
        </w:rPr>
      </w:pPr>
      <w:r>
        <w:rPr>
          <w:rFonts w:hint="eastAsia" w:ascii="宋体" w:hAnsi="宋体" w:cs="宋体"/>
          <w:sz w:val="24"/>
        </w:rPr>
        <w:t>1）拆除原有地弹簧门；</w:t>
      </w:r>
    </w:p>
    <w:p>
      <w:pPr>
        <w:widowControl/>
        <w:spacing w:line="440" w:lineRule="exact"/>
        <w:ind w:firstLine="480"/>
        <w:jc w:val="left"/>
        <w:rPr>
          <w:rFonts w:ascii="宋体" w:hAnsi="宋体" w:cs="宋体"/>
          <w:sz w:val="24"/>
        </w:rPr>
      </w:pPr>
      <w:r>
        <w:rPr>
          <w:rFonts w:hint="eastAsia" w:ascii="宋体" w:hAnsi="宋体" w:cs="宋体"/>
          <w:sz w:val="24"/>
        </w:rPr>
        <w:t>2）扩大门洞至1500mm，重新做双开不锈钢门。</w:t>
      </w:r>
    </w:p>
    <w:p>
      <w:pPr>
        <w:widowControl/>
        <w:spacing w:line="440" w:lineRule="exact"/>
        <w:jc w:val="left"/>
        <w:rPr>
          <w:rFonts w:ascii="宋体" w:hAnsi="宋体" w:cs="宋体"/>
          <w:b/>
          <w:sz w:val="24"/>
        </w:rPr>
      </w:pPr>
      <w:r>
        <w:rPr>
          <w:rFonts w:hint="eastAsia" w:ascii="宋体" w:hAnsi="宋体" w:cs="宋体"/>
          <w:b/>
          <w:sz w:val="24"/>
        </w:rPr>
        <w:t xml:space="preserve">    6、甲级防火窗需提供检测报告。</w:t>
      </w:r>
    </w:p>
    <w:p>
      <w:pPr>
        <w:widowControl/>
        <w:spacing w:line="440" w:lineRule="exact"/>
        <w:ind w:firstLine="480"/>
        <w:jc w:val="left"/>
        <w:rPr>
          <w:rFonts w:ascii="宋体" w:hAnsi="宋体" w:cs="宋体"/>
          <w:sz w:val="24"/>
        </w:rPr>
      </w:pPr>
      <w:r>
        <w:rPr>
          <w:rFonts w:hint="eastAsia" w:ascii="宋体" w:hAnsi="宋体" w:cs="宋体"/>
          <w:sz w:val="24"/>
        </w:rPr>
        <w:t xml:space="preserve">按要求提供原场地防护窗所需检测报告。 </w:t>
      </w:r>
    </w:p>
    <w:p>
      <w:pPr>
        <w:tabs>
          <w:tab w:val="left" w:pos="900"/>
        </w:tabs>
        <w:spacing w:line="500" w:lineRule="exact"/>
        <w:ind w:firstLine="482" w:firstLineChars="200"/>
        <w:outlineLvl w:val="1"/>
        <w:rPr>
          <w:rFonts w:ascii="宋体" w:hAnsi="宋体" w:cs="宋体"/>
          <w:b/>
          <w:sz w:val="24"/>
        </w:rPr>
      </w:pPr>
      <w:r>
        <w:rPr>
          <w:rFonts w:hint="eastAsia" w:ascii="宋体" w:hAnsi="宋体" w:cs="宋体"/>
          <w:b/>
          <w:sz w:val="24"/>
        </w:rPr>
        <w:t xml:space="preserve">二、设施： </w:t>
      </w:r>
    </w:p>
    <w:p>
      <w:pPr>
        <w:widowControl/>
        <w:spacing w:line="440" w:lineRule="exact"/>
        <w:jc w:val="left"/>
        <w:rPr>
          <w:rFonts w:ascii="宋体" w:hAnsi="宋体" w:cs="宋体"/>
          <w:b/>
          <w:sz w:val="24"/>
        </w:rPr>
      </w:pPr>
      <w:r>
        <w:rPr>
          <w:rFonts w:hint="eastAsia" w:ascii="宋体" w:hAnsi="宋体" w:cs="宋体"/>
          <w:b/>
          <w:sz w:val="24"/>
        </w:rPr>
        <w:t xml:space="preserve">    1、消火栓未能通过低压压力开关、流量开关等方式起泵。不符合《消防给水及消火栓系统技术规范》GB50974-2014 条；</w:t>
      </w:r>
    </w:p>
    <w:p>
      <w:pPr>
        <w:spacing w:line="440" w:lineRule="exact"/>
        <w:rPr>
          <w:rFonts w:ascii="宋体" w:hAnsi="宋体" w:cs="宋体"/>
          <w:sz w:val="24"/>
        </w:rPr>
      </w:pPr>
      <w:r>
        <w:rPr>
          <w:rFonts w:hint="eastAsia" w:ascii="宋体" w:hAnsi="宋体" w:cs="宋体"/>
          <w:sz w:val="24"/>
        </w:rPr>
        <w:t xml:space="preserve">    原图纸设计消火栓水源为得英楼下消防水池，并且通过压力开关启泵。现场消火栓使用的市政消防管网水源。整改按图纸要把原市政管网与室内消火栓管网切断，室内消火栓管网顶管铺设至得英楼消防泵房，并增加相关启泵线。</w:t>
      </w:r>
    </w:p>
    <w:p>
      <w:pPr>
        <w:widowControl/>
        <w:spacing w:line="440" w:lineRule="exact"/>
        <w:ind w:firstLine="480" w:firstLineChars="200"/>
        <w:jc w:val="left"/>
        <w:rPr>
          <w:rFonts w:ascii="宋体" w:hAnsi="宋体" w:cs="宋体"/>
          <w:sz w:val="24"/>
        </w:rPr>
      </w:pPr>
      <w:r>
        <w:rPr>
          <w:rFonts w:hint="eastAsia" w:ascii="宋体" w:hAnsi="宋体" w:cs="宋体"/>
          <w:sz w:val="24"/>
        </w:rPr>
        <w:t>顶管要求：规格：PE聚乙烯管DN100；要求达到工作压力8KG；工作范围：管道与甲方指定泵房管道对接（镀锌钢管）；顶管工作方式：牵引或顶进法；备注：包含墙体开洞、封堵，牵引或顶管管道施工中检查井、工作井、顶管接收井、连接管道及所有工序附件、绿化破坏恢复原样等在内的一切费用,投标人自行现场勘察并报价。</w:t>
      </w:r>
    </w:p>
    <w:p>
      <w:pPr>
        <w:widowControl/>
        <w:spacing w:line="440" w:lineRule="exact"/>
        <w:jc w:val="left"/>
        <w:rPr>
          <w:rFonts w:ascii="宋体" w:hAnsi="宋体" w:cs="宋体"/>
          <w:b/>
          <w:sz w:val="24"/>
        </w:rPr>
      </w:pPr>
      <w:r>
        <w:rPr>
          <w:rFonts w:hint="eastAsia" w:ascii="宋体" w:hAnsi="宋体" w:cs="宋体"/>
          <w:b/>
          <w:sz w:val="24"/>
        </w:rPr>
        <w:t xml:space="preserve">    2、未按图设置室外消火栓。</w:t>
      </w:r>
    </w:p>
    <w:p>
      <w:pPr>
        <w:widowControl/>
        <w:spacing w:line="440" w:lineRule="exact"/>
        <w:jc w:val="left"/>
        <w:rPr>
          <w:rFonts w:ascii="宋体" w:hAnsi="宋体" w:cs="宋体"/>
          <w:sz w:val="24"/>
        </w:rPr>
      </w:pPr>
      <w:r>
        <w:rPr>
          <w:rFonts w:hint="eastAsia" w:ascii="宋体" w:hAnsi="宋体" w:cs="宋体"/>
          <w:sz w:val="24"/>
        </w:rPr>
        <w:t xml:space="preserve">    室外消火栓设置与大楼东西两侧各一个，连接到市政消火栓管网。试压、消毒冲洗并符合设计规范及验收要求；消火栓2个，并砌筑相应的阀门井，增加阀门。</w:t>
      </w:r>
    </w:p>
    <w:p>
      <w:pPr>
        <w:tabs>
          <w:tab w:val="left" w:pos="900"/>
        </w:tabs>
        <w:spacing w:line="500" w:lineRule="exact"/>
        <w:ind w:firstLine="482" w:firstLineChars="200"/>
        <w:outlineLvl w:val="1"/>
        <w:rPr>
          <w:rFonts w:ascii="宋体" w:hAnsi="宋体" w:cs="宋体"/>
          <w:b/>
          <w:sz w:val="24"/>
        </w:rPr>
      </w:pPr>
      <w:r>
        <w:rPr>
          <w:rFonts w:hint="eastAsia" w:ascii="宋体" w:hAnsi="宋体" w:cs="宋体"/>
          <w:b/>
          <w:sz w:val="24"/>
        </w:rPr>
        <w:t>三、验收标准：</w:t>
      </w:r>
    </w:p>
    <w:p>
      <w:pPr>
        <w:spacing w:line="500" w:lineRule="exact"/>
        <w:ind w:firstLine="480" w:firstLineChars="200"/>
        <w:rPr>
          <w:rFonts w:ascii="宋体" w:hAnsi="宋体" w:cs="宋体"/>
          <w:sz w:val="24"/>
        </w:rPr>
      </w:pPr>
      <w:r>
        <w:rPr>
          <w:rFonts w:hint="eastAsia" w:ascii="宋体" w:hAnsi="宋体" w:cs="宋体"/>
          <w:sz w:val="24"/>
        </w:rPr>
        <w:t xml:space="preserve">满足招标人要求并通过上级主管部门验收 </w:t>
      </w:r>
    </w:p>
    <w:p>
      <w:pPr>
        <w:tabs>
          <w:tab w:val="left" w:pos="900"/>
        </w:tabs>
        <w:spacing w:line="500" w:lineRule="exact"/>
        <w:ind w:firstLine="482" w:firstLineChars="200"/>
        <w:outlineLvl w:val="1"/>
        <w:rPr>
          <w:rFonts w:ascii="宋体" w:hAnsi="宋体" w:cs="宋体"/>
          <w:b/>
          <w:sz w:val="24"/>
        </w:rPr>
      </w:pPr>
      <w:r>
        <w:rPr>
          <w:rFonts w:hint="eastAsia" w:ascii="宋体" w:hAnsi="宋体" w:cs="宋体"/>
          <w:b/>
          <w:sz w:val="24"/>
        </w:rPr>
        <w:t>四、其他</w:t>
      </w:r>
    </w:p>
    <w:p>
      <w:pPr>
        <w:spacing w:line="500" w:lineRule="exact"/>
        <w:ind w:firstLine="480" w:firstLineChars="200"/>
        <w:rPr>
          <w:rFonts w:ascii="宋体" w:hAnsi="宋体" w:cs="宋体"/>
          <w:sz w:val="24"/>
        </w:rPr>
      </w:pPr>
      <w:r>
        <w:rPr>
          <w:rFonts w:hint="eastAsia" w:ascii="宋体" w:hAnsi="宋体" w:cs="宋体"/>
          <w:sz w:val="24"/>
        </w:rPr>
        <w:t>1、竞争性谈判文件中所提供的工程量清单仅为参考清单，投标人现场踏勘后，重新拟定工程量清单，最终以完成任务需求全部内容，并取得主管部门验收合格意见为验收条件，中标后，如工程量清单缺项漏项或工程量不足等视为优惠，不予增项。</w:t>
      </w:r>
    </w:p>
    <w:p>
      <w:pPr>
        <w:spacing w:line="50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b/>
          <w:sz w:val="24"/>
        </w:rPr>
        <w:t>因本项目的特殊性，各投标人在投标前必须对施工现场进行详细踏勘，</w:t>
      </w:r>
      <w:r>
        <w:rPr>
          <w:rFonts w:hint="eastAsia" w:ascii="宋体" w:hAnsi="宋体" w:cs="宋体"/>
          <w:sz w:val="24"/>
        </w:rPr>
        <w:t>以确保本项目满足设计及规范要求。现场勘察如有疑问及时向招标人提出，否则由此引起的一切风险均由投标人自行承担。每项清单必须报全费用单价，如有一项漏报，视同该项为让利免费提供。为完成本项目而必须发生的、但清单中未列明的相关费用也由各投标人自行综合考虑分摊含进投标报价中，结算时不再另增任何费用。</w:t>
      </w:r>
    </w:p>
    <w:p>
      <w:pPr>
        <w:spacing w:line="500" w:lineRule="exact"/>
        <w:ind w:firstLine="480" w:firstLineChars="200"/>
        <w:rPr>
          <w:rFonts w:ascii="宋体" w:hAnsi="宋体" w:cs="宋体"/>
          <w:sz w:val="24"/>
        </w:rPr>
      </w:pPr>
      <w:r>
        <w:rPr>
          <w:rFonts w:hint="eastAsia" w:ascii="宋体" w:hAnsi="宋体" w:cs="宋体"/>
          <w:sz w:val="24"/>
        </w:rPr>
        <w:t>3、工程竣工验收前，中标人必须将工程施工所产生的垃圾及时清运出校园，否则将向招标人承担违约金人民币5000元，直接在到期工程款中扣除。</w:t>
      </w:r>
    </w:p>
    <w:p>
      <w:pPr>
        <w:spacing w:line="500" w:lineRule="exact"/>
        <w:ind w:firstLine="480" w:firstLineChars="200"/>
        <w:rPr>
          <w:rFonts w:ascii="宋体" w:hAnsi="宋体" w:cs="宋体"/>
          <w:sz w:val="24"/>
        </w:rPr>
      </w:pPr>
      <w:r>
        <w:rPr>
          <w:rFonts w:hint="eastAsia" w:ascii="宋体" w:hAnsi="宋体" w:cs="宋体"/>
          <w:sz w:val="24"/>
        </w:rPr>
        <w:t>4、具体施工时根据甲方要求执行，各投标人投标前必须自行对工程施工现场和周围环境进行踏勘，充分了解工地位置、情况、道路、储存空间、装卸限制以及任何其他足以影响承包价的情况，任何因忽视或误解工地情况而导致的索赔或工期延长申请将不被批准。</w:t>
      </w:r>
    </w:p>
    <w:p>
      <w:pPr>
        <w:tabs>
          <w:tab w:val="left" w:pos="900"/>
        </w:tabs>
        <w:spacing w:line="500" w:lineRule="exact"/>
        <w:ind w:firstLine="482" w:firstLineChars="200"/>
        <w:outlineLvl w:val="1"/>
        <w:rPr>
          <w:rFonts w:ascii="宋体" w:hAnsi="宋体" w:cs="宋体"/>
          <w:b/>
          <w:sz w:val="24"/>
        </w:rPr>
      </w:pPr>
      <w:r>
        <w:rPr>
          <w:rFonts w:hint="eastAsia" w:ascii="宋体" w:hAnsi="宋体" w:cs="宋体"/>
          <w:b/>
          <w:sz w:val="24"/>
        </w:rPr>
        <w:t>注：采购标的的所属行业为</w:t>
      </w:r>
      <w:r>
        <w:rPr>
          <w:rFonts w:hint="eastAsia" w:ascii="宋体" w:hAnsi="宋体" w:cs="宋体"/>
          <w:b/>
          <w:sz w:val="24"/>
          <w:u w:val="single"/>
        </w:rPr>
        <w:t xml:space="preserve">  建筑业  </w:t>
      </w:r>
      <w:r>
        <w:rPr>
          <w:rFonts w:hint="eastAsia" w:ascii="宋体" w:hAnsi="宋体" w:cs="宋体"/>
          <w:b/>
          <w:sz w:val="24"/>
        </w:rPr>
        <w:t>，根据《工业和信息化部、国家统计局、国家发展和改革委员会、财政部关于印发中小企业划型标准规定的通知》（工信部联企业[2011]300号）规定的划分标准填写。</w:t>
      </w:r>
    </w:p>
    <w:p/>
    <w:p>
      <w:pPr>
        <w:ind w:firstLine="660"/>
        <w:rPr>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Zjc3ZmM0ZDZhYTJjZDcyYmM4N2QxZjk0ZDViYjQifQ=="/>
  </w:docVars>
  <w:rsids>
    <w:rsidRoot w:val="00000000"/>
    <w:rsid w:val="03450073"/>
    <w:rsid w:val="05A72BD7"/>
    <w:rsid w:val="0B9B0B50"/>
    <w:rsid w:val="2C413E10"/>
    <w:rsid w:val="3C257A29"/>
    <w:rsid w:val="4B807A4A"/>
    <w:rsid w:val="5796147C"/>
    <w:rsid w:val="5A7E088E"/>
    <w:rsid w:val="5BFC68F7"/>
    <w:rsid w:val="5C4D76FA"/>
    <w:rsid w:val="6C6359BE"/>
    <w:rsid w:val="73311A0E"/>
    <w:rsid w:val="75C34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420" w:firstLineChars="200"/>
    </w:pPr>
    <w:rPr>
      <w:rFonts w:ascii="Calibri" w:hAnsi="Calibri" w:eastAsia="宋体"/>
      <w:sz w:val="21"/>
    </w:rPr>
  </w:style>
  <w:style w:type="paragraph" w:styleId="3">
    <w:name w:val="Body Text Indent"/>
    <w:basedOn w:val="1"/>
    <w:next w:val="4"/>
    <w:qFormat/>
    <w:uiPriority w:val="0"/>
    <w:pPr>
      <w:ind w:firstLine="645"/>
    </w:pPr>
    <w:rPr>
      <w:rFonts w:ascii="楷体_GB2312" w:eastAsia="楷体_GB2312"/>
      <w:sz w:val="32"/>
      <w:szCs w:val="20"/>
    </w:rPr>
  </w:style>
  <w:style w:type="paragraph" w:styleId="4">
    <w:name w:val="envelope return"/>
    <w:basedOn w:val="1"/>
    <w:qFormat/>
    <w:uiPriority w:val="0"/>
    <w:pPr>
      <w:snapToGrid w:val="0"/>
    </w:pPr>
    <w:rPr>
      <w:rFonts w:ascii="Arial" w:hAnsi="Arial" w:cs="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2023-10-08T09:11:19Z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567C3DD905534D5CBE82ABB29CB728F4</vt:lpwstr>
  </property>
</Properties>
</file>