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7776263"/>
    <w:p w14:paraId="44D02184"/>
    <w:p w14:paraId="7EE564E8"/>
    <w:p w14:paraId="7327449A">
      <w:pPr>
        <w:ind w:firstLine="2400" w:firstLineChars="500"/>
        <w:rPr>
          <w:rFonts w:ascii="方正小标宋简体" w:eastAsia="方正小标宋简体"/>
          <w:bCs/>
          <w:color w:val="000000"/>
          <w:sz w:val="48"/>
          <w:szCs w:val="20"/>
        </w:rPr>
      </w:pPr>
    </w:p>
    <w:p w14:paraId="198084E3"/>
    <w:p w14:paraId="38926B75"/>
    <w:p w14:paraId="6B75DF70">
      <w:pPr>
        <w:ind w:left="50" w:leftChars="-200" w:hanging="470" w:hangingChars="49"/>
        <w:jc w:val="center"/>
        <w:rPr>
          <w:rFonts w:ascii="方正小标宋_GBK" w:hAnsi="方正小标宋_GBK" w:eastAsia="方正小标宋_GBK" w:cs="方正小标宋_GBK"/>
          <w:bCs/>
          <w:color w:val="000000"/>
          <w:sz w:val="96"/>
          <w:szCs w:val="96"/>
        </w:rPr>
      </w:pPr>
      <w:r>
        <w:rPr>
          <w:rFonts w:hint="eastAsia" w:ascii="方正小标宋_GBK" w:hAnsi="方正小标宋_GBK" w:eastAsia="方正小标宋_GBK" w:cs="方正小标宋_GBK"/>
          <w:bCs/>
          <w:color w:val="000000"/>
          <w:sz w:val="96"/>
          <w:szCs w:val="96"/>
        </w:rPr>
        <w:t>招 标 文 件</w:t>
      </w:r>
    </w:p>
    <w:p w14:paraId="36D6885F">
      <w:pPr>
        <w:ind w:left="50" w:leftChars="-200" w:hanging="470" w:hangingChars="49"/>
        <w:jc w:val="center"/>
        <w:rPr>
          <w:rFonts w:ascii="方正小标宋_GBK" w:hAnsi="方正小标宋_GBK" w:eastAsia="方正小标宋_GBK" w:cs="方正小标宋_GBK"/>
          <w:bCs/>
          <w:color w:val="000000"/>
          <w:sz w:val="96"/>
          <w:szCs w:val="96"/>
        </w:rPr>
      </w:pPr>
    </w:p>
    <w:p w14:paraId="52B49828">
      <w:pPr>
        <w:ind w:firstLine="1920" w:firstLineChars="600"/>
        <w:rPr>
          <w:rFonts w:ascii="宋体"/>
          <w:bCs/>
          <w:color w:val="000000"/>
          <w:sz w:val="32"/>
          <w:szCs w:val="20"/>
        </w:rPr>
      </w:pPr>
      <w:r>
        <w:rPr>
          <w:rFonts w:hint="eastAsia" w:ascii="宋体"/>
          <w:bCs/>
          <w:color w:val="000000"/>
          <w:sz w:val="32"/>
          <w:szCs w:val="20"/>
        </w:rPr>
        <w:t>项目编号：</w:t>
      </w:r>
      <w:r>
        <w:rPr>
          <w:rFonts w:ascii="宋体"/>
          <w:bCs/>
          <w:color w:val="000000"/>
          <w:sz w:val="32"/>
          <w:szCs w:val="20"/>
        </w:rPr>
        <w:t>SY2024-030-FW-GK</w:t>
      </w:r>
    </w:p>
    <w:p w14:paraId="39E0329D">
      <w:pPr>
        <w:pStyle w:val="62"/>
        <w:ind w:firstLine="1920" w:firstLineChars="600"/>
        <w:rPr>
          <w:rFonts w:ascii="宋体" w:hAnsi="Times New Roman" w:cs="Times New Roman"/>
          <w:bCs/>
          <w:color w:val="000000"/>
          <w:sz w:val="32"/>
          <w:szCs w:val="20"/>
        </w:rPr>
      </w:pPr>
      <w:r>
        <w:rPr>
          <w:rFonts w:hint="eastAsia" w:ascii="宋体" w:hAnsi="Times New Roman" w:cs="Times New Roman"/>
          <w:bCs/>
          <w:color w:val="000000"/>
          <w:sz w:val="32"/>
          <w:szCs w:val="20"/>
        </w:rPr>
        <w:t>项目名称：江苏医药职业学院网络驻场运维服务项目</w:t>
      </w:r>
    </w:p>
    <w:p w14:paraId="5EA83129">
      <w:pPr>
        <w:pStyle w:val="62"/>
        <w:ind w:firstLine="0" w:firstLineChars="0"/>
        <w:rPr>
          <w:bCs/>
        </w:rPr>
      </w:pPr>
    </w:p>
    <w:p w14:paraId="1A69BA6C">
      <w:pPr>
        <w:rPr>
          <w:rFonts w:ascii="宋体"/>
          <w:b/>
          <w:color w:val="000000"/>
          <w:sz w:val="32"/>
        </w:rPr>
      </w:pPr>
    </w:p>
    <w:p w14:paraId="4D389493">
      <w:pPr>
        <w:rPr>
          <w:rFonts w:ascii="宋体"/>
          <w:b/>
          <w:color w:val="000000"/>
          <w:sz w:val="32"/>
        </w:rPr>
      </w:pPr>
    </w:p>
    <w:p w14:paraId="28F0A2B5">
      <w:pPr>
        <w:pStyle w:val="63"/>
        <w:rPr>
          <w:rFonts w:ascii="宋体"/>
          <w:b/>
          <w:color w:val="000000"/>
          <w:sz w:val="32"/>
          <w:lang w:eastAsia="zh-CN"/>
        </w:rPr>
      </w:pPr>
    </w:p>
    <w:p w14:paraId="4B40045F">
      <w:pPr>
        <w:pStyle w:val="63"/>
        <w:rPr>
          <w:rFonts w:ascii="宋体"/>
          <w:b/>
          <w:color w:val="000000"/>
          <w:sz w:val="32"/>
          <w:lang w:eastAsia="zh-CN"/>
        </w:rPr>
      </w:pPr>
    </w:p>
    <w:p w14:paraId="7878E71A">
      <w:pPr>
        <w:ind w:firstLine="1920" w:firstLineChars="600"/>
        <w:rPr>
          <w:rFonts w:ascii="宋体"/>
          <w:bCs/>
          <w:color w:val="000000"/>
          <w:sz w:val="32"/>
          <w:szCs w:val="20"/>
        </w:rPr>
      </w:pPr>
      <w:r>
        <w:rPr>
          <w:rFonts w:hint="eastAsia" w:ascii="宋体"/>
          <w:bCs/>
          <w:color w:val="000000"/>
          <w:sz w:val="32"/>
          <w:szCs w:val="20"/>
        </w:rPr>
        <w:t>采购人：江苏医药职业学院</w:t>
      </w:r>
    </w:p>
    <w:p w14:paraId="77957F1D">
      <w:pPr>
        <w:ind w:firstLine="1920" w:firstLineChars="600"/>
        <w:rPr>
          <w:rFonts w:ascii="宋体"/>
          <w:bCs/>
          <w:color w:val="000000"/>
          <w:sz w:val="32"/>
          <w:szCs w:val="20"/>
        </w:rPr>
      </w:pPr>
      <w:r>
        <w:rPr>
          <w:rFonts w:hint="eastAsia" w:ascii="宋体"/>
          <w:bCs/>
          <w:color w:val="000000"/>
          <w:sz w:val="32"/>
          <w:szCs w:val="20"/>
        </w:rPr>
        <w:t>采购代理机构：江苏国信政府采购服务中心有限公司</w:t>
      </w:r>
    </w:p>
    <w:p w14:paraId="5CDF689E">
      <w:pPr>
        <w:ind w:firstLine="1920" w:firstLineChars="600"/>
        <w:rPr>
          <w:rFonts w:ascii="宋体"/>
          <w:bCs/>
          <w:color w:val="000000"/>
          <w:sz w:val="32"/>
          <w:szCs w:val="20"/>
        </w:rPr>
      </w:pPr>
    </w:p>
    <w:p w14:paraId="0012913F">
      <w:pPr>
        <w:ind w:firstLine="1920" w:firstLineChars="600"/>
        <w:rPr>
          <w:rFonts w:ascii="宋体"/>
          <w:bCs/>
          <w:color w:val="000000"/>
          <w:sz w:val="32"/>
          <w:szCs w:val="20"/>
        </w:rPr>
      </w:pPr>
    </w:p>
    <w:p w14:paraId="5EF668CF">
      <w:pPr>
        <w:ind w:firstLine="1920" w:firstLineChars="600"/>
        <w:rPr>
          <w:rFonts w:ascii="宋体"/>
          <w:bCs/>
          <w:color w:val="000000"/>
          <w:sz w:val="32"/>
          <w:szCs w:val="20"/>
        </w:rPr>
      </w:pPr>
    </w:p>
    <w:p w14:paraId="50666221">
      <w:pPr>
        <w:ind w:firstLine="3520" w:firstLineChars="1100"/>
        <w:rPr>
          <w:rFonts w:ascii="宋体"/>
          <w:bCs/>
          <w:color w:val="000000"/>
          <w:sz w:val="32"/>
          <w:szCs w:val="20"/>
        </w:rPr>
      </w:pPr>
      <w:r>
        <w:rPr>
          <w:rFonts w:hint="eastAsia" w:ascii="宋体"/>
          <w:bCs/>
          <w:color w:val="000000"/>
          <w:sz w:val="32"/>
          <w:szCs w:val="20"/>
        </w:rPr>
        <w:t>2024年</w:t>
      </w:r>
      <w:r>
        <w:rPr>
          <w:rFonts w:ascii="宋体"/>
          <w:bCs/>
          <w:color w:val="000000"/>
          <w:sz w:val="32"/>
          <w:szCs w:val="20"/>
        </w:rPr>
        <w:t>11</w:t>
      </w:r>
      <w:r>
        <w:rPr>
          <w:rFonts w:hint="eastAsia" w:ascii="宋体"/>
          <w:bCs/>
          <w:color w:val="000000"/>
          <w:sz w:val="32"/>
          <w:szCs w:val="20"/>
        </w:rPr>
        <w:t>月</w:t>
      </w:r>
    </w:p>
    <w:p w14:paraId="65BAFF13">
      <w:pPr>
        <w:spacing w:line="480" w:lineRule="auto"/>
        <w:jc w:val="center"/>
        <w:rPr>
          <w:rFonts w:ascii="宋体" w:hAnsi="宋体" w:cs="宋体"/>
          <w:bCs/>
          <w:color w:val="000000"/>
          <w:sz w:val="44"/>
        </w:rPr>
      </w:pPr>
      <w:r>
        <w:rPr>
          <w:color w:val="000000"/>
        </w:rPr>
        <w:br w:type="page"/>
      </w:r>
      <w:bookmarkStart w:id="0" w:name="_Toc120614210"/>
      <w:bookmarkStart w:id="1" w:name="_Toc513029200"/>
      <w:bookmarkStart w:id="2" w:name="_Toc20823272"/>
      <w:bookmarkStart w:id="3" w:name="_Toc16938516"/>
      <w:bookmarkStart w:id="4" w:name="_Toc523127445"/>
      <w:bookmarkStart w:id="5" w:name="_Toc479757206"/>
    </w:p>
    <w:p w14:paraId="57D6EC5C">
      <w:pPr>
        <w:spacing w:line="480" w:lineRule="auto"/>
        <w:jc w:val="center"/>
        <w:rPr>
          <w:rFonts w:ascii="宋体" w:hAnsi="宋体" w:cs="宋体"/>
          <w:b/>
          <w:bCs/>
          <w:color w:val="000000"/>
          <w:sz w:val="44"/>
        </w:rPr>
      </w:pPr>
    </w:p>
    <w:p w14:paraId="36DC58BE">
      <w:pPr>
        <w:spacing w:line="480" w:lineRule="auto"/>
        <w:jc w:val="center"/>
        <w:outlineLvl w:val="0"/>
        <w:rPr>
          <w:rFonts w:ascii="宋体" w:hAnsi="宋体" w:cs="宋体"/>
          <w:b/>
          <w:bCs/>
          <w:color w:val="000000"/>
          <w:sz w:val="44"/>
        </w:rPr>
      </w:pPr>
      <w:bookmarkStart w:id="6" w:name="_Toc173309772"/>
      <w:bookmarkStart w:id="7" w:name="_Toc178079298"/>
      <w:bookmarkStart w:id="8" w:name="_Toc181627027"/>
      <w:r>
        <w:rPr>
          <w:rFonts w:hint="eastAsia" w:ascii="宋体" w:hAnsi="宋体" w:cs="宋体"/>
          <w:b/>
          <w:bCs/>
          <w:color w:val="000000"/>
          <w:sz w:val="44"/>
        </w:rPr>
        <w:t>总  目  录</w:t>
      </w:r>
      <w:bookmarkEnd w:id="6"/>
      <w:bookmarkEnd w:id="7"/>
      <w:bookmarkEnd w:id="8"/>
    </w:p>
    <w:sdt>
      <w:sdtPr>
        <w:rPr>
          <w:rFonts w:ascii="Times New Roman" w:hAnsi="Times New Roman"/>
          <w:caps w:val="0"/>
          <w:sz w:val="21"/>
          <w:szCs w:val="21"/>
          <w:lang w:val="zh-CN"/>
        </w:rPr>
        <w:id w:val="623352050"/>
        <w:docPartObj>
          <w:docPartGallery w:val="Table of Contents"/>
          <w:docPartUnique/>
        </w:docPartObj>
      </w:sdtPr>
      <w:sdtEndPr>
        <w:rPr>
          <w:rFonts w:ascii="Times New Roman" w:hAnsi="Times New Roman"/>
          <w:b/>
          <w:bCs/>
          <w:caps w:val="0"/>
          <w:sz w:val="21"/>
          <w:szCs w:val="21"/>
          <w:lang w:val="zh-CN"/>
        </w:rPr>
      </w:sdtEndPr>
      <w:sdtContent>
        <w:p w14:paraId="6A33E58B">
          <w:pPr>
            <w:pStyle w:val="31"/>
            <w:rPr>
              <w:rFonts w:asciiTheme="minorHAnsi" w:hAnsiTheme="minorHAnsi" w:eastAsiaTheme="minorEastAsia" w:cstheme="minorBidi"/>
              <w:caps w:val="0"/>
              <w:sz w:val="21"/>
              <w:szCs w:val="22"/>
            </w:rPr>
          </w:pPr>
          <w:r>
            <w:rPr>
              <w:rFonts w:ascii="Calibri Light" w:hAnsi="Calibri Light"/>
              <w:color w:val="2E74B5"/>
              <w:kern w:val="0"/>
              <w:sz w:val="32"/>
              <w:szCs w:val="32"/>
            </w:rPr>
            <w:fldChar w:fldCharType="begin"/>
          </w:r>
          <w:r>
            <w:instrText xml:space="preserve"> TOC \o "1-1" \h \z \u </w:instrText>
          </w:r>
          <w:r>
            <w:rPr>
              <w:rFonts w:ascii="Calibri Light" w:hAnsi="Calibri Light"/>
              <w:color w:val="2E74B5"/>
              <w:kern w:val="0"/>
              <w:sz w:val="32"/>
              <w:szCs w:val="32"/>
            </w:rPr>
            <w:fldChar w:fldCharType="separate"/>
          </w:r>
        </w:p>
        <w:p w14:paraId="20865ADF">
          <w:pPr>
            <w:pStyle w:val="31"/>
            <w:rPr>
              <w:rFonts w:asciiTheme="minorHAnsi" w:hAnsiTheme="minorHAnsi" w:eastAsiaTheme="minorEastAsia" w:cstheme="minorBidi"/>
              <w:caps w:val="0"/>
              <w:sz w:val="21"/>
              <w:szCs w:val="22"/>
            </w:rPr>
          </w:pPr>
          <w:r>
            <w:fldChar w:fldCharType="begin"/>
          </w:r>
          <w:r>
            <w:instrText xml:space="preserve"> HYPERLINK \l "_Toc181627028" </w:instrText>
          </w:r>
          <w:r>
            <w:fldChar w:fldCharType="separate"/>
          </w:r>
          <w:r>
            <w:rPr>
              <w:rStyle w:val="52"/>
              <w:rFonts w:hint="eastAsia" w:ascii="方正小标宋_GBK" w:hAnsi="方正小标宋_GBK" w:eastAsia="方正小标宋_GBK" w:cs="方正小标宋_GBK"/>
            </w:rPr>
            <w:t>第一章</w:t>
          </w:r>
          <w:r>
            <w:rPr>
              <w:rStyle w:val="52"/>
              <w:rFonts w:ascii="方正小标宋_GBK" w:hAnsi="方正小标宋_GBK" w:eastAsia="方正小标宋_GBK" w:cs="方正小标宋_GBK"/>
            </w:rPr>
            <w:t xml:space="preserve"> </w:t>
          </w:r>
          <w:r>
            <w:rPr>
              <w:rStyle w:val="52"/>
              <w:rFonts w:hint="eastAsia" w:ascii="方正小标宋_GBK" w:hAnsi="方正小标宋_GBK" w:eastAsia="方正小标宋_GBK" w:cs="方正小标宋_GBK"/>
            </w:rPr>
            <w:t>招标公告</w:t>
          </w:r>
          <w:r>
            <w:tab/>
          </w:r>
          <w:r>
            <w:fldChar w:fldCharType="begin"/>
          </w:r>
          <w:r>
            <w:instrText xml:space="preserve"> PAGEREF _Toc181627028 \h </w:instrText>
          </w:r>
          <w:r>
            <w:fldChar w:fldCharType="separate"/>
          </w:r>
          <w:r>
            <w:t>1</w:t>
          </w:r>
          <w:r>
            <w:fldChar w:fldCharType="end"/>
          </w:r>
          <w:r>
            <w:fldChar w:fldCharType="end"/>
          </w:r>
        </w:p>
        <w:p w14:paraId="5B3173EA">
          <w:pPr>
            <w:pStyle w:val="31"/>
            <w:rPr>
              <w:rFonts w:asciiTheme="minorHAnsi" w:hAnsiTheme="minorHAnsi" w:eastAsiaTheme="minorEastAsia" w:cstheme="minorBidi"/>
              <w:caps w:val="0"/>
              <w:sz w:val="21"/>
              <w:szCs w:val="22"/>
            </w:rPr>
          </w:pPr>
          <w:r>
            <w:fldChar w:fldCharType="begin"/>
          </w:r>
          <w:r>
            <w:instrText xml:space="preserve"> HYPERLINK \l "_Toc181627029" </w:instrText>
          </w:r>
          <w:r>
            <w:fldChar w:fldCharType="separate"/>
          </w:r>
          <w:r>
            <w:rPr>
              <w:rStyle w:val="52"/>
              <w:rFonts w:hint="eastAsia" w:ascii="方正小标宋_GBK" w:hAnsi="方正小标宋_GBK" w:eastAsia="方正小标宋_GBK" w:cs="方正小标宋_GBK"/>
            </w:rPr>
            <w:t>第二章</w:t>
          </w:r>
          <w:r>
            <w:rPr>
              <w:rStyle w:val="52"/>
              <w:rFonts w:ascii="方正小标宋_GBK" w:hAnsi="方正小标宋_GBK" w:eastAsia="方正小标宋_GBK" w:cs="方正小标宋_GBK"/>
            </w:rPr>
            <w:t xml:space="preserve"> </w:t>
          </w:r>
          <w:r>
            <w:rPr>
              <w:rStyle w:val="52"/>
              <w:rFonts w:hint="eastAsia" w:ascii="方正小标宋_GBK" w:hAnsi="方正小标宋_GBK" w:eastAsia="方正小标宋_GBK" w:cs="方正小标宋_GBK"/>
            </w:rPr>
            <w:t>投标人须知</w:t>
          </w:r>
          <w:r>
            <w:tab/>
          </w:r>
          <w:r>
            <w:fldChar w:fldCharType="begin"/>
          </w:r>
          <w:r>
            <w:instrText xml:space="preserve"> PAGEREF _Toc181627029 \h </w:instrText>
          </w:r>
          <w:r>
            <w:fldChar w:fldCharType="separate"/>
          </w:r>
          <w:r>
            <w:t>4</w:t>
          </w:r>
          <w:r>
            <w:fldChar w:fldCharType="end"/>
          </w:r>
          <w:r>
            <w:fldChar w:fldCharType="end"/>
          </w:r>
        </w:p>
        <w:p w14:paraId="3A7D300A">
          <w:pPr>
            <w:pStyle w:val="31"/>
            <w:rPr>
              <w:rFonts w:asciiTheme="minorHAnsi" w:hAnsiTheme="minorHAnsi" w:eastAsiaTheme="minorEastAsia" w:cstheme="minorBidi"/>
              <w:caps w:val="0"/>
              <w:sz w:val="21"/>
              <w:szCs w:val="22"/>
            </w:rPr>
          </w:pPr>
          <w:r>
            <w:fldChar w:fldCharType="begin"/>
          </w:r>
          <w:r>
            <w:instrText xml:space="preserve"> HYPERLINK \l "_Toc181627030" </w:instrText>
          </w:r>
          <w:r>
            <w:fldChar w:fldCharType="separate"/>
          </w:r>
          <w:r>
            <w:rPr>
              <w:rStyle w:val="52"/>
              <w:rFonts w:hint="eastAsia" w:ascii="方正小标宋_GBK" w:hAnsi="方正小标宋_GBK" w:eastAsia="方正小标宋_GBK" w:cs="方正小标宋_GBK"/>
            </w:rPr>
            <w:t>第三章</w:t>
          </w:r>
          <w:r>
            <w:rPr>
              <w:rStyle w:val="52"/>
              <w:rFonts w:ascii="方正小标宋_GBK" w:hAnsi="方正小标宋_GBK" w:eastAsia="方正小标宋_GBK" w:cs="方正小标宋_GBK"/>
            </w:rPr>
            <w:t xml:space="preserve">  </w:t>
          </w:r>
          <w:r>
            <w:rPr>
              <w:rStyle w:val="52"/>
              <w:rFonts w:hint="eastAsia" w:ascii="方正小标宋_GBK" w:hAnsi="方正小标宋_GBK" w:eastAsia="方正小标宋_GBK" w:cs="方正小标宋_GBK"/>
            </w:rPr>
            <w:t>合同条款及格式</w:t>
          </w:r>
          <w:r>
            <w:tab/>
          </w:r>
          <w:r>
            <w:fldChar w:fldCharType="begin"/>
          </w:r>
          <w:r>
            <w:instrText xml:space="preserve"> PAGEREF _Toc181627030 \h </w:instrText>
          </w:r>
          <w:r>
            <w:fldChar w:fldCharType="separate"/>
          </w:r>
          <w:r>
            <w:t>17</w:t>
          </w:r>
          <w:r>
            <w:fldChar w:fldCharType="end"/>
          </w:r>
          <w:r>
            <w:fldChar w:fldCharType="end"/>
          </w:r>
        </w:p>
        <w:p w14:paraId="72F31703">
          <w:pPr>
            <w:pStyle w:val="31"/>
            <w:rPr>
              <w:rFonts w:asciiTheme="minorHAnsi" w:hAnsiTheme="minorHAnsi" w:eastAsiaTheme="minorEastAsia" w:cstheme="minorBidi"/>
              <w:caps w:val="0"/>
              <w:sz w:val="21"/>
              <w:szCs w:val="22"/>
            </w:rPr>
          </w:pPr>
          <w:r>
            <w:fldChar w:fldCharType="begin"/>
          </w:r>
          <w:r>
            <w:instrText xml:space="preserve"> HYPERLINK \l "_Toc181627031" </w:instrText>
          </w:r>
          <w:r>
            <w:fldChar w:fldCharType="separate"/>
          </w:r>
          <w:r>
            <w:rPr>
              <w:rStyle w:val="52"/>
              <w:rFonts w:hint="eastAsia" w:ascii="方正小标宋_GBK" w:hAnsi="方正小标宋_GBK" w:eastAsia="方正小标宋_GBK" w:cs="方正小标宋_GBK"/>
            </w:rPr>
            <w:t>第四章</w:t>
          </w:r>
          <w:r>
            <w:rPr>
              <w:rStyle w:val="52"/>
              <w:rFonts w:ascii="方正小标宋_GBK" w:hAnsi="方正小标宋_GBK" w:eastAsia="方正小标宋_GBK" w:cs="方正小标宋_GBK"/>
            </w:rPr>
            <w:t xml:space="preserve">  </w:t>
          </w:r>
          <w:r>
            <w:rPr>
              <w:rStyle w:val="52"/>
              <w:rFonts w:hint="eastAsia" w:ascii="方正小标宋_GBK" w:hAnsi="方正小标宋_GBK" w:eastAsia="方正小标宋_GBK" w:cs="方正小标宋_GBK"/>
            </w:rPr>
            <w:t>项目需求</w:t>
          </w:r>
          <w:r>
            <w:tab/>
          </w:r>
          <w:r>
            <w:fldChar w:fldCharType="begin"/>
          </w:r>
          <w:r>
            <w:instrText xml:space="preserve"> PAGEREF _Toc181627031 \h </w:instrText>
          </w:r>
          <w:r>
            <w:fldChar w:fldCharType="separate"/>
          </w:r>
          <w:r>
            <w:t>23</w:t>
          </w:r>
          <w:r>
            <w:fldChar w:fldCharType="end"/>
          </w:r>
          <w:r>
            <w:fldChar w:fldCharType="end"/>
          </w:r>
        </w:p>
        <w:p w14:paraId="639D5632">
          <w:pPr>
            <w:pStyle w:val="31"/>
            <w:rPr>
              <w:rFonts w:asciiTheme="minorHAnsi" w:hAnsiTheme="minorHAnsi" w:eastAsiaTheme="minorEastAsia" w:cstheme="minorBidi"/>
              <w:caps w:val="0"/>
              <w:sz w:val="21"/>
              <w:szCs w:val="22"/>
            </w:rPr>
          </w:pPr>
          <w:r>
            <w:fldChar w:fldCharType="begin"/>
          </w:r>
          <w:r>
            <w:instrText xml:space="preserve"> HYPERLINK \l "_Toc181627033" </w:instrText>
          </w:r>
          <w:r>
            <w:fldChar w:fldCharType="separate"/>
          </w:r>
          <w:r>
            <w:rPr>
              <w:rStyle w:val="52"/>
              <w:rFonts w:hint="eastAsia" w:ascii="方正小标宋_GBK" w:hAnsi="方正小标宋_GBK" w:eastAsia="方正小标宋_GBK" w:cs="方正小标宋_GBK"/>
            </w:rPr>
            <w:t>第五章</w:t>
          </w:r>
          <w:r>
            <w:rPr>
              <w:rStyle w:val="52"/>
              <w:rFonts w:hint="eastAsia" w:cs="宋体"/>
            </w:rPr>
            <w:t xml:space="preserve">  </w:t>
          </w:r>
          <w:r>
            <w:rPr>
              <w:rStyle w:val="52"/>
              <w:rFonts w:hint="eastAsia" w:ascii="方正小标宋_GBK" w:hAnsi="方正小标宋_GBK" w:eastAsia="方正小标宋_GBK" w:cs="方正小标宋_GBK"/>
            </w:rPr>
            <w:t>评标方法与评标标准</w:t>
          </w:r>
          <w:r>
            <w:tab/>
          </w:r>
          <w:r>
            <w:fldChar w:fldCharType="begin"/>
          </w:r>
          <w:r>
            <w:instrText xml:space="preserve"> PAGEREF _Toc181627033 \h </w:instrText>
          </w:r>
          <w:r>
            <w:fldChar w:fldCharType="separate"/>
          </w:r>
          <w:r>
            <w:t>28</w:t>
          </w:r>
          <w:r>
            <w:fldChar w:fldCharType="end"/>
          </w:r>
          <w:r>
            <w:fldChar w:fldCharType="end"/>
          </w:r>
        </w:p>
        <w:p w14:paraId="6373CF10">
          <w:pPr>
            <w:pStyle w:val="31"/>
            <w:rPr>
              <w:rFonts w:asciiTheme="minorHAnsi" w:hAnsiTheme="minorHAnsi" w:eastAsiaTheme="minorEastAsia" w:cstheme="minorBidi"/>
              <w:caps w:val="0"/>
              <w:sz w:val="21"/>
              <w:szCs w:val="22"/>
            </w:rPr>
          </w:pPr>
          <w:r>
            <w:fldChar w:fldCharType="begin"/>
          </w:r>
          <w:r>
            <w:instrText xml:space="preserve"> HYPERLINK \l "_Toc181627034" </w:instrText>
          </w:r>
          <w:r>
            <w:fldChar w:fldCharType="separate"/>
          </w:r>
          <w:r>
            <w:rPr>
              <w:rStyle w:val="52"/>
              <w:rFonts w:hint="eastAsia" w:ascii="方正小标宋_GBK" w:hAnsi="方正小标宋_GBK" w:eastAsia="方正小标宋_GBK" w:cs="方正小标宋_GBK"/>
              <w:bCs/>
              <w:kern w:val="0"/>
            </w:rPr>
            <w:t>第六章</w:t>
          </w:r>
          <w:r>
            <w:rPr>
              <w:rStyle w:val="52"/>
              <w:rFonts w:ascii="方正小标宋_GBK" w:hAnsi="方正小标宋_GBK" w:eastAsia="方正小标宋_GBK" w:cs="方正小标宋_GBK"/>
              <w:bCs/>
              <w:kern w:val="0"/>
            </w:rPr>
            <w:t xml:space="preserve">  </w:t>
          </w:r>
          <w:r>
            <w:rPr>
              <w:rStyle w:val="52"/>
              <w:rFonts w:hint="eastAsia" w:ascii="方正小标宋_GBK" w:hAnsi="方正小标宋_GBK" w:eastAsia="方正小标宋_GBK" w:cs="方正小标宋_GBK"/>
              <w:bCs/>
              <w:kern w:val="0"/>
            </w:rPr>
            <w:t>投标文件格式</w:t>
          </w:r>
          <w:r>
            <w:tab/>
          </w:r>
          <w:r>
            <w:fldChar w:fldCharType="begin"/>
          </w:r>
          <w:r>
            <w:instrText xml:space="preserve"> PAGEREF _Toc181627034 \h </w:instrText>
          </w:r>
          <w:r>
            <w:fldChar w:fldCharType="separate"/>
          </w:r>
          <w:r>
            <w:t>30</w:t>
          </w:r>
          <w:r>
            <w:fldChar w:fldCharType="end"/>
          </w:r>
          <w:r>
            <w:fldChar w:fldCharType="end"/>
          </w:r>
        </w:p>
        <w:p w14:paraId="1C19F5BE">
          <w:r>
            <w:fldChar w:fldCharType="end"/>
          </w:r>
        </w:p>
      </w:sdtContent>
    </w:sdt>
    <w:p w14:paraId="0E7061BF">
      <w:pPr>
        <w:spacing w:line="480" w:lineRule="auto"/>
        <w:rPr>
          <w:rFonts w:ascii="宋体" w:hAnsi="宋体" w:cs="宋体"/>
          <w:bCs/>
          <w:color w:val="000000"/>
          <w:sz w:val="28"/>
        </w:rPr>
      </w:pPr>
    </w:p>
    <w:p w14:paraId="222D7140">
      <w:pPr>
        <w:sectPr>
          <w:headerReference r:id="rId4" w:type="first"/>
          <w:headerReference r:id="rId3" w:type="default"/>
          <w:footerReference r:id="rId5" w:type="default"/>
          <w:pgSz w:w="11906" w:h="16838"/>
          <w:pgMar w:top="1134" w:right="1134" w:bottom="1134" w:left="1134" w:header="794" w:footer="907" w:gutter="0"/>
          <w:pgNumType w:start="1"/>
          <w:cols w:space="720" w:num="1"/>
          <w:titlePg/>
          <w:docGrid w:type="lines" w:linePitch="290" w:charSpace="0"/>
        </w:sectPr>
      </w:pPr>
    </w:p>
    <w:p w14:paraId="1D83AAF7"/>
    <w:p w14:paraId="4F17C7C8">
      <w:pPr>
        <w:pStyle w:val="2"/>
        <w:spacing w:line="500" w:lineRule="exact"/>
        <w:ind w:firstLine="3080" w:firstLineChars="700"/>
        <w:jc w:val="both"/>
        <w:rPr>
          <w:rFonts w:ascii="方正小标宋_GBK" w:hAnsi="方正小标宋_GBK" w:eastAsia="方正小标宋_GBK" w:cs="方正小标宋_GBK"/>
          <w:color w:val="000000"/>
          <w:sz w:val="44"/>
          <w:szCs w:val="44"/>
        </w:rPr>
      </w:pPr>
      <w:bookmarkStart w:id="9" w:name="_Toc181627028"/>
      <w:r>
        <w:rPr>
          <w:rFonts w:hint="eastAsia" w:ascii="方正小标宋_GBK" w:hAnsi="方正小标宋_GBK" w:eastAsia="方正小标宋_GBK" w:cs="方正小标宋_GBK"/>
          <w:color w:val="000000"/>
          <w:sz w:val="44"/>
          <w:szCs w:val="44"/>
        </w:rPr>
        <w:t xml:space="preserve">第一章 </w:t>
      </w:r>
      <w:bookmarkEnd w:id="0"/>
      <w:r>
        <w:rPr>
          <w:rFonts w:hint="eastAsia" w:ascii="方正小标宋_GBK" w:hAnsi="方正小标宋_GBK" w:eastAsia="方正小标宋_GBK" w:cs="方正小标宋_GBK"/>
          <w:color w:val="000000"/>
          <w:sz w:val="44"/>
          <w:szCs w:val="44"/>
        </w:rPr>
        <w:t>招标公告</w:t>
      </w:r>
      <w:bookmarkEnd w:id="9"/>
    </w:p>
    <w:p w14:paraId="50EB42A1">
      <w:pPr>
        <w:spacing w:line="500" w:lineRule="exact"/>
        <w:ind w:firstLine="480" w:firstLineChars="200"/>
        <w:rPr>
          <w:rFonts w:ascii="宋体"/>
          <w:bCs/>
          <w:color w:val="000000"/>
          <w:sz w:val="24"/>
          <w:szCs w:val="24"/>
        </w:rPr>
      </w:pPr>
      <w:bookmarkStart w:id="10" w:name="_Toc35393790"/>
      <w:bookmarkStart w:id="11" w:name="_Toc35393621"/>
      <w:bookmarkStart w:id="12" w:name="_Toc28359079"/>
      <w:bookmarkStart w:id="13" w:name="_Hlk24379207"/>
      <w:bookmarkStart w:id="14" w:name="_Toc28359002"/>
    </w:p>
    <w:p w14:paraId="228DFAB8">
      <w:pPr>
        <w:pBdr>
          <w:top w:val="single" w:color="auto" w:sz="4" w:space="1"/>
          <w:left w:val="single" w:color="auto" w:sz="4" w:space="4"/>
          <w:bottom w:val="single" w:color="auto" w:sz="4" w:space="1"/>
          <w:right w:val="single" w:color="auto" w:sz="4" w:space="4"/>
        </w:pBdr>
        <w:spacing w:line="336" w:lineRule="auto"/>
        <w:ind w:firstLine="442" w:firstLineChars="200"/>
        <w:jc w:val="center"/>
        <w:rPr>
          <w:rFonts w:ascii="宋体" w:hAnsi="宋体"/>
          <w:b/>
          <w:sz w:val="22"/>
        </w:rPr>
      </w:pPr>
      <w:r>
        <w:rPr>
          <w:rFonts w:hint="eastAsia" w:ascii="宋体" w:hAnsi="宋体"/>
          <w:b/>
          <w:sz w:val="22"/>
        </w:rPr>
        <w:t>项目概况</w:t>
      </w:r>
    </w:p>
    <w:p w14:paraId="5303FD0F">
      <w:pPr>
        <w:pBdr>
          <w:top w:val="single" w:color="auto" w:sz="4" w:space="1"/>
          <w:left w:val="single" w:color="auto" w:sz="4" w:space="4"/>
          <w:bottom w:val="single" w:color="auto" w:sz="4" w:space="1"/>
          <w:right w:val="single" w:color="auto" w:sz="4" w:space="4"/>
        </w:pBdr>
        <w:spacing w:line="336" w:lineRule="auto"/>
        <w:ind w:firstLine="440" w:firstLineChars="200"/>
        <w:rPr>
          <w:rFonts w:ascii="宋体" w:hAnsi="宋体"/>
          <w:sz w:val="22"/>
        </w:rPr>
      </w:pPr>
      <w:r>
        <w:rPr>
          <w:rFonts w:hint="eastAsia" w:ascii="宋体" w:hAnsi="宋体" w:cs="宋体"/>
          <w:sz w:val="22"/>
          <w:u w:val="single"/>
        </w:rPr>
        <w:t xml:space="preserve">江苏医药职业学院网络驻场运维服务项目的潜在投标人应在江苏国信政府采购服务中心有限公司获取招标文件，并于2024年 </w:t>
      </w:r>
      <w:r>
        <w:rPr>
          <w:rFonts w:hint="eastAsia" w:ascii="宋体" w:hAnsi="宋体" w:cs="宋体"/>
          <w:sz w:val="22"/>
          <w:u w:val="single"/>
          <w:lang w:val="en-US" w:eastAsia="zh-CN"/>
        </w:rPr>
        <w:t>11</w:t>
      </w:r>
      <w:r>
        <w:rPr>
          <w:rFonts w:hint="eastAsia" w:ascii="宋体" w:hAnsi="宋体" w:cs="宋体"/>
          <w:sz w:val="22"/>
          <w:u w:val="single"/>
        </w:rPr>
        <w:t xml:space="preserve">  月 </w:t>
      </w:r>
      <w:r>
        <w:rPr>
          <w:rFonts w:hint="eastAsia" w:ascii="宋体" w:hAnsi="宋体" w:cs="宋体"/>
          <w:sz w:val="22"/>
          <w:u w:val="single"/>
          <w:lang w:val="en-US" w:eastAsia="zh-CN"/>
        </w:rPr>
        <w:t>20</w:t>
      </w:r>
      <w:r>
        <w:rPr>
          <w:rFonts w:hint="eastAsia" w:ascii="宋体" w:hAnsi="宋体" w:cs="宋体"/>
          <w:sz w:val="22"/>
          <w:u w:val="single"/>
        </w:rPr>
        <w:t xml:space="preserve">  日下午3:00时（北京时间）前递交投标文件。</w:t>
      </w:r>
    </w:p>
    <w:p w14:paraId="12A0DD3A">
      <w:pPr>
        <w:spacing w:line="420" w:lineRule="exact"/>
        <w:ind w:firstLine="482" w:firstLineChars="200"/>
        <w:outlineLvl w:val="1"/>
        <w:rPr>
          <w:rFonts w:ascii="宋体" w:hAnsi="宋体" w:cs="宋体"/>
          <w:b/>
          <w:bCs/>
          <w:sz w:val="24"/>
          <w:szCs w:val="24"/>
        </w:rPr>
      </w:pPr>
      <w:r>
        <w:rPr>
          <w:rFonts w:hint="eastAsia" w:ascii="宋体" w:hAnsi="宋体" w:cs="宋体"/>
          <w:b/>
          <w:bCs/>
          <w:sz w:val="24"/>
          <w:szCs w:val="24"/>
        </w:rPr>
        <w:t>一、项目基本情况</w:t>
      </w:r>
    </w:p>
    <w:p w14:paraId="184706F0">
      <w:pPr>
        <w:spacing w:line="420" w:lineRule="exact"/>
        <w:ind w:firstLine="480" w:firstLineChars="200"/>
        <w:rPr>
          <w:rFonts w:ascii="宋体"/>
          <w:bCs/>
          <w:color w:val="000000"/>
          <w:sz w:val="24"/>
          <w:szCs w:val="24"/>
        </w:rPr>
      </w:pPr>
      <w:r>
        <w:rPr>
          <w:rFonts w:hint="eastAsia" w:ascii="宋体"/>
          <w:bCs/>
          <w:color w:val="000000"/>
          <w:sz w:val="24"/>
          <w:szCs w:val="24"/>
        </w:rPr>
        <w:t>项目编号：</w:t>
      </w:r>
      <w:r>
        <w:rPr>
          <w:rFonts w:ascii="宋体"/>
          <w:bCs/>
          <w:color w:val="000000"/>
          <w:sz w:val="24"/>
          <w:szCs w:val="24"/>
        </w:rPr>
        <w:t xml:space="preserve">SY2024-030-FW-GK </w:t>
      </w:r>
    </w:p>
    <w:p w14:paraId="76D40F01">
      <w:pPr>
        <w:spacing w:line="420" w:lineRule="exact"/>
        <w:ind w:firstLine="480" w:firstLineChars="200"/>
        <w:rPr>
          <w:rFonts w:ascii="宋体"/>
          <w:bCs/>
          <w:color w:val="000000"/>
          <w:sz w:val="24"/>
          <w:szCs w:val="24"/>
        </w:rPr>
      </w:pPr>
      <w:r>
        <w:rPr>
          <w:rFonts w:hint="eastAsia" w:ascii="宋体"/>
          <w:bCs/>
          <w:color w:val="000000"/>
          <w:sz w:val="24"/>
          <w:szCs w:val="24"/>
        </w:rPr>
        <w:t>项目名称：</w:t>
      </w:r>
      <w:r>
        <w:rPr>
          <w:rFonts w:hint="eastAsia" w:ascii="宋体" w:hAnsi="宋体" w:cs="宋体"/>
          <w:sz w:val="24"/>
          <w:szCs w:val="24"/>
        </w:rPr>
        <w:t>江苏医药职业学院网络驻场运维服务项目</w:t>
      </w:r>
    </w:p>
    <w:p w14:paraId="4025B46A">
      <w:pPr>
        <w:spacing w:line="420" w:lineRule="exact"/>
        <w:ind w:firstLine="480" w:firstLineChars="200"/>
        <w:rPr>
          <w:rFonts w:ascii="宋体" w:hAnsi="宋体" w:cs="宋体"/>
          <w:sz w:val="24"/>
          <w:szCs w:val="24"/>
        </w:rPr>
      </w:pPr>
      <w:r>
        <w:rPr>
          <w:rFonts w:hint="eastAsia" w:ascii="宋体" w:hAnsi="宋体" w:cs="宋体"/>
          <w:sz w:val="24"/>
          <w:szCs w:val="24"/>
        </w:rPr>
        <w:t>预算金额：12万元/年</w:t>
      </w:r>
    </w:p>
    <w:p w14:paraId="535E169C">
      <w:pPr>
        <w:spacing w:line="420" w:lineRule="exact"/>
        <w:ind w:firstLine="480" w:firstLineChars="200"/>
        <w:rPr>
          <w:rFonts w:ascii="宋体" w:hAnsi="宋体" w:cs="宋体"/>
          <w:sz w:val="24"/>
          <w:szCs w:val="24"/>
        </w:rPr>
      </w:pPr>
      <w:r>
        <w:rPr>
          <w:rFonts w:hint="eastAsia" w:ascii="宋体" w:hAnsi="宋体" w:cs="宋体"/>
          <w:sz w:val="24"/>
          <w:szCs w:val="24"/>
        </w:rPr>
        <w:t>最高限价：12万元/年</w:t>
      </w:r>
    </w:p>
    <w:p w14:paraId="21C59E95">
      <w:pPr>
        <w:spacing w:line="420" w:lineRule="exact"/>
        <w:ind w:firstLine="480" w:firstLineChars="200"/>
        <w:rPr>
          <w:rFonts w:ascii="宋体" w:hAnsi="宋体" w:cs="宋体"/>
          <w:sz w:val="24"/>
          <w:szCs w:val="24"/>
        </w:rPr>
      </w:pPr>
      <w:r>
        <w:rPr>
          <w:rFonts w:hint="eastAsia" w:ascii="宋体" w:hAnsi="宋体" w:cs="宋体"/>
          <w:sz w:val="24"/>
          <w:szCs w:val="24"/>
        </w:rPr>
        <w:t>采购需求：拟采购网络驻场运维服务，校园网维护，包括但不限于校园网的核心层、汇聚层、接入层的网络、无线网络设备、智能化系统基础维护；面向用户的网络接入服务等。配置不少于2人的运维服务团队，包括一名项目经理，一名驻场维护人员。具体详见公告附件项目需求。</w:t>
      </w:r>
    </w:p>
    <w:p w14:paraId="1BD67E1B">
      <w:pPr>
        <w:spacing w:line="420" w:lineRule="exact"/>
        <w:ind w:firstLine="480" w:firstLineChars="200"/>
        <w:rPr>
          <w:rFonts w:ascii="宋体" w:hAnsi="宋体" w:cs="宋体"/>
          <w:sz w:val="24"/>
          <w:szCs w:val="24"/>
        </w:rPr>
      </w:pPr>
      <w:r>
        <w:rPr>
          <w:rFonts w:hint="eastAsia" w:ascii="宋体" w:hAnsi="宋体" w:cs="宋体"/>
          <w:sz w:val="24"/>
          <w:szCs w:val="24"/>
        </w:rPr>
        <w:t>合同履行期限：三年，合同一年一签。校方根据中标人的服务质量决定是否续签下一年合同</w:t>
      </w:r>
    </w:p>
    <w:bookmarkEnd w:id="10"/>
    <w:bookmarkEnd w:id="11"/>
    <w:bookmarkEnd w:id="12"/>
    <w:bookmarkEnd w:id="13"/>
    <w:bookmarkEnd w:id="14"/>
    <w:p w14:paraId="291D895E">
      <w:pPr>
        <w:spacing w:line="420" w:lineRule="exact"/>
        <w:ind w:firstLine="480" w:firstLineChars="200"/>
        <w:rPr>
          <w:rFonts w:ascii="宋体" w:hAnsi="宋体" w:cs="宋体"/>
          <w:sz w:val="24"/>
          <w:szCs w:val="24"/>
        </w:rPr>
      </w:pPr>
      <w:bookmarkStart w:id="15" w:name="_Toc35393622"/>
      <w:bookmarkStart w:id="16" w:name="_Toc28359003"/>
      <w:bookmarkStart w:id="17" w:name="_Toc35393791"/>
      <w:bookmarkStart w:id="18" w:name="_Toc28359080"/>
      <w:bookmarkStart w:id="106" w:name="_GoBack"/>
      <w:bookmarkEnd w:id="106"/>
      <w:r>
        <w:rPr>
          <w:rFonts w:hint="eastAsia" w:ascii="宋体" w:hAnsi="宋体" w:cs="宋体"/>
          <w:sz w:val="24"/>
          <w:szCs w:val="24"/>
        </w:rPr>
        <w:t>本项目（是/否）接受联合体投标：不接受联合体</w:t>
      </w:r>
    </w:p>
    <w:p w14:paraId="662B2F4F">
      <w:pPr>
        <w:spacing w:line="420" w:lineRule="exact"/>
        <w:ind w:firstLine="480" w:firstLineChars="200"/>
        <w:rPr>
          <w:rFonts w:ascii="宋体" w:hAnsi="宋体" w:cs="宋体"/>
          <w:sz w:val="24"/>
          <w:szCs w:val="24"/>
        </w:rPr>
      </w:pPr>
      <w:r>
        <w:rPr>
          <w:rFonts w:hint="eastAsia" w:ascii="宋体" w:hAnsi="宋体" w:cs="宋体"/>
          <w:sz w:val="24"/>
          <w:szCs w:val="24"/>
        </w:rPr>
        <w:t>本项目（是/否）接受进口产品投标：不接受进口产品</w:t>
      </w:r>
    </w:p>
    <w:bookmarkEnd w:id="15"/>
    <w:bookmarkEnd w:id="16"/>
    <w:bookmarkEnd w:id="17"/>
    <w:bookmarkEnd w:id="18"/>
    <w:p w14:paraId="46F631CE">
      <w:pPr>
        <w:spacing w:line="420" w:lineRule="exact"/>
        <w:ind w:firstLine="482" w:firstLineChars="200"/>
        <w:outlineLvl w:val="1"/>
        <w:rPr>
          <w:rFonts w:ascii="宋体" w:hAnsi="宋体" w:cs="宋体"/>
          <w:b/>
          <w:bCs/>
          <w:sz w:val="24"/>
          <w:szCs w:val="24"/>
        </w:rPr>
      </w:pPr>
      <w:bookmarkStart w:id="19" w:name="_Toc35393792"/>
      <w:bookmarkStart w:id="20" w:name="_Toc28359081"/>
      <w:bookmarkStart w:id="21" w:name="_Toc28359004"/>
      <w:bookmarkStart w:id="22" w:name="_Toc35393623"/>
      <w:r>
        <w:rPr>
          <w:rFonts w:hint="eastAsia" w:ascii="宋体" w:hAnsi="宋体" w:cs="宋体"/>
          <w:b/>
          <w:bCs/>
          <w:sz w:val="24"/>
          <w:szCs w:val="24"/>
        </w:rPr>
        <w:t>二、申请人的资格要求：</w:t>
      </w:r>
    </w:p>
    <w:p w14:paraId="398916A8">
      <w:pPr>
        <w:spacing w:line="420" w:lineRule="exact"/>
        <w:ind w:firstLine="480" w:firstLineChars="200"/>
        <w:rPr>
          <w:rFonts w:ascii="宋体" w:hAnsi="宋体" w:cs="宋体"/>
          <w:sz w:val="24"/>
          <w:szCs w:val="24"/>
        </w:rPr>
      </w:pPr>
      <w:r>
        <w:rPr>
          <w:rFonts w:hint="eastAsia" w:ascii="宋体" w:hAnsi="宋体" w:cs="宋体"/>
          <w:sz w:val="24"/>
          <w:szCs w:val="24"/>
        </w:rPr>
        <w:t>（一）满足《中华人民共和国政府采购法》第二十二条规定，并提供下列材料；</w:t>
      </w:r>
    </w:p>
    <w:p w14:paraId="2411A654">
      <w:pPr>
        <w:spacing w:line="420" w:lineRule="exact"/>
        <w:ind w:firstLine="480" w:firstLineChars="200"/>
        <w:rPr>
          <w:rFonts w:ascii="宋体" w:hAnsi="宋体" w:cs="宋体"/>
          <w:sz w:val="24"/>
          <w:szCs w:val="24"/>
        </w:rPr>
      </w:pPr>
      <w:r>
        <w:rPr>
          <w:rFonts w:ascii="宋体" w:hAnsi="宋体" w:cs="宋体"/>
          <w:sz w:val="24"/>
          <w:szCs w:val="24"/>
        </w:rPr>
        <w:t>1、</w:t>
      </w:r>
      <w:r>
        <w:rPr>
          <w:rFonts w:hint="eastAsia" w:ascii="宋体" w:hAnsi="宋体" w:cs="宋体"/>
          <w:sz w:val="24"/>
          <w:szCs w:val="24"/>
        </w:rPr>
        <w:t xml:space="preserve"> 法人或者其他组织的营业执照等证明文件，自然人的身份证明；</w:t>
      </w:r>
    </w:p>
    <w:p w14:paraId="2CAAD7BF">
      <w:pPr>
        <w:spacing w:line="420" w:lineRule="exact"/>
        <w:ind w:firstLine="480" w:firstLineChars="200"/>
        <w:rPr>
          <w:rFonts w:ascii="宋体" w:hAnsi="宋体" w:cs="宋体"/>
          <w:sz w:val="24"/>
          <w:szCs w:val="24"/>
        </w:rPr>
      </w:pPr>
      <w:r>
        <w:rPr>
          <w:rFonts w:ascii="宋体" w:hAnsi="宋体" w:cs="宋体"/>
          <w:sz w:val="24"/>
          <w:szCs w:val="24"/>
        </w:rPr>
        <w:t>2、</w:t>
      </w:r>
      <w:r>
        <w:rPr>
          <w:rFonts w:hint="eastAsia" w:ascii="宋体" w:hAnsi="宋体" w:cs="宋体"/>
          <w:sz w:val="24"/>
          <w:szCs w:val="24"/>
        </w:rPr>
        <w:t>上一年度的财务报表（成立不满一年不需提供）；</w:t>
      </w:r>
    </w:p>
    <w:p w14:paraId="4D65B455">
      <w:pPr>
        <w:spacing w:line="420" w:lineRule="exact"/>
        <w:ind w:firstLine="480" w:firstLineChars="200"/>
        <w:rPr>
          <w:rFonts w:ascii="宋体" w:hAnsi="宋体" w:cs="宋体"/>
          <w:sz w:val="24"/>
          <w:szCs w:val="24"/>
        </w:rPr>
      </w:pPr>
      <w:r>
        <w:rPr>
          <w:rFonts w:ascii="宋体" w:hAnsi="宋体" w:cs="宋体"/>
          <w:sz w:val="24"/>
          <w:szCs w:val="24"/>
        </w:rPr>
        <w:t>3、</w:t>
      </w:r>
      <w:r>
        <w:rPr>
          <w:rFonts w:hint="eastAsia" w:ascii="宋体" w:hAnsi="宋体" w:cs="宋体"/>
          <w:sz w:val="24"/>
          <w:szCs w:val="24"/>
        </w:rPr>
        <w:t>依法缴纳税收和社会保障资金的相关材料；</w:t>
      </w:r>
    </w:p>
    <w:p w14:paraId="13CC07E6">
      <w:pPr>
        <w:spacing w:line="420" w:lineRule="exact"/>
        <w:ind w:firstLine="480" w:firstLineChars="200"/>
        <w:rPr>
          <w:rFonts w:ascii="宋体" w:hAnsi="宋体" w:cs="宋体"/>
          <w:sz w:val="24"/>
          <w:szCs w:val="24"/>
        </w:rPr>
      </w:pPr>
      <w:r>
        <w:rPr>
          <w:rFonts w:ascii="宋体" w:hAnsi="宋体" w:cs="宋体"/>
          <w:sz w:val="24"/>
          <w:szCs w:val="24"/>
        </w:rPr>
        <w:t>4、</w:t>
      </w:r>
      <w:r>
        <w:rPr>
          <w:rFonts w:hint="eastAsia" w:ascii="宋体" w:hAnsi="宋体" w:cs="宋体"/>
          <w:sz w:val="24"/>
          <w:szCs w:val="24"/>
        </w:rPr>
        <w:t>具备履行合同所必需的设备和专业技术能力的书面声明；</w:t>
      </w:r>
    </w:p>
    <w:p w14:paraId="4CBD7D60">
      <w:pPr>
        <w:spacing w:line="420" w:lineRule="exact"/>
        <w:ind w:firstLine="480" w:firstLineChars="200"/>
        <w:rPr>
          <w:rFonts w:ascii="宋体" w:hAnsi="宋体" w:cs="宋体"/>
          <w:sz w:val="24"/>
          <w:szCs w:val="24"/>
        </w:rPr>
      </w:pPr>
      <w:r>
        <w:rPr>
          <w:rFonts w:ascii="宋体" w:hAnsi="宋体" w:cs="宋体"/>
          <w:sz w:val="24"/>
          <w:szCs w:val="24"/>
        </w:rPr>
        <w:t>5、</w:t>
      </w:r>
      <w:r>
        <w:rPr>
          <w:rFonts w:hint="eastAsia" w:ascii="宋体" w:hAnsi="宋体" w:cs="宋体"/>
          <w:sz w:val="24"/>
          <w:szCs w:val="24"/>
        </w:rPr>
        <w:t>参加政府采购活动前3年内在经营活动中没有重大违法记录的书面声明；</w:t>
      </w:r>
    </w:p>
    <w:p w14:paraId="2CEABFB3">
      <w:pPr>
        <w:widowControl/>
        <w:pBdr>
          <w:top w:val="none" w:color="000000" w:sz="0" w:space="0"/>
          <w:left w:val="none" w:color="000000" w:sz="0" w:space="0"/>
          <w:bottom w:val="none" w:color="000000" w:sz="0" w:space="0"/>
          <w:right w:val="none" w:color="000000" w:sz="0" w:space="0"/>
        </w:pBdr>
        <w:spacing w:line="420" w:lineRule="exact"/>
        <w:ind w:firstLine="480" w:firstLineChars="200"/>
        <w:rPr>
          <w:rFonts w:ascii="宋体" w:hAnsi="宋体" w:cs="宋体"/>
          <w:color w:val="000000"/>
          <w:sz w:val="24"/>
          <w:szCs w:val="24"/>
        </w:rPr>
      </w:pPr>
      <w:r>
        <w:rPr>
          <w:rFonts w:ascii="宋体" w:hAnsi="宋体" w:cs="宋体"/>
          <w:color w:val="000000"/>
          <w:sz w:val="24"/>
          <w:szCs w:val="24"/>
        </w:rPr>
        <w:t>6</w:t>
      </w:r>
      <w:r>
        <w:rPr>
          <w:rFonts w:ascii="宋体" w:hAnsi="宋体" w:cs="宋体"/>
          <w:sz w:val="24"/>
          <w:szCs w:val="24"/>
        </w:rPr>
        <w:t>、</w:t>
      </w:r>
      <w:r>
        <w:rPr>
          <w:rFonts w:ascii="宋体" w:hAnsi="宋体" w:cs="宋体"/>
          <w:color w:val="000000"/>
          <w:sz w:val="24"/>
          <w:szCs w:val="24"/>
        </w:rPr>
        <w:t>法律、行政法规规定的其他条件。</w:t>
      </w:r>
    </w:p>
    <w:p w14:paraId="01809944">
      <w:pPr>
        <w:spacing w:line="420" w:lineRule="exact"/>
        <w:ind w:firstLine="480" w:firstLineChars="200"/>
        <w:rPr>
          <w:rFonts w:ascii="宋体" w:hAnsi="宋体" w:cs="宋体"/>
          <w:sz w:val="24"/>
          <w:szCs w:val="24"/>
        </w:rPr>
      </w:pPr>
      <w:r>
        <w:rPr>
          <w:rFonts w:hint="eastAsia" w:ascii="宋体" w:hAnsi="宋体" w:cs="宋体"/>
          <w:sz w:val="24"/>
          <w:szCs w:val="24"/>
        </w:rPr>
        <w:t>（二）落实政府采购政策需满足的资格要求：</w:t>
      </w:r>
      <w:r>
        <w:rPr>
          <w:rFonts w:hint="eastAsia" w:ascii="宋体" w:hAnsi="宋体" w:cs="宋体"/>
          <w:b/>
          <w:bCs/>
          <w:sz w:val="24"/>
          <w:szCs w:val="24"/>
        </w:rPr>
        <w:t>本项目为专门面向中小企业采购的项目,供应商必须为中小微企业，不接受非中小型企业参与本项目投标。（具体中小企业划分标准详见《关于印发中小企业划型标准规定的通知》工信部联企业〔2011〕300号）</w:t>
      </w:r>
      <w:r>
        <w:rPr>
          <w:rFonts w:hint="eastAsia" w:ascii="宋体" w:hAnsi="宋体" w:cs="宋体"/>
          <w:sz w:val="24"/>
          <w:szCs w:val="24"/>
        </w:rPr>
        <w:t>。</w:t>
      </w:r>
    </w:p>
    <w:p w14:paraId="30004D2A">
      <w:pPr>
        <w:spacing w:line="420" w:lineRule="exact"/>
        <w:ind w:firstLine="480" w:firstLineChars="200"/>
        <w:rPr>
          <w:rFonts w:ascii="宋体" w:hAnsi="宋体" w:cs="宋体"/>
          <w:sz w:val="24"/>
          <w:szCs w:val="24"/>
        </w:rPr>
      </w:pPr>
      <w:r>
        <w:rPr>
          <w:rFonts w:hint="eastAsia" w:ascii="宋体" w:hAnsi="宋体" w:cs="宋体"/>
          <w:sz w:val="24"/>
          <w:szCs w:val="24"/>
        </w:rPr>
        <w:t>（三）本项目的特定资格要求：</w:t>
      </w:r>
      <w:r>
        <w:rPr>
          <w:rFonts w:ascii="宋体" w:hAnsi="宋体" w:cs="宋体"/>
          <w:sz w:val="24"/>
          <w:szCs w:val="24"/>
        </w:rPr>
        <w:t xml:space="preserve"> </w:t>
      </w:r>
    </w:p>
    <w:p w14:paraId="73451BE5">
      <w:pPr>
        <w:spacing w:line="420" w:lineRule="exact"/>
        <w:ind w:firstLine="480" w:firstLineChars="200"/>
        <w:rPr>
          <w:rFonts w:ascii="宋体" w:hAnsi="宋体" w:cs="宋体"/>
          <w:sz w:val="24"/>
          <w:szCs w:val="24"/>
        </w:rPr>
      </w:pPr>
      <w:r>
        <w:rPr>
          <w:rFonts w:ascii="宋体" w:hAnsi="宋体" w:cs="宋体"/>
          <w:sz w:val="24"/>
          <w:szCs w:val="24"/>
        </w:rPr>
        <w:t>1、</w:t>
      </w:r>
      <w:r>
        <w:rPr>
          <w:rFonts w:hint="eastAsia" w:ascii="宋体" w:hAnsi="宋体" w:cs="宋体"/>
          <w:sz w:val="24"/>
          <w:szCs w:val="24"/>
        </w:rPr>
        <w:t>未被“信用中国”网站列入失信被执行人、重大税收违法案件当事人名单、政府采购严重失信行为记录名单。</w:t>
      </w:r>
    </w:p>
    <w:p w14:paraId="2E2A49E7">
      <w:pPr>
        <w:spacing w:line="420" w:lineRule="exact"/>
        <w:ind w:firstLine="480" w:firstLineChars="200"/>
        <w:rPr>
          <w:rFonts w:ascii="宋体" w:hAnsi="宋体" w:cs="宋体"/>
          <w:sz w:val="24"/>
          <w:szCs w:val="24"/>
        </w:rPr>
      </w:pPr>
      <w:r>
        <w:rPr>
          <w:rFonts w:hint="eastAsia" w:ascii="宋体" w:hAnsi="宋体" w:cs="宋体"/>
          <w:sz w:val="24"/>
          <w:szCs w:val="24"/>
        </w:rPr>
        <w:t>2、单位负责人为同一人或者存在直接控股、管理关系的不同供应商，不得参加同一合同项下的政府采购活动（</w:t>
      </w:r>
      <w:r>
        <w:rPr>
          <w:rFonts w:hint="eastAsia" w:ascii="宋体" w:hAnsi="宋体" w:cs="宋体"/>
          <w:b/>
          <w:bCs/>
          <w:sz w:val="24"/>
          <w:szCs w:val="24"/>
        </w:rPr>
        <w:t>自行承诺</w:t>
      </w:r>
      <w:r>
        <w:rPr>
          <w:rFonts w:hint="eastAsia" w:ascii="宋体" w:hAnsi="宋体" w:cs="宋体"/>
          <w:sz w:val="24"/>
          <w:szCs w:val="24"/>
        </w:rPr>
        <w:t>）。</w:t>
      </w:r>
    </w:p>
    <w:bookmarkEnd w:id="19"/>
    <w:bookmarkEnd w:id="20"/>
    <w:bookmarkEnd w:id="21"/>
    <w:bookmarkEnd w:id="22"/>
    <w:p w14:paraId="5A75D40A">
      <w:pPr>
        <w:spacing w:line="420" w:lineRule="exact"/>
        <w:ind w:firstLine="482" w:firstLineChars="200"/>
        <w:outlineLvl w:val="1"/>
        <w:rPr>
          <w:rFonts w:ascii="宋体" w:hAnsi="宋体" w:cs="宋体"/>
          <w:b/>
          <w:bCs/>
          <w:sz w:val="24"/>
          <w:szCs w:val="24"/>
        </w:rPr>
      </w:pPr>
      <w:bookmarkStart w:id="23" w:name="_Toc35393796"/>
      <w:bookmarkStart w:id="24" w:name="_Toc35393627"/>
      <w:bookmarkStart w:id="25" w:name="_Toc28359085"/>
      <w:bookmarkStart w:id="26" w:name="_Toc28359008"/>
      <w:r>
        <w:rPr>
          <w:rFonts w:hint="eastAsia" w:ascii="宋体" w:hAnsi="宋体" w:cs="宋体"/>
          <w:b/>
          <w:bCs/>
          <w:sz w:val="24"/>
          <w:szCs w:val="24"/>
        </w:rPr>
        <w:t>三、获取招标文件</w:t>
      </w:r>
    </w:p>
    <w:p w14:paraId="3BDD9428">
      <w:pPr>
        <w:spacing w:line="420" w:lineRule="exact"/>
        <w:ind w:firstLine="720" w:firstLineChars="300"/>
        <w:rPr>
          <w:rFonts w:ascii="宋体" w:hAnsi="宋体" w:cs="宋体"/>
          <w:sz w:val="24"/>
          <w:szCs w:val="24"/>
        </w:rPr>
      </w:pPr>
      <w:r>
        <w:rPr>
          <w:rFonts w:hint="eastAsia" w:ascii="宋体" w:hAnsi="宋体" w:cs="宋体"/>
          <w:sz w:val="24"/>
          <w:szCs w:val="24"/>
        </w:rPr>
        <w:t>时  间：2024</w:t>
      </w:r>
      <w:r>
        <w:rPr>
          <w:rFonts w:hint="eastAsia" w:ascii="宋体" w:hAnsi="宋体" w:cs="宋体"/>
          <w:bCs/>
          <w:sz w:val="24"/>
          <w:szCs w:val="24"/>
        </w:rPr>
        <w:t>年</w:t>
      </w:r>
      <w:r>
        <w:rPr>
          <w:rFonts w:hint="eastAsia" w:ascii="宋体" w:hAnsi="宋体" w:cs="宋体"/>
          <w:bCs/>
          <w:sz w:val="24"/>
          <w:szCs w:val="24"/>
          <w:u w:val="single"/>
        </w:rPr>
        <w:t xml:space="preserve"> </w:t>
      </w:r>
      <w:r>
        <w:rPr>
          <w:rFonts w:hint="eastAsia" w:ascii="宋体" w:hAnsi="宋体" w:cs="宋体"/>
          <w:bCs/>
          <w:sz w:val="24"/>
          <w:szCs w:val="24"/>
          <w:u w:val="single"/>
          <w:lang w:val="en-US" w:eastAsia="zh-CN"/>
        </w:rPr>
        <w:t>11</w:t>
      </w:r>
      <w:r>
        <w:rPr>
          <w:rFonts w:hint="eastAsia" w:ascii="宋体" w:hAnsi="宋体" w:cs="宋体"/>
          <w:bCs/>
          <w:sz w:val="24"/>
          <w:szCs w:val="24"/>
          <w:u w:val="single"/>
        </w:rPr>
        <w:t xml:space="preserve"> </w:t>
      </w:r>
      <w:r>
        <w:rPr>
          <w:rFonts w:hint="eastAsia" w:ascii="宋体" w:hAnsi="宋体" w:cs="宋体"/>
          <w:bCs/>
          <w:sz w:val="24"/>
          <w:szCs w:val="24"/>
        </w:rPr>
        <w:t>月</w:t>
      </w:r>
      <w:r>
        <w:rPr>
          <w:rFonts w:hint="eastAsia" w:ascii="宋体" w:hAnsi="宋体" w:cs="宋体"/>
          <w:bCs/>
          <w:sz w:val="24"/>
          <w:szCs w:val="24"/>
          <w:u w:val="single"/>
        </w:rPr>
        <w:t xml:space="preserve"> </w:t>
      </w:r>
      <w:r>
        <w:rPr>
          <w:rFonts w:hint="eastAsia" w:ascii="宋体" w:hAnsi="宋体" w:cs="宋体"/>
          <w:bCs/>
          <w:sz w:val="24"/>
          <w:szCs w:val="24"/>
          <w:u w:val="single"/>
          <w:lang w:val="en-US" w:eastAsia="zh-CN"/>
        </w:rPr>
        <w:t>08</w:t>
      </w:r>
      <w:r>
        <w:rPr>
          <w:rFonts w:ascii="宋体" w:hAnsi="宋体" w:cs="宋体"/>
          <w:bCs/>
          <w:sz w:val="24"/>
          <w:szCs w:val="24"/>
          <w:u w:val="single"/>
        </w:rPr>
        <w:t xml:space="preserve"> </w:t>
      </w:r>
      <w:r>
        <w:rPr>
          <w:rFonts w:hint="eastAsia" w:ascii="宋体" w:hAnsi="宋体" w:cs="宋体"/>
          <w:bCs/>
          <w:sz w:val="24"/>
          <w:szCs w:val="24"/>
        </w:rPr>
        <w:t>日</w:t>
      </w:r>
      <w:r>
        <w:rPr>
          <w:rFonts w:hint="eastAsia" w:ascii="宋体" w:hAnsi="宋体" w:cs="宋体"/>
          <w:sz w:val="24"/>
        </w:rPr>
        <w:t>至</w:t>
      </w:r>
      <w:r>
        <w:rPr>
          <w:rFonts w:hint="eastAsia" w:ascii="宋体" w:hAnsi="宋体" w:cs="宋体"/>
          <w:sz w:val="24"/>
          <w:szCs w:val="24"/>
        </w:rPr>
        <w:t>2024</w:t>
      </w:r>
      <w:r>
        <w:rPr>
          <w:rFonts w:hint="eastAsia" w:ascii="宋体" w:hAnsi="宋体" w:cs="宋体"/>
          <w:bCs/>
          <w:sz w:val="24"/>
          <w:szCs w:val="24"/>
        </w:rPr>
        <w:t>年</w:t>
      </w:r>
      <w:r>
        <w:rPr>
          <w:rFonts w:hint="eastAsia" w:ascii="宋体" w:hAnsi="宋体" w:cs="宋体"/>
          <w:bCs/>
          <w:sz w:val="24"/>
          <w:szCs w:val="24"/>
          <w:u w:val="single"/>
        </w:rPr>
        <w:t xml:space="preserve"> </w:t>
      </w:r>
      <w:r>
        <w:rPr>
          <w:rFonts w:hint="eastAsia" w:ascii="宋体" w:hAnsi="宋体" w:cs="宋体"/>
          <w:bCs/>
          <w:sz w:val="24"/>
          <w:szCs w:val="24"/>
          <w:u w:val="single"/>
          <w:lang w:val="en-US" w:eastAsia="zh-CN"/>
        </w:rPr>
        <w:t>11</w:t>
      </w:r>
      <w:r>
        <w:rPr>
          <w:rFonts w:hint="eastAsia" w:ascii="宋体" w:hAnsi="宋体" w:cs="宋体"/>
          <w:bCs/>
          <w:sz w:val="24"/>
          <w:szCs w:val="24"/>
          <w:u w:val="single"/>
        </w:rPr>
        <w:t xml:space="preserve"> </w:t>
      </w:r>
      <w:r>
        <w:rPr>
          <w:rFonts w:hint="eastAsia" w:ascii="宋体" w:hAnsi="宋体" w:cs="宋体"/>
          <w:bCs/>
          <w:sz w:val="24"/>
          <w:szCs w:val="24"/>
        </w:rPr>
        <w:t>月</w:t>
      </w:r>
      <w:r>
        <w:rPr>
          <w:rFonts w:hint="eastAsia" w:ascii="宋体" w:hAnsi="宋体" w:cs="宋体"/>
          <w:bCs/>
          <w:sz w:val="24"/>
          <w:szCs w:val="24"/>
          <w:u w:val="single"/>
        </w:rPr>
        <w:t xml:space="preserve"> </w:t>
      </w:r>
      <w:r>
        <w:rPr>
          <w:rFonts w:hint="eastAsia" w:ascii="宋体" w:hAnsi="宋体" w:cs="宋体"/>
          <w:bCs/>
          <w:sz w:val="24"/>
          <w:szCs w:val="24"/>
          <w:u w:val="single"/>
          <w:lang w:val="en-US" w:eastAsia="zh-CN"/>
        </w:rPr>
        <w:t>14</w:t>
      </w:r>
      <w:r>
        <w:rPr>
          <w:rFonts w:ascii="宋体" w:hAnsi="宋体" w:cs="宋体"/>
          <w:bCs/>
          <w:sz w:val="24"/>
          <w:szCs w:val="24"/>
          <w:u w:val="single"/>
        </w:rPr>
        <w:t xml:space="preserve"> </w:t>
      </w:r>
      <w:r>
        <w:rPr>
          <w:rFonts w:hint="eastAsia" w:ascii="宋体" w:hAnsi="宋体" w:cs="宋体"/>
          <w:bCs/>
          <w:sz w:val="24"/>
          <w:szCs w:val="24"/>
        </w:rPr>
        <w:t>日</w:t>
      </w:r>
      <w:r>
        <w:rPr>
          <w:rFonts w:hint="eastAsia" w:ascii="宋体" w:hAnsi="宋体" w:cs="宋体"/>
          <w:sz w:val="24"/>
        </w:rPr>
        <w:t>17:30时前（5个工作日）</w:t>
      </w:r>
    </w:p>
    <w:p w14:paraId="62253E1C">
      <w:pPr>
        <w:spacing w:line="420" w:lineRule="exact"/>
        <w:ind w:firstLine="720" w:firstLineChars="300"/>
        <w:jc w:val="left"/>
        <w:rPr>
          <w:rFonts w:ascii="宋体" w:hAnsi="宋体" w:cs="宋体"/>
          <w:sz w:val="24"/>
          <w:szCs w:val="24"/>
        </w:rPr>
      </w:pPr>
      <w:r>
        <w:rPr>
          <w:rFonts w:hint="eastAsia" w:ascii="宋体" w:hAnsi="宋体" w:cs="宋体"/>
          <w:sz w:val="24"/>
          <w:szCs w:val="24"/>
        </w:rPr>
        <w:t>地  点：盐城市人民南路38号新龙广场4-11F</w:t>
      </w:r>
    </w:p>
    <w:p w14:paraId="542DFDE2">
      <w:pPr>
        <w:spacing w:line="420" w:lineRule="exact"/>
        <w:ind w:firstLine="720" w:firstLineChars="300"/>
        <w:jc w:val="left"/>
        <w:rPr>
          <w:rFonts w:ascii="宋体" w:hAnsi="宋体" w:cs="宋体"/>
          <w:sz w:val="24"/>
          <w:szCs w:val="24"/>
        </w:rPr>
      </w:pPr>
      <w:r>
        <w:rPr>
          <w:rFonts w:hint="eastAsia" w:ascii="宋体" w:hAnsi="宋体" w:cs="宋体"/>
          <w:sz w:val="24"/>
          <w:szCs w:val="24"/>
        </w:rPr>
        <w:t xml:space="preserve">联系人：王工            </w:t>
      </w:r>
    </w:p>
    <w:p w14:paraId="5FE781C9">
      <w:pPr>
        <w:spacing w:line="420" w:lineRule="exact"/>
        <w:ind w:firstLine="720" w:firstLineChars="300"/>
        <w:jc w:val="left"/>
        <w:rPr>
          <w:rFonts w:ascii="宋体" w:hAnsi="宋体" w:cs="宋体"/>
          <w:sz w:val="24"/>
          <w:szCs w:val="24"/>
        </w:rPr>
      </w:pPr>
      <w:r>
        <w:rPr>
          <w:rFonts w:hint="eastAsia" w:ascii="宋体" w:hAnsi="宋体" w:cs="宋体"/>
          <w:sz w:val="24"/>
          <w:szCs w:val="24"/>
        </w:rPr>
        <w:t>电  话：0515-88265199，19962391798</w:t>
      </w:r>
    </w:p>
    <w:p w14:paraId="07B42C2C">
      <w:pPr>
        <w:spacing w:line="420" w:lineRule="exact"/>
        <w:ind w:firstLine="720" w:firstLineChars="300"/>
        <w:rPr>
          <w:rFonts w:ascii="宋体" w:hAnsi="宋体" w:cs="宋体"/>
          <w:sz w:val="24"/>
          <w:szCs w:val="24"/>
        </w:rPr>
      </w:pPr>
      <w:bookmarkStart w:id="27" w:name="_Toc5"/>
      <w:bookmarkStart w:id="28" w:name="_Toc35393625"/>
      <w:bookmarkStart w:id="29" w:name="_Toc28359084"/>
      <w:bookmarkStart w:id="30" w:name="_Toc28359007"/>
      <w:bookmarkStart w:id="31" w:name="_Toc35393794"/>
      <w:r>
        <w:rPr>
          <w:rFonts w:hint="eastAsia" w:ascii="宋体" w:hAnsi="宋体" w:cs="宋体"/>
          <w:sz w:val="24"/>
          <w:szCs w:val="24"/>
        </w:rPr>
        <w:t>方  式：现场领取；供应商将单位介绍信或授权委托书（注明联系人、联系方式及邮箱，以便及时联系，无法联系的责任由申请人自负）和被授权人身份证复印件及营业执照（复印件即可）加盖公章至江苏国信政府采购服务中心有限公司领取（地址见本公告。注:未领取的任何单位或个人没有参与权以及相关知情权）。逾期的不予接收，文件工本费：</w:t>
      </w:r>
      <w:r>
        <w:rPr>
          <w:rFonts w:ascii="宋体" w:hAnsi="宋体" w:cs="宋体"/>
          <w:sz w:val="24"/>
          <w:szCs w:val="24"/>
        </w:rPr>
        <w:t>4</w:t>
      </w:r>
      <w:r>
        <w:rPr>
          <w:rFonts w:hint="eastAsia" w:ascii="宋体" w:hAnsi="宋体" w:cs="宋体"/>
          <w:sz w:val="24"/>
          <w:szCs w:val="24"/>
        </w:rPr>
        <w:t>00元/份，售后不退。</w:t>
      </w:r>
    </w:p>
    <w:p w14:paraId="2C518EBA">
      <w:pPr>
        <w:spacing w:line="420" w:lineRule="exact"/>
        <w:ind w:firstLine="480" w:firstLineChars="200"/>
        <w:rPr>
          <w:rFonts w:ascii="宋体" w:hAnsi="宋体" w:cs="宋体"/>
          <w:sz w:val="24"/>
          <w:szCs w:val="24"/>
        </w:rPr>
      </w:pPr>
      <w:r>
        <w:rPr>
          <w:rFonts w:hint="eastAsia" w:ascii="宋体" w:hAnsi="宋体" w:cs="宋体"/>
          <w:sz w:val="24"/>
          <w:szCs w:val="24"/>
        </w:rPr>
        <w:t>注意事项：有关本次招标事项若存在变动或修改，敬请及时关注“江苏医药职业学院网”发布的更正公告信息。</w:t>
      </w:r>
    </w:p>
    <w:p w14:paraId="5C143013">
      <w:pPr>
        <w:spacing w:line="420" w:lineRule="exact"/>
        <w:ind w:firstLine="482"/>
        <w:outlineLvl w:val="1"/>
        <w:rPr>
          <w:rFonts w:ascii="宋体" w:hAnsi="宋体" w:cs="宋体"/>
          <w:b/>
          <w:bCs/>
          <w:kern w:val="0"/>
          <w:sz w:val="24"/>
          <w:szCs w:val="24"/>
        </w:rPr>
      </w:pPr>
      <w:r>
        <w:rPr>
          <w:rFonts w:hint="eastAsia" w:ascii="宋体" w:hAnsi="宋体" w:cs="宋体"/>
          <w:b/>
          <w:bCs/>
          <w:kern w:val="0"/>
          <w:sz w:val="24"/>
          <w:szCs w:val="24"/>
        </w:rPr>
        <w:t>四、提交投标文件截止时间、开标时间和地点</w:t>
      </w:r>
      <w:bookmarkEnd w:id="27"/>
    </w:p>
    <w:p w14:paraId="7AC082D0">
      <w:pPr>
        <w:spacing w:line="420" w:lineRule="exact"/>
        <w:ind w:firstLine="720" w:firstLineChars="300"/>
        <w:rPr>
          <w:rFonts w:ascii="宋体" w:hAnsi="宋体" w:cs="宋体"/>
          <w:kern w:val="0"/>
          <w:sz w:val="24"/>
          <w:szCs w:val="24"/>
        </w:rPr>
      </w:pPr>
      <w:r>
        <w:rPr>
          <w:rFonts w:hint="eastAsia" w:ascii="宋体" w:hAnsi="宋体" w:cs="宋体"/>
          <w:kern w:val="0"/>
          <w:sz w:val="24"/>
          <w:szCs w:val="24"/>
        </w:rPr>
        <w:t>1.2024年</w:t>
      </w:r>
      <w:r>
        <w:rPr>
          <w:rFonts w:ascii="宋体" w:hAnsi="宋体" w:cs="宋体"/>
          <w:kern w:val="0"/>
          <w:sz w:val="24"/>
          <w:szCs w:val="24"/>
          <w:u w:val="single"/>
        </w:rPr>
        <w:t xml:space="preserve">  </w:t>
      </w:r>
      <w:r>
        <w:rPr>
          <w:rFonts w:hint="eastAsia" w:ascii="宋体" w:hAnsi="宋体" w:cs="宋体"/>
          <w:kern w:val="0"/>
          <w:sz w:val="24"/>
          <w:szCs w:val="24"/>
          <w:u w:val="single"/>
          <w:lang w:val="en-US" w:eastAsia="zh-CN"/>
        </w:rPr>
        <w:t>11</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u w:val="single"/>
          <w:lang w:val="en-US" w:eastAsia="zh-CN"/>
        </w:rPr>
        <w:t>20</w:t>
      </w:r>
      <w:r>
        <w:rPr>
          <w:rFonts w:ascii="宋体" w:hAnsi="宋体" w:cs="宋体"/>
          <w:kern w:val="0"/>
          <w:sz w:val="24"/>
          <w:szCs w:val="24"/>
          <w:u w:val="single"/>
        </w:rPr>
        <w:t xml:space="preserve"> </w:t>
      </w:r>
      <w:r>
        <w:rPr>
          <w:rFonts w:hint="eastAsia" w:ascii="宋体" w:hAnsi="宋体" w:cs="宋体"/>
          <w:kern w:val="0"/>
          <w:sz w:val="24"/>
          <w:szCs w:val="24"/>
        </w:rPr>
        <w:t>日下午3:00 （北京时间）</w:t>
      </w:r>
    </w:p>
    <w:p w14:paraId="51D0C9D9">
      <w:pPr>
        <w:spacing w:line="420" w:lineRule="exact"/>
        <w:ind w:firstLine="720" w:firstLineChars="300"/>
        <w:rPr>
          <w:rFonts w:ascii="宋体" w:hAnsi="宋体" w:cs="宋体"/>
          <w:bCs/>
          <w:sz w:val="24"/>
        </w:rPr>
      </w:pPr>
      <w:r>
        <w:rPr>
          <w:rFonts w:hint="eastAsia" w:ascii="宋体" w:hAnsi="宋体" w:cs="宋体"/>
          <w:bCs/>
          <w:sz w:val="24"/>
        </w:rPr>
        <w:t>2.文件接收地点：</w:t>
      </w:r>
      <w:r>
        <w:rPr>
          <w:rFonts w:hint="eastAsia" w:ascii="宋体" w:hAnsi="宋体" w:cs="宋体"/>
          <w:sz w:val="24"/>
          <w:szCs w:val="24"/>
        </w:rPr>
        <w:t>盐城市人民南路38号新龙广场4-11F</w:t>
      </w:r>
    </w:p>
    <w:p w14:paraId="76537F77">
      <w:pPr>
        <w:spacing w:line="420" w:lineRule="exact"/>
        <w:ind w:firstLine="482" w:firstLineChars="200"/>
        <w:outlineLvl w:val="1"/>
        <w:rPr>
          <w:rFonts w:ascii="宋体" w:cs="宋体"/>
          <w:sz w:val="24"/>
        </w:rPr>
      </w:pPr>
      <w:r>
        <w:rPr>
          <w:rFonts w:hint="eastAsia" w:ascii="宋体" w:hAnsi="宋体" w:cs="宋体"/>
          <w:b/>
          <w:bCs/>
          <w:sz w:val="24"/>
          <w:szCs w:val="24"/>
        </w:rPr>
        <w:t>五、公告期限</w:t>
      </w:r>
      <w:bookmarkEnd w:id="28"/>
      <w:bookmarkEnd w:id="29"/>
      <w:bookmarkEnd w:id="30"/>
      <w:bookmarkEnd w:id="31"/>
    </w:p>
    <w:p w14:paraId="30C7D11B">
      <w:pPr>
        <w:spacing w:line="420" w:lineRule="exact"/>
        <w:ind w:firstLine="720" w:firstLineChars="300"/>
        <w:rPr>
          <w:rFonts w:ascii="宋体" w:hAnsi="宋体" w:cs="宋体"/>
          <w:kern w:val="0"/>
          <w:sz w:val="24"/>
          <w:szCs w:val="24"/>
        </w:rPr>
      </w:pPr>
      <w:r>
        <w:rPr>
          <w:rFonts w:hint="eastAsia" w:ascii="宋体" w:hAnsi="宋体" w:cs="宋体"/>
          <w:kern w:val="0"/>
          <w:sz w:val="24"/>
          <w:szCs w:val="24"/>
        </w:rPr>
        <w:t>自本公告发布之日起</w:t>
      </w:r>
      <w:r>
        <w:rPr>
          <w:rFonts w:ascii="宋体" w:hAnsi="宋体" w:cs="宋体"/>
          <w:kern w:val="0"/>
          <w:sz w:val="24"/>
          <w:szCs w:val="24"/>
        </w:rPr>
        <w:t>5</w:t>
      </w:r>
      <w:r>
        <w:rPr>
          <w:rFonts w:hint="eastAsia" w:ascii="宋体" w:hAnsi="宋体" w:cs="宋体"/>
          <w:kern w:val="0"/>
          <w:sz w:val="24"/>
          <w:szCs w:val="24"/>
        </w:rPr>
        <w:t>个工作日。</w:t>
      </w:r>
      <w:bookmarkStart w:id="32" w:name="_Toc35393795"/>
      <w:bookmarkStart w:id="33" w:name="_Toc35393626"/>
    </w:p>
    <w:p w14:paraId="52087379">
      <w:pPr>
        <w:spacing w:line="420" w:lineRule="exact"/>
        <w:ind w:firstLine="482" w:firstLineChars="200"/>
        <w:outlineLvl w:val="1"/>
        <w:rPr>
          <w:rFonts w:ascii="宋体" w:hAnsi="宋体" w:cs="宋体"/>
          <w:b/>
          <w:bCs/>
          <w:sz w:val="24"/>
          <w:szCs w:val="24"/>
        </w:rPr>
      </w:pPr>
      <w:r>
        <w:rPr>
          <w:rFonts w:hint="eastAsia" w:ascii="宋体" w:hAnsi="宋体" w:cs="宋体"/>
          <w:b/>
          <w:bCs/>
          <w:sz w:val="24"/>
          <w:szCs w:val="24"/>
        </w:rPr>
        <w:t>六、其他补充事宜</w:t>
      </w:r>
      <w:bookmarkEnd w:id="32"/>
      <w:bookmarkEnd w:id="33"/>
    </w:p>
    <w:p w14:paraId="2775CFA0">
      <w:pPr>
        <w:numPr>
          <w:ilvl w:val="0"/>
          <w:numId w:val="1"/>
        </w:numPr>
        <w:spacing w:line="420" w:lineRule="exact"/>
        <w:ind w:firstLine="480" w:firstLineChars="200"/>
        <w:rPr>
          <w:rFonts w:ascii="宋体" w:hAnsi="宋体" w:cs="宋体"/>
          <w:sz w:val="24"/>
        </w:rPr>
      </w:pPr>
      <w:r>
        <w:rPr>
          <w:rFonts w:hint="eastAsia" w:ascii="宋体" w:hAnsi="宋体" w:cs="宋体"/>
          <w:sz w:val="24"/>
        </w:rPr>
        <w:t>投标文件正本1份，副本4份，</w:t>
      </w:r>
      <w:r>
        <w:rPr>
          <w:rFonts w:hint="eastAsia" w:ascii="宋体" w:hAnsi="宋体" w:cs="宋体"/>
          <w:bCs/>
          <w:color w:val="000000"/>
          <w:sz w:val="24"/>
        </w:rPr>
        <w:t>电子档1份（</w:t>
      </w:r>
      <w:r>
        <w:rPr>
          <w:rFonts w:hint="eastAsia" w:ascii="宋体" w:hAnsi="宋体" w:cs="宋体"/>
          <w:b/>
          <w:color w:val="000000"/>
          <w:sz w:val="24"/>
        </w:rPr>
        <w:t>U盘</w:t>
      </w:r>
      <w:r>
        <w:rPr>
          <w:rFonts w:hint="eastAsia" w:ascii="宋体" w:hAnsi="宋体" w:cs="宋体"/>
          <w:bCs/>
          <w:color w:val="000000"/>
          <w:sz w:val="24"/>
        </w:rPr>
        <w:t>）</w:t>
      </w:r>
      <w:r>
        <w:rPr>
          <w:rFonts w:hint="eastAsia" w:ascii="宋体" w:hAnsi="宋体" w:cs="宋体"/>
          <w:sz w:val="24"/>
        </w:rPr>
        <w:t>。</w:t>
      </w:r>
    </w:p>
    <w:p w14:paraId="7CFDD94A">
      <w:pPr>
        <w:spacing w:line="420" w:lineRule="exact"/>
        <w:ind w:left="15" w:leftChars="7" w:firstLine="480" w:firstLineChars="200"/>
        <w:rPr>
          <w:rFonts w:ascii="宋体" w:hAnsi="宋体" w:cs="宋体"/>
          <w:sz w:val="24"/>
        </w:rPr>
      </w:pPr>
      <w:r>
        <w:rPr>
          <w:rFonts w:hint="eastAsia" w:ascii="宋体" w:hAnsi="宋体" w:cs="宋体"/>
          <w:sz w:val="24"/>
        </w:rPr>
        <w:t>2、本项目开标方式为</w:t>
      </w:r>
      <w:r>
        <w:rPr>
          <w:rFonts w:hint="eastAsia" w:ascii="宋体" w:hAnsi="宋体" w:cs="宋体"/>
          <w:b/>
          <w:bCs/>
          <w:sz w:val="24"/>
        </w:rPr>
        <w:t>不见面开标</w:t>
      </w:r>
      <w:r>
        <w:rPr>
          <w:rFonts w:hint="eastAsia" w:ascii="宋体" w:hAnsi="宋体" w:cs="宋体"/>
          <w:sz w:val="24"/>
        </w:rPr>
        <w:t>。开标当日，投标人无需到达开标现场，投标人可以在开标前下载“腾讯会议”直播APP，在任意地点通过PC端或移动端的“腾讯会议”及具有视频功能相应的配套硬件设备上观看直播和在线交流。</w:t>
      </w:r>
    </w:p>
    <w:p w14:paraId="62E55D0D">
      <w:pPr>
        <w:spacing w:line="420" w:lineRule="exact"/>
        <w:ind w:left="15" w:leftChars="7" w:firstLine="480" w:firstLineChars="200"/>
        <w:rPr>
          <w:rFonts w:ascii="宋体" w:hAnsi="宋体" w:cs="宋体"/>
          <w:sz w:val="24"/>
        </w:rPr>
      </w:pPr>
      <w:r>
        <w:rPr>
          <w:rFonts w:hint="eastAsia" w:ascii="宋体" w:hAnsi="宋体" w:cs="宋体"/>
          <w:sz w:val="24"/>
        </w:rPr>
        <w:t>具体流程如下：</w:t>
      </w:r>
    </w:p>
    <w:p w14:paraId="272826E5">
      <w:pPr>
        <w:spacing w:line="420" w:lineRule="exact"/>
        <w:ind w:left="15" w:leftChars="7" w:firstLine="480" w:firstLineChars="200"/>
        <w:rPr>
          <w:rFonts w:ascii="宋体" w:hAnsi="宋体" w:cs="宋体"/>
          <w:sz w:val="24"/>
        </w:rPr>
      </w:pPr>
      <w:r>
        <w:rPr>
          <w:rFonts w:hint="eastAsia" w:ascii="宋体" w:hAnsi="宋体" w:cs="宋体"/>
          <w:sz w:val="24"/>
        </w:rPr>
        <w:t>(1)各供应商以邮寄方式递交投标文件，且必须在递交投标文件截止时间前，将投标文件密封好送达，逾期送达或未密封，将被拒收。快递邮寄地址：盐城市人民南路38号新龙广场4-11F，联系电话：19962391798，联系人：王工。</w:t>
      </w:r>
    </w:p>
    <w:p w14:paraId="6AC98920">
      <w:pPr>
        <w:spacing w:line="420" w:lineRule="exact"/>
        <w:ind w:left="15" w:leftChars="7" w:firstLine="480" w:firstLineChars="200"/>
        <w:rPr>
          <w:rFonts w:ascii="宋体" w:hAnsi="宋体" w:cs="宋体"/>
          <w:sz w:val="24"/>
        </w:rPr>
      </w:pPr>
      <w:r>
        <w:rPr>
          <w:rFonts w:hint="eastAsia" w:ascii="宋体" w:hAnsi="宋体" w:cs="宋体"/>
          <w:sz w:val="24"/>
        </w:rPr>
        <w:t>供应商应充分考虑投标文件邮寄在途时长，以及注重文件包装的严密性、防水性。供应商须自行承担邮寄标书丢失、破损等风险、以及投标被否决的后果。</w:t>
      </w:r>
    </w:p>
    <w:p w14:paraId="779BA0AC">
      <w:pPr>
        <w:spacing w:line="420" w:lineRule="exact"/>
        <w:ind w:firstLine="480" w:firstLineChars="200"/>
        <w:jc w:val="left"/>
        <w:rPr>
          <w:rFonts w:ascii="宋体" w:hAnsi="宋体" w:cs="宋体"/>
          <w:sz w:val="24"/>
        </w:rPr>
      </w:pPr>
      <w:r>
        <w:rPr>
          <w:rFonts w:hint="eastAsia" w:ascii="宋体" w:hAnsi="宋体" w:cs="宋体"/>
          <w:sz w:val="24"/>
        </w:rPr>
        <w:t>(2)供应商的授权委托人通过腾讯会议方式参与开标会，会议开始时间为2024年</w:t>
      </w:r>
      <w:r>
        <w:rPr>
          <w:rFonts w:hint="eastAsia" w:ascii="宋体" w:hAnsi="宋体" w:cs="宋体"/>
          <w:sz w:val="24"/>
          <w:u w:val="single"/>
        </w:rPr>
        <w:t xml:space="preserve"> </w:t>
      </w:r>
      <w:r>
        <w:rPr>
          <w:rFonts w:hint="eastAsia" w:ascii="宋体" w:hAnsi="宋体" w:cs="宋体"/>
          <w:sz w:val="24"/>
          <w:u w:val="single"/>
          <w:lang w:val="en-US" w:eastAsia="zh-CN"/>
        </w:rPr>
        <w:t>11</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lang w:val="en-US" w:eastAsia="zh-CN"/>
        </w:rPr>
        <w:t>20</w:t>
      </w:r>
      <w:r>
        <w:rPr>
          <w:rFonts w:hint="eastAsia" w:ascii="宋体" w:hAnsi="宋体" w:cs="宋体"/>
          <w:sz w:val="24"/>
        </w:rPr>
        <w:t>日下午2：45时，未参加腾讯会议的，视为认可开标结果。具体操作：各投标人需在开标前提前下载“腾讯会议”直播APP，注册腾讯会议-点击加入会议-输入会议号:</w:t>
      </w:r>
      <w:r>
        <w:rPr>
          <w:rFonts w:ascii="宋体" w:hAnsi="宋体" w:cs="宋体"/>
          <w:sz w:val="24"/>
          <w:u w:val="single"/>
        </w:rPr>
        <w:t xml:space="preserve"> 436-720-376</w:t>
      </w:r>
      <w:r>
        <w:rPr>
          <w:rFonts w:hint="eastAsia" w:ascii="宋体" w:hAnsi="宋体" w:cs="宋体"/>
          <w:sz w:val="24"/>
        </w:rPr>
        <w:t>。</w:t>
      </w:r>
    </w:p>
    <w:p w14:paraId="10613CBD">
      <w:pPr>
        <w:spacing w:line="420" w:lineRule="exact"/>
        <w:ind w:firstLine="480" w:firstLineChars="200"/>
        <w:jc w:val="left"/>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p>
    <w:p w14:paraId="475473BF">
      <w:pPr>
        <w:spacing w:line="420" w:lineRule="exact"/>
        <w:ind w:firstLine="482" w:firstLineChars="200"/>
        <w:outlineLvl w:val="1"/>
        <w:rPr>
          <w:rFonts w:ascii="宋体" w:hAnsi="宋体" w:cs="宋体"/>
          <w:b/>
          <w:bCs/>
          <w:sz w:val="24"/>
          <w:szCs w:val="24"/>
        </w:rPr>
      </w:pPr>
      <w:r>
        <w:rPr>
          <w:rFonts w:hint="eastAsia" w:ascii="宋体" w:hAnsi="宋体" w:cs="宋体"/>
          <w:b/>
          <w:bCs/>
          <w:sz w:val="24"/>
          <w:szCs w:val="24"/>
        </w:rPr>
        <w:t>七、对本次招标提出询问，请按以下方式联系</w:t>
      </w:r>
      <w:bookmarkEnd w:id="23"/>
      <w:bookmarkEnd w:id="24"/>
      <w:bookmarkEnd w:id="25"/>
      <w:bookmarkEnd w:id="26"/>
      <w:bookmarkStart w:id="34" w:name="_Toc35393637"/>
      <w:bookmarkStart w:id="35" w:name="_Toc35393806"/>
      <w:bookmarkStart w:id="36" w:name="_Toc28359019"/>
      <w:bookmarkStart w:id="37" w:name="_Toc28359096"/>
    </w:p>
    <w:bookmarkEnd w:id="34"/>
    <w:bookmarkEnd w:id="35"/>
    <w:bookmarkEnd w:id="36"/>
    <w:bookmarkEnd w:id="37"/>
    <w:p w14:paraId="16E40296">
      <w:pPr>
        <w:spacing w:line="420" w:lineRule="exact"/>
        <w:ind w:firstLine="482" w:firstLineChars="200"/>
        <w:rPr>
          <w:rFonts w:ascii="宋体" w:hAnsi="宋体" w:cs="宋体"/>
          <w:b/>
          <w:bCs/>
          <w:sz w:val="24"/>
          <w:szCs w:val="24"/>
        </w:rPr>
      </w:pPr>
      <w:bookmarkStart w:id="38" w:name="_Toc35393639"/>
      <w:bookmarkStart w:id="39" w:name="_Toc28359098"/>
      <w:bookmarkStart w:id="40" w:name="_Toc28359021"/>
      <w:bookmarkStart w:id="41" w:name="_Toc35393808"/>
      <w:r>
        <w:rPr>
          <w:rFonts w:hint="eastAsia" w:ascii="宋体" w:hAnsi="宋体" w:cs="宋体"/>
          <w:b/>
          <w:bCs/>
          <w:sz w:val="24"/>
          <w:szCs w:val="24"/>
        </w:rPr>
        <w:t>1.采购人信息</w:t>
      </w:r>
    </w:p>
    <w:p w14:paraId="3AC944DE">
      <w:pPr>
        <w:spacing w:line="420" w:lineRule="exact"/>
        <w:ind w:firstLine="480" w:firstLineChars="200"/>
        <w:rPr>
          <w:rFonts w:ascii="宋体" w:hAnsi="宋体" w:cs="宋体"/>
          <w:sz w:val="24"/>
          <w:szCs w:val="24"/>
        </w:rPr>
      </w:pPr>
      <w:bookmarkStart w:id="42" w:name="_Toc35393807"/>
      <w:bookmarkStart w:id="43" w:name="_Toc35393638"/>
      <w:bookmarkStart w:id="44" w:name="_Toc28359097"/>
      <w:bookmarkStart w:id="45" w:name="_Toc28359020"/>
      <w:r>
        <w:rPr>
          <w:rFonts w:hint="eastAsia" w:ascii="宋体" w:hAnsi="宋体" w:cs="宋体"/>
          <w:sz w:val="24"/>
          <w:szCs w:val="24"/>
        </w:rPr>
        <w:t xml:space="preserve">名    称：江苏医药职业学院 </w:t>
      </w:r>
    </w:p>
    <w:p w14:paraId="032130C8">
      <w:pPr>
        <w:spacing w:line="420" w:lineRule="exact"/>
        <w:ind w:firstLine="480" w:firstLineChars="200"/>
        <w:rPr>
          <w:rFonts w:ascii="宋体" w:hAnsi="宋体" w:cs="宋体"/>
          <w:sz w:val="24"/>
          <w:szCs w:val="24"/>
        </w:rPr>
      </w:pPr>
      <w:r>
        <w:rPr>
          <w:rFonts w:hint="eastAsia" w:ascii="宋体" w:hAnsi="宋体" w:cs="宋体"/>
          <w:sz w:val="24"/>
          <w:szCs w:val="24"/>
        </w:rPr>
        <w:t>地    址：盐城市解放南路283号</w:t>
      </w:r>
    </w:p>
    <w:p w14:paraId="3F5922E5">
      <w:pPr>
        <w:spacing w:line="420" w:lineRule="exact"/>
        <w:ind w:firstLine="480" w:firstLineChars="200"/>
        <w:rPr>
          <w:rFonts w:ascii="宋体" w:hAnsi="宋体" w:cs="宋体"/>
          <w:sz w:val="24"/>
          <w:szCs w:val="24"/>
        </w:rPr>
      </w:pPr>
      <w:r>
        <w:rPr>
          <w:rFonts w:hint="eastAsia" w:ascii="宋体" w:hAnsi="宋体" w:cs="宋体"/>
          <w:sz w:val="24"/>
          <w:szCs w:val="24"/>
        </w:rPr>
        <w:t>联 系 人：</w:t>
      </w:r>
      <w:r>
        <w:rPr>
          <w:rFonts w:hint="eastAsia" w:ascii="宋体" w:hAnsi="宋体" w:cs="宋体"/>
          <w:sz w:val="24"/>
        </w:rPr>
        <w:t>刘老师</w:t>
      </w:r>
      <w:r>
        <w:rPr>
          <w:rFonts w:ascii="宋体" w:hAnsi="宋体" w:cs="宋体"/>
          <w:sz w:val="24"/>
          <w:szCs w:val="24"/>
        </w:rPr>
        <w:t xml:space="preserve"> </w:t>
      </w:r>
    </w:p>
    <w:p w14:paraId="5D03C977">
      <w:pPr>
        <w:spacing w:line="420" w:lineRule="exact"/>
        <w:ind w:firstLine="480" w:firstLineChars="200"/>
        <w:rPr>
          <w:rFonts w:ascii="宋体" w:hAnsi="宋体" w:cs="宋体"/>
          <w:sz w:val="24"/>
          <w:szCs w:val="24"/>
        </w:rPr>
      </w:pPr>
      <w:r>
        <w:rPr>
          <w:rFonts w:hint="eastAsia" w:ascii="宋体" w:hAnsi="宋体" w:cs="宋体"/>
          <w:sz w:val="24"/>
          <w:szCs w:val="24"/>
        </w:rPr>
        <w:t>联系电话：</w:t>
      </w:r>
      <w:r>
        <w:rPr>
          <w:rFonts w:hint="eastAsia" w:ascii="宋体" w:hAnsi="宋体" w:cs="宋体"/>
          <w:sz w:val="24"/>
        </w:rPr>
        <w:t>0</w:t>
      </w:r>
      <w:r>
        <w:rPr>
          <w:rFonts w:ascii="宋体" w:hAnsi="宋体" w:cs="宋体"/>
          <w:sz w:val="24"/>
        </w:rPr>
        <w:t>515-88550311</w:t>
      </w:r>
    </w:p>
    <w:p w14:paraId="6CB0747A">
      <w:pPr>
        <w:spacing w:line="420" w:lineRule="exact"/>
        <w:ind w:firstLine="482" w:firstLineChars="200"/>
        <w:rPr>
          <w:rFonts w:ascii="宋体" w:hAnsi="宋体" w:cs="宋体"/>
          <w:b/>
          <w:bCs/>
          <w:sz w:val="24"/>
          <w:szCs w:val="24"/>
        </w:rPr>
      </w:pPr>
      <w:r>
        <w:rPr>
          <w:rFonts w:hint="eastAsia" w:ascii="宋体" w:hAnsi="宋体" w:cs="宋体"/>
          <w:b/>
          <w:bCs/>
          <w:sz w:val="24"/>
          <w:szCs w:val="24"/>
        </w:rPr>
        <w:t>2.采购代理机构信息</w:t>
      </w:r>
      <w:bookmarkEnd w:id="42"/>
      <w:bookmarkEnd w:id="43"/>
      <w:bookmarkEnd w:id="44"/>
      <w:bookmarkEnd w:id="45"/>
    </w:p>
    <w:p w14:paraId="5F125311">
      <w:pPr>
        <w:spacing w:line="420" w:lineRule="exact"/>
        <w:ind w:firstLine="480" w:firstLineChars="200"/>
        <w:rPr>
          <w:rFonts w:ascii="宋体" w:hAnsi="宋体" w:cs="宋体"/>
          <w:sz w:val="24"/>
          <w:szCs w:val="24"/>
        </w:rPr>
      </w:pPr>
      <w:r>
        <w:rPr>
          <w:rFonts w:hint="eastAsia" w:ascii="宋体" w:hAnsi="宋体" w:cs="宋体"/>
          <w:sz w:val="24"/>
          <w:szCs w:val="24"/>
        </w:rPr>
        <w:t>名    称：江苏国信政府采购服务中心有限公司</w:t>
      </w:r>
    </w:p>
    <w:p w14:paraId="5F7545D0">
      <w:pPr>
        <w:spacing w:line="420" w:lineRule="exact"/>
        <w:ind w:firstLine="480" w:firstLineChars="200"/>
        <w:rPr>
          <w:rFonts w:ascii="宋体" w:hAnsi="宋体" w:cs="宋体"/>
          <w:sz w:val="24"/>
          <w:szCs w:val="24"/>
        </w:rPr>
      </w:pPr>
      <w:r>
        <w:rPr>
          <w:rFonts w:hint="eastAsia" w:ascii="宋体" w:hAnsi="宋体" w:cs="宋体"/>
          <w:sz w:val="24"/>
          <w:szCs w:val="24"/>
        </w:rPr>
        <w:t>地    址：盐城市人民南路38号新龙广场4-11F</w:t>
      </w:r>
    </w:p>
    <w:p w14:paraId="010A39E8">
      <w:pPr>
        <w:spacing w:line="420" w:lineRule="exact"/>
        <w:ind w:firstLine="480" w:firstLineChars="200"/>
        <w:rPr>
          <w:rFonts w:ascii="宋体" w:hAnsi="宋体" w:cs="宋体"/>
          <w:sz w:val="24"/>
          <w:szCs w:val="24"/>
        </w:rPr>
      </w:pPr>
      <w:r>
        <w:rPr>
          <w:rFonts w:hint="eastAsia" w:ascii="宋体" w:hAnsi="宋体" w:cs="宋体"/>
          <w:sz w:val="24"/>
          <w:szCs w:val="24"/>
        </w:rPr>
        <w:t>联 系 人：王工</w:t>
      </w:r>
    </w:p>
    <w:p w14:paraId="2842F55F">
      <w:pPr>
        <w:spacing w:line="420" w:lineRule="exact"/>
        <w:ind w:firstLine="480" w:firstLineChars="200"/>
        <w:rPr>
          <w:rFonts w:ascii="宋体" w:hAnsi="宋体" w:cs="宋体"/>
          <w:sz w:val="24"/>
        </w:rPr>
      </w:pPr>
      <w:r>
        <w:rPr>
          <w:rFonts w:hint="eastAsia" w:ascii="宋体" w:hAnsi="宋体" w:cs="宋体"/>
          <w:sz w:val="24"/>
          <w:szCs w:val="24"/>
        </w:rPr>
        <w:t>联系电话：</w:t>
      </w:r>
      <w:r>
        <w:rPr>
          <w:rFonts w:hint="eastAsia" w:ascii="宋体" w:hAnsi="宋体" w:cs="宋体"/>
          <w:sz w:val="24"/>
        </w:rPr>
        <w:t>19962391798</w:t>
      </w:r>
    </w:p>
    <w:bookmarkEnd w:id="38"/>
    <w:bookmarkEnd w:id="39"/>
    <w:bookmarkEnd w:id="40"/>
    <w:bookmarkEnd w:id="41"/>
    <w:p w14:paraId="12CABB5F">
      <w:pPr>
        <w:spacing w:line="420" w:lineRule="exact"/>
        <w:ind w:firstLine="482" w:firstLineChars="200"/>
        <w:jc w:val="left"/>
        <w:rPr>
          <w:rFonts w:ascii="宋体" w:hAnsi="宋体" w:cs="宋体"/>
          <w:b/>
          <w:bCs/>
          <w:sz w:val="24"/>
          <w:szCs w:val="24"/>
        </w:rPr>
      </w:pPr>
      <w:bookmarkStart w:id="46" w:name="_Toc120614211"/>
      <w:r>
        <w:rPr>
          <w:rFonts w:hint="eastAsia" w:ascii="宋体" w:hAnsi="宋体" w:cs="宋体"/>
          <w:b/>
          <w:sz w:val="24"/>
          <w:szCs w:val="24"/>
        </w:rPr>
        <w:t>3.</w:t>
      </w:r>
      <w:r>
        <w:rPr>
          <w:rFonts w:hint="eastAsia" w:ascii="宋体" w:hAnsi="宋体" w:cs="宋体"/>
          <w:color w:val="000000"/>
          <w:sz w:val="24"/>
          <w:szCs w:val="24"/>
        </w:rPr>
        <w:t xml:space="preserve"> </w:t>
      </w:r>
      <w:r>
        <w:rPr>
          <w:rFonts w:hint="eastAsia" w:ascii="宋体" w:hAnsi="宋体" w:cs="宋体"/>
          <w:b/>
          <w:bCs/>
          <w:sz w:val="24"/>
          <w:szCs w:val="24"/>
        </w:rPr>
        <w:t>项目联系人</w:t>
      </w:r>
    </w:p>
    <w:p w14:paraId="2BCBB82E">
      <w:pPr>
        <w:spacing w:line="420" w:lineRule="exact"/>
        <w:ind w:firstLine="480" w:firstLineChars="200"/>
        <w:jc w:val="left"/>
        <w:rPr>
          <w:rFonts w:ascii="宋体" w:hAnsi="宋体" w:cs="宋体"/>
          <w:bCs/>
          <w:sz w:val="24"/>
          <w:szCs w:val="24"/>
        </w:rPr>
      </w:pPr>
      <w:r>
        <w:rPr>
          <w:rFonts w:hint="eastAsia" w:ascii="宋体" w:hAnsi="宋体" w:cs="宋体"/>
          <w:bCs/>
          <w:sz w:val="24"/>
          <w:szCs w:val="24"/>
        </w:rPr>
        <w:t>联 系 人：</w:t>
      </w:r>
      <w:r>
        <w:rPr>
          <w:rFonts w:hint="eastAsia"/>
          <w:sz w:val="24"/>
          <w:szCs w:val="24"/>
        </w:rPr>
        <w:t>刘老师</w:t>
      </w:r>
      <w:r>
        <w:rPr>
          <w:rFonts w:hint="eastAsia" w:ascii="宋体" w:hAnsi="宋体" w:cs="宋体"/>
          <w:bCs/>
          <w:sz w:val="24"/>
          <w:szCs w:val="24"/>
        </w:rPr>
        <w:t xml:space="preserve">  </w:t>
      </w:r>
      <w:r>
        <w:rPr>
          <w:rFonts w:ascii="宋体" w:hAnsi="宋体" w:cs="宋体"/>
          <w:bCs/>
          <w:sz w:val="24"/>
          <w:szCs w:val="24"/>
        </w:rPr>
        <w:t xml:space="preserve">                        </w:t>
      </w:r>
    </w:p>
    <w:p w14:paraId="1ABF65F0">
      <w:pPr>
        <w:spacing w:line="420" w:lineRule="exact"/>
        <w:ind w:firstLine="480" w:firstLineChars="200"/>
        <w:jc w:val="left"/>
        <w:rPr>
          <w:rFonts w:ascii="宋体" w:hAnsi="宋体" w:cs="宋体"/>
          <w:color w:val="000000"/>
          <w:sz w:val="24"/>
          <w:szCs w:val="24"/>
        </w:rPr>
      </w:pPr>
      <w:r>
        <w:rPr>
          <w:rFonts w:hint="eastAsia" w:ascii="宋体" w:hAnsi="宋体" w:cs="宋体"/>
          <w:sz w:val="24"/>
          <w:szCs w:val="24"/>
        </w:rPr>
        <w:t>联系电话：</w:t>
      </w:r>
      <w:r>
        <w:rPr>
          <w:rFonts w:hint="eastAsia"/>
          <w:sz w:val="24"/>
          <w:szCs w:val="24"/>
        </w:rPr>
        <w:t>18921816970</w:t>
      </w:r>
      <w:r>
        <w:rPr>
          <w:rFonts w:hint="eastAsia" w:ascii="宋体" w:hAnsi="宋体" w:cs="宋体"/>
          <w:sz w:val="24"/>
          <w:szCs w:val="24"/>
        </w:rPr>
        <w:t xml:space="preserve"> </w:t>
      </w:r>
    </w:p>
    <w:p w14:paraId="7CD3DE27">
      <w:pPr>
        <w:spacing w:line="420" w:lineRule="exact"/>
        <w:ind w:firstLine="482" w:firstLineChars="200"/>
        <w:jc w:val="left"/>
        <w:rPr>
          <w:rFonts w:ascii="宋体" w:hAnsi="宋体" w:cs="宋体"/>
          <w:b/>
          <w:bCs/>
          <w:color w:val="000000"/>
          <w:sz w:val="24"/>
          <w:szCs w:val="24"/>
        </w:rPr>
      </w:pPr>
      <w:r>
        <w:rPr>
          <w:rFonts w:hint="eastAsia" w:ascii="宋体" w:hAnsi="宋体" w:cs="宋体"/>
          <w:b/>
          <w:bCs/>
          <w:sz w:val="24"/>
          <w:szCs w:val="24"/>
        </w:rPr>
        <w:t>4.</w:t>
      </w:r>
      <w:r>
        <w:rPr>
          <w:rFonts w:hint="eastAsia" w:ascii="宋体" w:hAnsi="宋体" w:cs="宋体"/>
          <w:b/>
          <w:bCs/>
          <w:color w:val="000000"/>
          <w:sz w:val="24"/>
          <w:szCs w:val="24"/>
        </w:rPr>
        <w:t>提醒</w:t>
      </w:r>
    </w:p>
    <w:p w14:paraId="028008B3">
      <w:pPr>
        <w:spacing w:line="420" w:lineRule="exact"/>
        <w:ind w:firstLine="480" w:firstLineChars="200"/>
        <w:jc w:val="left"/>
        <w:rPr>
          <w:szCs w:val="24"/>
        </w:rPr>
      </w:pPr>
      <w:r>
        <w:rPr>
          <w:rFonts w:hint="eastAsia" w:ascii="宋体" w:hAnsi="宋体" w:cs="宋体"/>
          <w:color w:val="000000"/>
          <w:sz w:val="24"/>
          <w:szCs w:val="24"/>
        </w:rPr>
        <w:t>对项目需求部分的询问、质疑请向项目联系人提出，由项目联系人负责答复；对项目招标文件其他部分的询问、质疑向代理机构提出</w:t>
      </w:r>
      <w:r>
        <w:rPr>
          <w:rFonts w:hint="eastAsia" w:ascii="方正小标宋_GBK" w:hAnsi="方正小标宋_GBK" w:eastAsia="方正小标宋_GBK" w:cs="方正小标宋_GBK"/>
          <w:bCs/>
          <w:color w:val="000000"/>
          <w:sz w:val="24"/>
          <w:szCs w:val="24"/>
        </w:rPr>
        <w:t>。</w:t>
      </w:r>
    </w:p>
    <w:p w14:paraId="02640AA0">
      <w:pPr>
        <w:spacing w:line="500" w:lineRule="exact"/>
        <w:ind w:firstLine="420" w:firstLineChars="200"/>
      </w:pPr>
      <w:r>
        <w:rPr>
          <w:rFonts w:hint="eastAsia"/>
        </w:rPr>
        <w:br w:type="page"/>
      </w:r>
      <w:r>
        <w:rPr>
          <w:rFonts w:hint="eastAsia"/>
        </w:rPr>
        <w:t xml:space="preserve">                    </w:t>
      </w:r>
    </w:p>
    <w:p w14:paraId="46F01213">
      <w:pPr>
        <w:spacing w:line="500" w:lineRule="exact"/>
        <w:ind w:firstLine="3080" w:firstLineChars="700"/>
        <w:outlineLvl w:val="0"/>
        <w:rPr>
          <w:rFonts w:ascii="方正小标宋_GBK" w:hAnsi="方正小标宋_GBK" w:eastAsia="方正小标宋_GBK" w:cs="方正小标宋_GBK"/>
          <w:color w:val="000000"/>
          <w:sz w:val="44"/>
          <w:szCs w:val="44"/>
        </w:rPr>
      </w:pPr>
      <w:bookmarkStart w:id="47" w:name="_Toc181627029"/>
      <w:r>
        <w:rPr>
          <w:rFonts w:hint="eastAsia" w:ascii="方正小标宋_GBK" w:hAnsi="方正小标宋_GBK" w:eastAsia="方正小标宋_GBK" w:cs="方正小标宋_GBK"/>
          <w:color w:val="000000"/>
          <w:sz w:val="44"/>
          <w:szCs w:val="44"/>
        </w:rPr>
        <w:t xml:space="preserve">第二章 </w:t>
      </w:r>
      <w:bookmarkEnd w:id="1"/>
      <w:bookmarkEnd w:id="2"/>
      <w:bookmarkEnd w:id="3"/>
      <w:bookmarkEnd w:id="4"/>
      <w:bookmarkEnd w:id="5"/>
      <w:bookmarkEnd w:id="46"/>
      <w:bookmarkStart w:id="48" w:name="_Toc20823274"/>
      <w:bookmarkStart w:id="49" w:name="_Toc120614213"/>
      <w:bookmarkStart w:id="50" w:name="_Toc16938518"/>
      <w:bookmarkStart w:id="51" w:name="_Toc513029202"/>
      <w:r>
        <w:rPr>
          <w:rFonts w:hint="eastAsia" w:ascii="方正小标宋_GBK" w:hAnsi="方正小标宋_GBK" w:eastAsia="方正小标宋_GBK" w:cs="方正小标宋_GBK"/>
          <w:color w:val="000000"/>
          <w:sz w:val="44"/>
          <w:szCs w:val="44"/>
        </w:rPr>
        <w:t>投标人须知</w:t>
      </w:r>
      <w:bookmarkEnd w:id="47"/>
      <w:bookmarkEnd w:id="48"/>
      <w:bookmarkEnd w:id="49"/>
      <w:bookmarkEnd w:id="50"/>
      <w:bookmarkEnd w:id="51"/>
    </w:p>
    <w:p w14:paraId="391D6DDA">
      <w:pPr>
        <w:widowControl/>
        <w:spacing w:before="240" w:after="60"/>
        <w:jc w:val="center"/>
        <w:rPr>
          <w:rFonts w:ascii="宋体" w:hAnsi="宋体" w:cs="宋体"/>
          <w:b/>
          <w:kern w:val="0"/>
          <w:sz w:val="32"/>
          <w:lang w:val="zh-CN"/>
        </w:rPr>
      </w:pPr>
      <w:r>
        <w:rPr>
          <w:rFonts w:hint="eastAsia" w:ascii="宋体" w:hAnsi="宋体" w:cs="宋体"/>
          <w:b/>
          <w:kern w:val="0"/>
          <w:sz w:val="32"/>
          <w:lang w:val="zh-CN"/>
        </w:rPr>
        <w:t>投标人须知前附表</w:t>
      </w:r>
    </w:p>
    <w:tbl>
      <w:tblPr>
        <w:tblStyle w:val="46"/>
        <w:tblW w:w="9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2333"/>
        <w:gridCol w:w="6750"/>
      </w:tblGrid>
      <w:tr w14:paraId="4C72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83" w:type="dxa"/>
            <w:vAlign w:val="center"/>
          </w:tcPr>
          <w:p w14:paraId="12E31A62">
            <w:pPr>
              <w:autoSpaceDE w:val="0"/>
              <w:autoSpaceDN w:val="0"/>
              <w:adjustRightInd w:val="0"/>
              <w:spacing w:line="300" w:lineRule="auto"/>
              <w:jc w:val="center"/>
              <w:rPr>
                <w:rFonts w:ascii="宋体" w:hAnsi="宋体" w:cs="宋体"/>
                <w:b/>
                <w:bCs/>
                <w:lang w:val="zh-CN"/>
              </w:rPr>
            </w:pPr>
            <w:r>
              <w:rPr>
                <w:rFonts w:hint="eastAsia" w:ascii="宋体" w:hAnsi="宋体" w:cs="宋体"/>
                <w:b/>
                <w:bCs/>
                <w:lang w:val="zh-CN"/>
              </w:rPr>
              <w:t>序号</w:t>
            </w:r>
          </w:p>
        </w:tc>
        <w:tc>
          <w:tcPr>
            <w:tcW w:w="2333" w:type="dxa"/>
            <w:vAlign w:val="center"/>
          </w:tcPr>
          <w:p w14:paraId="386BE7AE">
            <w:pPr>
              <w:widowControl/>
              <w:autoSpaceDE w:val="0"/>
              <w:autoSpaceDN w:val="0"/>
              <w:adjustRightInd w:val="0"/>
              <w:spacing w:line="300" w:lineRule="auto"/>
              <w:jc w:val="center"/>
              <w:rPr>
                <w:rFonts w:ascii="宋体" w:hAnsi="宋体" w:cs="宋体"/>
                <w:b/>
                <w:bCs/>
                <w:kern w:val="0"/>
                <w:lang w:val="zh-CN"/>
              </w:rPr>
            </w:pPr>
            <w:r>
              <w:rPr>
                <w:rFonts w:hint="eastAsia" w:ascii="宋体" w:hAnsi="宋体" w:cs="宋体"/>
                <w:b/>
                <w:bCs/>
                <w:kern w:val="0"/>
                <w:lang w:val="zh-CN"/>
              </w:rPr>
              <w:t>条款名称</w:t>
            </w:r>
          </w:p>
        </w:tc>
        <w:tc>
          <w:tcPr>
            <w:tcW w:w="6750" w:type="dxa"/>
            <w:vAlign w:val="center"/>
          </w:tcPr>
          <w:p w14:paraId="344AAB0C">
            <w:pPr>
              <w:widowControl/>
              <w:autoSpaceDE w:val="0"/>
              <w:autoSpaceDN w:val="0"/>
              <w:adjustRightInd w:val="0"/>
              <w:spacing w:line="300" w:lineRule="auto"/>
              <w:jc w:val="center"/>
              <w:rPr>
                <w:rFonts w:ascii="宋体" w:hAnsi="宋体" w:cs="宋体"/>
                <w:b/>
                <w:bCs/>
                <w:kern w:val="0"/>
                <w:lang w:val="zh-CN"/>
              </w:rPr>
            </w:pPr>
            <w:r>
              <w:rPr>
                <w:rFonts w:hint="eastAsia" w:ascii="宋体" w:hAnsi="宋体" w:cs="宋体"/>
                <w:b/>
                <w:bCs/>
                <w:kern w:val="0"/>
                <w:lang w:val="zh-CN"/>
              </w:rPr>
              <w:t>编列内容</w:t>
            </w:r>
          </w:p>
        </w:tc>
      </w:tr>
      <w:tr w14:paraId="5C5C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6" w:type="dxa"/>
            <w:gridSpan w:val="2"/>
            <w:vAlign w:val="center"/>
          </w:tcPr>
          <w:p w14:paraId="3C54A645">
            <w:pPr>
              <w:autoSpaceDE w:val="0"/>
              <w:autoSpaceDN w:val="0"/>
              <w:adjustRightInd w:val="0"/>
              <w:spacing w:line="300" w:lineRule="auto"/>
              <w:jc w:val="center"/>
              <w:rPr>
                <w:rFonts w:ascii="宋体" w:hAnsi="宋体" w:cs="宋体"/>
                <w:sz w:val="24"/>
              </w:rPr>
            </w:pPr>
            <w:r>
              <w:rPr>
                <w:rFonts w:hint="eastAsia" w:ascii="宋体" w:hAnsi="宋体" w:cs="宋体"/>
                <w:b/>
                <w:bCs/>
                <w:lang w:val="zh-CN"/>
              </w:rPr>
              <w:t xml:space="preserve">说 </w:t>
            </w:r>
            <w:r>
              <w:rPr>
                <w:rFonts w:ascii="宋体" w:hAnsi="宋体" w:cs="宋体"/>
                <w:b/>
                <w:bCs/>
                <w:lang w:val="zh-CN"/>
              </w:rPr>
              <w:t xml:space="preserve"> </w:t>
            </w:r>
            <w:r>
              <w:rPr>
                <w:rFonts w:hint="eastAsia" w:ascii="宋体" w:hAnsi="宋体" w:cs="宋体"/>
                <w:b/>
                <w:bCs/>
                <w:lang w:val="zh-CN"/>
              </w:rPr>
              <w:t>明</w:t>
            </w:r>
          </w:p>
        </w:tc>
        <w:tc>
          <w:tcPr>
            <w:tcW w:w="6750" w:type="dxa"/>
            <w:vAlign w:val="center"/>
          </w:tcPr>
          <w:p w14:paraId="76BA5CD6">
            <w:pPr>
              <w:rPr>
                <w:rFonts w:ascii="宋体" w:hAnsi="宋体" w:cs="宋体"/>
                <w:sz w:val="24"/>
              </w:rPr>
            </w:pPr>
            <w:r>
              <w:rPr>
                <w:rFonts w:hint="eastAsia" w:ascii="宋体" w:hAnsi="宋体" w:cs="宋体"/>
                <w:b/>
                <w:bCs/>
                <w:kern w:val="0"/>
                <w:lang w:val="zh-CN"/>
              </w:rPr>
              <w:t xml:space="preserve"> </w:t>
            </w:r>
            <w:r>
              <w:rPr>
                <w:rFonts w:ascii="宋体" w:hAnsi="宋体" w:cs="宋体"/>
                <w:b/>
                <w:bCs/>
                <w:kern w:val="0"/>
                <w:lang w:val="zh-CN"/>
              </w:rPr>
              <w:t xml:space="preserve">  </w:t>
            </w:r>
            <w:r>
              <w:rPr>
                <w:rFonts w:hint="eastAsia" w:ascii="宋体" w:hAnsi="宋体" w:cs="宋体"/>
                <w:b/>
                <w:bCs/>
                <w:sz w:val="24"/>
                <w:lang w:val="zh-CN"/>
              </w:rPr>
              <w:t>江苏医药职业学院是省卫健委直属全日制公办专科层次普通高等学校。本项目预算未达到现时有效的政府采购的限额标准，同时本项目的采购内容也未列入现时有效的集中采购目录，因此，本项目并不属于政府采购项目</w:t>
            </w:r>
            <w:r>
              <w:rPr>
                <w:rFonts w:hint="eastAsia" w:ascii="宋体" w:hAnsi="宋体" w:cs="宋体"/>
                <w:sz w:val="24"/>
                <w:lang w:val="zh-CN"/>
              </w:rPr>
              <w:t>。</w:t>
            </w:r>
          </w:p>
        </w:tc>
      </w:tr>
      <w:tr w14:paraId="1D20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032568C4">
            <w:pPr>
              <w:autoSpaceDE w:val="0"/>
              <w:autoSpaceDN w:val="0"/>
              <w:adjustRightInd w:val="0"/>
              <w:spacing w:line="300" w:lineRule="auto"/>
              <w:jc w:val="center"/>
              <w:rPr>
                <w:rFonts w:ascii="宋体" w:hAnsi="宋体" w:cs="宋体"/>
                <w:sz w:val="24"/>
              </w:rPr>
            </w:pPr>
            <w:r>
              <w:rPr>
                <w:rFonts w:hint="eastAsia" w:ascii="宋体" w:hAnsi="宋体" w:cs="宋体"/>
                <w:sz w:val="24"/>
              </w:rPr>
              <w:t>1</w:t>
            </w:r>
          </w:p>
        </w:tc>
        <w:tc>
          <w:tcPr>
            <w:tcW w:w="2333" w:type="dxa"/>
            <w:vAlign w:val="center"/>
          </w:tcPr>
          <w:p w14:paraId="510DDDF1">
            <w:pPr>
              <w:autoSpaceDE w:val="0"/>
              <w:autoSpaceDN w:val="0"/>
              <w:adjustRightInd w:val="0"/>
              <w:spacing w:line="300" w:lineRule="auto"/>
              <w:jc w:val="center"/>
              <w:rPr>
                <w:rFonts w:ascii="宋体" w:hAnsi="宋体" w:cs="宋体"/>
                <w:sz w:val="24"/>
              </w:rPr>
            </w:pPr>
            <w:r>
              <w:rPr>
                <w:rFonts w:hint="eastAsia" w:ascii="宋体" w:hAnsi="宋体" w:cs="宋体"/>
                <w:sz w:val="24"/>
              </w:rPr>
              <w:t>招标人</w:t>
            </w:r>
          </w:p>
        </w:tc>
        <w:tc>
          <w:tcPr>
            <w:tcW w:w="6750" w:type="dxa"/>
            <w:vAlign w:val="center"/>
          </w:tcPr>
          <w:p w14:paraId="17C48DA2">
            <w:pPr>
              <w:rPr>
                <w:rFonts w:ascii="宋体" w:hAnsi="宋体" w:cs="宋体"/>
                <w:sz w:val="24"/>
              </w:rPr>
            </w:pPr>
            <w:r>
              <w:rPr>
                <w:rFonts w:hint="eastAsia" w:ascii="宋体" w:hAnsi="宋体" w:cs="宋体"/>
                <w:sz w:val="24"/>
              </w:rPr>
              <w:t>名称：江苏医药职业学院</w:t>
            </w:r>
          </w:p>
          <w:p w14:paraId="53CFA5B5">
            <w:pPr>
              <w:rPr>
                <w:rFonts w:ascii="宋体" w:hAnsi="宋体" w:cs="宋体"/>
                <w:sz w:val="24"/>
              </w:rPr>
            </w:pPr>
            <w:r>
              <w:rPr>
                <w:rFonts w:hint="eastAsia" w:ascii="宋体" w:hAnsi="宋体" w:cs="宋体"/>
                <w:sz w:val="24"/>
              </w:rPr>
              <w:t>地址：盐城市解放南路283号</w:t>
            </w:r>
          </w:p>
          <w:p w14:paraId="19FE65C0">
            <w:pPr>
              <w:rPr>
                <w:rFonts w:ascii="宋体" w:hAnsi="宋体" w:cs="宋体"/>
                <w:sz w:val="24"/>
              </w:rPr>
            </w:pPr>
            <w:r>
              <w:rPr>
                <w:rFonts w:hint="eastAsia" w:ascii="宋体" w:hAnsi="宋体" w:cs="宋体"/>
                <w:sz w:val="24"/>
              </w:rPr>
              <w:t>联系人：刘老师</w:t>
            </w:r>
          </w:p>
          <w:p w14:paraId="65E99ADC">
            <w:pPr>
              <w:rPr>
                <w:rFonts w:ascii="宋体" w:hAnsi="宋体" w:cs="宋体"/>
                <w:bCs/>
                <w:sz w:val="24"/>
              </w:rPr>
            </w:pPr>
            <w:r>
              <w:rPr>
                <w:rFonts w:hint="eastAsia" w:ascii="宋体" w:hAnsi="宋体" w:cs="宋体"/>
                <w:sz w:val="24"/>
              </w:rPr>
              <w:t>电话：0515-88550311</w:t>
            </w:r>
          </w:p>
        </w:tc>
      </w:tr>
      <w:tr w14:paraId="162B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883" w:type="dxa"/>
            <w:vAlign w:val="center"/>
          </w:tcPr>
          <w:p w14:paraId="1A2ECF6A">
            <w:pPr>
              <w:autoSpaceDE w:val="0"/>
              <w:autoSpaceDN w:val="0"/>
              <w:adjustRightInd w:val="0"/>
              <w:spacing w:line="300" w:lineRule="auto"/>
              <w:jc w:val="center"/>
              <w:rPr>
                <w:rFonts w:ascii="宋体" w:hAnsi="宋体" w:cs="宋体"/>
                <w:sz w:val="24"/>
              </w:rPr>
            </w:pPr>
            <w:r>
              <w:rPr>
                <w:rFonts w:hint="eastAsia" w:ascii="宋体" w:hAnsi="宋体" w:cs="宋体"/>
                <w:sz w:val="24"/>
              </w:rPr>
              <w:t>2</w:t>
            </w:r>
          </w:p>
        </w:tc>
        <w:tc>
          <w:tcPr>
            <w:tcW w:w="2333" w:type="dxa"/>
            <w:vAlign w:val="center"/>
          </w:tcPr>
          <w:p w14:paraId="17F7B33D">
            <w:pPr>
              <w:autoSpaceDE w:val="0"/>
              <w:autoSpaceDN w:val="0"/>
              <w:adjustRightInd w:val="0"/>
              <w:spacing w:line="300" w:lineRule="auto"/>
              <w:jc w:val="center"/>
              <w:rPr>
                <w:rFonts w:ascii="宋体" w:hAnsi="宋体" w:cs="宋体"/>
                <w:sz w:val="24"/>
              </w:rPr>
            </w:pPr>
            <w:r>
              <w:rPr>
                <w:rFonts w:hint="eastAsia" w:ascii="宋体" w:hAnsi="宋体" w:cs="宋体"/>
                <w:sz w:val="24"/>
              </w:rPr>
              <w:t>招标代理机构</w:t>
            </w:r>
          </w:p>
        </w:tc>
        <w:tc>
          <w:tcPr>
            <w:tcW w:w="6750" w:type="dxa"/>
            <w:vAlign w:val="center"/>
          </w:tcPr>
          <w:p w14:paraId="35C16D77">
            <w:pPr>
              <w:rPr>
                <w:rFonts w:ascii="宋体" w:hAnsi="宋体" w:cs="宋体"/>
                <w:sz w:val="24"/>
              </w:rPr>
            </w:pPr>
            <w:r>
              <w:rPr>
                <w:rFonts w:hint="eastAsia" w:ascii="宋体" w:hAnsi="宋体" w:cs="宋体"/>
                <w:sz w:val="24"/>
              </w:rPr>
              <w:t>名称：江苏国信政府采购服务中心有限公司</w:t>
            </w:r>
          </w:p>
          <w:p w14:paraId="2B462BC8">
            <w:pPr>
              <w:rPr>
                <w:rFonts w:ascii="宋体" w:hAnsi="宋体" w:cs="宋体"/>
                <w:sz w:val="24"/>
              </w:rPr>
            </w:pPr>
            <w:r>
              <w:rPr>
                <w:rFonts w:hint="eastAsia" w:ascii="宋体" w:hAnsi="宋体" w:cs="宋体"/>
                <w:sz w:val="24"/>
              </w:rPr>
              <w:t>地址：盐城市人民南路38号新龙广场4-11F</w:t>
            </w:r>
          </w:p>
          <w:p w14:paraId="675E2C1D">
            <w:pPr>
              <w:rPr>
                <w:rFonts w:ascii="宋体" w:hAnsi="宋体" w:cs="宋体"/>
                <w:sz w:val="24"/>
              </w:rPr>
            </w:pPr>
            <w:r>
              <w:rPr>
                <w:rFonts w:hint="eastAsia" w:ascii="宋体" w:hAnsi="宋体" w:cs="宋体"/>
                <w:sz w:val="24"/>
              </w:rPr>
              <w:t>联系人：王工</w:t>
            </w:r>
          </w:p>
          <w:p w14:paraId="5536966B">
            <w:pPr>
              <w:rPr>
                <w:rFonts w:ascii="宋体" w:hAnsi="宋体" w:cs="宋体"/>
                <w:sz w:val="24"/>
              </w:rPr>
            </w:pPr>
            <w:r>
              <w:rPr>
                <w:rFonts w:hint="eastAsia" w:ascii="宋体" w:hAnsi="宋体" w:cs="宋体"/>
                <w:sz w:val="24"/>
              </w:rPr>
              <w:t>联系电话：</w:t>
            </w:r>
            <w:r>
              <w:rPr>
                <w:rFonts w:ascii="宋体" w:hAnsi="宋体" w:cs="宋体"/>
                <w:sz w:val="24"/>
              </w:rPr>
              <w:t>19962391798</w:t>
            </w:r>
          </w:p>
        </w:tc>
      </w:tr>
      <w:tr w14:paraId="3900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83" w:type="dxa"/>
            <w:vAlign w:val="center"/>
          </w:tcPr>
          <w:p w14:paraId="1470ED9D">
            <w:pPr>
              <w:autoSpaceDE w:val="0"/>
              <w:autoSpaceDN w:val="0"/>
              <w:adjustRightInd w:val="0"/>
              <w:spacing w:line="300" w:lineRule="auto"/>
              <w:jc w:val="center"/>
              <w:rPr>
                <w:rFonts w:ascii="宋体" w:hAnsi="宋体" w:cs="宋体"/>
                <w:sz w:val="24"/>
              </w:rPr>
            </w:pPr>
            <w:r>
              <w:rPr>
                <w:rFonts w:hint="eastAsia" w:ascii="宋体" w:hAnsi="宋体" w:cs="宋体"/>
                <w:sz w:val="24"/>
              </w:rPr>
              <w:t>3</w:t>
            </w:r>
          </w:p>
        </w:tc>
        <w:tc>
          <w:tcPr>
            <w:tcW w:w="2333" w:type="dxa"/>
            <w:vAlign w:val="center"/>
          </w:tcPr>
          <w:p w14:paraId="5DE222B6">
            <w:pPr>
              <w:autoSpaceDE w:val="0"/>
              <w:autoSpaceDN w:val="0"/>
              <w:adjustRightInd w:val="0"/>
              <w:spacing w:line="300" w:lineRule="auto"/>
              <w:jc w:val="center"/>
              <w:rPr>
                <w:rFonts w:ascii="宋体" w:hAnsi="宋体" w:cs="宋体"/>
                <w:sz w:val="24"/>
              </w:rPr>
            </w:pPr>
            <w:r>
              <w:rPr>
                <w:rFonts w:hint="eastAsia" w:ascii="宋体" w:hAnsi="宋体" w:cs="宋体"/>
                <w:sz w:val="24"/>
              </w:rPr>
              <w:t>项目名称</w:t>
            </w:r>
          </w:p>
        </w:tc>
        <w:tc>
          <w:tcPr>
            <w:tcW w:w="6750" w:type="dxa"/>
            <w:vAlign w:val="center"/>
          </w:tcPr>
          <w:p w14:paraId="2BB9CE00">
            <w:pPr>
              <w:autoSpaceDE w:val="0"/>
              <w:autoSpaceDN w:val="0"/>
              <w:adjustRightInd w:val="0"/>
              <w:rPr>
                <w:rFonts w:ascii="宋体" w:hAnsi="宋体" w:cs="宋体"/>
                <w:bCs/>
                <w:sz w:val="24"/>
                <w:lang w:val="zh-CN"/>
              </w:rPr>
            </w:pPr>
            <w:r>
              <w:rPr>
                <w:rFonts w:hint="eastAsia" w:ascii="宋体" w:hAnsi="宋体" w:cs="宋体"/>
                <w:bCs/>
                <w:sz w:val="24"/>
                <w:lang w:val="zh-CN"/>
              </w:rPr>
              <w:t>江苏医药职业学院网络驻场运维服务项目</w:t>
            </w:r>
          </w:p>
        </w:tc>
      </w:tr>
      <w:tr w14:paraId="7C07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4A57178A">
            <w:pPr>
              <w:autoSpaceDE w:val="0"/>
              <w:autoSpaceDN w:val="0"/>
              <w:adjustRightInd w:val="0"/>
              <w:spacing w:line="300" w:lineRule="auto"/>
              <w:jc w:val="center"/>
              <w:rPr>
                <w:rFonts w:ascii="宋体" w:hAnsi="宋体" w:cs="宋体"/>
                <w:sz w:val="24"/>
              </w:rPr>
            </w:pPr>
            <w:r>
              <w:rPr>
                <w:rFonts w:hint="eastAsia" w:ascii="宋体" w:hAnsi="宋体" w:cs="宋体"/>
                <w:sz w:val="24"/>
              </w:rPr>
              <w:t>4</w:t>
            </w:r>
          </w:p>
        </w:tc>
        <w:tc>
          <w:tcPr>
            <w:tcW w:w="2333" w:type="dxa"/>
            <w:vAlign w:val="center"/>
          </w:tcPr>
          <w:p w14:paraId="2C6E2F38">
            <w:pPr>
              <w:autoSpaceDE w:val="0"/>
              <w:autoSpaceDN w:val="0"/>
              <w:adjustRightInd w:val="0"/>
              <w:spacing w:line="300" w:lineRule="auto"/>
              <w:jc w:val="center"/>
              <w:rPr>
                <w:rFonts w:ascii="宋体" w:hAnsi="宋体" w:cs="宋体"/>
                <w:sz w:val="24"/>
              </w:rPr>
            </w:pPr>
            <w:r>
              <w:rPr>
                <w:rFonts w:hint="eastAsia" w:ascii="宋体" w:hAnsi="宋体" w:cs="宋体"/>
                <w:sz w:val="24"/>
              </w:rPr>
              <w:t>资金来源</w:t>
            </w:r>
          </w:p>
        </w:tc>
        <w:tc>
          <w:tcPr>
            <w:tcW w:w="6750" w:type="dxa"/>
            <w:vAlign w:val="center"/>
          </w:tcPr>
          <w:p w14:paraId="0107FF73">
            <w:pPr>
              <w:autoSpaceDE w:val="0"/>
              <w:autoSpaceDN w:val="0"/>
              <w:adjustRightInd w:val="0"/>
              <w:rPr>
                <w:rFonts w:ascii="宋体" w:hAnsi="宋体" w:cs="宋体"/>
                <w:bCs/>
                <w:sz w:val="24"/>
                <w:lang w:val="zh-CN"/>
              </w:rPr>
            </w:pPr>
            <w:r>
              <w:rPr>
                <w:rFonts w:ascii="宋体" w:hAnsi="宋体" w:cs="宋体"/>
                <w:bCs/>
                <w:sz w:val="24"/>
                <w:lang w:val="zh-CN"/>
              </w:rPr>
              <w:t>财政资金</w:t>
            </w:r>
          </w:p>
        </w:tc>
      </w:tr>
      <w:tr w14:paraId="3736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095427A0">
            <w:pPr>
              <w:autoSpaceDE w:val="0"/>
              <w:autoSpaceDN w:val="0"/>
              <w:adjustRightInd w:val="0"/>
              <w:spacing w:line="300" w:lineRule="auto"/>
              <w:jc w:val="center"/>
              <w:rPr>
                <w:rFonts w:ascii="宋体" w:hAnsi="宋体" w:cs="宋体"/>
                <w:sz w:val="24"/>
              </w:rPr>
            </w:pPr>
            <w:r>
              <w:rPr>
                <w:rFonts w:hint="eastAsia" w:ascii="宋体" w:hAnsi="宋体" w:cs="宋体"/>
                <w:sz w:val="24"/>
              </w:rPr>
              <w:t>5</w:t>
            </w:r>
          </w:p>
        </w:tc>
        <w:tc>
          <w:tcPr>
            <w:tcW w:w="2333" w:type="dxa"/>
            <w:vAlign w:val="center"/>
          </w:tcPr>
          <w:p w14:paraId="2DDDF575">
            <w:pPr>
              <w:autoSpaceDE w:val="0"/>
              <w:autoSpaceDN w:val="0"/>
              <w:adjustRightInd w:val="0"/>
              <w:spacing w:line="300" w:lineRule="auto"/>
              <w:jc w:val="center"/>
              <w:rPr>
                <w:rFonts w:ascii="宋体" w:hAnsi="宋体" w:cs="宋体"/>
                <w:sz w:val="24"/>
              </w:rPr>
            </w:pPr>
            <w:r>
              <w:rPr>
                <w:rFonts w:hint="eastAsia" w:ascii="宋体" w:hAnsi="宋体" w:cs="宋体"/>
                <w:sz w:val="24"/>
              </w:rPr>
              <w:t>出资比例</w:t>
            </w:r>
          </w:p>
        </w:tc>
        <w:tc>
          <w:tcPr>
            <w:tcW w:w="6750" w:type="dxa"/>
            <w:vAlign w:val="center"/>
          </w:tcPr>
          <w:p w14:paraId="5190226F">
            <w:pPr>
              <w:autoSpaceDE w:val="0"/>
              <w:autoSpaceDN w:val="0"/>
              <w:adjustRightInd w:val="0"/>
              <w:rPr>
                <w:rFonts w:ascii="宋体" w:hAnsi="宋体" w:cs="宋体"/>
                <w:bCs/>
                <w:sz w:val="24"/>
                <w:lang w:val="zh-CN"/>
              </w:rPr>
            </w:pPr>
            <w:r>
              <w:rPr>
                <w:rFonts w:hint="eastAsia" w:ascii="宋体" w:hAnsi="宋体" w:cs="宋体"/>
                <w:bCs/>
                <w:sz w:val="24"/>
                <w:lang w:val="zh-CN"/>
              </w:rPr>
              <w:t>100%</w:t>
            </w:r>
          </w:p>
        </w:tc>
      </w:tr>
      <w:tr w14:paraId="493A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684BC7EE">
            <w:pPr>
              <w:autoSpaceDE w:val="0"/>
              <w:autoSpaceDN w:val="0"/>
              <w:adjustRightInd w:val="0"/>
              <w:spacing w:line="300" w:lineRule="auto"/>
              <w:jc w:val="center"/>
              <w:rPr>
                <w:rFonts w:ascii="宋体" w:hAnsi="宋体" w:cs="宋体"/>
                <w:sz w:val="24"/>
              </w:rPr>
            </w:pPr>
            <w:r>
              <w:rPr>
                <w:rFonts w:hint="eastAsia" w:ascii="宋体" w:hAnsi="宋体" w:cs="宋体"/>
                <w:sz w:val="24"/>
              </w:rPr>
              <w:t>6</w:t>
            </w:r>
          </w:p>
        </w:tc>
        <w:tc>
          <w:tcPr>
            <w:tcW w:w="2333" w:type="dxa"/>
            <w:vAlign w:val="center"/>
          </w:tcPr>
          <w:p w14:paraId="7607062D">
            <w:pPr>
              <w:autoSpaceDE w:val="0"/>
              <w:autoSpaceDN w:val="0"/>
              <w:adjustRightInd w:val="0"/>
              <w:spacing w:line="300" w:lineRule="auto"/>
              <w:jc w:val="center"/>
              <w:rPr>
                <w:rFonts w:ascii="宋体" w:hAnsi="宋体" w:cs="宋体"/>
                <w:sz w:val="24"/>
              </w:rPr>
            </w:pPr>
            <w:r>
              <w:rPr>
                <w:rFonts w:hint="eastAsia" w:ascii="宋体" w:hAnsi="宋体" w:cs="宋体"/>
                <w:sz w:val="24"/>
              </w:rPr>
              <w:t>资金落实情况</w:t>
            </w:r>
          </w:p>
        </w:tc>
        <w:tc>
          <w:tcPr>
            <w:tcW w:w="6750" w:type="dxa"/>
            <w:vAlign w:val="center"/>
          </w:tcPr>
          <w:p w14:paraId="27585FBA">
            <w:pPr>
              <w:autoSpaceDE w:val="0"/>
              <w:autoSpaceDN w:val="0"/>
              <w:adjustRightInd w:val="0"/>
              <w:rPr>
                <w:rFonts w:ascii="宋体" w:hAnsi="宋体" w:cs="宋体"/>
                <w:bCs/>
                <w:sz w:val="24"/>
                <w:lang w:val="zh-CN"/>
              </w:rPr>
            </w:pPr>
            <w:r>
              <w:rPr>
                <w:rFonts w:hint="eastAsia" w:ascii="宋体" w:hAnsi="宋体" w:cs="宋体"/>
                <w:bCs/>
                <w:sz w:val="24"/>
                <w:lang w:val="zh-CN"/>
              </w:rPr>
              <w:t>已落实</w:t>
            </w:r>
          </w:p>
        </w:tc>
      </w:tr>
      <w:tr w14:paraId="24D3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6DB9802F">
            <w:pPr>
              <w:autoSpaceDE w:val="0"/>
              <w:autoSpaceDN w:val="0"/>
              <w:adjustRightInd w:val="0"/>
              <w:spacing w:line="300" w:lineRule="auto"/>
              <w:jc w:val="center"/>
              <w:rPr>
                <w:rFonts w:ascii="宋体" w:hAnsi="宋体" w:cs="宋体"/>
                <w:sz w:val="24"/>
              </w:rPr>
            </w:pPr>
            <w:r>
              <w:rPr>
                <w:rFonts w:hint="eastAsia" w:ascii="宋体" w:hAnsi="宋体" w:cs="宋体"/>
                <w:sz w:val="24"/>
              </w:rPr>
              <w:t>7</w:t>
            </w:r>
          </w:p>
        </w:tc>
        <w:tc>
          <w:tcPr>
            <w:tcW w:w="2333" w:type="dxa"/>
            <w:vAlign w:val="center"/>
          </w:tcPr>
          <w:p w14:paraId="17B55F59">
            <w:pPr>
              <w:autoSpaceDE w:val="0"/>
              <w:autoSpaceDN w:val="0"/>
              <w:adjustRightInd w:val="0"/>
              <w:spacing w:line="300" w:lineRule="auto"/>
              <w:jc w:val="center"/>
              <w:rPr>
                <w:rFonts w:ascii="宋体" w:hAnsi="宋体" w:cs="宋体"/>
                <w:sz w:val="24"/>
              </w:rPr>
            </w:pPr>
            <w:r>
              <w:rPr>
                <w:rFonts w:hint="eastAsia" w:ascii="宋体" w:hAnsi="宋体" w:cs="宋体"/>
                <w:sz w:val="24"/>
              </w:rPr>
              <w:t>招标范围</w:t>
            </w:r>
          </w:p>
        </w:tc>
        <w:tc>
          <w:tcPr>
            <w:tcW w:w="6750" w:type="dxa"/>
            <w:vAlign w:val="center"/>
          </w:tcPr>
          <w:p w14:paraId="6AACDD02">
            <w:pPr>
              <w:autoSpaceDE w:val="0"/>
              <w:autoSpaceDN w:val="0"/>
              <w:adjustRightInd w:val="0"/>
              <w:rPr>
                <w:rFonts w:ascii="宋体" w:hAnsi="宋体" w:cs="宋体"/>
                <w:bCs/>
                <w:sz w:val="24"/>
                <w:lang w:val="zh-CN"/>
              </w:rPr>
            </w:pPr>
            <w:r>
              <w:rPr>
                <w:rFonts w:hint="eastAsia" w:ascii="宋体" w:hAnsi="宋体" w:cs="宋体"/>
                <w:bCs/>
                <w:sz w:val="24"/>
                <w:lang w:val="zh-CN"/>
              </w:rPr>
              <w:t>江苏医药职业学院网络驻场运维服务项目</w:t>
            </w:r>
          </w:p>
        </w:tc>
      </w:tr>
      <w:tr w14:paraId="25E7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11DEB81F">
            <w:pPr>
              <w:autoSpaceDE w:val="0"/>
              <w:autoSpaceDN w:val="0"/>
              <w:adjustRightInd w:val="0"/>
              <w:spacing w:line="300" w:lineRule="auto"/>
              <w:jc w:val="center"/>
              <w:rPr>
                <w:rFonts w:ascii="宋体" w:hAnsi="宋体" w:cs="宋体"/>
                <w:sz w:val="24"/>
              </w:rPr>
            </w:pPr>
            <w:r>
              <w:rPr>
                <w:rFonts w:hint="eastAsia" w:ascii="宋体" w:hAnsi="宋体" w:cs="宋体"/>
                <w:sz w:val="24"/>
              </w:rPr>
              <w:t>8</w:t>
            </w:r>
          </w:p>
        </w:tc>
        <w:tc>
          <w:tcPr>
            <w:tcW w:w="2333" w:type="dxa"/>
            <w:vAlign w:val="center"/>
          </w:tcPr>
          <w:p w14:paraId="53D0952E">
            <w:pPr>
              <w:autoSpaceDE w:val="0"/>
              <w:autoSpaceDN w:val="0"/>
              <w:adjustRightInd w:val="0"/>
              <w:spacing w:line="300" w:lineRule="auto"/>
              <w:jc w:val="center"/>
              <w:rPr>
                <w:rFonts w:ascii="宋体" w:hAnsi="宋体" w:cs="宋体"/>
                <w:sz w:val="24"/>
              </w:rPr>
            </w:pPr>
            <w:r>
              <w:rPr>
                <w:rFonts w:hint="eastAsia" w:ascii="宋体" w:hAnsi="宋体" w:cs="宋体"/>
                <w:sz w:val="24"/>
              </w:rPr>
              <w:t>服务期</w:t>
            </w:r>
          </w:p>
        </w:tc>
        <w:tc>
          <w:tcPr>
            <w:tcW w:w="6750" w:type="dxa"/>
            <w:vAlign w:val="center"/>
          </w:tcPr>
          <w:p w14:paraId="63B82727">
            <w:pPr>
              <w:autoSpaceDE w:val="0"/>
              <w:autoSpaceDN w:val="0"/>
              <w:adjustRightInd w:val="0"/>
              <w:rPr>
                <w:rFonts w:ascii="宋体" w:hAnsi="宋体" w:cs="宋体"/>
                <w:bCs/>
                <w:sz w:val="24"/>
              </w:rPr>
            </w:pPr>
            <w:r>
              <w:rPr>
                <w:rFonts w:hint="eastAsia" w:ascii="宋体" w:hAnsi="宋体" w:cs="宋体"/>
                <w:bCs/>
                <w:sz w:val="24"/>
              </w:rPr>
              <w:t>详见采购公告。</w:t>
            </w:r>
          </w:p>
        </w:tc>
      </w:tr>
      <w:tr w14:paraId="6C35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4BDC2DF9">
            <w:pPr>
              <w:autoSpaceDE w:val="0"/>
              <w:autoSpaceDN w:val="0"/>
              <w:adjustRightInd w:val="0"/>
              <w:spacing w:line="300" w:lineRule="auto"/>
              <w:jc w:val="center"/>
              <w:rPr>
                <w:rFonts w:ascii="宋体" w:hAnsi="宋体" w:cs="宋体"/>
                <w:sz w:val="24"/>
              </w:rPr>
            </w:pPr>
            <w:r>
              <w:rPr>
                <w:rFonts w:hint="eastAsia" w:ascii="宋体" w:hAnsi="宋体" w:cs="宋体"/>
                <w:sz w:val="24"/>
              </w:rPr>
              <w:t>9</w:t>
            </w:r>
          </w:p>
        </w:tc>
        <w:tc>
          <w:tcPr>
            <w:tcW w:w="2333" w:type="dxa"/>
            <w:vAlign w:val="center"/>
          </w:tcPr>
          <w:p w14:paraId="3811F0B1">
            <w:pPr>
              <w:autoSpaceDE w:val="0"/>
              <w:autoSpaceDN w:val="0"/>
              <w:adjustRightInd w:val="0"/>
              <w:spacing w:line="300" w:lineRule="auto"/>
              <w:jc w:val="center"/>
              <w:rPr>
                <w:rFonts w:ascii="宋体" w:hAnsi="宋体" w:cs="宋体"/>
                <w:sz w:val="24"/>
              </w:rPr>
            </w:pPr>
            <w:r>
              <w:rPr>
                <w:rFonts w:hint="eastAsia" w:ascii="宋体" w:hAnsi="宋体" w:cs="宋体"/>
                <w:sz w:val="24"/>
              </w:rPr>
              <w:t>质量要求</w:t>
            </w:r>
          </w:p>
        </w:tc>
        <w:tc>
          <w:tcPr>
            <w:tcW w:w="6750" w:type="dxa"/>
            <w:vAlign w:val="center"/>
          </w:tcPr>
          <w:p w14:paraId="25CF9CA1">
            <w:pPr>
              <w:spacing w:line="500" w:lineRule="exact"/>
              <w:rPr>
                <w:rFonts w:ascii="宋体" w:hAnsi="宋体" w:cs="宋体"/>
                <w:bCs/>
                <w:sz w:val="24"/>
                <w:szCs w:val="24"/>
              </w:rPr>
            </w:pPr>
            <w:r>
              <w:rPr>
                <w:rFonts w:hint="eastAsia" w:ascii="宋体" w:hAnsi="宋体"/>
                <w:bCs/>
                <w:sz w:val="24"/>
                <w:szCs w:val="24"/>
              </w:rPr>
              <w:t>达到采购需求的要求</w:t>
            </w:r>
            <w:r>
              <w:rPr>
                <w:rFonts w:hint="eastAsia" w:ascii="宋体" w:hAnsi="宋体" w:cs="宋体"/>
                <w:bCs/>
                <w:sz w:val="24"/>
                <w:szCs w:val="24"/>
              </w:rPr>
              <w:t>。</w:t>
            </w:r>
          </w:p>
        </w:tc>
      </w:tr>
      <w:tr w14:paraId="787E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32A15384">
            <w:pPr>
              <w:autoSpaceDE w:val="0"/>
              <w:autoSpaceDN w:val="0"/>
              <w:adjustRightInd w:val="0"/>
              <w:spacing w:line="300" w:lineRule="auto"/>
              <w:jc w:val="center"/>
              <w:rPr>
                <w:rFonts w:ascii="宋体" w:hAnsi="宋体" w:cs="宋体"/>
                <w:sz w:val="24"/>
              </w:rPr>
            </w:pPr>
            <w:r>
              <w:rPr>
                <w:rFonts w:hint="eastAsia" w:ascii="宋体" w:hAnsi="宋体" w:cs="宋体"/>
                <w:sz w:val="24"/>
              </w:rPr>
              <w:t>10</w:t>
            </w:r>
          </w:p>
        </w:tc>
        <w:tc>
          <w:tcPr>
            <w:tcW w:w="2333" w:type="dxa"/>
            <w:vAlign w:val="center"/>
          </w:tcPr>
          <w:p w14:paraId="20DA8FFC">
            <w:pPr>
              <w:autoSpaceDE w:val="0"/>
              <w:autoSpaceDN w:val="0"/>
              <w:adjustRightInd w:val="0"/>
              <w:spacing w:line="300" w:lineRule="auto"/>
              <w:jc w:val="center"/>
              <w:rPr>
                <w:rFonts w:ascii="宋体" w:hAnsi="宋体" w:cs="宋体"/>
                <w:sz w:val="24"/>
              </w:rPr>
            </w:pPr>
            <w:r>
              <w:rPr>
                <w:rFonts w:hint="eastAsia" w:ascii="宋体" w:hAnsi="宋体" w:cs="宋体"/>
                <w:sz w:val="24"/>
              </w:rPr>
              <w:t>投标人资质条件</w:t>
            </w:r>
          </w:p>
        </w:tc>
        <w:tc>
          <w:tcPr>
            <w:tcW w:w="6750" w:type="dxa"/>
            <w:vAlign w:val="center"/>
          </w:tcPr>
          <w:p w14:paraId="2D90C091">
            <w:pPr>
              <w:autoSpaceDE w:val="0"/>
              <w:autoSpaceDN w:val="0"/>
              <w:adjustRightInd w:val="0"/>
              <w:rPr>
                <w:rFonts w:ascii="宋体" w:hAnsi="宋体" w:cs="宋体"/>
                <w:bCs/>
                <w:sz w:val="24"/>
                <w:lang w:val="zh-CN"/>
              </w:rPr>
            </w:pPr>
            <w:r>
              <w:rPr>
                <w:rFonts w:hint="eastAsia" w:ascii="宋体" w:hAnsi="宋体" w:cs="宋体"/>
                <w:bCs/>
                <w:sz w:val="24"/>
              </w:rPr>
              <w:t>详见采购公告</w:t>
            </w:r>
            <w:r>
              <w:rPr>
                <w:rFonts w:hint="eastAsia" w:ascii="宋体" w:hAnsi="宋体" w:cs="宋体"/>
                <w:bCs/>
                <w:sz w:val="24"/>
                <w:lang w:val="zh-CN"/>
              </w:rPr>
              <w:t>。</w:t>
            </w:r>
          </w:p>
        </w:tc>
      </w:tr>
      <w:tr w14:paraId="43B4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38A51872">
            <w:pPr>
              <w:autoSpaceDE w:val="0"/>
              <w:autoSpaceDN w:val="0"/>
              <w:adjustRightInd w:val="0"/>
              <w:spacing w:line="300" w:lineRule="auto"/>
              <w:jc w:val="center"/>
              <w:rPr>
                <w:rFonts w:ascii="宋体" w:hAnsi="宋体" w:cs="宋体"/>
                <w:sz w:val="24"/>
              </w:rPr>
            </w:pPr>
            <w:r>
              <w:rPr>
                <w:rFonts w:hint="eastAsia" w:ascii="宋体" w:hAnsi="宋体" w:cs="宋体"/>
                <w:sz w:val="24"/>
              </w:rPr>
              <w:t>11</w:t>
            </w:r>
          </w:p>
        </w:tc>
        <w:tc>
          <w:tcPr>
            <w:tcW w:w="2333" w:type="dxa"/>
            <w:vAlign w:val="center"/>
          </w:tcPr>
          <w:p w14:paraId="785CFF38">
            <w:pPr>
              <w:autoSpaceDE w:val="0"/>
              <w:autoSpaceDN w:val="0"/>
              <w:adjustRightInd w:val="0"/>
              <w:spacing w:line="300" w:lineRule="auto"/>
              <w:jc w:val="center"/>
              <w:rPr>
                <w:rFonts w:ascii="宋体" w:hAnsi="宋体" w:cs="宋体"/>
                <w:sz w:val="24"/>
              </w:rPr>
            </w:pPr>
            <w:r>
              <w:rPr>
                <w:rFonts w:hint="eastAsia" w:ascii="宋体" w:hAnsi="宋体" w:cs="宋体"/>
                <w:sz w:val="22"/>
              </w:rPr>
              <w:t>是否接受联合体投标</w:t>
            </w:r>
          </w:p>
        </w:tc>
        <w:tc>
          <w:tcPr>
            <w:tcW w:w="6750" w:type="dxa"/>
            <w:vAlign w:val="center"/>
          </w:tcPr>
          <w:p w14:paraId="421256A4">
            <w:pPr>
              <w:autoSpaceDE w:val="0"/>
              <w:autoSpaceDN w:val="0"/>
              <w:adjustRightInd w:val="0"/>
              <w:rPr>
                <w:rFonts w:ascii="宋体" w:hAnsi="宋体" w:cs="宋体"/>
                <w:bCs/>
                <w:sz w:val="24"/>
                <w:lang w:val="zh-CN"/>
              </w:rPr>
            </w:pPr>
            <w:r>
              <w:rPr>
                <w:rFonts w:hint="eastAsia" w:ascii="宋体" w:hAnsi="宋体" w:cs="宋体"/>
                <w:bCs/>
                <w:sz w:val="24"/>
                <w:lang w:val="zh-CN"/>
              </w:rPr>
              <w:t>不接受</w:t>
            </w:r>
          </w:p>
        </w:tc>
      </w:tr>
      <w:tr w14:paraId="008B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46630F5F">
            <w:pPr>
              <w:autoSpaceDE w:val="0"/>
              <w:autoSpaceDN w:val="0"/>
              <w:adjustRightInd w:val="0"/>
              <w:spacing w:line="300" w:lineRule="auto"/>
              <w:jc w:val="center"/>
              <w:rPr>
                <w:rFonts w:ascii="宋体" w:hAnsi="宋体" w:cs="宋体"/>
                <w:sz w:val="24"/>
              </w:rPr>
            </w:pPr>
            <w:r>
              <w:rPr>
                <w:rFonts w:hint="eastAsia" w:ascii="宋体" w:hAnsi="宋体" w:cs="宋体"/>
                <w:sz w:val="24"/>
              </w:rPr>
              <w:t>12</w:t>
            </w:r>
          </w:p>
        </w:tc>
        <w:tc>
          <w:tcPr>
            <w:tcW w:w="2333" w:type="dxa"/>
            <w:vAlign w:val="center"/>
          </w:tcPr>
          <w:p w14:paraId="3A03C2A5">
            <w:pPr>
              <w:autoSpaceDE w:val="0"/>
              <w:autoSpaceDN w:val="0"/>
              <w:adjustRightInd w:val="0"/>
              <w:spacing w:line="300" w:lineRule="auto"/>
              <w:jc w:val="center"/>
              <w:rPr>
                <w:rFonts w:ascii="宋体" w:hAnsi="宋体" w:cs="宋体"/>
                <w:sz w:val="24"/>
              </w:rPr>
            </w:pPr>
            <w:r>
              <w:rPr>
                <w:rFonts w:hint="eastAsia" w:ascii="宋体" w:hAnsi="宋体" w:cs="宋体"/>
                <w:sz w:val="24"/>
              </w:rPr>
              <w:t>投标人提出问题的截止时间</w:t>
            </w:r>
          </w:p>
        </w:tc>
        <w:tc>
          <w:tcPr>
            <w:tcW w:w="6750" w:type="dxa"/>
            <w:vAlign w:val="center"/>
          </w:tcPr>
          <w:p w14:paraId="24816A3E">
            <w:pPr>
              <w:rPr>
                <w:rFonts w:ascii="宋体" w:hAnsi="宋体" w:cs="宋体"/>
                <w:bCs/>
                <w:kern w:val="15"/>
                <w:sz w:val="24"/>
              </w:rPr>
            </w:pPr>
            <w:r>
              <w:rPr>
                <w:rFonts w:hint="eastAsia" w:ascii="宋体" w:hAnsi="宋体" w:cs="宋体"/>
                <w:bCs/>
                <w:sz w:val="24"/>
              </w:rPr>
              <w:t>详见采购公告</w:t>
            </w:r>
          </w:p>
        </w:tc>
      </w:tr>
      <w:tr w14:paraId="6443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651553B6">
            <w:pPr>
              <w:autoSpaceDE w:val="0"/>
              <w:autoSpaceDN w:val="0"/>
              <w:adjustRightInd w:val="0"/>
              <w:spacing w:line="300" w:lineRule="auto"/>
              <w:jc w:val="center"/>
              <w:rPr>
                <w:rFonts w:ascii="宋体" w:hAnsi="宋体" w:cs="宋体"/>
                <w:sz w:val="24"/>
              </w:rPr>
            </w:pPr>
            <w:r>
              <w:rPr>
                <w:rFonts w:hint="eastAsia" w:ascii="宋体" w:hAnsi="宋体" w:cs="宋体"/>
                <w:sz w:val="24"/>
              </w:rPr>
              <w:t>13</w:t>
            </w:r>
          </w:p>
        </w:tc>
        <w:tc>
          <w:tcPr>
            <w:tcW w:w="2333" w:type="dxa"/>
            <w:vAlign w:val="center"/>
          </w:tcPr>
          <w:p w14:paraId="73DFF4EA">
            <w:pPr>
              <w:autoSpaceDE w:val="0"/>
              <w:autoSpaceDN w:val="0"/>
              <w:adjustRightInd w:val="0"/>
              <w:spacing w:line="300" w:lineRule="auto"/>
              <w:jc w:val="center"/>
              <w:rPr>
                <w:rFonts w:ascii="宋体" w:hAnsi="宋体" w:cs="宋体"/>
                <w:sz w:val="24"/>
              </w:rPr>
            </w:pPr>
            <w:r>
              <w:rPr>
                <w:rFonts w:hint="eastAsia" w:ascii="宋体" w:hAnsi="宋体" w:cs="宋体"/>
                <w:sz w:val="24"/>
              </w:rPr>
              <w:t>分包</w:t>
            </w:r>
          </w:p>
        </w:tc>
        <w:tc>
          <w:tcPr>
            <w:tcW w:w="6750" w:type="dxa"/>
            <w:vAlign w:val="center"/>
          </w:tcPr>
          <w:p w14:paraId="3DB83746">
            <w:pPr>
              <w:autoSpaceDE w:val="0"/>
              <w:autoSpaceDN w:val="0"/>
              <w:adjustRightInd w:val="0"/>
              <w:rPr>
                <w:rFonts w:ascii="宋体" w:hAnsi="宋体" w:cs="宋体"/>
                <w:bCs/>
                <w:sz w:val="24"/>
                <w:lang w:val="zh-CN"/>
              </w:rPr>
            </w:pPr>
            <w:r>
              <w:rPr>
                <w:rFonts w:hint="eastAsia" w:ascii="宋体" w:hAnsi="宋体" w:cs="宋体"/>
                <w:bCs/>
                <w:sz w:val="24"/>
                <w:lang w:val="zh-CN"/>
              </w:rPr>
              <w:t>不允许</w:t>
            </w:r>
          </w:p>
        </w:tc>
      </w:tr>
      <w:tr w14:paraId="1616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747CA93D">
            <w:pPr>
              <w:autoSpaceDE w:val="0"/>
              <w:autoSpaceDN w:val="0"/>
              <w:adjustRightInd w:val="0"/>
              <w:spacing w:line="300" w:lineRule="auto"/>
              <w:jc w:val="center"/>
              <w:rPr>
                <w:rFonts w:ascii="宋体" w:hAnsi="宋体" w:cs="宋体"/>
                <w:sz w:val="24"/>
              </w:rPr>
            </w:pPr>
            <w:r>
              <w:rPr>
                <w:rFonts w:hint="eastAsia" w:ascii="宋体" w:hAnsi="宋体" w:cs="宋体"/>
                <w:sz w:val="24"/>
              </w:rPr>
              <w:t>14</w:t>
            </w:r>
          </w:p>
        </w:tc>
        <w:tc>
          <w:tcPr>
            <w:tcW w:w="2333" w:type="dxa"/>
            <w:vAlign w:val="center"/>
          </w:tcPr>
          <w:p w14:paraId="7C5EFD3D">
            <w:pPr>
              <w:autoSpaceDE w:val="0"/>
              <w:autoSpaceDN w:val="0"/>
              <w:adjustRightInd w:val="0"/>
              <w:spacing w:line="300" w:lineRule="auto"/>
              <w:jc w:val="center"/>
              <w:rPr>
                <w:rFonts w:ascii="宋体" w:hAnsi="宋体" w:cs="宋体"/>
                <w:sz w:val="24"/>
              </w:rPr>
            </w:pPr>
            <w:r>
              <w:rPr>
                <w:rFonts w:hint="eastAsia" w:ascii="宋体" w:hAnsi="宋体" w:cs="宋体"/>
                <w:sz w:val="24"/>
              </w:rPr>
              <w:t>偏离</w:t>
            </w:r>
          </w:p>
        </w:tc>
        <w:tc>
          <w:tcPr>
            <w:tcW w:w="6750" w:type="dxa"/>
            <w:vAlign w:val="center"/>
          </w:tcPr>
          <w:p w14:paraId="52A07AF7">
            <w:pPr>
              <w:autoSpaceDE w:val="0"/>
              <w:autoSpaceDN w:val="0"/>
              <w:adjustRightInd w:val="0"/>
              <w:rPr>
                <w:rFonts w:ascii="宋体" w:hAnsi="宋体" w:cs="宋体"/>
                <w:bCs/>
                <w:sz w:val="24"/>
                <w:lang w:val="zh-CN"/>
              </w:rPr>
            </w:pPr>
            <w:r>
              <w:rPr>
                <w:rFonts w:hint="eastAsia" w:ascii="宋体" w:hAnsi="宋体" w:cs="宋体"/>
                <w:bCs/>
                <w:sz w:val="24"/>
                <w:lang w:val="zh-CN"/>
              </w:rPr>
              <w:t>不允许</w:t>
            </w:r>
          </w:p>
        </w:tc>
      </w:tr>
      <w:tr w14:paraId="7C7A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4E359912">
            <w:pPr>
              <w:autoSpaceDE w:val="0"/>
              <w:autoSpaceDN w:val="0"/>
              <w:adjustRightInd w:val="0"/>
              <w:spacing w:line="300" w:lineRule="auto"/>
              <w:jc w:val="center"/>
              <w:rPr>
                <w:rFonts w:ascii="宋体" w:hAnsi="宋体" w:cs="宋体"/>
                <w:sz w:val="24"/>
              </w:rPr>
            </w:pPr>
            <w:r>
              <w:rPr>
                <w:rFonts w:hint="eastAsia" w:ascii="宋体" w:hAnsi="宋体" w:cs="宋体"/>
                <w:sz w:val="24"/>
              </w:rPr>
              <w:t>15</w:t>
            </w:r>
          </w:p>
        </w:tc>
        <w:tc>
          <w:tcPr>
            <w:tcW w:w="2333" w:type="dxa"/>
            <w:vAlign w:val="center"/>
          </w:tcPr>
          <w:p w14:paraId="406A8356">
            <w:pPr>
              <w:autoSpaceDE w:val="0"/>
              <w:autoSpaceDN w:val="0"/>
              <w:adjustRightInd w:val="0"/>
              <w:spacing w:line="300" w:lineRule="auto"/>
              <w:jc w:val="center"/>
              <w:rPr>
                <w:rFonts w:ascii="宋体" w:hAnsi="宋体" w:cs="宋体"/>
                <w:sz w:val="24"/>
              </w:rPr>
            </w:pPr>
            <w:r>
              <w:rPr>
                <w:rFonts w:hint="eastAsia" w:ascii="宋体" w:hAnsi="宋体" w:cs="宋体"/>
                <w:sz w:val="24"/>
              </w:rPr>
              <w:t>构成招标文件的其他材料</w:t>
            </w:r>
          </w:p>
        </w:tc>
        <w:tc>
          <w:tcPr>
            <w:tcW w:w="6750" w:type="dxa"/>
            <w:vAlign w:val="center"/>
          </w:tcPr>
          <w:p w14:paraId="0298704A">
            <w:pPr>
              <w:autoSpaceDE w:val="0"/>
              <w:autoSpaceDN w:val="0"/>
              <w:adjustRightInd w:val="0"/>
              <w:rPr>
                <w:rFonts w:ascii="宋体" w:hAnsi="宋体" w:cs="宋体"/>
                <w:bCs/>
                <w:sz w:val="24"/>
              </w:rPr>
            </w:pPr>
            <w:r>
              <w:rPr>
                <w:rFonts w:hint="eastAsia" w:ascii="宋体" w:hAnsi="宋体" w:cs="宋体"/>
                <w:bCs/>
                <w:sz w:val="24"/>
              </w:rPr>
              <w:t>/</w:t>
            </w:r>
          </w:p>
        </w:tc>
      </w:tr>
      <w:tr w14:paraId="35AC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6DF2D80A">
            <w:pPr>
              <w:autoSpaceDE w:val="0"/>
              <w:autoSpaceDN w:val="0"/>
              <w:adjustRightInd w:val="0"/>
              <w:spacing w:line="300" w:lineRule="auto"/>
              <w:jc w:val="center"/>
              <w:rPr>
                <w:rFonts w:ascii="宋体" w:hAnsi="宋体" w:cs="宋体"/>
                <w:sz w:val="24"/>
              </w:rPr>
            </w:pPr>
            <w:r>
              <w:rPr>
                <w:rFonts w:hint="eastAsia" w:ascii="宋体" w:hAnsi="宋体" w:cs="宋体"/>
                <w:sz w:val="24"/>
              </w:rPr>
              <w:t>16</w:t>
            </w:r>
          </w:p>
        </w:tc>
        <w:tc>
          <w:tcPr>
            <w:tcW w:w="2333" w:type="dxa"/>
            <w:vAlign w:val="center"/>
          </w:tcPr>
          <w:p w14:paraId="7E52FAD8">
            <w:pPr>
              <w:autoSpaceDE w:val="0"/>
              <w:autoSpaceDN w:val="0"/>
              <w:adjustRightInd w:val="0"/>
              <w:spacing w:line="300" w:lineRule="auto"/>
              <w:jc w:val="center"/>
              <w:rPr>
                <w:rFonts w:ascii="宋体" w:hAnsi="宋体" w:cs="宋体"/>
                <w:sz w:val="24"/>
              </w:rPr>
            </w:pPr>
            <w:r>
              <w:rPr>
                <w:rFonts w:hint="eastAsia" w:ascii="宋体" w:hAnsi="宋体" w:cs="宋体"/>
                <w:sz w:val="24"/>
              </w:rPr>
              <w:t>投标截止时间</w:t>
            </w:r>
          </w:p>
        </w:tc>
        <w:tc>
          <w:tcPr>
            <w:tcW w:w="6750" w:type="dxa"/>
            <w:vAlign w:val="center"/>
          </w:tcPr>
          <w:p w14:paraId="022001D4">
            <w:pPr>
              <w:rPr>
                <w:rFonts w:ascii="宋体" w:hAnsi="宋体" w:cs="宋体"/>
                <w:bCs/>
                <w:sz w:val="24"/>
                <w:lang w:val="zh-CN"/>
              </w:rPr>
            </w:pPr>
            <w:r>
              <w:rPr>
                <w:rFonts w:hint="eastAsia" w:ascii="宋体" w:hAnsi="宋体" w:cs="宋体"/>
                <w:bCs/>
                <w:sz w:val="24"/>
                <w:lang w:val="zh-CN"/>
              </w:rPr>
              <w:t>2024年</w:t>
            </w:r>
            <w:r>
              <w:rPr>
                <w:rFonts w:ascii="宋体" w:hAnsi="宋体" w:cs="宋体"/>
                <w:bCs/>
                <w:sz w:val="24"/>
                <w:u w:val="single"/>
                <w:lang w:val="zh-CN"/>
              </w:rPr>
              <w:t xml:space="preserve"> </w:t>
            </w:r>
            <w:r>
              <w:rPr>
                <w:rFonts w:hint="eastAsia" w:ascii="宋体" w:hAnsi="宋体" w:cs="宋体"/>
                <w:bCs/>
                <w:sz w:val="24"/>
                <w:u w:val="single"/>
                <w:lang w:val="en-US" w:eastAsia="zh-CN"/>
              </w:rPr>
              <w:t>11</w:t>
            </w:r>
            <w:r>
              <w:rPr>
                <w:rFonts w:ascii="宋体" w:hAnsi="宋体" w:cs="宋体"/>
                <w:bCs/>
                <w:sz w:val="24"/>
                <w:u w:val="single"/>
                <w:lang w:val="zh-CN"/>
              </w:rPr>
              <w:t xml:space="preserve"> </w:t>
            </w:r>
            <w:r>
              <w:rPr>
                <w:rFonts w:hint="eastAsia" w:ascii="宋体" w:hAnsi="宋体" w:cs="宋体"/>
                <w:bCs/>
                <w:sz w:val="24"/>
                <w:lang w:val="zh-CN"/>
              </w:rPr>
              <w:t>月</w:t>
            </w:r>
            <w:r>
              <w:rPr>
                <w:rFonts w:ascii="宋体" w:hAnsi="宋体" w:cs="宋体"/>
                <w:bCs/>
                <w:sz w:val="24"/>
                <w:u w:val="single"/>
                <w:lang w:val="zh-CN"/>
              </w:rPr>
              <w:t xml:space="preserve"> </w:t>
            </w:r>
            <w:r>
              <w:rPr>
                <w:rFonts w:hint="eastAsia" w:ascii="宋体" w:hAnsi="宋体" w:cs="宋体"/>
                <w:bCs/>
                <w:sz w:val="24"/>
                <w:u w:val="single"/>
                <w:lang w:val="en-US" w:eastAsia="zh-CN"/>
              </w:rPr>
              <w:t>20</w:t>
            </w:r>
            <w:r>
              <w:rPr>
                <w:rFonts w:ascii="宋体" w:hAnsi="宋体" w:cs="宋体"/>
                <w:bCs/>
                <w:sz w:val="24"/>
                <w:u w:val="single"/>
              </w:rPr>
              <w:t xml:space="preserve"> </w:t>
            </w:r>
            <w:r>
              <w:rPr>
                <w:rFonts w:hint="eastAsia" w:ascii="宋体" w:hAnsi="宋体" w:cs="宋体"/>
                <w:bCs/>
                <w:sz w:val="24"/>
                <w:lang w:val="zh-CN"/>
              </w:rPr>
              <w:t>日下午</w:t>
            </w:r>
            <w:r>
              <w:rPr>
                <w:rFonts w:hint="eastAsia" w:ascii="宋体" w:hAnsi="宋体" w:cs="宋体"/>
                <w:bCs/>
                <w:sz w:val="24"/>
              </w:rPr>
              <w:t>3</w:t>
            </w:r>
            <w:r>
              <w:rPr>
                <w:rFonts w:hint="eastAsia" w:ascii="宋体" w:hAnsi="宋体" w:cs="宋体"/>
                <w:bCs/>
                <w:sz w:val="24"/>
                <w:lang w:val="zh-CN"/>
              </w:rPr>
              <w:t>点00分（北京时间）</w:t>
            </w:r>
          </w:p>
        </w:tc>
      </w:tr>
      <w:tr w14:paraId="1414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26EF26A7">
            <w:pPr>
              <w:autoSpaceDE w:val="0"/>
              <w:autoSpaceDN w:val="0"/>
              <w:adjustRightInd w:val="0"/>
              <w:spacing w:line="300" w:lineRule="auto"/>
              <w:jc w:val="center"/>
              <w:rPr>
                <w:rFonts w:ascii="宋体" w:hAnsi="宋体" w:cs="宋体"/>
                <w:sz w:val="24"/>
              </w:rPr>
            </w:pPr>
            <w:r>
              <w:rPr>
                <w:rFonts w:hint="eastAsia" w:ascii="宋体" w:hAnsi="宋体" w:cs="宋体"/>
                <w:sz w:val="24"/>
              </w:rPr>
              <w:t>17</w:t>
            </w:r>
          </w:p>
        </w:tc>
        <w:tc>
          <w:tcPr>
            <w:tcW w:w="2333" w:type="dxa"/>
            <w:vAlign w:val="center"/>
          </w:tcPr>
          <w:p w14:paraId="2D277D66">
            <w:pPr>
              <w:autoSpaceDE w:val="0"/>
              <w:autoSpaceDN w:val="0"/>
              <w:adjustRightInd w:val="0"/>
              <w:spacing w:line="300" w:lineRule="auto"/>
              <w:jc w:val="center"/>
              <w:rPr>
                <w:rFonts w:ascii="宋体" w:hAnsi="宋体" w:cs="宋体"/>
                <w:sz w:val="24"/>
              </w:rPr>
            </w:pPr>
            <w:r>
              <w:rPr>
                <w:rFonts w:hint="eastAsia" w:ascii="宋体" w:hAnsi="宋体" w:cs="宋体"/>
                <w:sz w:val="24"/>
              </w:rPr>
              <w:t>投标有效期</w:t>
            </w:r>
          </w:p>
        </w:tc>
        <w:tc>
          <w:tcPr>
            <w:tcW w:w="6750" w:type="dxa"/>
            <w:vAlign w:val="center"/>
          </w:tcPr>
          <w:p w14:paraId="7983015C">
            <w:pPr>
              <w:autoSpaceDE w:val="0"/>
              <w:autoSpaceDN w:val="0"/>
              <w:adjustRightInd w:val="0"/>
              <w:jc w:val="left"/>
              <w:rPr>
                <w:rFonts w:ascii="宋体" w:hAnsi="宋体" w:cs="宋体"/>
                <w:bCs/>
                <w:sz w:val="24"/>
                <w:lang w:val="zh-CN"/>
              </w:rPr>
            </w:pPr>
            <w:r>
              <w:rPr>
                <w:rFonts w:hint="eastAsia" w:ascii="宋体" w:hAnsi="宋体" w:cs="宋体"/>
                <w:bCs/>
                <w:sz w:val="24"/>
                <w:lang w:val="zh-CN"/>
              </w:rPr>
              <w:t xml:space="preserve">为 </w:t>
            </w:r>
            <w:r>
              <w:rPr>
                <w:rFonts w:ascii="宋体" w:hAnsi="宋体" w:cs="宋体"/>
                <w:bCs/>
                <w:sz w:val="24"/>
                <w:u w:val="single"/>
                <w:lang w:val="zh-CN"/>
              </w:rPr>
              <w:t>6</w:t>
            </w:r>
            <w:r>
              <w:rPr>
                <w:rFonts w:hint="eastAsia" w:ascii="宋体" w:hAnsi="宋体" w:cs="宋体"/>
                <w:bCs/>
                <w:sz w:val="24"/>
                <w:u w:val="single"/>
                <w:lang w:val="zh-CN"/>
              </w:rPr>
              <w:t xml:space="preserve">0 </w:t>
            </w:r>
            <w:r>
              <w:rPr>
                <w:rFonts w:hint="eastAsia" w:ascii="宋体" w:hAnsi="宋体" w:cs="宋体"/>
                <w:bCs/>
                <w:sz w:val="24"/>
                <w:lang w:val="zh-CN"/>
              </w:rPr>
              <w:t>日历天(从投标截止之日算起)</w:t>
            </w:r>
          </w:p>
        </w:tc>
      </w:tr>
      <w:tr w14:paraId="7938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883" w:type="dxa"/>
            <w:vAlign w:val="center"/>
          </w:tcPr>
          <w:p w14:paraId="1EF7F515">
            <w:pPr>
              <w:autoSpaceDE w:val="0"/>
              <w:autoSpaceDN w:val="0"/>
              <w:adjustRightInd w:val="0"/>
              <w:spacing w:line="300" w:lineRule="auto"/>
              <w:jc w:val="center"/>
              <w:rPr>
                <w:rFonts w:ascii="宋体" w:hAnsi="宋体" w:cs="宋体"/>
                <w:bCs/>
              </w:rPr>
            </w:pPr>
            <w:r>
              <w:rPr>
                <w:rFonts w:hint="eastAsia" w:ascii="宋体" w:hAnsi="宋体" w:cs="宋体"/>
                <w:bCs/>
              </w:rPr>
              <w:t>18</w:t>
            </w:r>
          </w:p>
        </w:tc>
        <w:tc>
          <w:tcPr>
            <w:tcW w:w="2333" w:type="dxa"/>
            <w:vAlign w:val="center"/>
          </w:tcPr>
          <w:p w14:paraId="1910490C">
            <w:pPr>
              <w:autoSpaceDE w:val="0"/>
              <w:autoSpaceDN w:val="0"/>
              <w:adjustRightInd w:val="0"/>
              <w:spacing w:line="300" w:lineRule="auto"/>
              <w:jc w:val="center"/>
              <w:rPr>
                <w:rFonts w:ascii="宋体" w:hAnsi="宋体" w:cs="宋体"/>
                <w:sz w:val="24"/>
              </w:rPr>
            </w:pPr>
            <w:r>
              <w:rPr>
                <w:rFonts w:hint="eastAsia" w:ascii="宋体" w:hAnsi="宋体" w:cs="宋体"/>
                <w:sz w:val="24"/>
              </w:rPr>
              <w:t>签字或盖章要求</w:t>
            </w:r>
          </w:p>
        </w:tc>
        <w:tc>
          <w:tcPr>
            <w:tcW w:w="6750" w:type="dxa"/>
          </w:tcPr>
          <w:p w14:paraId="5731196E">
            <w:pPr>
              <w:autoSpaceDE w:val="0"/>
              <w:autoSpaceDN w:val="0"/>
              <w:adjustRightInd w:val="0"/>
              <w:spacing w:line="276" w:lineRule="auto"/>
              <w:jc w:val="left"/>
              <w:rPr>
                <w:rFonts w:ascii="宋体" w:hAnsi="宋体" w:cs="宋体"/>
                <w:sz w:val="24"/>
                <w:lang w:val="zh-CN"/>
              </w:rPr>
            </w:pPr>
            <w:r>
              <w:rPr>
                <w:rFonts w:hint="eastAsia" w:ascii="宋体" w:hAnsi="宋体" w:cs="宋体"/>
                <w:sz w:val="24"/>
              </w:rPr>
              <w:t>投标文件封面、投标函均应加盖投标人印章并经法定代表人或其委托代理人签字或盖章。</w:t>
            </w:r>
          </w:p>
        </w:tc>
      </w:tr>
      <w:tr w14:paraId="69FB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2D5437BB">
            <w:pPr>
              <w:autoSpaceDE w:val="0"/>
              <w:autoSpaceDN w:val="0"/>
              <w:adjustRightInd w:val="0"/>
              <w:spacing w:line="300" w:lineRule="auto"/>
              <w:jc w:val="center"/>
              <w:rPr>
                <w:rFonts w:ascii="宋体" w:hAnsi="宋体" w:cs="宋体"/>
                <w:bCs/>
              </w:rPr>
            </w:pPr>
            <w:r>
              <w:rPr>
                <w:rFonts w:hint="eastAsia" w:ascii="宋体" w:hAnsi="宋体" w:cs="宋体"/>
                <w:bCs/>
              </w:rPr>
              <w:t>19</w:t>
            </w:r>
          </w:p>
        </w:tc>
        <w:tc>
          <w:tcPr>
            <w:tcW w:w="2333" w:type="dxa"/>
            <w:vAlign w:val="center"/>
          </w:tcPr>
          <w:p w14:paraId="216CFD6E">
            <w:pPr>
              <w:autoSpaceDE w:val="0"/>
              <w:autoSpaceDN w:val="0"/>
              <w:adjustRightInd w:val="0"/>
              <w:spacing w:line="300" w:lineRule="auto"/>
              <w:jc w:val="center"/>
              <w:rPr>
                <w:rFonts w:ascii="宋体" w:hAnsi="宋体" w:cs="宋体"/>
                <w:sz w:val="24"/>
              </w:rPr>
            </w:pPr>
            <w:r>
              <w:rPr>
                <w:rFonts w:hint="eastAsia" w:ascii="宋体" w:hAnsi="宋体" w:cs="宋体"/>
                <w:sz w:val="24"/>
              </w:rPr>
              <w:t>投标文件副本份数</w:t>
            </w:r>
          </w:p>
        </w:tc>
        <w:tc>
          <w:tcPr>
            <w:tcW w:w="6750" w:type="dxa"/>
            <w:vAlign w:val="center"/>
          </w:tcPr>
          <w:p w14:paraId="3EF7F523">
            <w:pPr>
              <w:autoSpaceDE w:val="0"/>
              <w:autoSpaceDN w:val="0"/>
              <w:adjustRightInd w:val="0"/>
              <w:jc w:val="left"/>
              <w:rPr>
                <w:rFonts w:ascii="宋体" w:hAnsi="宋体" w:cs="宋体"/>
                <w:sz w:val="24"/>
              </w:rPr>
            </w:pPr>
            <w:r>
              <w:rPr>
                <w:rFonts w:hint="eastAsia" w:ascii="宋体" w:hAnsi="宋体" w:cs="宋体"/>
                <w:sz w:val="24"/>
              </w:rPr>
              <w:t>详见采购公告</w:t>
            </w:r>
          </w:p>
        </w:tc>
      </w:tr>
      <w:tr w14:paraId="0C2A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5D2DC2FA">
            <w:pPr>
              <w:autoSpaceDE w:val="0"/>
              <w:autoSpaceDN w:val="0"/>
              <w:adjustRightInd w:val="0"/>
              <w:spacing w:line="300" w:lineRule="auto"/>
              <w:jc w:val="center"/>
              <w:rPr>
                <w:rFonts w:ascii="宋体" w:hAnsi="宋体" w:cs="宋体"/>
                <w:bCs/>
              </w:rPr>
            </w:pPr>
            <w:r>
              <w:rPr>
                <w:rFonts w:hint="eastAsia" w:ascii="宋体" w:hAnsi="宋体" w:cs="宋体"/>
                <w:bCs/>
              </w:rPr>
              <w:t>20</w:t>
            </w:r>
          </w:p>
        </w:tc>
        <w:tc>
          <w:tcPr>
            <w:tcW w:w="2333" w:type="dxa"/>
            <w:vAlign w:val="center"/>
          </w:tcPr>
          <w:p w14:paraId="7CAF143E">
            <w:pPr>
              <w:autoSpaceDE w:val="0"/>
              <w:autoSpaceDN w:val="0"/>
              <w:adjustRightInd w:val="0"/>
              <w:spacing w:line="300" w:lineRule="auto"/>
              <w:jc w:val="center"/>
              <w:rPr>
                <w:rFonts w:ascii="宋体" w:hAnsi="宋体" w:cs="宋体"/>
                <w:sz w:val="24"/>
              </w:rPr>
            </w:pPr>
            <w:r>
              <w:rPr>
                <w:rFonts w:hint="eastAsia" w:ascii="宋体" w:hAnsi="宋体" w:cs="宋体"/>
                <w:sz w:val="24"/>
              </w:rPr>
              <w:t>装订要求</w:t>
            </w:r>
          </w:p>
        </w:tc>
        <w:tc>
          <w:tcPr>
            <w:tcW w:w="6750" w:type="dxa"/>
            <w:vAlign w:val="center"/>
          </w:tcPr>
          <w:p w14:paraId="5F48848E">
            <w:pPr>
              <w:autoSpaceDE w:val="0"/>
              <w:autoSpaceDN w:val="0"/>
              <w:adjustRightInd w:val="0"/>
              <w:rPr>
                <w:rFonts w:ascii="宋体" w:hAnsi="宋体" w:cs="宋体"/>
                <w:bCs/>
                <w:sz w:val="24"/>
                <w:lang w:val="zh-CN"/>
              </w:rPr>
            </w:pPr>
            <w:r>
              <w:rPr>
                <w:rFonts w:hint="eastAsia" w:ascii="宋体" w:hAnsi="宋体" w:cs="宋体"/>
                <w:bCs/>
                <w:sz w:val="24"/>
                <w:lang w:val="zh-CN"/>
              </w:rPr>
              <w:t>按招标文件要求签署、装订、密封</w:t>
            </w:r>
          </w:p>
        </w:tc>
      </w:tr>
      <w:tr w14:paraId="74DA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3F12CA20">
            <w:pPr>
              <w:autoSpaceDE w:val="0"/>
              <w:autoSpaceDN w:val="0"/>
              <w:adjustRightInd w:val="0"/>
              <w:spacing w:line="300" w:lineRule="auto"/>
              <w:jc w:val="center"/>
              <w:rPr>
                <w:rFonts w:ascii="宋体" w:hAnsi="宋体" w:cs="宋体"/>
                <w:bCs/>
              </w:rPr>
            </w:pPr>
            <w:r>
              <w:rPr>
                <w:rFonts w:hint="eastAsia" w:ascii="宋体" w:hAnsi="宋体" w:cs="宋体"/>
                <w:bCs/>
              </w:rPr>
              <w:t>21</w:t>
            </w:r>
          </w:p>
        </w:tc>
        <w:tc>
          <w:tcPr>
            <w:tcW w:w="2333" w:type="dxa"/>
            <w:vAlign w:val="center"/>
          </w:tcPr>
          <w:p w14:paraId="2C40D3E4">
            <w:pPr>
              <w:autoSpaceDE w:val="0"/>
              <w:autoSpaceDN w:val="0"/>
              <w:adjustRightInd w:val="0"/>
              <w:spacing w:line="300" w:lineRule="auto"/>
              <w:jc w:val="center"/>
              <w:rPr>
                <w:rFonts w:ascii="宋体" w:hAnsi="宋体" w:cs="宋体"/>
                <w:sz w:val="24"/>
              </w:rPr>
            </w:pPr>
            <w:r>
              <w:rPr>
                <w:rFonts w:hint="eastAsia" w:ascii="宋体" w:hAnsi="宋体" w:cs="宋体"/>
                <w:sz w:val="24"/>
              </w:rPr>
              <w:t>是否退还投标文件</w:t>
            </w:r>
          </w:p>
        </w:tc>
        <w:tc>
          <w:tcPr>
            <w:tcW w:w="6750" w:type="dxa"/>
            <w:vAlign w:val="center"/>
          </w:tcPr>
          <w:p w14:paraId="7C706230">
            <w:pPr>
              <w:jc w:val="left"/>
              <w:rPr>
                <w:rFonts w:ascii="宋体" w:hAnsi="宋体" w:cs="宋体"/>
                <w:bCs/>
                <w:sz w:val="24"/>
                <w:lang w:val="zh-CN"/>
              </w:rPr>
            </w:pPr>
            <w:r>
              <w:rPr>
                <w:rFonts w:hint="eastAsia" w:ascii="宋体" w:hAnsi="宋体" w:cs="宋体"/>
                <w:bCs/>
                <w:sz w:val="24"/>
                <w:lang w:val="zh-CN"/>
              </w:rPr>
              <w:t>否</w:t>
            </w:r>
          </w:p>
        </w:tc>
      </w:tr>
      <w:tr w14:paraId="7E58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4342E829">
            <w:pPr>
              <w:autoSpaceDE w:val="0"/>
              <w:autoSpaceDN w:val="0"/>
              <w:adjustRightInd w:val="0"/>
              <w:spacing w:line="300" w:lineRule="auto"/>
              <w:jc w:val="center"/>
              <w:rPr>
                <w:rFonts w:ascii="宋体" w:hAnsi="宋体" w:cs="宋体"/>
                <w:bCs/>
              </w:rPr>
            </w:pPr>
            <w:r>
              <w:rPr>
                <w:rFonts w:hint="eastAsia" w:ascii="宋体" w:hAnsi="宋体" w:cs="宋体"/>
                <w:bCs/>
              </w:rPr>
              <w:t>22</w:t>
            </w:r>
          </w:p>
        </w:tc>
        <w:tc>
          <w:tcPr>
            <w:tcW w:w="2333" w:type="dxa"/>
            <w:vAlign w:val="center"/>
          </w:tcPr>
          <w:p w14:paraId="0AA1E9D7">
            <w:pPr>
              <w:autoSpaceDE w:val="0"/>
              <w:autoSpaceDN w:val="0"/>
              <w:adjustRightInd w:val="0"/>
              <w:spacing w:line="300" w:lineRule="auto"/>
              <w:jc w:val="center"/>
              <w:rPr>
                <w:rFonts w:ascii="宋体" w:hAnsi="宋体" w:cs="宋体"/>
                <w:sz w:val="24"/>
              </w:rPr>
            </w:pPr>
            <w:r>
              <w:rPr>
                <w:rFonts w:hint="eastAsia" w:ascii="宋体" w:hAnsi="宋体" w:cs="宋体"/>
                <w:sz w:val="24"/>
              </w:rPr>
              <w:t>开标时间和地点</w:t>
            </w:r>
          </w:p>
        </w:tc>
        <w:tc>
          <w:tcPr>
            <w:tcW w:w="6750" w:type="dxa"/>
          </w:tcPr>
          <w:p w14:paraId="4ECEA99C">
            <w:pPr>
              <w:rPr>
                <w:rFonts w:ascii="宋体" w:hAnsi="宋体" w:cs="宋体"/>
                <w:bCs/>
                <w:sz w:val="24"/>
              </w:rPr>
            </w:pPr>
            <w:r>
              <w:rPr>
                <w:rFonts w:hint="eastAsia" w:ascii="宋体" w:hAnsi="宋体" w:cs="宋体"/>
                <w:bCs/>
                <w:kern w:val="15"/>
                <w:sz w:val="24"/>
              </w:rPr>
              <w:t>时间：</w:t>
            </w:r>
            <w:r>
              <w:rPr>
                <w:rFonts w:hint="eastAsia" w:ascii="宋体" w:hAnsi="宋体"/>
                <w:sz w:val="24"/>
              </w:rPr>
              <w:t>202</w:t>
            </w:r>
            <w:r>
              <w:rPr>
                <w:rFonts w:ascii="宋体" w:hAnsi="宋体"/>
                <w:sz w:val="24"/>
              </w:rPr>
              <w:t>4</w:t>
            </w:r>
            <w:r>
              <w:rPr>
                <w:rFonts w:hint="eastAsia" w:ascii="宋体" w:hAnsi="宋体"/>
                <w:bCs/>
                <w:sz w:val="24"/>
              </w:rPr>
              <w:t>年</w:t>
            </w:r>
            <w:r>
              <w:rPr>
                <w:rFonts w:hint="eastAsia" w:ascii="宋体" w:hAnsi="宋体"/>
                <w:bCs/>
                <w:sz w:val="24"/>
                <w:u w:val="single"/>
              </w:rPr>
              <w:t xml:space="preserve"> </w:t>
            </w:r>
            <w:r>
              <w:rPr>
                <w:rFonts w:ascii="宋体" w:hAnsi="宋体"/>
                <w:bCs/>
                <w:sz w:val="24"/>
                <w:u w:val="single"/>
              </w:rPr>
              <w:t xml:space="preserve"> </w:t>
            </w:r>
            <w:r>
              <w:rPr>
                <w:rFonts w:hint="eastAsia" w:ascii="宋体" w:hAnsi="宋体"/>
                <w:bCs/>
                <w:sz w:val="24"/>
                <w:u w:val="single"/>
                <w:lang w:val="en-US" w:eastAsia="zh-CN"/>
              </w:rPr>
              <w:t>11</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ascii="宋体" w:hAnsi="宋体"/>
                <w:bCs/>
                <w:sz w:val="24"/>
                <w:u w:val="single"/>
              </w:rPr>
              <w:t xml:space="preserve"> </w:t>
            </w:r>
            <w:r>
              <w:rPr>
                <w:rFonts w:hint="eastAsia" w:ascii="宋体" w:hAnsi="宋体"/>
                <w:bCs/>
                <w:sz w:val="24"/>
                <w:u w:val="single"/>
                <w:lang w:val="en-US" w:eastAsia="zh-CN"/>
              </w:rPr>
              <w:t>20</w:t>
            </w:r>
            <w:r>
              <w:rPr>
                <w:rFonts w:ascii="宋体" w:hAnsi="宋体"/>
                <w:bCs/>
                <w:sz w:val="24"/>
                <w:u w:val="single"/>
              </w:rPr>
              <w:t xml:space="preserve">  </w:t>
            </w:r>
            <w:r>
              <w:rPr>
                <w:rFonts w:hint="eastAsia" w:ascii="宋体" w:hAnsi="宋体"/>
                <w:bCs/>
                <w:sz w:val="24"/>
              </w:rPr>
              <w:t>日</w:t>
            </w:r>
            <w:r>
              <w:rPr>
                <w:rFonts w:hint="eastAsia" w:ascii="宋体" w:hAnsi="宋体" w:cs="宋体"/>
                <w:bCs/>
                <w:sz w:val="24"/>
              </w:rPr>
              <w:t>下午3:</w:t>
            </w:r>
            <w:r>
              <w:rPr>
                <w:rFonts w:ascii="宋体" w:hAnsi="宋体" w:cs="宋体"/>
                <w:bCs/>
                <w:sz w:val="24"/>
              </w:rPr>
              <w:t>0</w:t>
            </w:r>
            <w:r>
              <w:rPr>
                <w:rFonts w:hint="eastAsia" w:ascii="宋体" w:hAnsi="宋体" w:cs="宋体"/>
                <w:bCs/>
                <w:sz w:val="24"/>
              </w:rPr>
              <w:t>0（北京时间）；</w:t>
            </w:r>
          </w:p>
          <w:p w14:paraId="02D71BDA">
            <w:pPr>
              <w:autoSpaceDE w:val="0"/>
              <w:autoSpaceDN w:val="0"/>
              <w:adjustRightInd w:val="0"/>
              <w:rPr>
                <w:rFonts w:ascii="宋体" w:hAnsi="宋体" w:cs="宋体"/>
                <w:bCs/>
                <w:sz w:val="24"/>
                <w:lang w:val="zh-CN"/>
              </w:rPr>
            </w:pPr>
            <w:r>
              <w:rPr>
                <w:rFonts w:hint="eastAsia" w:ascii="宋体" w:hAnsi="宋体" w:cs="宋体"/>
                <w:bCs/>
                <w:sz w:val="24"/>
              </w:rPr>
              <w:t>地点：</w:t>
            </w:r>
            <w:r>
              <w:rPr>
                <w:rFonts w:hint="eastAsia" w:ascii="宋体" w:hAnsi="宋体" w:cs="宋体"/>
                <w:sz w:val="24"/>
              </w:rPr>
              <w:t>盐城市人民南路38号新龙广场4-11F</w:t>
            </w:r>
            <w:r>
              <w:rPr>
                <w:rFonts w:hint="eastAsia" w:ascii="宋体" w:hAnsi="宋体" w:cs="宋体"/>
                <w:bCs/>
                <w:sz w:val="24"/>
              </w:rPr>
              <w:t>。</w:t>
            </w:r>
          </w:p>
        </w:tc>
      </w:tr>
      <w:tr w14:paraId="498D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30CE47F3">
            <w:pPr>
              <w:autoSpaceDE w:val="0"/>
              <w:autoSpaceDN w:val="0"/>
              <w:adjustRightInd w:val="0"/>
              <w:spacing w:line="300" w:lineRule="auto"/>
              <w:jc w:val="center"/>
              <w:rPr>
                <w:rFonts w:ascii="宋体" w:hAnsi="宋体" w:cs="宋体"/>
                <w:bCs/>
              </w:rPr>
            </w:pPr>
            <w:r>
              <w:rPr>
                <w:rFonts w:hint="eastAsia" w:ascii="宋体" w:hAnsi="宋体" w:cs="宋体"/>
                <w:bCs/>
              </w:rPr>
              <w:t>23</w:t>
            </w:r>
          </w:p>
        </w:tc>
        <w:tc>
          <w:tcPr>
            <w:tcW w:w="2333" w:type="dxa"/>
            <w:vAlign w:val="center"/>
          </w:tcPr>
          <w:p w14:paraId="1FE0D841">
            <w:pPr>
              <w:autoSpaceDE w:val="0"/>
              <w:autoSpaceDN w:val="0"/>
              <w:adjustRightInd w:val="0"/>
              <w:spacing w:line="300" w:lineRule="auto"/>
              <w:jc w:val="center"/>
              <w:rPr>
                <w:rFonts w:ascii="宋体" w:hAnsi="宋体" w:cs="宋体"/>
                <w:sz w:val="24"/>
              </w:rPr>
            </w:pPr>
            <w:r>
              <w:rPr>
                <w:rFonts w:hint="eastAsia" w:ascii="宋体" w:hAnsi="宋体" w:cs="宋体"/>
                <w:sz w:val="24"/>
              </w:rPr>
              <w:t>是否授权评标委员会确定中标人</w:t>
            </w:r>
          </w:p>
        </w:tc>
        <w:tc>
          <w:tcPr>
            <w:tcW w:w="6750" w:type="dxa"/>
            <w:vAlign w:val="center"/>
          </w:tcPr>
          <w:p w14:paraId="701849D4">
            <w:pPr>
              <w:rPr>
                <w:rFonts w:ascii="宋体" w:hAnsi="宋体" w:cs="宋体"/>
                <w:bCs/>
                <w:kern w:val="15"/>
                <w:sz w:val="24"/>
              </w:rPr>
            </w:pPr>
            <w:r>
              <w:rPr>
                <w:rFonts w:hint="eastAsia" w:ascii="宋体" w:hAnsi="宋体" w:cs="宋体"/>
                <w:bCs/>
                <w:kern w:val="15"/>
                <w:sz w:val="24"/>
              </w:rPr>
              <w:t>否，推荐的中标候选人数：1人</w:t>
            </w:r>
          </w:p>
        </w:tc>
      </w:tr>
      <w:tr w14:paraId="49E0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 w:type="dxa"/>
            <w:vAlign w:val="center"/>
          </w:tcPr>
          <w:p w14:paraId="31982B3B">
            <w:pPr>
              <w:autoSpaceDE w:val="0"/>
              <w:autoSpaceDN w:val="0"/>
              <w:adjustRightInd w:val="0"/>
              <w:spacing w:line="300" w:lineRule="auto"/>
              <w:jc w:val="center"/>
              <w:rPr>
                <w:rFonts w:ascii="宋体" w:hAnsi="宋体" w:cs="宋体"/>
                <w:bCs/>
              </w:rPr>
            </w:pPr>
            <w:r>
              <w:rPr>
                <w:rFonts w:hint="eastAsia" w:ascii="宋体" w:hAnsi="宋体" w:cs="宋体"/>
                <w:bCs/>
              </w:rPr>
              <w:t>24</w:t>
            </w:r>
          </w:p>
        </w:tc>
        <w:tc>
          <w:tcPr>
            <w:tcW w:w="2333" w:type="dxa"/>
            <w:vAlign w:val="center"/>
          </w:tcPr>
          <w:p w14:paraId="377DF5E3">
            <w:pPr>
              <w:autoSpaceDE w:val="0"/>
              <w:autoSpaceDN w:val="0"/>
              <w:adjustRightInd w:val="0"/>
              <w:spacing w:line="300" w:lineRule="auto"/>
              <w:jc w:val="center"/>
              <w:rPr>
                <w:rFonts w:ascii="宋体" w:hAnsi="宋体" w:cs="宋体"/>
                <w:sz w:val="24"/>
              </w:rPr>
            </w:pPr>
            <w:r>
              <w:rPr>
                <w:rFonts w:hint="eastAsia" w:ascii="宋体" w:hAnsi="宋体" w:cs="宋体"/>
                <w:sz w:val="24"/>
              </w:rPr>
              <w:t>履约保证金</w:t>
            </w:r>
          </w:p>
        </w:tc>
        <w:tc>
          <w:tcPr>
            <w:tcW w:w="6750" w:type="dxa"/>
            <w:vAlign w:val="center"/>
          </w:tcPr>
          <w:p w14:paraId="6E90D992">
            <w:pPr>
              <w:rPr>
                <w:rFonts w:ascii="宋体" w:hAnsi="宋体" w:cs="宋体"/>
                <w:bCs/>
                <w:sz w:val="24"/>
              </w:rPr>
            </w:pPr>
            <w:r>
              <w:rPr>
                <w:rFonts w:hint="eastAsia" w:ascii="宋体" w:hAnsi="宋体" w:cs="宋体"/>
                <w:bCs/>
                <w:sz w:val="24"/>
              </w:rPr>
              <w:t>详见采购文件要求</w:t>
            </w:r>
          </w:p>
        </w:tc>
      </w:tr>
      <w:tr w14:paraId="503B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883" w:type="dxa"/>
            <w:vAlign w:val="center"/>
          </w:tcPr>
          <w:p w14:paraId="6E523AD6">
            <w:pPr>
              <w:autoSpaceDE w:val="0"/>
              <w:autoSpaceDN w:val="0"/>
              <w:adjustRightInd w:val="0"/>
              <w:spacing w:line="300" w:lineRule="auto"/>
              <w:jc w:val="center"/>
              <w:rPr>
                <w:rFonts w:ascii="宋体" w:hAnsi="宋体" w:cs="宋体"/>
                <w:bCs/>
              </w:rPr>
            </w:pPr>
            <w:r>
              <w:rPr>
                <w:rFonts w:hint="eastAsia" w:ascii="宋体" w:hAnsi="宋体" w:cs="宋体"/>
                <w:bCs/>
              </w:rPr>
              <w:t>25</w:t>
            </w:r>
          </w:p>
        </w:tc>
        <w:tc>
          <w:tcPr>
            <w:tcW w:w="9083" w:type="dxa"/>
            <w:gridSpan w:val="2"/>
            <w:vAlign w:val="center"/>
          </w:tcPr>
          <w:p w14:paraId="257502A9">
            <w:pPr>
              <w:autoSpaceDE w:val="0"/>
              <w:autoSpaceDN w:val="0"/>
              <w:adjustRightInd w:val="0"/>
              <w:jc w:val="center"/>
              <w:rPr>
                <w:rFonts w:ascii="宋体" w:hAnsi="宋体" w:cs="宋体"/>
                <w:bCs/>
                <w:sz w:val="24"/>
                <w:lang w:val="zh-CN"/>
              </w:rPr>
            </w:pPr>
            <w:r>
              <w:rPr>
                <w:rFonts w:hint="eastAsia" w:ascii="宋体" w:hAnsi="宋体" w:cs="宋体"/>
                <w:bCs/>
                <w:sz w:val="24"/>
                <w:lang w:val="zh-CN"/>
              </w:rPr>
              <w:t>需要补充的其他内容</w:t>
            </w:r>
          </w:p>
        </w:tc>
      </w:tr>
      <w:tr w14:paraId="6D67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883" w:type="dxa"/>
            <w:vAlign w:val="center"/>
          </w:tcPr>
          <w:p w14:paraId="051E186F">
            <w:pPr>
              <w:autoSpaceDE w:val="0"/>
              <w:autoSpaceDN w:val="0"/>
              <w:adjustRightInd w:val="0"/>
              <w:spacing w:line="300" w:lineRule="auto"/>
              <w:jc w:val="center"/>
              <w:rPr>
                <w:rFonts w:ascii="宋体" w:hAnsi="宋体" w:cs="宋体"/>
                <w:bCs/>
              </w:rPr>
            </w:pPr>
            <w:r>
              <w:rPr>
                <w:rFonts w:hint="eastAsia" w:ascii="宋体" w:hAnsi="宋体" w:cs="宋体"/>
                <w:bCs/>
              </w:rPr>
              <w:t>26</w:t>
            </w:r>
          </w:p>
        </w:tc>
        <w:tc>
          <w:tcPr>
            <w:tcW w:w="2333" w:type="dxa"/>
            <w:vAlign w:val="center"/>
          </w:tcPr>
          <w:p w14:paraId="134A892C">
            <w:pPr>
              <w:spacing w:line="300" w:lineRule="auto"/>
              <w:jc w:val="center"/>
              <w:rPr>
                <w:rFonts w:ascii="宋体" w:hAnsi="宋体" w:cs="宋体"/>
                <w:sz w:val="24"/>
              </w:rPr>
            </w:pPr>
            <w:r>
              <w:rPr>
                <w:rFonts w:hint="eastAsia" w:ascii="宋体" w:hAnsi="宋体" w:cs="宋体"/>
                <w:sz w:val="24"/>
              </w:rPr>
              <w:t>最高投标限价</w:t>
            </w:r>
          </w:p>
        </w:tc>
        <w:tc>
          <w:tcPr>
            <w:tcW w:w="6750" w:type="dxa"/>
            <w:vAlign w:val="center"/>
          </w:tcPr>
          <w:p w14:paraId="6E753925">
            <w:pPr>
              <w:jc w:val="left"/>
              <w:rPr>
                <w:sz w:val="24"/>
              </w:rPr>
            </w:pPr>
            <w:r>
              <w:rPr>
                <w:rFonts w:ascii="宋体" w:hAnsi="宋体" w:cs="宋体"/>
                <w:bCs/>
                <w:sz w:val="24"/>
                <w:szCs w:val="24"/>
              </w:rPr>
              <w:t>12</w:t>
            </w:r>
            <w:r>
              <w:rPr>
                <w:rFonts w:hint="eastAsia" w:ascii="宋体" w:hAnsi="宋体" w:cs="宋体"/>
                <w:bCs/>
                <w:sz w:val="24"/>
                <w:szCs w:val="24"/>
              </w:rPr>
              <w:t>万元</w:t>
            </w:r>
            <w:r>
              <w:rPr>
                <w:sz w:val="24"/>
              </w:rPr>
              <w:t>/年</w:t>
            </w:r>
          </w:p>
        </w:tc>
      </w:tr>
      <w:tr w14:paraId="22A3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883" w:type="dxa"/>
            <w:vAlign w:val="center"/>
          </w:tcPr>
          <w:p w14:paraId="5F732F33">
            <w:pPr>
              <w:autoSpaceDE w:val="0"/>
              <w:autoSpaceDN w:val="0"/>
              <w:adjustRightInd w:val="0"/>
              <w:spacing w:line="300" w:lineRule="auto"/>
              <w:jc w:val="center"/>
              <w:rPr>
                <w:rFonts w:ascii="宋体" w:hAnsi="宋体" w:cs="宋体"/>
                <w:bCs/>
              </w:rPr>
            </w:pPr>
            <w:r>
              <w:rPr>
                <w:rFonts w:hint="eastAsia" w:ascii="宋体" w:hAnsi="宋体" w:cs="宋体"/>
                <w:bCs/>
              </w:rPr>
              <w:t>27</w:t>
            </w:r>
          </w:p>
        </w:tc>
        <w:tc>
          <w:tcPr>
            <w:tcW w:w="2333" w:type="dxa"/>
            <w:vAlign w:val="center"/>
          </w:tcPr>
          <w:p w14:paraId="4D530EAA">
            <w:pPr>
              <w:spacing w:line="300" w:lineRule="auto"/>
              <w:jc w:val="center"/>
              <w:rPr>
                <w:rFonts w:ascii="宋体" w:hAnsi="宋体" w:cs="宋体"/>
                <w:sz w:val="24"/>
              </w:rPr>
            </w:pPr>
            <w:r>
              <w:rPr>
                <w:rFonts w:hint="eastAsia" w:ascii="宋体" w:hAnsi="宋体" w:cs="宋体"/>
                <w:sz w:val="24"/>
              </w:rPr>
              <w:t>付款方式</w:t>
            </w:r>
          </w:p>
        </w:tc>
        <w:tc>
          <w:tcPr>
            <w:tcW w:w="6750" w:type="dxa"/>
            <w:vAlign w:val="center"/>
          </w:tcPr>
          <w:p w14:paraId="779169B6">
            <w:pPr>
              <w:spacing w:line="440" w:lineRule="exact"/>
              <w:ind w:firstLine="240" w:firstLineChars="100"/>
              <w:rPr>
                <w:sz w:val="24"/>
                <w:szCs w:val="24"/>
              </w:rPr>
            </w:pPr>
            <w:r>
              <w:rPr>
                <w:rFonts w:hint="eastAsia"/>
                <w:sz w:val="24"/>
                <w:szCs w:val="24"/>
              </w:rPr>
              <w:t>合同签订后，费用一年一付。第一次付款：合同签订后，驻场技术人员入场后支付合同总价的30%；</w:t>
            </w:r>
          </w:p>
          <w:p w14:paraId="4A897FC2">
            <w:pPr>
              <w:spacing w:line="440" w:lineRule="exact"/>
              <w:ind w:firstLine="240" w:firstLineChars="100"/>
              <w:rPr>
                <w:sz w:val="24"/>
                <w:szCs w:val="24"/>
              </w:rPr>
            </w:pPr>
            <w:r>
              <w:rPr>
                <w:rFonts w:hint="eastAsia"/>
                <w:sz w:val="24"/>
                <w:szCs w:val="24"/>
              </w:rPr>
              <w:t>第二次付款：正式服务期满一年后，由校方组织最终验收，验收合格后支付合同总价的70%。以上付款均无息。</w:t>
            </w:r>
          </w:p>
        </w:tc>
      </w:tr>
      <w:tr w14:paraId="0EFF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883" w:type="dxa"/>
            <w:vAlign w:val="center"/>
          </w:tcPr>
          <w:p w14:paraId="4D0ADC33">
            <w:pPr>
              <w:autoSpaceDE w:val="0"/>
              <w:autoSpaceDN w:val="0"/>
              <w:adjustRightInd w:val="0"/>
              <w:spacing w:line="300" w:lineRule="auto"/>
              <w:jc w:val="center"/>
              <w:rPr>
                <w:rFonts w:ascii="宋体" w:hAnsi="宋体" w:cs="宋体"/>
                <w:bCs/>
              </w:rPr>
            </w:pPr>
            <w:r>
              <w:rPr>
                <w:rFonts w:hint="eastAsia" w:ascii="宋体" w:hAnsi="宋体" w:cs="宋体"/>
                <w:bCs/>
              </w:rPr>
              <w:t>2</w:t>
            </w:r>
            <w:r>
              <w:rPr>
                <w:rFonts w:ascii="宋体" w:hAnsi="宋体" w:cs="宋体"/>
                <w:bCs/>
              </w:rPr>
              <w:t>8</w:t>
            </w:r>
          </w:p>
        </w:tc>
        <w:tc>
          <w:tcPr>
            <w:tcW w:w="2333" w:type="dxa"/>
            <w:vAlign w:val="center"/>
          </w:tcPr>
          <w:p w14:paraId="2653C16B">
            <w:pPr>
              <w:spacing w:line="300" w:lineRule="auto"/>
              <w:jc w:val="center"/>
              <w:rPr>
                <w:sz w:val="24"/>
                <w:szCs w:val="24"/>
              </w:rPr>
            </w:pPr>
            <w:r>
              <w:rPr>
                <w:rFonts w:hint="eastAsia"/>
                <w:sz w:val="24"/>
                <w:szCs w:val="24"/>
              </w:rPr>
              <w:t>是否接受进口产品投标</w:t>
            </w:r>
          </w:p>
        </w:tc>
        <w:tc>
          <w:tcPr>
            <w:tcW w:w="6750" w:type="dxa"/>
            <w:vAlign w:val="center"/>
          </w:tcPr>
          <w:p w14:paraId="16374D2F">
            <w:pPr>
              <w:spacing w:line="440" w:lineRule="exact"/>
              <w:ind w:firstLine="240" w:firstLineChars="100"/>
              <w:rPr>
                <w:sz w:val="24"/>
                <w:szCs w:val="24"/>
              </w:rPr>
            </w:pPr>
            <w:r>
              <w:rPr>
                <w:rFonts w:hint="eastAsia"/>
                <w:sz w:val="24"/>
                <w:szCs w:val="24"/>
              </w:rPr>
              <w:t>本项目不接受</w:t>
            </w:r>
          </w:p>
        </w:tc>
      </w:tr>
      <w:tr w14:paraId="6C01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6" w:type="dxa"/>
            <w:gridSpan w:val="3"/>
            <w:vAlign w:val="center"/>
          </w:tcPr>
          <w:p w14:paraId="07115F3F">
            <w:pPr>
              <w:spacing w:line="300" w:lineRule="auto"/>
              <w:jc w:val="center"/>
              <w:rPr>
                <w:rFonts w:ascii="宋体" w:hAnsi="宋体" w:cs="宋体"/>
                <w:lang w:val="zh-CN"/>
              </w:rPr>
            </w:pPr>
            <w:r>
              <w:rPr>
                <w:rFonts w:hint="eastAsia" w:ascii="宋体" w:hAnsi="宋体" w:cs="宋体"/>
                <w:b/>
                <w:bCs/>
              </w:rPr>
              <w:t>招标公告与招标文件不一致之处，以招标文件为准。</w:t>
            </w:r>
          </w:p>
        </w:tc>
      </w:tr>
    </w:tbl>
    <w:p w14:paraId="4429F250">
      <w:pPr>
        <w:pStyle w:val="3"/>
        <w:spacing w:before="0" w:after="0" w:line="500" w:lineRule="exact"/>
        <w:ind w:firstLine="482" w:firstLineChars="200"/>
        <w:jc w:val="both"/>
        <w:rPr>
          <w:sz w:val="24"/>
          <w:szCs w:val="24"/>
        </w:rPr>
      </w:pPr>
      <w:bookmarkStart w:id="52" w:name="_Toc16938558"/>
      <w:bookmarkStart w:id="53" w:name="_Toc513029242"/>
      <w:bookmarkStart w:id="54" w:name="_Toc120614221"/>
      <w:bookmarkStart w:id="55" w:name="_Toc20823314"/>
      <w:bookmarkStart w:id="56" w:name="_Toc479757207"/>
      <w:r>
        <w:rPr>
          <w:rFonts w:hint="eastAsia"/>
          <w:sz w:val="24"/>
          <w:szCs w:val="24"/>
        </w:rPr>
        <w:t>一、总则</w:t>
      </w:r>
    </w:p>
    <w:p w14:paraId="3FE7403A">
      <w:pPr>
        <w:spacing w:line="500" w:lineRule="exact"/>
        <w:ind w:firstLine="482" w:firstLineChars="200"/>
        <w:rPr>
          <w:rFonts w:ascii="宋体" w:hAnsi="宋体" w:cs="宋体"/>
          <w:b/>
          <w:bCs/>
          <w:sz w:val="24"/>
          <w:szCs w:val="24"/>
        </w:rPr>
      </w:pPr>
      <w:r>
        <w:rPr>
          <w:rFonts w:hint="eastAsia" w:ascii="宋体" w:hAnsi="宋体" w:cs="宋体"/>
          <w:b/>
          <w:bCs/>
          <w:sz w:val="24"/>
          <w:szCs w:val="24"/>
        </w:rPr>
        <w:t>1、招标方式</w:t>
      </w:r>
    </w:p>
    <w:p w14:paraId="3E5D3498">
      <w:pPr>
        <w:spacing w:line="500" w:lineRule="exact"/>
        <w:ind w:firstLine="480" w:firstLineChars="200"/>
        <w:rPr>
          <w:rFonts w:ascii="宋体" w:hAnsi="宋体"/>
          <w:sz w:val="24"/>
        </w:rPr>
      </w:pPr>
      <w:r>
        <w:rPr>
          <w:rFonts w:hint="eastAsia" w:ascii="宋体" w:hAnsi="宋体"/>
          <w:sz w:val="24"/>
        </w:rPr>
        <w:t>1.1本次招标采取公开招标方式，本招标文件仅适用于招标公告中所述项目。</w:t>
      </w:r>
    </w:p>
    <w:p w14:paraId="19F740DC">
      <w:pPr>
        <w:spacing w:line="500" w:lineRule="exact"/>
        <w:ind w:firstLine="482" w:firstLineChars="200"/>
        <w:rPr>
          <w:rFonts w:ascii="宋体" w:hAnsi="宋体" w:cs="宋体"/>
          <w:b/>
          <w:bCs/>
          <w:sz w:val="24"/>
          <w:szCs w:val="24"/>
        </w:rPr>
      </w:pPr>
      <w:r>
        <w:rPr>
          <w:rFonts w:hint="eastAsia" w:ascii="宋体" w:hAnsi="宋体" w:cs="宋体"/>
          <w:b/>
          <w:bCs/>
          <w:sz w:val="24"/>
          <w:szCs w:val="24"/>
        </w:rPr>
        <w:t>2、合格的投标人</w:t>
      </w:r>
    </w:p>
    <w:p w14:paraId="56A4A492">
      <w:pPr>
        <w:spacing w:line="500" w:lineRule="exact"/>
        <w:ind w:firstLine="480" w:firstLineChars="200"/>
        <w:rPr>
          <w:rFonts w:ascii="宋体" w:hAnsi="宋体"/>
          <w:sz w:val="24"/>
          <w:szCs w:val="24"/>
        </w:rPr>
      </w:pPr>
      <w:r>
        <w:rPr>
          <w:rFonts w:hint="eastAsia" w:ascii="宋体" w:hAnsi="宋体"/>
          <w:sz w:val="24"/>
          <w:szCs w:val="24"/>
        </w:rPr>
        <w:t>2.1满足招标公告中供应商的资格要求的规定。</w:t>
      </w:r>
    </w:p>
    <w:p w14:paraId="75DF3065">
      <w:pPr>
        <w:spacing w:line="500" w:lineRule="exact"/>
        <w:ind w:firstLine="480" w:firstLineChars="200"/>
        <w:rPr>
          <w:rFonts w:ascii="宋体" w:hAnsi="宋体"/>
          <w:sz w:val="24"/>
          <w:szCs w:val="24"/>
        </w:rPr>
      </w:pPr>
      <w:r>
        <w:rPr>
          <w:rFonts w:hint="eastAsia" w:ascii="宋体" w:hAnsi="宋体"/>
          <w:sz w:val="24"/>
          <w:szCs w:val="24"/>
        </w:rPr>
        <w:t>2.2满足本文件实质性条款的规定。</w:t>
      </w:r>
    </w:p>
    <w:p w14:paraId="238A950C">
      <w:pPr>
        <w:spacing w:line="500" w:lineRule="exact"/>
        <w:ind w:firstLine="482" w:firstLineChars="200"/>
        <w:rPr>
          <w:rFonts w:ascii="宋体" w:hAnsi="宋体" w:cs="宋体"/>
          <w:b/>
          <w:bCs/>
          <w:sz w:val="24"/>
          <w:szCs w:val="24"/>
        </w:rPr>
      </w:pPr>
      <w:r>
        <w:rPr>
          <w:rFonts w:hint="eastAsia" w:ascii="宋体" w:hAnsi="宋体" w:cs="宋体"/>
          <w:b/>
          <w:bCs/>
          <w:sz w:val="24"/>
          <w:szCs w:val="24"/>
        </w:rPr>
        <w:t>3、适用法律</w:t>
      </w:r>
    </w:p>
    <w:p w14:paraId="5AE7D1B4">
      <w:pPr>
        <w:spacing w:line="500" w:lineRule="exact"/>
        <w:ind w:firstLine="480" w:firstLineChars="200"/>
        <w:rPr>
          <w:rFonts w:ascii="宋体" w:hAnsi="宋体"/>
          <w:sz w:val="24"/>
        </w:rPr>
      </w:pPr>
      <w:r>
        <w:rPr>
          <w:rFonts w:hint="eastAsia" w:ascii="宋体" w:hAnsi="宋体"/>
          <w:sz w:val="24"/>
        </w:rPr>
        <w:t>3.1本次招标及由此产生的合同受中华人民共和国有关的法律法规制约和保护</w:t>
      </w:r>
      <w:r>
        <w:rPr>
          <w:rFonts w:ascii="宋体" w:hAnsi="宋体"/>
          <w:sz w:val="24"/>
        </w:rPr>
        <w:t>。</w:t>
      </w:r>
    </w:p>
    <w:p w14:paraId="578BEC17">
      <w:pPr>
        <w:spacing w:line="500" w:lineRule="exact"/>
        <w:ind w:firstLine="482" w:firstLineChars="200"/>
        <w:rPr>
          <w:rFonts w:ascii="宋体" w:hAnsi="宋体" w:cs="宋体"/>
          <w:b/>
          <w:bCs/>
          <w:sz w:val="24"/>
          <w:szCs w:val="24"/>
        </w:rPr>
      </w:pPr>
      <w:r>
        <w:rPr>
          <w:rFonts w:hint="eastAsia" w:ascii="宋体" w:hAnsi="宋体" w:cs="宋体"/>
          <w:b/>
          <w:bCs/>
          <w:sz w:val="24"/>
          <w:szCs w:val="24"/>
        </w:rPr>
        <w:t>4、投标费用</w:t>
      </w:r>
    </w:p>
    <w:p w14:paraId="4FE753B3">
      <w:pPr>
        <w:spacing w:line="500" w:lineRule="exact"/>
        <w:ind w:firstLine="480" w:firstLineChars="200"/>
        <w:rPr>
          <w:rFonts w:ascii="宋体" w:hAnsi="宋体"/>
          <w:sz w:val="24"/>
        </w:rPr>
      </w:pPr>
      <w:r>
        <w:rPr>
          <w:rFonts w:hint="eastAsia" w:ascii="宋体" w:hAnsi="宋体"/>
          <w:bCs/>
          <w:sz w:val="24"/>
        </w:rPr>
        <w:t>4.1</w:t>
      </w:r>
      <w:r>
        <w:rPr>
          <w:rFonts w:hint="eastAsia" w:ascii="宋体" w:hAnsi="宋体"/>
          <w:sz w:val="24"/>
        </w:rPr>
        <w:t>投标人应自行承担所有与参加投标有关的费用，无论投标过程中的做法和结果如何，</w:t>
      </w:r>
      <w:r>
        <w:rPr>
          <w:rFonts w:hint="eastAsia" w:ascii="宋体" w:hAnsi="宋体" w:cs="宋体"/>
          <w:sz w:val="24"/>
          <w:szCs w:val="24"/>
        </w:rPr>
        <w:t>江苏国信政府采购服务中心有限公司</w:t>
      </w:r>
      <w:r>
        <w:rPr>
          <w:rFonts w:hint="eastAsia" w:ascii="宋体" w:hAnsi="宋体"/>
          <w:sz w:val="24"/>
        </w:rPr>
        <w:t>（以下简称代理机构）在任何情况下均无义务和责任承担这些费用。</w:t>
      </w:r>
    </w:p>
    <w:p w14:paraId="1463AE7B">
      <w:pPr>
        <w:spacing w:line="500" w:lineRule="exact"/>
        <w:ind w:firstLine="482" w:firstLineChars="200"/>
        <w:rPr>
          <w:rFonts w:ascii="宋体" w:hAnsi="宋体" w:cs="宋体"/>
          <w:b/>
          <w:bCs/>
          <w:sz w:val="24"/>
          <w:szCs w:val="24"/>
        </w:rPr>
      </w:pPr>
      <w:r>
        <w:rPr>
          <w:rFonts w:hint="eastAsia" w:ascii="宋体" w:hAnsi="宋体" w:cs="宋体"/>
          <w:b/>
          <w:bCs/>
          <w:sz w:val="24"/>
          <w:szCs w:val="24"/>
        </w:rPr>
        <w:t>5、招标文件的约束力</w:t>
      </w:r>
    </w:p>
    <w:p w14:paraId="344EB8DD">
      <w:pPr>
        <w:spacing w:line="500" w:lineRule="exact"/>
        <w:ind w:firstLine="480" w:firstLineChars="200"/>
        <w:rPr>
          <w:rFonts w:ascii="宋体" w:hAnsi="宋体"/>
          <w:sz w:val="24"/>
          <w:szCs w:val="24"/>
        </w:rPr>
      </w:pPr>
      <w:r>
        <w:rPr>
          <w:rFonts w:hint="eastAsia" w:ascii="宋体" w:hAnsi="宋体"/>
          <w:bCs/>
          <w:sz w:val="24"/>
          <w:szCs w:val="24"/>
        </w:rPr>
        <w:t>5.1</w:t>
      </w:r>
      <w:r>
        <w:rPr>
          <w:rFonts w:hint="eastAsia" w:ascii="宋体" w:hAnsi="宋体"/>
          <w:sz w:val="24"/>
          <w:szCs w:val="24"/>
        </w:rPr>
        <w:t>投标人一旦参加本项目采购活动，即被认为接受了本招标文件的规定和约束。</w:t>
      </w:r>
    </w:p>
    <w:p w14:paraId="598D9937">
      <w:pPr>
        <w:pStyle w:val="3"/>
        <w:spacing w:before="0" w:after="0" w:line="500" w:lineRule="exact"/>
        <w:ind w:firstLine="482" w:firstLineChars="200"/>
        <w:jc w:val="both"/>
        <w:rPr>
          <w:sz w:val="24"/>
          <w:szCs w:val="24"/>
        </w:rPr>
      </w:pPr>
      <w:r>
        <w:rPr>
          <w:rFonts w:hint="eastAsia"/>
          <w:sz w:val="24"/>
          <w:szCs w:val="24"/>
        </w:rPr>
        <w:t>二、招标文件</w:t>
      </w:r>
    </w:p>
    <w:p w14:paraId="1F7077BC">
      <w:pPr>
        <w:keepNext/>
        <w:keepLines/>
        <w:spacing w:line="500" w:lineRule="exact"/>
        <w:ind w:firstLine="480" w:firstLineChars="200"/>
        <w:rPr>
          <w:b/>
          <w:bCs/>
        </w:rPr>
      </w:pPr>
      <w:r>
        <w:rPr>
          <w:rFonts w:ascii="宋体" w:hAnsi="宋体" w:cs="宋体"/>
          <w:sz w:val="24"/>
          <w:szCs w:val="24"/>
        </w:rPr>
        <w:t>6</w:t>
      </w:r>
      <w:r>
        <w:rPr>
          <w:rFonts w:hint="eastAsia" w:ascii="宋体" w:hAnsi="宋体" w:cs="宋体"/>
          <w:sz w:val="24"/>
          <w:szCs w:val="24"/>
        </w:rPr>
        <w:t>、招标文件构成</w:t>
      </w:r>
    </w:p>
    <w:p w14:paraId="3B550D92">
      <w:pPr>
        <w:spacing w:line="500" w:lineRule="exact"/>
        <w:ind w:firstLine="480" w:firstLineChars="200"/>
        <w:rPr>
          <w:rFonts w:ascii="宋体" w:hAnsi="宋体"/>
          <w:sz w:val="24"/>
        </w:rPr>
      </w:pPr>
      <w:r>
        <w:rPr>
          <w:rFonts w:ascii="宋体" w:hAnsi="宋体"/>
          <w:bCs/>
          <w:sz w:val="24"/>
        </w:rPr>
        <w:t>6</w:t>
      </w:r>
      <w:r>
        <w:rPr>
          <w:rFonts w:hint="eastAsia" w:ascii="宋体" w:hAnsi="宋体"/>
          <w:bCs/>
          <w:sz w:val="24"/>
        </w:rPr>
        <w:t>.1</w:t>
      </w:r>
      <w:r>
        <w:rPr>
          <w:rFonts w:hint="eastAsia" w:ascii="宋体" w:hAnsi="宋体"/>
          <w:sz w:val="24"/>
        </w:rPr>
        <w:t>招标文件有以下部分组成：</w:t>
      </w:r>
    </w:p>
    <w:p w14:paraId="72DB9D27">
      <w:pPr>
        <w:spacing w:line="500" w:lineRule="exact"/>
        <w:ind w:firstLine="480" w:firstLineChars="200"/>
        <w:rPr>
          <w:rFonts w:ascii="宋体" w:hAnsi="宋体"/>
          <w:sz w:val="24"/>
          <w:szCs w:val="24"/>
        </w:rPr>
      </w:pPr>
      <w:r>
        <w:rPr>
          <w:rFonts w:hint="eastAsia" w:ascii="宋体" w:hAnsi="宋体"/>
          <w:sz w:val="24"/>
          <w:szCs w:val="24"/>
        </w:rPr>
        <w:t>（1）招标公告</w:t>
      </w:r>
    </w:p>
    <w:p w14:paraId="631A228B">
      <w:pPr>
        <w:spacing w:line="500" w:lineRule="exact"/>
        <w:ind w:firstLine="480" w:firstLineChars="200"/>
        <w:rPr>
          <w:rFonts w:ascii="宋体" w:hAnsi="宋体"/>
          <w:sz w:val="24"/>
          <w:szCs w:val="24"/>
        </w:rPr>
      </w:pPr>
      <w:r>
        <w:rPr>
          <w:rFonts w:hint="eastAsia" w:ascii="宋体" w:hAnsi="宋体"/>
          <w:sz w:val="24"/>
          <w:szCs w:val="24"/>
        </w:rPr>
        <w:t>（2）投标人须知</w:t>
      </w:r>
    </w:p>
    <w:p w14:paraId="23D317F2">
      <w:pPr>
        <w:spacing w:line="500" w:lineRule="exact"/>
        <w:ind w:firstLine="480" w:firstLineChars="200"/>
      </w:pPr>
      <w:r>
        <w:rPr>
          <w:rFonts w:hint="eastAsia" w:ascii="宋体" w:hAnsi="宋体"/>
          <w:sz w:val="24"/>
          <w:szCs w:val="24"/>
        </w:rPr>
        <w:t>（3）合同条款及格式</w:t>
      </w:r>
    </w:p>
    <w:p w14:paraId="44F86EDC">
      <w:pPr>
        <w:spacing w:line="500" w:lineRule="exact"/>
        <w:ind w:firstLine="480" w:firstLineChars="200"/>
        <w:rPr>
          <w:rFonts w:ascii="宋体" w:hAnsi="宋体"/>
          <w:sz w:val="24"/>
          <w:szCs w:val="24"/>
        </w:rPr>
      </w:pPr>
      <w:r>
        <w:rPr>
          <w:rFonts w:hint="eastAsia" w:ascii="宋体" w:hAnsi="宋体"/>
          <w:sz w:val="24"/>
          <w:szCs w:val="24"/>
        </w:rPr>
        <w:t>（4）项目需求</w:t>
      </w:r>
    </w:p>
    <w:p w14:paraId="0C03709F">
      <w:pPr>
        <w:spacing w:line="500" w:lineRule="exact"/>
        <w:ind w:firstLine="480" w:firstLineChars="200"/>
        <w:rPr>
          <w:sz w:val="24"/>
          <w:szCs w:val="24"/>
        </w:rPr>
      </w:pPr>
      <w:r>
        <w:rPr>
          <w:rFonts w:hint="eastAsia" w:ascii="宋体" w:hAnsi="宋体"/>
          <w:sz w:val="24"/>
          <w:szCs w:val="24"/>
        </w:rPr>
        <w:t>（5）评标方法与评标标准</w:t>
      </w:r>
    </w:p>
    <w:p w14:paraId="2ED456FE">
      <w:pPr>
        <w:spacing w:line="500" w:lineRule="exact"/>
        <w:ind w:firstLine="480" w:firstLineChars="200"/>
        <w:rPr>
          <w:rFonts w:ascii="宋体" w:hAnsi="宋体"/>
          <w:sz w:val="24"/>
          <w:szCs w:val="24"/>
        </w:rPr>
      </w:pPr>
      <w:r>
        <w:rPr>
          <w:rFonts w:hint="eastAsia" w:ascii="宋体" w:hAnsi="宋体"/>
          <w:sz w:val="24"/>
          <w:szCs w:val="24"/>
        </w:rPr>
        <w:t>（6）投标文件格式</w:t>
      </w:r>
    </w:p>
    <w:p w14:paraId="32B5C866">
      <w:pPr>
        <w:spacing w:line="500" w:lineRule="exact"/>
        <w:ind w:firstLine="480" w:firstLineChars="200"/>
        <w:rPr>
          <w:rFonts w:ascii="宋体" w:hAnsi="宋体"/>
          <w:sz w:val="24"/>
        </w:rPr>
      </w:pPr>
      <w:r>
        <w:rPr>
          <w:rFonts w:hint="eastAsia" w:ascii="宋体" w:hAnsi="宋体"/>
          <w:sz w:val="24"/>
        </w:rPr>
        <w:t>请仔细检查招标文件是否齐全，如有缺漏请立即与代理机构联系解决。</w:t>
      </w:r>
    </w:p>
    <w:p w14:paraId="038D1353">
      <w:pPr>
        <w:spacing w:line="500" w:lineRule="exact"/>
        <w:ind w:firstLine="480" w:firstLineChars="200"/>
        <w:rPr>
          <w:rFonts w:ascii="宋体" w:hAnsi="宋体"/>
          <w:sz w:val="24"/>
        </w:rPr>
      </w:pPr>
      <w:r>
        <w:rPr>
          <w:rFonts w:ascii="宋体" w:hAnsi="宋体"/>
          <w:bCs/>
          <w:sz w:val="24"/>
        </w:rPr>
        <w:t>6</w:t>
      </w:r>
      <w:r>
        <w:rPr>
          <w:rFonts w:hint="eastAsia" w:ascii="宋体" w:hAnsi="宋体"/>
          <w:bCs/>
          <w:sz w:val="24"/>
        </w:rPr>
        <w:t>.2</w:t>
      </w:r>
      <w:r>
        <w:rPr>
          <w:rFonts w:hint="eastAsia" w:ascii="宋体" w:hAnsi="宋体"/>
          <w:sz w:val="24"/>
        </w:rPr>
        <w:t>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0668B2DF">
      <w:pPr>
        <w:pStyle w:val="41"/>
        <w:keepNext/>
        <w:keepLines/>
        <w:spacing w:before="0" w:beforeAutospacing="0" w:after="0" w:afterAutospacing="0" w:line="500" w:lineRule="exact"/>
        <w:ind w:firstLine="482" w:firstLineChars="200"/>
        <w:jc w:val="both"/>
        <w:rPr>
          <w:rFonts w:cs="Times New Roman"/>
          <w:kern w:val="2"/>
          <w:szCs w:val="21"/>
        </w:rPr>
      </w:pPr>
      <w:r>
        <w:rPr>
          <w:b/>
          <w:bCs/>
          <w:kern w:val="2"/>
        </w:rPr>
        <w:t>7</w:t>
      </w:r>
      <w:r>
        <w:rPr>
          <w:rFonts w:hint="eastAsia"/>
          <w:b/>
          <w:bCs/>
          <w:kern w:val="2"/>
        </w:rPr>
        <w:t>、</w:t>
      </w:r>
      <w:r>
        <w:rPr>
          <w:b/>
          <w:bCs/>
          <w:kern w:val="2"/>
        </w:rPr>
        <w:t>招标文件的澄清</w:t>
      </w:r>
    </w:p>
    <w:p w14:paraId="0123B16B">
      <w:pPr>
        <w:spacing w:line="500" w:lineRule="exact"/>
        <w:ind w:firstLine="480" w:firstLineChars="200"/>
        <w:rPr>
          <w:rFonts w:ascii="宋体" w:hAnsi="宋体"/>
          <w:sz w:val="24"/>
          <w:szCs w:val="24"/>
        </w:rPr>
      </w:pPr>
      <w:r>
        <w:rPr>
          <w:rFonts w:ascii="宋体" w:hAnsi="宋体"/>
          <w:sz w:val="24"/>
        </w:rPr>
        <w:t>7</w:t>
      </w:r>
      <w:r>
        <w:rPr>
          <w:rFonts w:hint="eastAsia" w:ascii="宋体" w:hAnsi="宋体"/>
          <w:sz w:val="24"/>
        </w:rPr>
        <w:t>.1任何要求对招标文件进行</w:t>
      </w:r>
      <w:r>
        <w:rPr>
          <w:rFonts w:ascii="宋体" w:hAnsi="宋体"/>
          <w:sz w:val="24"/>
        </w:rPr>
        <w:t>澄清</w:t>
      </w:r>
      <w:r>
        <w:rPr>
          <w:rFonts w:hint="eastAsia" w:ascii="宋体" w:hAnsi="宋体"/>
          <w:sz w:val="24"/>
        </w:rPr>
        <w:t>的投标人，应在投标截止日期</w:t>
      </w:r>
      <w:r>
        <w:rPr>
          <w:rFonts w:hint="eastAsia" w:ascii="仿宋_GB2312" w:hAnsi="仿宋_GB2312"/>
          <w:b/>
          <w:sz w:val="24"/>
          <w:szCs w:val="24"/>
        </w:rPr>
        <w:t>十日</w:t>
      </w:r>
      <w:r>
        <w:rPr>
          <w:rFonts w:hint="eastAsia" w:ascii="仿宋_GB2312" w:hAnsi="仿宋_GB2312"/>
          <w:sz w:val="24"/>
          <w:szCs w:val="24"/>
        </w:rPr>
        <w:t>前</w:t>
      </w:r>
      <w:r>
        <w:rPr>
          <w:rFonts w:hint="eastAsia" w:ascii="宋体" w:hAnsi="宋体"/>
          <w:sz w:val="24"/>
        </w:rPr>
        <w:t>按招标公告中的通讯地址，向代理机构或采购人提出。</w:t>
      </w:r>
    </w:p>
    <w:p w14:paraId="54FA267F">
      <w:pPr>
        <w:spacing w:line="500" w:lineRule="exact"/>
        <w:ind w:firstLine="482" w:firstLineChars="200"/>
        <w:rPr>
          <w:rFonts w:ascii="宋体" w:hAnsi="宋体" w:cs="宋体"/>
          <w:b/>
          <w:bCs/>
          <w:sz w:val="24"/>
          <w:szCs w:val="24"/>
        </w:rPr>
      </w:pPr>
      <w:r>
        <w:rPr>
          <w:rFonts w:ascii="宋体" w:hAnsi="宋体" w:cs="宋体"/>
          <w:b/>
          <w:bCs/>
          <w:sz w:val="24"/>
          <w:szCs w:val="24"/>
        </w:rPr>
        <w:t>8</w:t>
      </w:r>
      <w:r>
        <w:rPr>
          <w:rFonts w:hint="eastAsia" w:ascii="宋体" w:hAnsi="宋体" w:cs="宋体"/>
          <w:b/>
          <w:bCs/>
          <w:sz w:val="24"/>
          <w:szCs w:val="24"/>
        </w:rPr>
        <w:t>、招标文件的修改</w:t>
      </w:r>
    </w:p>
    <w:p w14:paraId="084C4339">
      <w:pPr>
        <w:spacing w:line="500" w:lineRule="exact"/>
        <w:ind w:firstLine="480" w:firstLineChars="200"/>
        <w:rPr>
          <w:rFonts w:ascii="宋体" w:hAnsi="宋体"/>
          <w:sz w:val="24"/>
        </w:rPr>
      </w:pPr>
      <w:r>
        <w:rPr>
          <w:rFonts w:ascii="宋体" w:hAnsi="宋体"/>
          <w:bCs/>
          <w:sz w:val="24"/>
        </w:rPr>
        <w:t>8</w:t>
      </w:r>
      <w:r>
        <w:rPr>
          <w:rFonts w:hint="eastAsia" w:ascii="宋体" w:hAnsi="宋体"/>
          <w:bCs/>
          <w:sz w:val="24"/>
        </w:rPr>
        <w:t>.1</w:t>
      </w:r>
      <w:r>
        <w:rPr>
          <w:rFonts w:hint="eastAsia" w:ascii="宋体" w:hAnsi="宋体"/>
          <w:sz w:val="24"/>
        </w:rPr>
        <w:t>在投标截止时间</w:t>
      </w:r>
      <w:r>
        <w:rPr>
          <w:rFonts w:hint="eastAsia" w:ascii="仿宋_GB2312" w:hAnsi="仿宋_GB2312"/>
          <w:sz w:val="24"/>
        </w:rPr>
        <w:t>前</w:t>
      </w:r>
      <w:r>
        <w:rPr>
          <w:rFonts w:hint="eastAsia" w:ascii="宋体" w:hAnsi="宋体"/>
          <w:sz w:val="24"/>
        </w:rPr>
        <w:t>，代理机构可以对招标文件进行修改。</w:t>
      </w:r>
    </w:p>
    <w:p w14:paraId="69695DB2">
      <w:pPr>
        <w:spacing w:line="500" w:lineRule="exact"/>
        <w:ind w:firstLine="480" w:firstLineChars="200"/>
        <w:rPr>
          <w:rFonts w:ascii="宋体" w:hAnsi="Arial"/>
          <w:sz w:val="28"/>
        </w:rPr>
      </w:pPr>
      <w:r>
        <w:rPr>
          <w:rFonts w:ascii="宋体" w:hAnsi="宋体"/>
          <w:bCs/>
          <w:sz w:val="24"/>
        </w:rPr>
        <w:t>8</w:t>
      </w:r>
      <w:r>
        <w:rPr>
          <w:rFonts w:hint="eastAsia" w:ascii="宋体" w:hAnsi="宋体"/>
          <w:bCs/>
          <w:sz w:val="24"/>
        </w:rPr>
        <w:t>.2</w:t>
      </w:r>
      <w:r>
        <w:rPr>
          <w:rFonts w:hint="eastAsia" w:ascii="宋体" w:hAnsi="宋体"/>
          <w:sz w:val="24"/>
        </w:rPr>
        <w:t>采购人和代理机构</w:t>
      </w:r>
      <w:r>
        <w:rPr>
          <w:rFonts w:hint="eastAsia" w:ascii="宋体" w:hAnsi="宋体"/>
          <w:sz w:val="24"/>
          <w:szCs w:val="24"/>
        </w:rPr>
        <w:t>有权依法</w:t>
      </w:r>
      <w:r>
        <w:rPr>
          <w:rFonts w:hint="eastAsia" w:ascii="宋体" w:hAnsi="宋体"/>
          <w:sz w:val="24"/>
        </w:rPr>
        <w:t>推迟投标截止日期和开标日期。</w:t>
      </w:r>
    </w:p>
    <w:p w14:paraId="115F52B6">
      <w:pPr>
        <w:spacing w:line="500" w:lineRule="exact"/>
        <w:ind w:firstLine="480" w:firstLineChars="200"/>
        <w:rPr>
          <w:rFonts w:ascii="宋体" w:hAnsi="宋体"/>
          <w:sz w:val="24"/>
        </w:rPr>
      </w:pPr>
      <w:r>
        <w:rPr>
          <w:rFonts w:ascii="宋体" w:hAnsi="宋体"/>
          <w:bCs/>
          <w:sz w:val="24"/>
        </w:rPr>
        <w:t>8</w:t>
      </w:r>
      <w:r>
        <w:rPr>
          <w:rFonts w:hint="eastAsia" w:ascii="宋体" w:hAnsi="宋体"/>
          <w:bCs/>
          <w:sz w:val="24"/>
        </w:rPr>
        <w:t>.3</w:t>
      </w:r>
      <w:r>
        <w:rPr>
          <w:rFonts w:hint="eastAsia" w:ascii="宋体" w:hAnsi="宋体"/>
          <w:sz w:val="24"/>
        </w:rPr>
        <w:t>招标文件的修改将在江苏医药职业学院网公布，</w:t>
      </w:r>
      <w:r>
        <w:rPr>
          <w:rFonts w:hint="eastAsia" w:ascii="宋体" w:hAnsi="宋体"/>
          <w:sz w:val="24"/>
          <w:szCs w:val="24"/>
        </w:rPr>
        <w:t>补充文件将作为招标文件的组成部分，</w:t>
      </w:r>
      <w:r>
        <w:rPr>
          <w:rFonts w:hint="eastAsia" w:ascii="宋体" w:hAnsi="宋体"/>
          <w:sz w:val="24"/>
        </w:rPr>
        <w:t>并对投标人具有约束力。</w:t>
      </w:r>
    </w:p>
    <w:p w14:paraId="76960432">
      <w:pPr>
        <w:spacing w:line="500" w:lineRule="exact"/>
        <w:ind w:firstLine="482" w:firstLineChars="200"/>
      </w:pPr>
      <w:r>
        <w:rPr>
          <w:rFonts w:hint="eastAsia" w:ascii="宋体" w:hAnsi="宋体"/>
          <w:b/>
          <w:bCs/>
          <w:sz w:val="24"/>
        </w:rPr>
        <w:t>特别提醒：招标人会根据招标需要，可能会不定期在江苏医药职业学院网发布该项目补充答疑等澄清修改文件，请各投标人自行网上查寻，未能及时查阅响应而影响投标的，结果由投标人负责。</w:t>
      </w:r>
    </w:p>
    <w:p w14:paraId="72DA9DA8">
      <w:pPr>
        <w:pStyle w:val="3"/>
        <w:spacing w:before="0" w:after="0" w:line="500" w:lineRule="exact"/>
        <w:ind w:firstLine="482" w:firstLineChars="200"/>
        <w:jc w:val="both"/>
        <w:rPr>
          <w:sz w:val="24"/>
          <w:szCs w:val="24"/>
        </w:rPr>
      </w:pPr>
      <w:r>
        <w:rPr>
          <w:rFonts w:hint="eastAsia"/>
          <w:sz w:val="24"/>
          <w:szCs w:val="24"/>
        </w:rPr>
        <w:t>三、投标文件的编制</w:t>
      </w:r>
    </w:p>
    <w:p w14:paraId="7E41E3BF">
      <w:pPr>
        <w:spacing w:line="500" w:lineRule="exact"/>
        <w:ind w:firstLine="482" w:firstLineChars="200"/>
        <w:rPr>
          <w:rFonts w:ascii="宋体" w:hAnsi="宋体" w:cs="宋体"/>
          <w:b/>
          <w:bCs/>
          <w:sz w:val="24"/>
          <w:szCs w:val="24"/>
        </w:rPr>
      </w:pPr>
      <w:r>
        <w:rPr>
          <w:rFonts w:ascii="宋体" w:hAnsi="宋体" w:cs="宋体"/>
          <w:b/>
          <w:bCs/>
          <w:sz w:val="24"/>
          <w:szCs w:val="24"/>
        </w:rPr>
        <w:t>9</w:t>
      </w:r>
      <w:r>
        <w:rPr>
          <w:rFonts w:hint="eastAsia" w:ascii="宋体" w:hAnsi="宋体" w:cs="宋体"/>
          <w:b/>
          <w:bCs/>
          <w:sz w:val="24"/>
          <w:szCs w:val="24"/>
        </w:rPr>
        <w:t>、投标文件的语言及度量衡单位</w:t>
      </w:r>
    </w:p>
    <w:p w14:paraId="2FE0A1AE">
      <w:pPr>
        <w:spacing w:line="500" w:lineRule="exact"/>
        <w:ind w:firstLine="480" w:firstLineChars="200"/>
        <w:rPr>
          <w:rFonts w:ascii="宋体" w:hAnsi="宋体"/>
          <w:sz w:val="24"/>
        </w:rPr>
      </w:pPr>
      <w:r>
        <w:rPr>
          <w:rFonts w:ascii="宋体" w:hAnsi="宋体"/>
          <w:bCs/>
          <w:sz w:val="24"/>
        </w:rPr>
        <w:t>9</w:t>
      </w:r>
      <w:r>
        <w:rPr>
          <w:rFonts w:hint="eastAsia" w:ascii="宋体" w:hAnsi="宋体"/>
          <w:bCs/>
          <w:sz w:val="24"/>
        </w:rPr>
        <w:t>.1</w:t>
      </w:r>
      <w:r>
        <w:rPr>
          <w:rFonts w:hint="eastAsia" w:ascii="宋体" w:hAnsi="宋体"/>
          <w:sz w:val="24"/>
        </w:rPr>
        <w:t>投标人提交的投标文件以及投标人与采购人、代理机构就有关投标的所有来往通知、函件和文件均应使用</w:t>
      </w:r>
      <w:r>
        <w:rPr>
          <w:rFonts w:hint="eastAsia" w:ascii="宋体" w:hAnsi="宋体"/>
          <w:b/>
          <w:bCs/>
          <w:sz w:val="24"/>
        </w:rPr>
        <w:t>简体中文</w:t>
      </w:r>
      <w:r>
        <w:rPr>
          <w:rFonts w:hint="eastAsia" w:ascii="宋体" w:hAnsi="宋体"/>
          <w:sz w:val="24"/>
        </w:rPr>
        <w:t>。</w:t>
      </w:r>
    </w:p>
    <w:p w14:paraId="5C30AC38">
      <w:pPr>
        <w:spacing w:line="500" w:lineRule="exact"/>
        <w:ind w:firstLine="480" w:firstLineChars="200"/>
        <w:rPr>
          <w:rFonts w:ascii="宋体" w:hAnsi="宋体"/>
          <w:sz w:val="24"/>
        </w:rPr>
      </w:pPr>
      <w:r>
        <w:rPr>
          <w:rFonts w:ascii="宋体" w:hAnsi="宋体"/>
          <w:bCs/>
          <w:sz w:val="24"/>
        </w:rPr>
        <w:t>9</w:t>
      </w:r>
      <w:r>
        <w:rPr>
          <w:rFonts w:hint="eastAsia" w:ascii="宋体" w:hAnsi="宋体"/>
          <w:bCs/>
          <w:sz w:val="24"/>
        </w:rPr>
        <w:t>.2</w:t>
      </w:r>
      <w:r>
        <w:rPr>
          <w:rFonts w:hint="eastAsia" w:ascii="宋体" w:hAnsi="宋体"/>
          <w:sz w:val="24"/>
        </w:rPr>
        <w:t>除技术性能另有规定外，投标文件所使用的度量衡单位，均须采用国家法定计量单位。</w:t>
      </w:r>
    </w:p>
    <w:p w14:paraId="0A50AB52">
      <w:pPr>
        <w:keepNext/>
        <w:keepLines/>
        <w:spacing w:line="500" w:lineRule="exact"/>
        <w:ind w:firstLine="480" w:firstLineChars="200"/>
        <w:rPr>
          <w:b/>
          <w:bCs/>
        </w:rPr>
      </w:pPr>
      <w:r>
        <w:rPr>
          <w:rFonts w:ascii="宋体" w:hAnsi="宋体" w:cs="宋体"/>
          <w:sz w:val="24"/>
          <w:szCs w:val="24"/>
        </w:rPr>
        <w:t>10</w:t>
      </w:r>
      <w:r>
        <w:rPr>
          <w:rFonts w:hint="eastAsia" w:ascii="宋体" w:hAnsi="宋体" w:cs="宋体"/>
          <w:sz w:val="24"/>
          <w:szCs w:val="24"/>
        </w:rPr>
        <w:t>、投标文件构成</w:t>
      </w:r>
    </w:p>
    <w:p w14:paraId="0E58F01E">
      <w:pPr>
        <w:spacing w:line="500" w:lineRule="exact"/>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.1投标人编写的投标文件应包括资格证明文件、符合性证明文件、投标分项报价表、技术要求响应及偏离表、商务要求响应及偏离表、其他证明文件、投标函、开标一览表等部分。</w:t>
      </w:r>
    </w:p>
    <w:p w14:paraId="19098645">
      <w:pPr>
        <w:spacing w:line="500" w:lineRule="exact"/>
        <w:ind w:firstLine="480" w:firstLineChars="200"/>
      </w:pPr>
      <w:r>
        <w:rPr>
          <w:rFonts w:hint="eastAsia" w:ascii="宋体" w:hAnsi="宋体"/>
          <w:sz w:val="24"/>
        </w:rPr>
        <w:t>1</w:t>
      </w:r>
      <w:r>
        <w:rPr>
          <w:rFonts w:ascii="宋体" w:hAnsi="宋体"/>
          <w:sz w:val="24"/>
        </w:rPr>
        <w:t>0</w:t>
      </w:r>
      <w:r>
        <w:rPr>
          <w:rFonts w:hint="eastAsia" w:ascii="宋体" w:hAnsi="宋体"/>
          <w:sz w:val="24"/>
        </w:rPr>
        <w:t>.2投标人应将投标文件按顺序装订成册，并编制投标文件资料目录。</w:t>
      </w:r>
    </w:p>
    <w:p w14:paraId="24885DE0">
      <w:pPr>
        <w:spacing w:line="500" w:lineRule="exact"/>
        <w:ind w:firstLine="482" w:firstLineChars="200"/>
        <w:rPr>
          <w:rFonts w:ascii="宋体" w:hAnsi="宋体" w:cs="宋体"/>
          <w:b/>
          <w:bCs/>
          <w:sz w:val="24"/>
          <w:szCs w:val="24"/>
        </w:rPr>
      </w:pPr>
      <w:r>
        <w:rPr>
          <w:rFonts w:hint="eastAsia" w:ascii="宋体" w:hAnsi="宋体" w:cs="宋体"/>
          <w:b/>
          <w:bCs/>
          <w:sz w:val="24"/>
          <w:szCs w:val="24"/>
        </w:rPr>
        <w:t>1</w:t>
      </w:r>
      <w:r>
        <w:rPr>
          <w:rFonts w:ascii="宋体" w:hAnsi="宋体" w:cs="宋体"/>
          <w:b/>
          <w:bCs/>
          <w:sz w:val="24"/>
          <w:szCs w:val="24"/>
        </w:rPr>
        <w:t>1</w:t>
      </w:r>
      <w:r>
        <w:rPr>
          <w:rFonts w:hint="eastAsia" w:ascii="宋体" w:hAnsi="宋体" w:cs="宋体"/>
          <w:b/>
          <w:bCs/>
          <w:sz w:val="24"/>
          <w:szCs w:val="24"/>
        </w:rPr>
        <w:t>、证明投标人资格及符合招标文件规定的文件</w:t>
      </w:r>
    </w:p>
    <w:p w14:paraId="66BC11D7">
      <w:pPr>
        <w:spacing w:line="500" w:lineRule="exact"/>
        <w:ind w:firstLine="480" w:firstLineChars="200"/>
        <w:rPr>
          <w:rFonts w:ascii="Calibri" w:hAnsi="Calibri"/>
          <w:kern w:val="0"/>
          <w:sz w:val="24"/>
          <w:szCs w:val="24"/>
        </w:rPr>
      </w:pPr>
      <w:r>
        <w:rPr>
          <w:rFonts w:hint="eastAsia" w:ascii="宋体" w:hAnsi="宋体" w:cs="宋体"/>
          <w:color w:val="000000"/>
          <w:kern w:val="0"/>
          <w:sz w:val="24"/>
          <w:szCs w:val="24"/>
        </w:rPr>
        <w:t>11.1 投标人应按照招标文件要求提交证明文件，证明其及投标标的符合招标文件规定。</w:t>
      </w:r>
    </w:p>
    <w:p w14:paraId="37238181">
      <w:pPr>
        <w:spacing w:line="500" w:lineRule="exact"/>
        <w:ind w:firstLine="480" w:firstLineChars="200"/>
        <w:rPr>
          <w:rFonts w:ascii="宋体" w:hAnsi="宋体" w:cs="宋体"/>
          <w:color w:val="000000"/>
          <w:kern w:val="0"/>
          <w:sz w:val="24"/>
          <w:szCs w:val="24"/>
        </w:rPr>
      </w:pPr>
      <w:r>
        <w:rPr>
          <w:rFonts w:hint="eastAsia" w:ascii="宋体" w:hAnsi="宋体" w:cs="宋体"/>
          <w:color w:val="000000"/>
          <w:kern w:val="0"/>
          <w:sz w:val="24"/>
          <w:szCs w:val="24"/>
        </w:rPr>
        <w:t>11.2招标文件对证明文件无明确形式要求的，证明文件可以以文字资料、图纸和数据等形式提交。</w:t>
      </w:r>
    </w:p>
    <w:p w14:paraId="0CD36563">
      <w:pPr>
        <w:pStyle w:val="41"/>
        <w:keepNext/>
        <w:keepLines/>
        <w:spacing w:before="0" w:beforeAutospacing="0" w:after="0" w:afterAutospacing="0" w:line="500" w:lineRule="exact"/>
        <w:ind w:firstLine="482" w:firstLineChars="200"/>
        <w:jc w:val="both"/>
        <w:rPr>
          <w:b/>
          <w:bCs/>
          <w:kern w:val="2"/>
        </w:rPr>
      </w:pPr>
      <w:r>
        <w:rPr>
          <w:rFonts w:hint="eastAsia"/>
          <w:b/>
          <w:bCs/>
          <w:kern w:val="2"/>
        </w:rPr>
        <w:t>12</w:t>
      </w:r>
      <w:r>
        <w:rPr>
          <w:b/>
          <w:bCs/>
          <w:kern w:val="2"/>
        </w:rPr>
        <w:t>、投标分项报价表</w:t>
      </w:r>
    </w:p>
    <w:p w14:paraId="093A5328">
      <w:pPr>
        <w:pStyle w:val="41"/>
        <w:spacing w:before="0" w:beforeAutospacing="0" w:after="0" w:afterAutospacing="0" w:line="500" w:lineRule="exact"/>
        <w:ind w:firstLine="480" w:firstLineChars="200"/>
        <w:jc w:val="both"/>
      </w:pPr>
      <w:r>
        <w:rPr>
          <w:rFonts w:hint="eastAsia"/>
          <w:color w:val="000000"/>
        </w:rPr>
        <w:t>12.1 投标人应按照招标文件规定格式填报投标分项报价表。</w:t>
      </w:r>
    </w:p>
    <w:p w14:paraId="0AF0E358">
      <w:pPr>
        <w:pStyle w:val="41"/>
        <w:spacing w:before="0" w:beforeAutospacing="0" w:after="0" w:afterAutospacing="0" w:line="500" w:lineRule="exact"/>
        <w:ind w:firstLine="480" w:firstLineChars="200"/>
        <w:jc w:val="both"/>
      </w:pPr>
      <w:r>
        <w:rPr>
          <w:rFonts w:hint="eastAsia"/>
          <w:color w:val="000000"/>
        </w:rPr>
        <w:t>12.2投标货币。投标文件中的单价和总价无特殊规定的采用人民币报价，以元为单位标注。招标文件中另有规定的按规定执行。</w:t>
      </w:r>
    </w:p>
    <w:p w14:paraId="67784297">
      <w:pPr>
        <w:pStyle w:val="41"/>
        <w:keepNext/>
        <w:keepLines/>
        <w:spacing w:before="0" w:beforeAutospacing="0" w:after="0" w:afterAutospacing="0" w:line="500" w:lineRule="exact"/>
        <w:ind w:firstLine="482" w:firstLineChars="200"/>
        <w:jc w:val="both"/>
        <w:rPr>
          <w:b/>
          <w:bCs/>
          <w:kern w:val="2"/>
        </w:rPr>
      </w:pPr>
      <w:r>
        <w:rPr>
          <w:rFonts w:hint="eastAsia"/>
          <w:b/>
          <w:bCs/>
          <w:kern w:val="2"/>
        </w:rPr>
        <w:t>13</w:t>
      </w:r>
      <w:r>
        <w:rPr>
          <w:b/>
          <w:bCs/>
          <w:kern w:val="2"/>
        </w:rPr>
        <w:t>、技术要求响应及偏离表、商务要求响应及偏离表</w:t>
      </w:r>
    </w:p>
    <w:p w14:paraId="66C83AE6">
      <w:pPr>
        <w:pStyle w:val="41"/>
        <w:spacing w:before="0" w:beforeAutospacing="0" w:after="0" w:afterAutospacing="0" w:line="500" w:lineRule="exact"/>
        <w:ind w:firstLine="480" w:firstLineChars="200"/>
        <w:jc w:val="both"/>
      </w:pPr>
      <w:r>
        <w:rPr>
          <w:rFonts w:hint="eastAsia"/>
          <w:color w:val="000000"/>
        </w:rPr>
        <w:t>13.1投标人需对招标文件中的技术要求与商务要求逐项作出响应或偏离，并说明原因。</w:t>
      </w:r>
    </w:p>
    <w:p w14:paraId="56A4FAEF">
      <w:pPr>
        <w:pStyle w:val="41"/>
        <w:spacing w:before="0" w:beforeAutospacing="0" w:after="0" w:afterAutospacing="0" w:line="500" w:lineRule="exact"/>
        <w:ind w:firstLine="480" w:firstLineChars="200"/>
        <w:jc w:val="both"/>
      </w:pPr>
      <w:r>
        <w:rPr>
          <w:rFonts w:hint="eastAsia"/>
          <w:color w:val="000000"/>
        </w:rPr>
        <w:t>13.2 投标人可在投标文件中提供认为需要的其他技术文件或说明。</w:t>
      </w:r>
    </w:p>
    <w:p w14:paraId="61A4599E">
      <w:pPr>
        <w:pStyle w:val="41"/>
        <w:keepNext/>
        <w:keepLines/>
        <w:spacing w:before="0" w:beforeAutospacing="0" w:after="0" w:afterAutospacing="0" w:line="500" w:lineRule="exact"/>
        <w:ind w:firstLine="482" w:firstLineChars="200"/>
        <w:jc w:val="both"/>
        <w:rPr>
          <w:b/>
          <w:bCs/>
          <w:kern w:val="2"/>
        </w:rPr>
      </w:pPr>
      <w:r>
        <w:rPr>
          <w:b/>
          <w:bCs/>
          <w:kern w:val="2"/>
        </w:rPr>
        <w:t>14、服务承诺、培训计划、人员安排及其他</w:t>
      </w:r>
    </w:p>
    <w:p w14:paraId="2705DA99">
      <w:pPr>
        <w:pStyle w:val="41"/>
        <w:spacing w:before="0" w:beforeAutospacing="0" w:after="0" w:afterAutospacing="0" w:line="500" w:lineRule="exact"/>
        <w:ind w:firstLine="480" w:firstLineChars="200"/>
        <w:jc w:val="both"/>
      </w:pPr>
      <w:r>
        <w:rPr>
          <w:rFonts w:hint="eastAsia"/>
          <w:color w:val="000000"/>
        </w:rPr>
        <w:t>14.1 投标人需根据招标文件要求提供有关售后服务的管理制度，售后服务机构的分布情况，售后服务人员的数量、素质、技术水平及售后服务的反应能力等。</w:t>
      </w:r>
    </w:p>
    <w:p w14:paraId="7F703508">
      <w:pPr>
        <w:pStyle w:val="41"/>
        <w:spacing w:before="0" w:beforeAutospacing="0" w:after="0" w:afterAutospacing="0" w:line="500" w:lineRule="exact"/>
        <w:ind w:firstLine="480" w:firstLineChars="200"/>
        <w:jc w:val="both"/>
      </w:pPr>
      <w:r>
        <w:rPr>
          <w:rFonts w:hint="eastAsia"/>
          <w:color w:val="000000"/>
        </w:rPr>
        <w:t>14.2 投标人需根据招标文件要求提供培训计划。</w:t>
      </w:r>
    </w:p>
    <w:p w14:paraId="7196F43D">
      <w:pPr>
        <w:pStyle w:val="41"/>
        <w:spacing w:before="0" w:beforeAutospacing="0" w:after="0" w:afterAutospacing="0" w:line="500" w:lineRule="exact"/>
        <w:ind w:firstLine="480" w:firstLineChars="200"/>
        <w:jc w:val="both"/>
      </w:pPr>
      <w:r>
        <w:rPr>
          <w:rFonts w:hint="eastAsia"/>
          <w:color w:val="000000"/>
        </w:rPr>
        <w:t>14.3投标人需根据招标文件要求提供所投标的的主要组成部分、功能设计、实现思路及关键技术等。</w:t>
      </w:r>
    </w:p>
    <w:p w14:paraId="14187BB2">
      <w:pPr>
        <w:pStyle w:val="41"/>
        <w:keepNext/>
        <w:keepLines/>
        <w:spacing w:before="0" w:beforeAutospacing="0" w:after="0" w:afterAutospacing="0" w:line="500" w:lineRule="exact"/>
        <w:ind w:firstLine="482" w:firstLineChars="200"/>
        <w:jc w:val="both"/>
        <w:rPr>
          <w:b/>
          <w:bCs/>
          <w:kern w:val="2"/>
        </w:rPr>
      </w:pPr>
      <w:bookmarkStart w:id="57" w:name="_Toc14577359"/>
      <w:bookmarkStart w:id="58" w:name="_Toc49090510"/>
      <w:r>
        <w:rPr>
          <w:b/>
          <w:bCs/>
          <w:kern w:val="2"/>
        </w:rPr>
        <w:t>15、投标函和开标一览表</w:t>
      </w:r>
      <w:bookmarkEnd w:id="57"/>
      <w:bookmarkEnd w:id="58"/>
    </w:p>
    <w:p w14:paraId="30C105D4">
      <w:pPr>
        <w:pStyle w:val="41"/>
        <w:spacing w:before="0" w:beforeAutospacing="0" w:after="0" w:afterAutospacing="0" w:line="500" w:lineRule="exact"/>
        <w:ind w:firstLine="480" w:firstLineChars="200"/>
        <w:jc w:val="both"/>
      </w:pPr>
      <w:r>
        <w:rPr>
          <w:rFonts w:hint="eastAsia"/>
          <w:color w:val="000000"/>
        </w:rPr>
        <w:t>15.1 投标人应按照招标文件中提供的格式完整、正确填写投标函、开标一览表。</w:t>
      </w:r>
    </w:p>
    <w:p w14:paraId="694AF762">
      <w:pPr>
        <w:pStyle w:val="41"/>
        <w:spacing w:before="0" w:beforeAutospacing="0" w:after="0" w:afterAutospacing="0" w:line="500" w:lineRule="exact"/>
        <w:ind w:firstLine="480" w:firstLineChars="200"/>
        <w:jc w:val="both"/>
      </w:pPr>
      <w:r>
        <w:rPr>
          <w:rFonts w:hint="eastAsia"/>
          <w:color w:val="000000"/>
        </w:rPr>
        <w:t>15.2 对于采用货币报价的项目，开标一览表中的投标总报价应与投标分项报价表中的投标总报价一致，如不一致，不作为无效投标处理，但评标时按开标一览表中价格为准。</w:t>
      </w:r>
    </w:p>
    <w:p w14:paraId="56F1FE35">
      <w:pPr>
        <w:pStyle w:val="41"/>
        <w:keepNext/>
        <w:keepLines/>
        <w:spacing w:before="0" w:beforeAutospacing="0" w:after="0" w:afterAutospacing="0" w:line="500" w:lineRule="exact"/>
        <w:ind w:firstLine="482" w:firstLineChars="200"/>
        <w:jc w:val="both"/>
        <w:rPr>
          <w:b/>
          <w:bCs/>
          <w:kern w:val="2"/>
        </w:rPr>
      </w:pPr>
      <w:bookmarkStart w:id="59" w:name="_Toc49090511"/>
      <w:bookmarkStart w:id="60" w:name="_Toc14577360"/>
      <w:r>
        <w:rPr>
          <w:b/>
          <w:bCs/>
          <w:kern w:val="2"/>
        </w:rPr>
        <w:t>16、投标有效期</w:t>
      </w:r>
      <w:bookmarkEnd w:id="59"/>
      <w:bookmarkEnd w:id="60"/>
    </w:p>
    <w:p w14:paraId="10C8F2C4">
      <w:pPr>
        <w:pStyle w:val="41"/>
        <w:spacing w:before="0" w:beforeAutospacing="0" w:after="0" w:afterAutospacing="0" w:line="500" w:lineRule="exact"/>
        <w:ind w:firstLine="480" w:firstLineChars="200"/>
        <w:jc w:val="both"/>
      </w:pPr>
      <w:r>
        <w:rPr>
          <w:rFonts w:hint="eastAsia"/>
          <w:color w:val="000000"/>
        </w:rPr>
        <w:t>16.1投标有效期为采购文件规定的开标之日后</w:t>
      </w:r>
      <w:r>
        <w:rPr>
          <w:rFonts w:ascii="仿宋_GB2312" w:eastAsia="仿宋_GB2312" w:cs="仿宋_GB2312"/>
          <w:b/>
          <w:color w:val="000000"/>
          <w:u w:val="single"/>
        </w:rPr>
        <w:t>六十（60）天</w:t>
      </w:r>
      <w:r>
        <w:rPr>
          <w:rFonts w:hint="eastAsia"/>
          <w:color w:val="000000"/>
        </w:rPr>
        <w:t>。投标有效期比规定短的将被视为未实质性响应招标文件而予以拒绝。</w:t>
      </w:r>
    </w:p>
    <w:p w14:paraId="44E09FE3">
      <w:pPr>
        <w:pStyle w:val="41"/>
        <w:keepNext/>
        <w:keepLines/>
        <w:spacing w:before="0" w:beforeAutospacing="0" w:after="0" w:afterAutospacing="0" w:line="500" w:lineRule="exact"/>
        <w:ind w:firstLine="482" w:firstLineChars="200"/>
        <w:jc w:val="both"/>
        <w:rPr>
          <w:b/>
          <w:bCs/>
          <w:kern w:val="2"/>
        </w:rPr>
      </w:pPr>
      <w:r>
        <w:rPr>
          <w:b/>
          <w:bCs/>
          <w:kern w:val="2"/>
        </w:rPr>
        <w:t>17、投标有效期的延长</w:t>
      </w:r>
    </w:p>
    <w:p w14:paraId="6421D8F9">
      <w:pPr>
        <w:pStyle w:val="41"/>
        <w:spacing w:before="0" w:beforeAutospacing="0" w:after="0" w:afterAutospacing="0" w:line="500" w:lineRule="exact"/>
        <w:ind w:firstLine="480" w:firstLineChars="200"/>
        <w:jc w:val="both"/>
      </w:pPr>
      <w:r>
        <w:rPr>
          <w:rFonts w:hint="eastAsia"/>
          <w:color w:val="000000"/>
        </w:rPr>
        <w:t>17.1在特殊情况下，采购人于原投标有效期满之前，可向投标人提出延长投标有效期的要求。这种要求与答复均应采用书面形式。投标人可以拒绝采购人的这一要求而放弃投标，同意延长投标有效期的投标人既不能要求也不允许修改其投标文件。受投标有效期约束的所有权利与义务均延长至新的有效期。</w:t>
      </w:r>
    </w:p>
    <w:p w14:paraId="0964ADCD">
      <w:pPr>
        <w:pStyle w:val="3"/>
        <w:spacing w:before="0" w:after="0" w:line="500" w:lineRule="exact"/>
        <w:ind w:firstLine="482" w:firstLineChars="200"/>
        <w:jc w:val="both"/>
        <w:rPr>
          <w:sz w:val="24"/>
          <w:szCs w:val="24"/>
        </w:rPr>
      </w:pPr>
      <w:r>
        <w:rPr>
          <w:rFonts w:hint="eastAsia"/>
          <w:sz w:val="24"/>
          <w:szCs w:val="24"/>
        </w:rPr>
        <w:t>四、投标文件的递交</w:t>
      </w:r>
    </w:p>
    <w:p w14:paraId="1FB8C103">
      <w:pPr>
        <w:pStyle w:val="41"/>
        <w:keepNext/>
        <w:keepLines/>
        <w:spacing w:before="0" w:beforeAutospacing="0" w:after="0" w:afterAutospacing="0" w:line="500" w:lineRule="exact"/>
        <w:ind w:firstLine="482" w:firstLineChars="200"/>
        <w:jc w:val="both"/>
        <w:rPr>
          <w:b/>
          <w:bCs/>
          <w:kern w:val="2"/>
        </w:rPr>
      </w:pPr>
      <w:bookmarkStart w:id="61" w:name="_Toc513029225"/>
      <w:bookmarkStart w:id="62" w:name="_Toc16938541"/>
      <w:bookmarkStart w:id="63" w:name="_Toc20823297"/>
      <w:bookmarkStart w:id="64" w:name="_Toc462564084"/>
      <w:r>
        <w:rPr>
          <w:b/>
          <w:bCs/>
          <w:kern w:val="2"/>
        </w:rPr>
        <w:t>18、</w:t>
      </w:r>
      <w:r>
        <w:rPr>
          <w:rFonts w:hint="eastAsia"/>
          <w:b/>
          <w:bCs/>
          <w:kern w:val="2"/>
        </w:rPr>
        <w:t>投标文件</w:t>
      </w:r>
      <w:bookmarkEnd w:id="61"/>
      <w:bookmarkEnd w:id="62"/>
      <w:bookmarkEnd w:id="63"/>
      <w:bookmarkEnd w:id="64"/>
      <w:r>
        <w:rPr>
          <w:rFonts w:hint="eastAsia"/>
          <w:b/>
          <w:bCs/>
          <w:kern w:val="2"/>
        </w:rPr>
        <w:t>的递交</w:t>
      </w:r>
    </w:p>
    <w:p w14:paraId="69732FC7">
      <w:pPr>
        <w:spacing w:line="500" w:lineRule="exact"/>
        <w:ind w:firstLine="480" w:firstLineChars="200"/>
        <w:rPr>
          <w:rFonts w:ascii="宋体" w:hAnsi="宋体"/>
          <w:color w:val="000000"/>
          <w:sz w:val="24"/>
        </w:rPr>
      </w:pPr>
      <w:r>
        <w:rPr>
          <w:rFonts w:hint="eastAsia" w:ascii="宋体" w:hAnsi="宋体" w:cs="宋体"/>
          <w:color w:val="000000"/>
          <w:kern w:val="0"/>
          <w:sz w:val="24"/>
          <w:szCs w:val="24"/>
        </w:rPr>
        <w:t>1</w:t>
      </w:r>
      <w:r>
        <w:rPr>
          <w:rFonts w:hint="eastAsia" w:ascii="宋体" w:hAnsi="宋体"/>
          <w:color w:val="000000"/>
          <w:sz w:val="24"/>
        </w:rPr>
        <w:t>8.1投标人应当按照招标文件的规定，在投标截止时间前递交投标文件。</w:t>
      </w:r>
      <w:bookmarkStart w:id="65" w:name="_Toc16938542"/>
      <w:bookmarkEnd w:id="65"/>
      <w:bookmarkStart w:id="66" w:name="_Toc20823298"/>
      <w:bookmarkEnd w:id="66"/>
      <w:r>
        <w:rPr>
          <w:rFonts w:hint="eastAsia" w:ascii="宋体" w:hAnsi="宋体"/>
          <w:color w:val="000000"/>
          <w:sz w:val="24"/>
        </w:rPr>
        <w:t>各供应商以邮寄方式递交响应文件，且必须在递交响应文件截止时间前，将响应文件密封好送达，逾期送达或未密封，将被拒收。</w:t>
      </w:r>
    </w:p>
    <w:p w14:paraId="16673523">
      <w:pPr>
        <w:spacing w:line="500" w:lineRule="exact"/>
        <w:ind w:firstLine="480" w:firstLineChars="200"/>
        <w:rPr>
          <w:rFonts w:ascii="宋体" w:hAnsi="宋体"/>
          <w:color w:val="000000"/>
          <w:sz w:val="24"/>
        </w:rPr>
      </w:pPr>
      <w:r>
        <w:rPr>
          <w:rFonts w:hint="eastAsia" w:ascii="宋体" w:hAnsi="宋体"/>
          <w:color w:val="000000"/>
          <w:sz w:val="24"/>
        </w:rPr>
        <w:t>18.2投标文件须经法定代表人或授权委托人（被授权人）签署和加盖投标人公章。本采购文件所表述（指定）的公章是指法定名称章，不包括合同专用章、业务专用章等印章。</w:t>
      </w:r>
    </w:p>
    <w:p w14:paraId="565B03F3">
      <w:pPr>
        <w:spacing w:line="500" w:lineRule="exact"/>
        <w:ind w:firstLine="480" w:firstLineChars="200"/>
      </w:pPr>
      <w:r>
        <w:rPr>
          <w:rFonts w:hint="eastAsia" w:ascii="宋体" w:hAnsi="宋体"/>
          <w:color w:val="000000"/>
          <w:sz w:val="24"/>
        </w:rPr>
        <w:t>18.3</w:t>
      </w:r>
      <w:r>
        <w:rPr>
          <w:rFonts w:hint="eastAsia" w:ascii="宋体" w:hAnsi="宋体"/>
          <w:bCs/>
          <w:color w:val="000000"/>
          <w:sz w:val="24"/>
        </w:rPr>
        <w:t>除投标人对错处做必要修改外，投标文件不得行间插字、涂改或增删。如有修改错漏处，必须由投标文件签署人签字或盖章。</w:t>
      </w:r>
    </w:p>
    <w:p w14:paraId="5D0F0E05">
      <w:pPr>
        <w:keepNext/>
        <w:keepLines/>
        <w:spacing w:line="500" w:lineRule="exact"/>
        <w:ind w:firstLine="480" w:firstLineChars="200"/>
        <w:rPr>
          <w:sz w:val="24"/>
          <w:szCs w:val="24"/>
        </w:rPr>
      </w:pPr>
      <w:r>
        <w:rPr>
          <w:rFonts w:hint="eastAsia"/>
          <w:sz w:val="24"/>
          <w:szCs w:val="24"/>
        </w:rPr>
        <w:t>19、投标截止日期</w:t>
      </w:r>
    </w:p>
    <w:p w14:paraId="1B3F0B60">
      <w:pPr>
        <w:spacing w:line="500" w:lineRule="exact"/>
        <w:ind w:firstLine="480" w:firstLineChars="200"/>
        <w:rPr>
          <w:rFonts w:ascii="宋体" w:hAnsi="宋体"/>
          <w:bCs/>
          <w:sz w:val="24"/>
        </w:rPr>
      </w:pPr>
      <w:r>
        <w:rPr>
          <w:rFonts w:ascii="宋体" w:hAnsi="宋体"/>
          <w:sz w:val="24"/>
        </w:rPr>
        <w:t>19</w:t>
      </w:r>
      <w:r>
        <w:rPr>
          <w:rFonts w:hint="eastAsia" w:ascii="宋体" w:hAnsi="宋体"/>
          <w:sz w:val="24"/>
        </w:rPr>
        <w:t>.1</w:t>
      </w:r>
      <w:r>
        <w:rPr>
          <w:rFonts w:hint="eastAsia" w:ascii="宋体" w:hAnsi="宋体"/>
          <w:bCs/>
          <w:sz w:val="24"/>
        </w:rPr>
        <w:t>代理机构收到投标文件的时间不得迟于招标公告中规定的截止时间。</w:t>
      </w:r>
    </w:p>
    <w:p w14:paraId="24B84525">
      <w:pPr>
        <w:spacing w:line="500" w:lineRule="exact"/>
        <w:ind w:firstLine="480" w:firstLineChars="200"/>
        <w:rPr>
          <w:rFonts w:ascii="宋体" w:hAnsi="宋体"/>
          <w:bCs/>
          <w:sz w:val="24"/>
        </w:rPr>
      </w:pPr>
      <w:r>
        <w:rPr>
          <w:rFonts w:ascii="宋体" w:hAnsi="宋体"/>
          <w:sz w:val="24"/>
        </w:rPr>
        <w:t>19</w:t>
      </w:r>
      <w:r>
        <w:rPr>
          <w:rFonts w:hint="eastAsia" w:ascii="宋体" w:hAnsi="宋体"/>
          <w:sz w:val="24"/>
        </w:rPr>
        <w:t>.2</w:t>
      </w:r>
      <w:r>
        <w:rPr>
          <w:rFonts w:hint="eastAsia" w:ascii="宋体" w:hAnsi="宋体"/>
          <w:bCs/>
          <w:sz w:val="24"/>
        </w:rPr>
        <w:t>代理机构有权通过修改招标文件酌情延长投标截止日期，在此情况下，投标人的所有权利和义务以及投标人受制的截止日期均应以延长后新的截止日期为准。</w:t>
      </w:r>
    </w:p>
    <w:p w14:paraId="18646CA2">
      <w:pPr>
        <w:keepNext/>
        <w:keepLines/>
        <w:spacing w:line="500" w:lineRule="exact"/>
        <w:ind w:firstLine="480" w:firstLineChars="200"/>
        <w:rPr>
          <w:sz w:val="24"/>
          <w:szCs w:val="24"/>
        </w:rPr>
      </w:pPr>
      <w:bookmarkStart w:id="67" w:name="_Toc20823299"/>
      <w:bookmarkStart w:id="68" w:name="_Toc16938543"/>
      <w:bookmarkStart w:id="69" w:name="_Toc513029227"/>
      <w:r>
        <w:rPr>
          <w:rFonts w:hint="eastAsia"/>
          <w:sz w:val="24"/>
          <w:szCs w:val="24"/>
        </w:rPr>
        <w:t>20、投标文件</w:t>
      </w:r>
      <w:bookmarkEnd w:id="67"/>
      <w:bookmarkEnd w:id="68"/>
      <w:bookmarkEnd w:id="69"/>
      <w:r>
        <w:rPr>
          <w:rFonts w:hint="eastAsia"/>
          <w:sz w:val="24"/>
          <w:szCs w:val="24"/>
        </w:rPr>
        <w:t>的拒收</w:t>
      </w:r>
    </w:p>
    <w:p w14:paraId="5E1E24D0">
      <w:pPr>
        <w:spacing w:line="500" w:lineRule="exact"/>
        <w:ind w:firstLine="480" w:firstLineChars="200"/>
        <w:rPr>
          <w:rFonts w:ascii="宋体" w:hAnsi="宋体"/>
          <w:bCs/>
          <w:sz w:val="24"/>
        </w:rPr>
      </w:pPr>
      <w:r>
        <w:rPr>
          <w:rFonts w:hint="eastAsia" w:ascii="宋体" w:hAnsi="宋体"/>
          <w:sz w:val="24"/>
        </w:rPr>
        <w:t>2</w:t>
      </w:r>
      <w:r>
        <w:rPr>
          <w:rFonts w:ascii="宋体" w:hAnsi="宋体"/>
          <w:sz w:val="24"/>
        </w:rPr>
        <w:t>0</w:t>
      </w:r>
      <w:r>
        <w:rPr>
          <w:rFonts w:hint="eastAsia" w:ascii="宋体" w:hAnsi="宋体"/>
          <w:sz w:val="24"/>
        </w:rPr>
        <w:t>.1</w:t>
      </w:r>
      <w:r>
        <w:rPr>
          <w:rFonts w:hint="eastAsia" w:ascii="宋体" w:hAnsi="宋体"/>
          <w:bCs/>
          <w:sz w:val="24"/>
        </w:rPr>
        <w:t>代理机构拒绝接收在其规定的投标截止时间后递交的任何投标文件。</w:t>
      </w:r>
    </w:p>
    <w:p w14:paraId="32009523">
      <w:pPr>
        <w:keepNext/>
        <w:keepLines/>
        <w:spacing w:line="500" w:lineRule="exact"/>
        <w:ind w:firstLine="480" w:firstLineChars="200"/>
        <w:rPr>
          <w:sz w:val="24"/>
          <w:szCs w:val="24"/>
        </w:rPr>
      </w:pPr>
      <w:bookmarkStart w:id="70" w:name="_Toc20823300"/>
      <w:bookmarkStart w:id="71" w:name="_Toc513029228"/>
      <w:bookmarkStart w:id="72" w:name="_Toc16938544"/>
      <w:r>
        <w:rPr>
          <w:rFonts w:hint="eastAsia"/>
          <w:sz w:val="24"/>
          <w:szCs w:val="24"/>
        </w:rPr>
        <w:t>21、投标文件的撤回和修改</w:t>
      </w:r>
      <w:bookmarkEnd w:id="70"/>
      <w:bookmarkEnd w:id="71"/>
      <w:bookmarkEnd w:id="72"/>
    </w:p>
    <w:p w14:paraId="0AEC7611">
      <w:pPr>
        <w:spacing w:line="500" w:lineRule="exact"/>
        <w:ind w:firstLine="480" w:firstLineChars="200"/>
        <w:rPr>
          <w:rFonts w:ascii="宋体" w:hAnsi="宋体"/>
          <w:sz w:val="24"/>
          <w:szCs w:val="24"/>
        </w:rPr>
      </w:pPr>
      <w:r>
        <w:rPr>
          <w:rFonts w:hint="eastAsia" w:ascii="宋体" w:hAnsi="宋体"/>
          <w:sz w:val="24"/>
        </w:rPr>
        <w:t>2</w:t>
      </w:r>
      <w:r>
        <w:rPr>
          <w:rFonts w:ascii="宋体" w:hAnsi="宋体"/>
          <w:sz w:val="24"/>
        </w:rPr>
        <w:t>1</w:t>
      </w:r>
      <w:r>
        <w:rPr>
          <w:rFonts w:hint="eastAsia" w:ascii="宋体" w:hAnsi="宋体"/>
          <w:sz w:val="24"/>
        </w:rPr>
        <w:t>.1</w:t>
      </w:r>
      <w:r>
        <w:rPr>
          <w:rFonts w:hint="eastAsia" w:ascii="宋体" w:hAnsi="宋体"/>
          <w:bCs/>
          <w:sz w:val="24"/>
        </w:rPr>
        <w:t>投标人在递交投标文件后，可以修改或撤回其投标文件，但这种修改和撤回，必须在规定的投标截止时间前，以书面形式</w:t>
      </w:r>
      <w:r>
        <w:rPr>
          <w:rFonts w:hint="eastAsia" w:ascii="宋体" w:hAnsi="宋体"/>
          <w:sz w:val="24"/>
          <w:szCs w:val="24"/>
        </w:rPr>
        <w:t>通知</w:t>
      </w:r>
      <w:r>
        <w:rPr>
          <w:rFonts w:hint="eastAsia" w:ascii="宋体" w:hAnsi="宋体"/>
          <w:bCs/>
          <w:sz w:val="24"/>
        </w:rPr>
        <w:t>代理机构</w:t>
      </w:r>
      <w:r>
        <w:rPr>
          <w:rFonts w:hint="eastAsia" w:ascii="宋体" w:hAnsi="宋体"/>
          <w:sz w:val="24"/>
          <w:szCs w:val="24"/>
        </w:rPr>
        <w:t>，修改或撤回其投标文件。</w:t>
      </w:r>
    </w:p>
    <w:p w14:paraId="03D8A9F8">
      <w:pPr>
        <w:spacing w:line="500" w:lineRule="exact"/>
        <w:ind w:firstLine="480" w:firstLineChars="200"/>
        <w:rPr>
          <w:rFonts w:ascii="宋体" w:hAnsi="宋体"/>
          <w:sz w:val="24"/>
          <w:szCs w:val="24"/>
        </w:rPr>
      </w:pPr>
      <w:r>
        <w:rPr>
          <w:rFonts w:hint="eastAsia" w:ascii="宋体" w:hAnsi="宋体"/>
          <w:sz w:val="24"/>
        </w:rPr>
        <w:t>2</w:t>
      </w:r>
      <w:r>
        <w:rPr>
          <w:rFonts w:ascii="宋体" w:hAnsi="宋体"/>
          <w:sz w:val="24"/>
        </w:rPr>
        <w:t>1</w:t>
      </w:r>
      <w:r>
        <w:rPr>
          <w:rFonts w:hint="eastAsia" w:ascii="宋体" w:hAnsi="宋体"/>
          <w:sz w:val="24"/>
        </w:rPr>
        <w:t>.2</w:t>
      </w:r>
      <w:r>
        <w:rPr>
          <w:rFonts w:hint="eastAsia" w:ascii="宋体" w:hAnsi="宋体"/>
          <w:bCs/>
          <w:sz w:val="24"/>
        </w:rPr>
        <w:t>投标人的修改或撤回文件应按规定进行编制、密封、标记和发送，并应在封套上加注“修改</w:t>
      </w:r>
      <w:r>
        <w:rPr>
          <w:rFonts w:ascii="宋体" w:hAnsi="宋体"/>
          <w:bCs/>
          <w:sz w:val="24"/>
        </w:rPr>
        <w:t>”</w:t>
      </w:r>
      <w:r>
        <w:rPr>
          <w:rFonts w:hint="eastAsia" w:ascii="宋体" w:hAnsi="宋体"/>
          <w:bCs/>
          <w:sz w:val="24"/>
        </w:rPr>
        <w:t>或“撤回</w:t>
      </w:r>
      <w:r>
        <w:rPr>
          <w:rFonts w:ascii="宋体" w:hAnsi="宋体"/>
          <w:bCs/>
          <w:sz w:val="24"/>
        </w:rPr>
        <w:t>”</w:t>
      </w:r>
      <w:r>
        <w:rPr>
          <w:rFonts w:hint="eastAsia" w:ascii="宋体" w:hAnsi="宋体"/>
          <w:bCs/>
          <w:sz w:val="24"/>
        </w:rPr>
        <w:t>字样。</w:t>
      </w:r>
      <w:r>
        <w:rPr>
          <w:rFonts w:hint="eastAsia" w:ascii="宋体" w:hAnsi="宋体"/>
          <w:sz w:val="24"/>
          <w:szCs w:val="24"/>
        </w:rPr>
        <w:t>上述补充或修改若涉及投标报价，必须注明“最后唯一报价”字样，否则将视为有选择的报价。修改文件必须在投标截止时间前送达代理机构。</w:t>
      </w:r>
    </w:p>
    <w:p w14:paraId="36611E2B">
      <w:pPr>
        <w:spacing w:line="500" w:lineRule="exact"/>
        <w:ind w:firstLine="480" w:firstLineChars="200"/>
        <w:rPr>
          <w:rFonts w:ascii="宋体" w:hAnsi="宋体"/>
          <w:bCs/>
          <w:sz w:val="24"/>
        </w:rPr>
      </w:pPr>
      <w:r>
        <w:rPr>
          <w:rFonts w:hint="eastAsia" w:ascii="宋体" w:hAnsi="宋体"/>
          <w:sz w:val="24"/>
        </w:rPr>
        <w:t>2</w:t>
      </w:r>
      <w:r>
        <w:rPr>
          <w:rFonts w:ascii="宋体" w:hAnsi="宋体"/>
          <w:sz w:val="24"/>
        </w:rPr>
        <w:t>1</w:t>
      </w:r>
      <w:r>
        <w:rPr>
          <w:rFonts w:hint="eastAsia" w:ascii="宋体" w:hAnsi="宋体"/>
          <w:sz w:val="24"/>
        </w:rPr>
        <w:t>.3</w:t>
      </w:r>
      <w:r>
        <w:rPr>
          <w:rFonts w:hint="eastAsia" w:ascii="宋体" w:hAnsi="宋体"/>
          <w:bCs/>
          <w:sz w:val="24"/>
        </w:rPr>
        <w:t>在投标截止时间之后，投标人不得对其投标文件作任何修改。</w:t>
      </w:r>
    </w:p>
    <w:p w14:paraId="1D0A194E">
      <w:pPr>
        <w:spacing w:line="500" w:lineRule="exact"/>
        <w:ind w:firstLine="480" w:firstLineChars="200"/>
        <w:rPr>
          <w:rFonts w:ascii="宋体" w:hAnsi="宋体"/>
          <w:bCs/>
          <w:sz w:val="24"/>
        </w:rPr>
      </w:pPr>
      <w:r>
        <w:rPr>
          <w:rFonts w:hint="eastAsia" w:ascii="宋体" w:hAnsi="宋体"/>
          <w:sz w:val="24"/>
        </w:rPr>
        <w:t>2</w:t>
      </w:r>
      <w:r>
        <w:rPr>
          <w:rFonts w:ascii="宋体" w:hAnsi="宋体"/>
          <w:sz w:val="24"/>
        </w:rPr>
        <w:t>1</w:t>
      </w:r>
      <w:r>
        <w:rPr>
          <w:rFonts w:hint="eastAsia" w:ascii="宋体" w:hAnsi="宋体"/>
          <w:sz w:val="24"/>
        </w:rPr>
        <w:t>.4</w:t>
      </w:r>
      <w:r>
        <w:rPr>
          <w:rFonts w:hint="eastAsia" w:ascii="宋体" w:hAnsi="宋体"/>
          <w:bCs/>
          <w:sz w:val="24"/>
        </w:rPr>
        <w:t>在投标截止时间至招标文件中规定的投标有效期满之间的这段时间内，投标人不得撤回其投标。</w:t>
      </w:r>
    </w:p>
    <w:p w14:paraId="2A38C18C">
      <w:pPr>
        <w:pStyle w:val="3"/>
        <w:spacing w:before="0" w:after="0" w:line="500" w:lineRule="exact"/>
        <w:ind w:firstLine="482" w:firstLineChars="200"/>
        <w:jc w:val="both"/>
        <w:rPr>
          <w:sz w:val="24"/>
          <w:szCs w:val="24"/>
        </w:rPr>
      </w:pPr>
      <w:r>
        <w:rPr>
          <w:rFonts w:hint="eastAsia"/>
          <w:sz w:val="24"/>
          <w:szCs w:val="24"/>
        </w:rPr>
        <w:t>五、开标与评标</w:t>
      </w:r>
    </w:p>
    <w:p w14:paraId="4AD32B68">
      <w:pPr>
        <w:spacing w:line="500" w:lineRule="exact"/>
        <w:ind w:firstLine="482" w:firstLineChars="200"/>
        <w:rPr>
          <w:rFonts w:ascii="宋体" w:hAnsi="宋体" w:cs="宋体"/>
          <w:b/>
          <w:bCs/>
          <w:sz w:val="24"/>
          <w:szCs w:val="24"/>
        </w:rPr>
      </w:pPr>
      <w:r>
        <w:rPr>
          <w:rFonts w:hint="eastAsia" w:ascii="宋体" w:hAnsi="宋体" w:cs="宋体"/>
          <w:b/>
          <w:bCs/>
          <w:sz w:val="24"/>
          <w:szCs w:val="24"/>
        </w:rPr>
        <w:t>2</w:t>
      </w:r>
      <w:r>
        <w:rPr>
          <w:rFonts w:ascii="宋体" w:hAnsi="宋体" w:cs="宋体"/>
          <w:b/>
          <w:bCs/>
          <w:sz w:val="24"/>
          <w:szCs w:val="24"/>
        </w:rPr>
        <w:t>2</w:t>
      </w:r>
      <w:r>
        <w:rPr>
          <w:rFonts w:hint="eastAsia" w:ascii="宋体" w:hAnsi="宋体" w:cs="宋体"/>
          <w:b/>
          <w:bCs/>
          <w:sz w:val="24"/>
          <w:szCs w:val="24"/>
        </w:rPr>
        <w:t>、开标</w:t>
      </w:r>
    </w:p>
    <w:p w14:paraId="3312A76E">
      <w:pPr>
        <w:spacing w:line="500" w:lineRule="exact"/>
        <w:ind w:firstLine="480" w:firstLineChars="200"/>
        <w:rPr>
          <w:rFonts w:ascii="宋体" w:hAnsi="宋体"/>
          <w:sz w:val="24"/>
          <w:szCs w:val="24"/>
        </w:rPr>
      </w:pPr>
      <w:r>
        <w:rPr>
          <w:rFonts w:hint="eastAsia" w:ascii="宋体" w:hAnsi="宋体"/>
          <w:sz w:val="24"/>
        </w:rPr>
        <w:t>2</w:t>
      </w:r>
      <w:r>
        <w:rPr>
          <w:rFonts w:ascii="宋体" w:hAnsi="宋体"/>
          <w:sz w:val="24"/>
        </w:rPr>
        <w:t>2</w:t>
      </w:r>
      <w:r>
        <w:rPr>
          <w:rFonts w:hint="eastAsia" w:ascii="宋体" w:hAnsi="宋体"/>
          <w:sz w:val="24"/>
        </w:rPr>
        <w:t>.1</w:t>
      </w:r>
      <w:r>
        <w:rPr>
          <w:rFonts w:hint="eastAsia" w:ascii="宋体" w:hAnsi="宋体"/>
          <w:bCs/>
          <w:sz w:val="24"/>
        </w:rPr>
        <w:t>代理机构将在招标公告中规定的时间和地点组织公开开标</w:t>
      </w:r>
      <w:r>
        <w:rPr>
          <w:rFonts w:hint="eastAsia" w:ascii="宋体" w:hAnsi="宋体"/>
          <w:sz w:val="24"/>
          <w:szCs w:val="24"/>
        </w:rPr>
        <w:t>。投标人应委派携带有效证件的代表按照</w:t>
      </w:r>
      <w:r>
        <w:rPr>
          <w:rFonts w:ascii="宋体" w:hAnsi="宋体"/>
          <w:sz w:val="24"/>
          <w:szCs w:val="24"/>
        </w:rPr>
        <w:t>文件要求的方式</w:t>
      </w:r>
      <w:r>
        <w:rPr>
          <w:rFonts w:hint="eastAsia" w:ascii="宋体" w:hAnsi="宋体"/>
          <w:sz w:val="24"/>
          <w:szCs w:val="24"/>
        </w:rPr>
        <w:t>准时参加。</w:t>
      </w:r>
    </w:p>
    <w:p w14:paraId="2707C698">
      <w:pPr>
        <w:spacing w:line="500" w:lineRule="exact"/>
        <w:ind w:firstLine="480" w:firstLineChars="200"/>
        <w:rPr>
          <w:rFonts w:ascii="宋体" w:hAnsi="宋体"/>
          <w:sz w:val="24"/>
          <w:szCs w:val="24"/>
        </w:rPr>
      </w:pPr>
      <w:r>
        <w:rPr>
          <w:rFonts w:hint="eastAsia" w:ascii="宋体" w:hAnsi="宋体"/>
          <w:bCs/>
          <w:sz w:val="24"/>
          <w:szCs w:val="24"/>
        </w:rPr>
        <w:t>2</w:t>
      </w:r>
      <w:r>
        <w:rPr>
          <w:rFonts w:ascii="宋体" w:hAnsi="宋体"/>
          <w:bCs/>
          <w:sz w:val="24"/>
          <w:szCs w:val="24"/>
        </w:rPr>
        <w:t>2</w:t>
      </w:r>
      <w:r>
        <w:rPr>
          <w:rFonts w:hint="eastAsia" w:ascii="宋体" w:hAnsi="宋体"/>
          <w:bCs/>
          <w:sz w:val="24"/>
          <w:szCs w:val="24"/>
        </w:rPr>
        <w:t>.2</w:t>
      </w:r>
      <w:r>
        <w:rPr>
          <w:rFonts w:hint="eastAsia" w:ascii="宋体" w:hAnsi="宋体"/>
          <w:sz w:val="24"/>
          <w:szCs w:val="24"/>
        </w:rPr>
        <w:t>开标仪式由</w:t>
      </w:r>
      <w:r>
        <w:rPr>
          <w:rFonts w:hint="eastAsia" w:ascii="宋体" w:hAnsi="宋体"/>
          <w:bCs/>
          <w:sz w:val="24"/>
        </w:rPr>
        <w:t>代理机构</w:t>
      </w:r>
      <w:r>
        <w:rPr>
          <w:rFonts w:hint="eastAsia" w:ascii="宋体" w:hAnsi="宋体"/>
          <w:sz w:val="24"/>
          <w:szCs w:val="24"/>
        </w:rPr>
        <w:t>组织，采购人工作人员、投标人代表等参加。</w:t>
      </w:r>
    </w:p>
    <w:p w14:paraId="4E58153A">
      <w:pPr>
        <w:spacing w:line="500" w:lineRule="exact"/>
        <w:ind w:firstLine="480" w:firstLineChars="200"/>
        <w:rPr>
          <w:rFonts w:ascii="宋体" w:hAnsi="宋体"/>
          <w:bCs/>
          <w:sz w:val="24"/>
        </w:rPr>
      </w:pPr>
      <w:r>
        <w:rPr>
          <w:rFonts w:hint="eastAsia" w:ascii="宋体" w:hAnsi="宋体"/>
          <w:sz w:val="24"/>
        </w:rPr>
        <w:t>2</w:t>
      </w:r>
      <w:r>
        <w:rPr>
          <w:rFonts w:ascii="宋体" w:hAnsi="宋体"/>
          <w:sz w:val="24"/>
        </w:rPr>
        <w:t>2</w:t>
      </w:r>
      <w:r>
        <w:rPr>
          <w:rFonts w:hint="eastAsia" w:ascii="宋体" w:hAnsi="宋体"/>
          <w:sz w:val="24"/>
        </w:rPr>
        <w:t>.3</w:t>
      </w:r>
      <w:r>
        <w:rPr>
          <w:rFonts w:hint="eastAsia" w:ascii="宋体" w:hAnsi="宋体"/>
          <w:bCs/>
          <w:sz w:val="24"/>
        </w:rPr>
        <w:t>按照规定同意撤回的投标将不予开封。</w:t>
      </w:r>
    </w:p>
    <w:p w14:paraId="5B926E46">
      <w:pPr>
        <w:spacing w:line="500" w:lineRule="exact"/>
        <w:ind w:firstLine="480" w:firstLineChars="200"/>
        <w:rPr>
          <w:rFonts w:ascii="宋体" w:hAnsi="宋体"/>
          <w:sz w:val="24"/>
          <w:szCs w:val="24"/>
        </w:rPr>
      </w:pPr>
      <w:r>
        <w:rPr>
          <w:rFonts w:ascii="宋体" w:hAnsi="宋体"/>
          <w:sz w:val="24"/>
          <w:szCs w:val="24"/>
        </w:rPr>
        <w:t>22.</w:t>
      </w:r>
      <w:r>
        <w:rPr>
          <w:rFonts w:hint="eastAsia" w:ascii="宋体" w:hAnsi="宋体"/>
          <w:sz w:val="24"/>
          <w:szCs w:val="24"/>
        </w:rPr>
        <w:t>4开标时请投标人代表查验投标文件密封情况，确认无误后，</w:t>
      </w:r>
      <w:r>
        <w:rPr>
          <w:rFonts w:hint="eastAsia" w:ascii="宋体" w:hAnsi="宋体"/>
          <w:bCs/>
          <w:sz w:val="24"/>
        </w:rPr>
        <w:t>代理机构</w:t>
      </w:r>
      <w:r>
        <w:rPr>
          <w:rFonts w:hint="eastAsia" w:ascii="宋体" w:hAnsi="宋体"/>
          <w:sz w:val="24"/>
          <w:szCs w:val="24"/>
        </w:rPr>
        <w:t>当众拆封宣读每份投标文件中“开标一览表”的内容，未列入开标一览表的内容一律不在开标时宣读。开标时未宣读的投标报价信息，不得在评标时采用。</w:t>
      </w:r>
    </w:p>
    <w:p w14:paraId="28EC32A7">
      <w:pPr>
        <w:spacing w:line="500" w:lineRule="exact"/>
        <w:ind w:firstLine="480" w:firstLineChars="200"/>
        <w:rPr>
          <w:rFonts w:ascii="宋体" w:hAnsi="宋体"/>
          <w:sz w:val="24"/>
          <w:szCs w:val="24"/>
        </w:rPr>
      </w:pPr>
      <w:r>
        <w:rPr>
          <w:rFonts w:ascii="宋体" w:hAnsi="宋体"/>
          <w:sz w:val="24"/>
          <w:szCs w:val="24"/>
        </w:rPr>
        <w:t>22.5</w:t>
      </w:r>
      <w:r>
        <w:rPr>
          <w:rFonts w:hint="eastAsia" w:ascii="宋体" w:hAnsi="宋体"/>
          <w:sz w:val="24"/>
          <w:szCs w:val="24"/>
        </w:rPr>
        <w:t>投标人在报价时不允许采用选择性报价，否则将被视为无效投标。</w:t>
      </w:r>
    </w:p>
    <w:p w14:paraId="4B6CF60D">
      <w:pPr>
        <w:spacing w:line="500" w:lineRule="exact"/>
        <w:ind w:firstLine="482" w:firstLineChars="200"/>
        <w:rPr>
          <w:rFonts w:ascii="宋体" w:hAnsi="宋体" w:cs="宋体"/>
          <w:b/>
          <w:bCs/>
          <w:sz w:val="24"/>
          <w:szCs w:val="24"/>
        </w:rPr>
      </w:pPr>
      <w:r>
        <w:rPr>
          <w:rFonts w:hint="eastAsia" w:ascii="宋体" w:hAnsi="宋体" w:cs="宋体"/>
          <w:b/>
          <w:bCs/>
          <w:sz w:val="24"/>
          <w:szCs w:val="24"/>
        </w:rPr>
        <w:t>2</w:t>
      </w:r>
      <w:r>
        <w:rPr>
          <w:rFonts w:ascii="宋体" w:hAnsi="宋体" w:cs="宋体"/>
          <w:b/>
          <w:bCs/>
          <w:sz w:val="24"/>
          <w:szCs w:val="24"/>
        </w:rPr>
        <w:t>3</w:t>
      </w:r>
      <w:r>
        <w:rPr>
          <w:rFonts w:hint="eastAsia" w:ascii="宋体" w:hAnsi="宋体" w:cs="宋体"/>
          <w:b/>
          <w:bCs/>
          <w:sz w:val="24"/>
          <w:szCs w:val="24"/>
        </w:rPr>
        <w:t>、评标委员会</w:t>
      </w:r>
    </w:p>
    <w:p w14:paraId="6D2B4697">
      <w:pPr>
        <w:spacing w:line="500" w:lineRule="exact"/>
        <w:ind w:firstLine="480" w:firstLineChars="200"/>
        <w:rPr>
          <w:rFonts w:ascii="宋体" w:hAnsi="宋体"/>
          <w:b/>
          <w:sz w:val="24"/>
          <w:szCs w:val="24"/>
        </w:rPr>
      </w:pPr>
      <w:r>
        <w:rPr>
          <w:rFonts w:hint="eastAsia" w:ascii="宋体" w:hAnsi="宋体"/>
          <w:sz w:val="24"/>
          <w:szCs w:val="24"/>
        </w:rPr>
        <w:t>2</w:t>
      </w:r>
      <w:r>
        <w:rPr>
          <w:rFonts w:ascii="宋体" w:hAnsi="宋体"/>
          <w:sz w:val="24"/>
          <w:szCs w:val="24"/>
        </w:rPr>
        <w:t>3</w:t>
      </w:r>
      <w:r>
        <w:rPr>
          <w:rFonts w:hint="eastAsia" w:ascii="宋体" w:hAnsi="宋体"/>
          <w:sz w:val="24"/>
          <w:szCs w:val="24"/>
        </w:rPr>
        <w:t>.1</w:t>
      </w:r>
      <w:r>
        <w:rPr>
          <w:rFonts w:hint="eastAsia" w:ascii="宋体" w:hAnsi="宋体"/>
          <w:b/>
          <w:sz w:val="24"/>
          <w:szCs w:val="24"/>
        </w:rPr>
        <w:t xml:space="preserve"> </w:t>
      </w:r>
      <w:r>
        <w:rPr>
          <w:rFonts w:hint="eastAsia" w:ascii="宋体" w:hAnsi="宋体"/>
          <w:sz w:val="24"/>
          <w:szCs w:val="24"/>
        </w:rPr>
        <w:t>开标后，</w:t>
      </w:r>
      <w:r>
        <w:rPr>
          <w:rFonts w:hint="eastAsia" w:ascii="宋体" w:hAnsi="宋体"/>
          <w:bCs/>
          <w:sz w:val="24"/>
        </w:rPr>
        <w:t>代理机构</w:t>
      </w:r>
      <w:r>
        <w:rPr>
          <w:rFonts w:hint="eastAsia" w:ascii="宋体" w:hAnsi="宋体"/>
          <w:sz w:val="24"/>
          <w:szCs w:val="24"/>
        </w:rPr>
        <w:t>将组织评标委员会（以下简称评委会）进行评标。</w:t>
      </w:r>
    </w:p>
    <w:p w14:paraId="7043DA7C">
      <w:pPr>
        <w:spacing w:line="500" w:lineRule="exact"/>
        <w:ind w:firstLine="480" w:firstLineChars="200"/>
        <w:rPr>
          <w:rFonts w:ascii="宋体" w:hAnsi="宋体"/>
          <w:sz w:val="24"/>
          <w:szCs w:val="24"/>
        </w:rPr>
      </w:pPr>
      <w:r>
        <w:rPr>
          <w:rFonts w:hint="eastAsia" w:ascii="宋体" w:hAnsi="宋体"/>
          <w:sz w:val="24"/>
          <w:szCs w:val="24"/>
        </w:rPr>
        <w:t>2</w:t>
      </w:r>
      <w:r>
        <w:rPr>
          <w:rFonts w:ascii="宋体" w:hAnsi="宋体"/>
          <w:sz w:val="24"/>
          <w:szCs w:val="24"/>
        </w:rPr>
        <w:t>3</w:t>
      </w:r>
      <w:r>
        <w:rPr>
          <w:rFonts w:hint="eastAsia" w:ascii="宋体" w:hAnsi="宋体"/>
          <w:sz w:val="24"/>
          <w:szCs w:val="24"/>
        </w:rPr>
        <w:t>.2 评委会由采购人代表和有关技术、经济等方面的专家组成，且人员构成符合政府采购有关规定。</w:t>
      </w:r>
    </w:p>
    <w:p w14:paraId="7677E84C">
      <w:pPr>
        <w:spacing w:line="500" w:lineRule="exact"/>
        <w:ind w:firstLine="480" w:firstLineChars="200"/>
        <w:rPr>
          <w:rFonts w:ascii="宋体" w:hAnsi="宋体"/>
          <w:sz w:val="24"/>
          <w:szCs w:val="24"/>
        </w:rPr>
      </w:pPr>
      <w:r>
        <w:rPr>
          <w:rFonts w:hint="eastAsia" w:ascii="宋体" w:hAnsi="宋体"/>
          <w:sz w:val="24"/>
          <w:szCs w:val="24"/>
        </w:rPr>
        <w:t>2</w:t>
      </w:r>
      <w:r>
        <w:rPr>
          <w:rFonts w:ascii="宋体" w:hAnsi="宋体"/>
          <w:sz w:val="24"/>
          <w:szCs w:val="24"/>
        </w:rPr>
        <w:t>3</w:t>
      </w:r>
      <w:r>
        <w:rPr>
          <w:rFonts w:hint="eastAsia" w:ascii="宋体" w:hAnsi="宋体"/>
          <w:sz w:val="24"/>
          <w:szCs w:val="24"/>
        </w:rPr>
        <w:t>.3评委会独立工作，负责评审所有投标文件并确定中标侯选人。</w:t>
      </w:r>
    </w:p>
    <w:p w14:paraId="6374C256">
      <w:pPr>
        <w:spacing w:line="500" w:lineRule="exact"/>
        <w:ind w:firstLine="482" w:firstLineChars="200"/>
        <w:rPr>
          <w:rFonts w:ascii="宋体" w:hAnsi="宋体" w:cs="宋体"/>
          <w:b/>
          <w:bCs/>
          <w:sz w:val="24"/>
          <w:szCs w:val="24"/>
        </w:rPr>
      </w:pPr>
      <w:r>
        <w:rPr>
          <w:rFonts w:hint="eastAsia" w:ascii="宋体" w:hAnsi="宋体" w:cs="宋体"/>
          <w:b/>
          <w:bCs/>
          <w:sz w:val="24"/>
          <w:szCs w:val="24"/>
        </w:rPr>
        <w:t>2</w:t>
      </w:r>
      <w:r>
        <w:rPr>
          <w:rFonts w:ascii="宋体" w:hAnsi="宋体" w:cs="宋体"/>
          <w:b/>
          <w:bCs/>
          <w:sz w:val="24"/>
          <w:szCs w:val="24"/>
        </w:rPr>
        <w:t>4</w:t>
      </w:r>
      <w:r>
        <w:rPr>
          <w:rFonts w:hint="eastAsia" w:ascii="宋体" w:hAnsi="宋体" w:cs="宋体"/>
          <w:b/>
          <w:bCs/>
          <w:sz w:val="24"/>
          <w:szCs w:val="24"/>
        </w:rPr>
        <w:t>、评标过程的保密与公正</w:t>
      </w:r>
    </w:p>
    <w:p w14:paraId="79074920">
      <w:pPr>
        <w:spacing w:line="500" w:lineRule="exact"/>
        <w:ind w:firstLine="480" w:firstLineChars="200"/>
        <w:rPr>
          <w:rFonts w:ascii="宋体" w:hAnsi="宋体"/>
          <w:bCs/>
          <w:sz w:val="24"/>
        </w:rPr>
      </w:pPr>
      <w:r>
        <w:rPr>
          <w:rFonts w:hint="eastAsia" w:ascii="宋体" w:hAnsi="宋体"/>
          <w:sz w:val="24"/>
        </w:rPr>
        <w:t>2</w:t>
      </w:r>
      <w:r>
        <w:rPr>
          <w:rFonts w:ascii="宋体" w:hAnsi="宋体"/>
          <w:sz w:val="24"/>
        </w:rPr>
        <w:t>4</w:t>
      </w:r>
      <w:r>
        <w:rPr>
          <w:rFonts w:hint="eastAsia" w:ascii="宋体" w:hAnsi="宋体"/>
          <w:sz w:val="24"/>
        </w:rPr>
        <w:t>.1</w:t>
      </w:r>
      <w:r>
        <w:rPr>
          <w:rFonts w:hint="eastAsia" w:ascii="宋体" w:hAnsi="宋体"/>
          <w:bCs/>
          <w:sz w:val="24"/>
        </w:rPr>
        <w:t>凡是与审查、澄清、评价和比较投标的有关资料以及授标建议等，采购人、评委、代理机构均不得向投标人或与评标无关的其他人员透露。</w:t>
      </w:r>
    </w:p>
    <w:p w14:paraId="6922F045">
      <w:pPr>
        <w:spacing w:line="500" w:lineRule="exact"/>
        <w:ind w:firstLine="480" w:firstLineChars="200"/>
        <w:rPr>
          <w:rFonts w:ascii="宋体" w:hAnsi="宋体"/>
          <w:sz w:val="24"/>
        </w:rPr>
      </w:pPr>
      <w:r>
        <w:rPr>
          <w:rFonts w:hint="eastAsia" w:ascii="宋体" w:hAnsi="宋体"/>
          <w:sz w:val="24"/>
        </w:rPr>
        <w:t>2</w:t>
      </w:r>
      <w:r>
        <w:rPr>
          <w:rFonts w:ascii="宋体" w:hAnsi="宋体"/>
          <w:sz w:val="24"/>
        </w:rPr>
        <w:t>4</w:t>
      </w:r>
      <w:r>
        <w:rPr>
          <w:rFonts w:hint="eastAsia" w:ascii="宋体" w:hAnsi="宋体"/>
          <w:sz w:val="24"/>
        </w:rPr>
        <w:t>.2在评标过程中，投标人不得以任何行为影响评标过程，否则其投标文件将被作为无效投标文件。</w:t>
      </w:r>
    </w:p>
    <w:p w14:paraId="19DB7AF0">
      <w:pPr>
        <w:spacing w:line="500" w:lineRule="exact"/>
        <w:ind w:firstLine="480" w:firstLineChars="200"/>
        <w:rPr>
          <w:rFonts w:ascii="宋体" w:hAnsi="宋体"/>
          <w:sz w:val="24"/>
        </w:rPr>
      </w:pPr>
      <w:r>
        <w:rPr>
          <w:rFonts w:hint="eastAsia" w:ascii="宋体" w:hAnsi="宋体"/>
          <w:sz w:val="24"/>
        </w:rPr>
        <w:t>2</w:t>
      </w:r>
      <w:r>
        <w:rPr>
          <w:rFonts w:ascii="宋体" w:hAnsi="宋体"/>
          <w:sz w:val="24"/>
        </w:rPr>
        <w:t>4</w:t>
      </w:r>
      <w:r>
        <w:rPr>
          <w:rFonts w:hint="eastAsia" w:ascii="宋体" w:hAnsi="宋体"/>
          <w:sz w:val="24"/>
        </w:rPr>
        <w:t>.3在评标期间，代理机构将设专门人员与投标人联系。</w:t>
      </w:r>
    </w:p>
    <w:p w14:paraId="73D768E8">
      <w:pPr>
        <w:spacing w:line="500" w:lineRule="exact"/>
        <w:ind w:firstLine="480" w:firstLineChars="200"/>
        <w:rPr>
          <w:rFonts w:ascii="宋体" w:hAnsi="宋体"/>
          <w:sz w:val="24"/>
        </w:rPr>
      </w:pPr>
      <w:r>
        <w:rPr>
          <w:rFonts w:hint="eastAsia" w:ascii="宋体" w:hAnsi="宋体"/>
          <w:sz w:val="24"/>
        </w:rPr>
        <w:t>2</w:t>
      </w:r>
      <w:r>
        <w:rPr>
          <w:rFonts w:ascii="宋体" w:hAnsi="宋体"/>
          <w:sz w:val="24"/>
        </w:rPr>
        <w:t>4</w:t>
      </w:r>
      <w:r>
        <w:rPr>
          <w:rFonts w:hint="eastAsia" w:ascii="宋体" w:hAnsi="宋体"/>
          <w:sz w:val="24"/>
        </w:rPr>
        <w:t>.4采用综合评分法的项目，未中标的投标人如需了解自己的评审得分及排序情况，可向采购人提出申请。</w:t>
      </w:r>
    </w:p>
    <w:p w14:paraId="413AAC7B">
      <w:pPr>
        <w:spacing w:line="500" w:lineRule="exact"/>
        <w:ind w:firstLine="482" w:firstLineChars="200"/>
        <w:rPr>
          <w:rFonts w:ascii="宋体" w:hAnsi="宋体" w:cs="宋体"/>
          <w:b/>
          <w:bCs/>
          <w:sz w:val="24"/>
          <w:szCs w:val="24"/>
        </w:rPr>
      </w:pPr>
      <w:r>
        <w:rPr>
          <w:rFonts w:hint="eastAsia" w:ascii="宋体" w:hAnsi="宋体" w:cs="宋体"/>
          <w:b/>
          <w:bCs/>
          <w:sz w:val="24"/>
          <w:szCs w:val="24"/>
        </w:rPr>
        <w:t>2</w:t>
      </w:r>
      <w:r>
        <w:rPr>
          <w:rFonts w:ascii="宋体" w:hAnsi="宋体" w:cs="宋体"/>
          <w:b/>
          <w:bCs/>
          <w:sz w:val="24"/>
          <w:szCs w:val="24"/>
        </w:rPr>
        <w:t>5</w:t>
      </w:r>
      <w:r>
        <w:rPr>
          <w:rFonts w:hint="eastAsia" w:ascii="宋体" w:hAnsi="宋体" w:cs="宋体"/>
          <w:b/>
          <w:bCs/>
          <w:sz w:val="24"/>
          <w:szCs w:val="24"/>
        </w:rPr>
        <w:t>、投标文件的澄清</w:t>
      </w:r>
    </w:p>
    <w:p w14:paraId="2707433E">
      <w:pPr>
        <w:spacing w:line="500" w:lineRule="exact"/>
        <w:ind w:firstLine="480" w:firstLineChars="200"/>
        <w:rPr>
          <w:rFonts w:ascii="宋体" w:hAnsi="宋体"/>
          <w:sz w:val="24"/>
          <w:szCs w:val="24"/>
        </w:rPr>
      </w:pPr>
      <w:r>
        <w:rPr>
          <w:rFonts w:ascii="宋体" w:hAnsi="宋体"/>
          <w:sz w:val="24"/>
          <w:szCs w:val="24"/>
        </w:rPr>
        <w:t>25</w:t>
      </w:r>
      <w:r>
        <w:rPr>
          <w:rFonts w:hint="eastAsia" w:ascii="宋体" w:hAnsi="宋体"/>
          <w:sz w:val="24"/>
          <w:szCs w:val="24"/>
        </w:rPr>
        <w:t>.</w:t>
      </w:r>
      <w:r>
        <w:rPr>
          <w:rFonts w:ascii="宋体" w:hAnsi="宋体"/>
          <w:sz w:val="24"/>
          <w:szCs w:val="24"/>
        </w:rPr>
        <w:t>1</w:t>
      </w:r>
      <w:r>
        <w:rPr>
          <w:rFonts w:hint="eastAsia" w:ascii="宋体" w:hAnsi="宋体"/>
          <w:sz w:val="24"/>
          <w:szCs w:val="24"/>
        </w:rPr>
        <w:t>评标期间，为有助于对投标文件的审查、评价和比较，评委会有权以书面形式要求投标人对其投标文件进行澄清，但并非对每个投标人都作澄清要求。</w:t>
      </w:r>
    </w:p>
    <w:p w14:paraId="4F3E7456">
      <w:pPr>
        <w:spacing w:line="500" w:lineRule="exact"/>
        <w:ind w:firstLine="480" w:firstLineChars="200"/>
        <w:rPr>
          <w:rFonts w:ascii="宋体" w:hAnsi="宋体"/>
          <w:sz w:val="24"/>
          <w:szCs w:val="24"/>
        </w:rPr>
      </w:pPr>
      <w:r>
        <w:rPr>
          <w:rFonts w:hint="eastAsia" w:ascii="宋体" w:hAnsi="宋体"/>
          <w:sz w:val="24"/>
          <w:szCs w:val="24"/>
        </w:rPr>
        <w:t>2</w:t>
      </w:r>
      <w:r>
        <w:rPr>
          <w:rFonts w:ascii="宋体" w:hAnsi="宋体"/>
          <w:sz w:val="24"/>
          <w:szCs w:val="24"/>
        </w:rPr>
        <w:t>5</w:t>
      </w:r>
      <w:r>
        <w:rPr>
          <w:rFonts w:hint="eastAsia" w:ascii="宋体" w:hAnsi="宋体"/>
          <w:sz w:val="24"/>
          <w:szCs w:val="24"/>
        </w:rPr>
        <w:t>.2接到评委会澄清要求的投标人应派人按评委会通知的时间和地点做出书面澄清，书面澄清的内容须由投标人法人或授权代表签署，并作为投标文件的补充部分，但投标的价格和实质性的内容不得做任何更改。</w:t>
      </w:r>
    </w:p>
    <w:p w14:paraId="65D43C55">
      <w:pPr>
        <w:spacing w:line="500" w:lineRule="exact"/>
        <w:ind w:firstLine="480" w:firstLineChars="200"/>
        <w:rPr>
          <w:rFonts w:ascii="宋体" w:hAnsi="宋体"/>
          <w:sz w:val="24"/>
          <w:szCs w:val="24"/>
        </w:rPr>
      </w:pPr>
      <w:r>
        <w:rPr>
          <w:rFonts w:hint="eastAsia" w:ascii="宋体" w:hAnsi="宋体"/>
          <w:sz w:val="24"/>
          <w:szCs w:val="24"/>
        </w:rPr>
        <w:t>2</w:t>
      </w:r>
      <w:r>
        <w:rPr>
          <w:rFonts w:ascii="宋体" w:hAnsi="宋体"/>
          <w:sz w:val="24"/>
          <w:szCs w:val="24"/>
        </w:rPr>
        <w:t>5</w:t>
      </w:r>
      <w:r>
        <w:rPr>
          <w:rFonts w:hint="eastAsia" w:ascii="宋体" w:hAnsi="宋体"/>
          <w:sz w:val="24"/>
          <w:szCs w:val="24"/>
        </w:rPr>
        <w:t>.3接到评委会澄清要求的投标人如未按规定做出澄清，其风险由投标人自行承担。</w:t>
      </w:r>
    </w:p>
    <w:p w14:paraId="2AE60D45">
      <w:pPr>
        <w:spacing w:line="500" w:lineRule="exact"/>
        <w:ind w:firstLine="482" w:firstLineChars="200"/>
        <w:rPr>
          <w:rFonts w:ascii="宋体" w:hAnsi="宋体" w:cs="宋体"/>
          <w:b/>
          <w:bCs/>
          <w:sz w:val="24"/>
          <w:szCs w:val="24"/>
        </w:rPr>
      </w:pPr>
      <w:r>
        <w:rPr>
          <w:rFonts w:hint="eastAsia" w:ascii="宋体" w:hAnsi="宋体" w:cs="宋体"/>
          <w:b/>
          <w:bCs/>
          <w:sz w:val="24"/>
          <w:szCs w:val="24"/>
        </w:rPr>
        <w:t>2</w:t>
      </w:r>
      <w:r>
        <w:rPr>
          <w:rFonts w:ascii="宋体" w:hAnsi="宋体" w:cs="宋体"/>
          <w:b/>
          <w:bCs/>
          <w:sz w:val="24"/>
          <w:szCs w:val="24"/>
        </w:rPr>
        <w:t>6</w:t>
      </w:r>
      <w:r>
        <w:rPr>
          <w:rFonts w:hint="eastAsia" w:ascii="宋体" w:hAnsi="宋体" w:cs="宋体"/>
          <w:b/>
          <w:bCs/>
          <w:sz w:val="24"/>
          <w:szCs w:val="24"/>
        </w:rPr>
        <w:t>、对投标文件的评审</w:t>
      </w:r>
    </w:p>
    <w:p w14:paraId="6816FC81">
      <w:pPr>
        <w:spacing w:line="500" w:lineRule="exact"/>
        <w:ind w:firstLine="480" w:firstLineChars="200"/>
        <w:rPr>
          <w:rFonts w:ascii="宋体" w:hAnsi="宋体"/>
          <w:sz w:val="24"/>
          <w:szCs w:val="24"/>
        </w:rPr>
      </w:pPr>
      <w:r>
        <w:rPr>
          <w:rFonts w:hint="eastAsia" w:ascii="宋体" w:hAnsi="宋体"/>
          <w:sz w:val="24"/>
          <w:szCs w:val="24"/>
        </w:rPr>
        <w:t>26.1投标文件初审分为资格审查和符合性审查。</w:t>
      </w:r>
    </w:p>
    <w:p w14:paraId="064ACF6B">
      <w:pPr>
        <w:spacing w:line="500" w:lineRule="exact"/>
        <w:ind w:firstLine="480" w:firstLineChars="200"/>
        <w:rPr>
          <w:rFonts w:ascii="宋体" w:hAnsi="宋体"/>
          <w:sz w:val="24"/>
          <w:szCs w:val="24"/>
        </w:rPr>
      </w:pPr>
      <w:r>
        <w:rPr>
          <w:rFonts w:hint="eastAsia" w:ascii="宋体" w:hAnsi="宋体"/>
          <w:sz w:val="24"/>
          <w:szCs w:val="24"/>
        </w:rPr>
        <w:t>26.1.1 资格审查：依据法律法规和招标文件的规定，由采购人对投标文件中的资格证明文件进行审查。资格审查的结论，采购人以书面形式向评委会进行反馈。</w:t>
      </w:r>
    </w:p>
    <w:p w14:paraId="5E2526F1">
      <w:pPr>
        <w:spacing w:line="500" w:lineRule="exact"/>
        <w:ind w:firstLine="480" w:firstLineChars="200"/>
        <w:rPr>
          <w:rFonts w:ascii="宋体" w:hAnsi="宋体"/>
          <w:sz w:val="24"/>
          <w:szCs w:val="24"/>
        </w:rPr>
      </w:pPr>
      <w:r>
        <w:rPr>
          <w:rFonts w:hint="eastAsia" w:ascii="宋体" w:hAnsi="宋体"/>
          <w:sz w:val="24"/>
          <w:szCs w:val="24"/>
        </w:rPr>
        <w:t>采购人在进行资格性审查的同时，将在“信用中国”网站（www.creditchina.gov.cn）查询投标人的信用记录，以确定投标人是否具备投标资格,查询结果留存并归档。</w:t>
      </w:r>
    </w:p>
    <w:p w14:paraId="5C75FD66">
      <w:pPr>
        <w:spacing w:line="500" w:lineRule="exact"/>
        <w:ind w:firstLine="480" w:firstLineChars="200"/>
        <w:rPr>
          <w:rFonts w:ascii="宋体" w:hAnsi="宋体"/>
          <w:sz w:val="24"/>
          <w:szCs w:val="24"/>
        </w:rPr>
      </w:pPr>
      <w:r>
        <w:rPr>
          <w:rFonts w:hint="eastAsia" w:ascii="宋体" w:hAnsi="宋体"/>
          <w:sz w:val="24"/>
          <w:szCs w:val="24"/>
        </w:rPr>
        <w:t>接受联合体的项目，两个以上的自然人、法人或者其他组织组成一个联合体，以一个供应商的身份共同参加政府采购活动的,联合体成员中任何一方存在不良信用记录的，视同联合体存在不良应用记录。</w:t>
      </w:r>
    </w:p>
    <w:p w14:paraId="4D6AAAC3">
      <w:pPr>
        <w:spacing w:line="500" w:lineRule="exact"/>
        <w:ind w:firstLine="480" w:firstLineChars="200"/>
        <w:rPr>
          <w:rFonts w:ascii="宋体" w:hAnsi="宋体"/>
          <w:sz w:val="24"/>
          <w:szCs w:val="24"/>
        </w:rPr>
      </w:pPr>
      <w:r>
        <w:rPr>
          <w:rFonts w:hint="eastAsia" w:ascii="宋体" w:hAnsi="宋体"/>
          <w:sz w:val="24"/>
          <w:szCs w:val="24"/>
        </w:rPr>
        <w:t>26.1.2 符合性审查：依据招标文件的规定，由评委会从投标文件的有效性、完整性和对招标文件的响应程度进行审查，以确定是否对招标文件的实质性要求作出响应。</w:t>
      </w:r>
    </w:p>
    <w:p w14:paraId="430790C1">
      <w:pPr>
        <w:spacing w:line="500" w:lineRule="exact"/>
        <w:ind w:firstLine="480" w:firstLineChars="200"/>
        <w:rPr>
          <w:rFonts w:ascii="宋体" w:hAnsi="宋体"/>
          <w:sz w:val="24"/>
          <w:szCs w:val="24"/>
        </w:rPr>
      </w:pPr>
      <w:r>
        <w:rPr>
          <w:rFonts w:hint="eastAsia" w:ascii="宋体" w:hAnsi="宋体"/>
          <w:sz w:val="24"/>
          <w:szCs w:val="24"/>
        </w:rPr>
        <w:t>26.1.3 未通过资格审查或符合性审查的投标人，代理机构将会电话告知未通过资格审查或符合性审查的原因，评审结束后，代理机构将不再告知未通过资格审查或符合性审查的原因。</w:t>
      </w:r>
    </w:p>
    <w:p w14:paraId="145C5E3F">
      <w:pPr>
        <w:spacing w:line="500" w:lineRule="exact"/>
        <w:ind w:firstLine="480" w:firstLineChars="200"/>
        <w:rPr>
          <w:rFonts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w:t>
      </w:r>
      <w:r>
        <w:rPr>
          <w:rFonts w:ascii="宋体" w:hAnsi="宋体"/>
          <w:sz w:val="24"/>
          <w:szCs w:val="24"/>
        </w:rPr>
        <w:t>2</w:t>
      </w:r>
      <w:r>
        <w:rPr>
          <w:rFonts w:hint="eastAsia" w:ascii="宋体" w:hAnsi="宋体"/>
          <w:sz w:val="24"/>
          <w:szCs w:val="24"/>
        </w:rPr>
        <w:t>在详细评标之前，评委会将首先审查每份投标文件是否实质性响应了招标文件的要求。实质性响应的投标应该是与招标文件要求的全部条款、条件和规格相符，没有重大偏离或保留的投标。</w:t>
      </w:r>
    </w:p>
    <w:p w14:paraId="3E65E2AD">
      <w:pPr>
        <w:spacing w:line="500" w:lineRule="exact"/>
        <w:ind w:firstLine="480" w:firstLineChars="200"/>
        <w:rPr>
          <w:rFonts w:ascii="宋体" w:hAnsi="宋体"/>
          <w:bCs/>
          <w:sz w:val="24"/>
        </w:rPr>
      </w:pPr>
      <w:r>
        <w:rPr>
          <w:rFonts w:hint="eastAsia" w:ascii="宋体" w:hAnsi="宋体"/>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委会按照少数服从多数的原则作出结论。认定</w:t>
      </w:r>
      <w:r>
        <w:rPr>
          <w:rFonts w:hint="eastAsia" w:ascii="宋体" w:hAnsi="宋体"/>
          <w:bCs/>
          <w:sz w:val="24"/>
        </w:rPr>
        <w:t>评委决定投标文件的响应性只根据投标文件本身的内容，而不寻求外部的证据。</w:t>
      </w:r>
    </w:p>
    <w:p w14:paraId="55C30761">
      <w:pPr>
        <w:spacing w:line="500" w:lineRule="exact"/>
        <w:ind w:firstLine="480" w:firstLineChars="200"/>
        <w:rPr>
          <w:rFonts w:ascii="宋体" w:hAnsi="宋体"/>
          <w:bCs/>
          <w:sz w:val="24"/>
        </w:rPr>
      </w:pPr>
      <w:r>
        <w:rPr>
          <w:rFonts w:hint="eastAsia" w:ascii="宋体" w:hAnsi="宋体"/>
          <w:sz w:val="24"/>
        </w:rPr>
        <w:t>2</w:t>
      </w:r>
      <w:r>
        <w:rPr>
          <w:rFonts w:ascii="宋体" w:hAnsi="宋体"/>
          <w:sz w:val="24"/>
        </w:rPr>
        <w:t>6</w:t>
      </w:r>
      <w:r>
        <w:rPr>
          <w:rFonts w:hint="eastAsia" w:ascii="宋体" w:hAnsi="宋体"/>
          <w:sz w:val="24"/>
        </w:rPr>
        <w:t>.3</w:t>
      </w:r>
      <w:r>
        <w:rPr>
          <w:rFonts w:hint="eastAsia" w:ascii="宋体" w:hAnsi="宋体"/>
          <w:bCs/>
          <w:sz w:val="24"/>
        </w:rPr>
        <w:t>如果投标文件实质上没有响应招标文件的要求，评委会将按无效投标处理，投标人不得通过修改或撤销不合要求的偏离或保留而使其投标成为实质性响应的投标。</w:t>
      </w:r>
    </w:p>
    <w:p w14:paraId="7F060755">
      <w:pPr>
        <w:spacing w:line="500" w:lineRule="exact"/>
        <w:ind w:firstLine="480" w:firstLineChars="200"/>
        <w:rPr>
          <w:rFonts w:ascii="宋体" w:hAnsi="宋体"/>
          <w:bCs/>
          <w:sz w:val="24"/>
        </w:rPr>
      </w:pPr>
      <w:r>
        <w:rPr>
          <w:rFonts w:hint="eastAsia" w:ascii="宋体" w:hAnsi="宋体"/>
          <w:sz w:val="24"/>
        </w:rPr>
        <w:t>2</w:t>
      </w:r>
      <w:r>
        <w:rPr>
          <w:rFonts w:ascii="宋体" w:hAnsi="宋体"/>
          <w:sz w:val="24"/>
        </w:rPr>
        <w:t>6</w:t>
      </w:r>
      <w:r>
        <w:rPr>
          <w:rFonts w:hint="eastAsia" w:ascii="宋体" w:hAnsi="宋体"/>
          <w:sz w:val="24"/>
        </w:rPr>
        <w:t>.4</w:t>
      </w:r>
      <w:r>
        <w:rPr>
          <w:rFonts w:hint="eastAsia" w:ascii="宋体" w:hAnsi="宋体"/>
          <w:bCs/>
          <w:sz w:val="24"/>
        </w:rPr>
        <w:t>评委会将对确定为实质性响应的投标进行进一步审核，看其是否有计算上或累加上的算术错误，修正错误的原则如下：</w:t>
      </w:r>
    </w:p>
    <w:p w14:paraId="75E18B6F">
      <w:pPr>
        <w:spacing w:line="500" w:lineRule="exact"/>
        <w:ind w:firstLine="480" w:firstLineChars="200"/>
        <w:rPr>
          <w:rFonts w:ascii="宋体" w:hAnsi="宋体"/>
          <w:bCs/>
          <w:sz w:val="24"/>
        </w:rPr>
      </w:pPr>
      <w:r>
        <w:rPr>
          <w:rFonts w:hint="eastAsia" w:ascii="宋体" w:hAnsi="宋体"/>
          <w:bCs/>
          <w:sz w:val="24"/>
        </w:rPr>
        <w:t>（1）投标文件中开标一览表内容与投标文件中相应内容不一致的，以开标一览表为准。</w:t>
      </w:r>
    </w:p>
    <w:p w14:paraId="3829AF13">
      <w:pPr>
        <w:spacing w:line="500" w:lineRule="exact"/>
        <w:ind w:firstLine="480" w:firstLineChars="200"/>
        <w:rPr>
          <w:rFonts w:ascii="宋体" w:hAnsi="宋体"/>
          <w:bCs/>
          <w:sz w:val="24"/>
        </w:rPr>
      </w:pPr>
      <w:r>
        <w:rPr>
          <w:rFonts w:hint="eastAsia" w:ascii="宋体" w:hAnsi="宋体"/>
          <w:bCs/>
          <w:sz w:val="24"/>
        </w:rPr>
        <w:t>（2）大写金额和小写金额不一致的，以大写金额为准。</w:t>
      </w:r>
    </w:p>
    <w:p w14:paraId="384E35FC">
      <w:pPr>
        <w:spacing w:line="500" w:lineRule="exact"/>
        <w:ind w:firstLine="480" w:firstLineChars="200"/>
        <w:rPr>
          <w:rFonts w:ascii="宋体" w:hAnsi="宋体"/>
          <w:bCs/>
          <w:sz w:val="24"/>
        </w:rPr>
      </w:pPr>
      <w:r>
        <w:rPr>
          <w:rFonts w:hint="eastAsia" w:ascii="宋体" w:hAnsi="宋体"/>
          <w:bCs/>
          <w:sz w:val="24"/>
        </w:rPr>
        <w:t>（3）单价金额小数点或者百分比有明显错位的，以开标一览表的总价为准，并修改单价。</w:t>
      </w:r>
    </w:p>
    <w:p w14:paraId="312CDAB4">
      <w:pPr>
        <w:spacing w:line="500" w:lineRule="exact"/>
        <w:ind w:firstLine="480" w:firstLineChars="200"/>
        <w:rPr>
          <w:rFonts w:ascii="宋体" w:hAnsi="宋体"/>
          <w:bCs/>
          <w:sz w:val="24"/>
        </w:rPr>
      </w:pPr>
      <w:r>
        <w:rPr>
          <w:rFonts w:hint="eastAsia" w:ascii="宋体" w:hAnsi="宋体"/>
          <w:bCs/>
          <w:sz w:val="24"/>
        </w:rPr>
        <w:t>（4）总价金额与按单价汇总金额不一致的，以单价金额计算结果为准。</w:t>
      </w:r>
    </w:p>
    <w:p w14:paraId="6D036716">
      <w:pPr>
        <w:spacing w:line="500" w:lineRule="exact"/>
        <w:ind w:firstLine="480" w:firstLineChars="200"/>
        <w:rPr>
          <w:rFonts w:ascii="宋体" w:hAnsi="宋体"/>
          <w:bCs/>
          <w:sz w:val="24"/>
        </w:rPr>
      </w:pPr>
      <w:r>
        <w:rPr>
          <w:rFonts w:hint="eastAsia" w:ascii="宋体" w:hAnsi="宋体"/>
          <w:bCs/>
          <w:sz w:val="24"/>
        </w:rPr>
        <w:t>同时出现两种以上错误的，按照前款规定的顺序修正。</w:t>
      </w:r>
    </w:p>
    <w:p w14:paraId="1E43E00E">
      <w:pPr>
        <w:spacing w:line="500" w:lineRule="exact"/>
        <w:ind w:firstLine="480" w:firstLineChars="200"/>
        <w:rPr>
          <w:rFonts w:ascii="宋体" w:hAnsi="宋体"/>
          <w:bCs/>
          <w:sz w:val="24"/>
        </w:rPr>
      </w:pPr>
      <w:r>
        <w:rPr>
          <w:rFonts w:hint="eastAsia" w:ascii="宋体" w:hAnsi="宋体"/>
          <w:sz w:val="24"/>
        </w:rPr>
        <w:t>2</w:t>
      </w:r>
      <w:r>
        <w:rPr>
          <w:rFonts w:ascii="宋体" w:hAnsi="宋体"/>
          <w:sz w:val="24"/>
        </w:rPr>
        <w:t>6</w:t>
      </w:r>
      <w:r>
        <w:rPr>
          <w:rFonts w:hint="eastAsia" w:ascii="宋体" w:hAnsi="宋体"/>
          <w:sz w:val="24"/>
        </w:rPr>
        <w:t>.5</w:t>
      </w:r>
      <w:r>
        <w:rPr>
          <w:rFonts w:hint="eastAsia" w:ascii="宋体" w:hAnsi="宋体"/>
          <w:bCs/>
          <w:sz w:val="24"/>
        </w:rPr>
        <w:t>评委会将按上述修正错误的方法调整投标文件中的投标报价，调整后的价格应对投标人具有约束力。如果投标人不接受修正后的价格，则其投标将被拒绝。</w:t>
      </w:r>
    </w:p>
    <w:p w14:paraId="308A201A">
      <w:pPr>
        <w:spacing w:line="500" w:lineRule="exact"/>
        <w:ind w:firstLine="480" w:firstLineChars="200"/>
        <w:rPr>
          <w:rFonts w:ascii="宋体" w:hAnsi="宋体"/>
          <w:sz w:val="24"/>
        </w:rPr>
      </w:pPr>
      <w:r>
        <w:rPr>
          <w:rFonts w:hint="eastAsia" w:ascii="宋体" w:hAnsi="宋体"/>
          <w:sz w:val="24"/>
        </w:rPr>
        <w:t>2</w:t>
      </w:r>
      <w:r>
        <w:rPr>
          <w:rFonts w:ascii="宋体" w:hAnsi="宋体"/>
          <w:sz w:val="24"/>
        </w:rPr>
        <w:t>6</w:t>
      </w:r>
      <w:r>
        <w:rPr>
          <w:rFonts w:hint="eastAsia" w:ascii="宋体" w:hAnsi="宋体"/>
          <w:sz w:val="24"/>
        </w:rPr>
        <w:t>.</w:t>
      </w:r>
      <w:r>
        <w:rPr>
          <w:rFonts w:ascii="宋体" w:hAnsi="宋体"/>
          <w:sz w:val="24"/>
        </w:rPr>
        <w:t>6</w:t>
      </w:r>
      <w:r>
        <w:rPr>
          <w:rFonts w:hint="eastAsia" w:ascii="宋体" w:hAnsi="宋体" w:cs="宋体"/>
          <w:b/>
          <w:bCs/>
          <w:sz w:val="24"/>
          <w:szCs w:val="24"/>
        </w:rPr>
        <w:t>采用最低评标价法的采购项目</w:t>
      </w:r>
      <w:r>
        <w:rPr>
          <w:rFonts w:hint="eastAsia" w:ascii="宋体" w:hAnsi="宋体"/>
          <w:b/>
          <w:sz w:val="24"/>
        </w:rPr>
        <w:t>，</w:t>
      </w:r>
      <w:r>
        <w:rPr>
          <w:rFonts w:ascii="宋体" w:hAnsi="宋体"/>
          <w:sz w:val="24"/>
        </w:rPr>
        <w:t>提供相同品牌产品的不同投标人参加同一合同项下投标的</w:t>
      </w:r>
      <w:r>
        <w:rPr>
          <w:rFonts w:hint="eastAsia" w:ascii="宋体" w:hAnsi="宋体"/>
          <w:sz w:val="24"/>
        </w:rPr>
        <w:t>，</w:t>
      </w:r>
      <w:r>
        <w:rPr>
          <w:rFonts w:ascii="宋体" w:hAnsi="宋体"/>
          <w:sz w:val="24"/>
        </w:rPr>
        <w:t>以其中通过资格审查、符合性审查且报价最低的参加评标；报价相同的</w:t>
      </w:r>
      <w:r>
        <w:rPr>
          <w:rFonts w:hint="eastAsia" w:ascii="宋体" w:hAnsi="宋体"/>
          <w:sz w:val="24"/>
        </w:rPr>
        <w:t>，</w:t>
      </w:r>
      <w:r>
        <w:rPr>
          <w:rFonts w:ascii="宋体" w:hAnsi="宋体"/>
          <w:sz w:val="24"/>
        </w:rPr>
        <w:t>由采购人或者采购人委托评标委员会按照招标文件规定的方式确定一个参加评标的投标人</w:t>
      </w:r>
      <w:r>
        <w:rPr>
          <w:rFonts w:hint="eastAsia" w:ascii="宋体" w:hAnsi="宋体"/>
          <w:sz w:val="24"/>
        </w:rPr>
        <w:t>，</w:t>
      </w:r>
      <w:r>
        <w:rPr>
          <w:rFonts w:ascii="宋体" w:hAnsi="宋体"/>
          <w:sz w:val="24"/>
        </w:rPr>
        <w:t>招标文件未规定的采取随机抽取方式确定</w:t>
      </w:r>
      <w:r>
        <w:rPr>
          <w:rFonts w:hint="eastAsia" w:ascii="宋体" w:hAnsi="宋体"/>
          <w:sz w:val="24"/>
        </w:rPr>
        <w:t>，</w:t>
      </w:r>
      <w:r>
        <w:rPr>
          <w:rFonts w:ascii="宋体" w:hAnsi="宋体"/>
          <w:sz w:val="24"/>
        </w:rPr>
        <w:t>其他投标无效。</w:t>
      </w:r>
    </w:p>
    <w:p w14:paraId="6A212CB8">
      <w:pPr>
        <w:spacing w:line="500" w:lineRule="exact"/>
        <w:ind w:firstLine="482" w:firstLineChars="200"/>
        <w:rPr>
          <w:rFonts w:ascii="宋体" w:hAnsi="宋体"/>
          <w:sz w:val="24"/>
        </w:rPr>
      </w:pPr>
      <w:r>
        <w:rPr>
          <w:rFonts w:hint="eastAsia" w:ascii="宋体" w:hAnsi="宋体" w:cs="宋体"/>
          <w:b/>
          <w:bCs/>
          <w:sz w:val="24"/>
          <w:szCs w:val="24"/>
        </w:rPr>
        <w:t>使用综合评分法的采购项目</w:t>
      </w:r>
      <w:r>
        <w:rPr>
          <w:rFonts w:hint="eastAsia" w:ascii="宋体" w:hAnsi="宋体"/>
          <w:b/>
          <w:sz w:val="24"/>
        </w:rPr>
        <w:t>，</w:t>
      </w:r>
      <w:r>
        <w:rPr>
          <w:rFonts w:ascii="宋体" w:hAnsi="宋体"/>
          <w:sz w:val="24"/>
        </w:rPr>
        <w:t>提供相同品牌产品且通过资格审查、符合性审查的不同投标人参加同一合同项下投标的</w:t>
      </w:r>
      <w:r>
        <w:rPr>
          <w:rFonts w:hint="eastAsia" w:ascii="宋体" w:hAnsi="宋体"/>
          <w:sz w:val="24"/>
        </w:rPr>
        <w:t>，</w:t>
      </w:r>
      <w:r>
        <w:rPr>
          <w:rFonts w:ascii="宋体" w:hAnsi="宋体"/>
          <w:sz w:val="24"/>
        </w:rPr>
        <w:t>按一家投标人计算</w:t>
      </w:r>
      <w:r>
        <w:rPr>
          <w:rFonts w:hint="eastAsia" w:ascii="宋体" w:hAnsi="宋体"/>
          <w:sz w:val="24"/>
        </w:rPr>
        <w:t>，</w:t>
      </w:r>
      <w:r>
        <w:rPr>
          <w:rFonts w:ascii="宋体" w:hAnsi="宋体"/>
          <w:sz w:val="24"/>
        </w:rPr>
        <w:t>评审后得分最高的同品牌投标人获得中标人推荐资格；评审得分相同的</w:t>
      </w:r>
      <w:r>
        <w:rPr>
          <w:rFonts w:hint="eastAsia" w:ascii="宋体" w:hAnsi="宋体"/>
          <w:sz w:val="24"/>
        </w:rPr>
        <w:t>，</w:t>
      </w:r>
      <w:r>
        <w:rPr>
          <w:rFonts w:ascii="宋体" w:hAnsi="宋体"/>
          <w:sz w:val="24"/>
        </w:rPr>
        <w:t>由采购人或者采购人委托评标委员会按照招标文件规定的方式确定一个投标人获得中标人推荐资格</w:t>
      </w:r>
      <w:r>
        <w:rPr>
          <w:rFonts w:hint="eastAsia" w:ascii="宋体" w:hAnsi="宋体"/>
          <w:sz w:val="24"/>
        </w:rPr>
        <w:t>，</w:t>
      </w:r>
      <w:r>
        <w:rPr>
          <w:rFonts w:ascii="宋体" w:hAnsi="宋体"/>
          <w:sz w:val="24"/>
        </w:rPr>
        <w:t>招标文件未规定的采取随机抽取方式确定</w:t>
      </w:r>
      <w:r>
        <w:rPr>
          <w:rFonts w:hint="eastAsia" w:ascii="宋体" w:hAnsi="宋体"/>
          <w:sz w:val="24"/>
        </w:rPr>
        <w:t>，</w:t>
      </w:r>
      <w:r>
        <w:rPr>
          <w:rFonts w:ascii="宋体" w:hAnsi="宋体"/>
          <w:sz w:val="24"/>
        </w:rPr>
        <w:t>其他同品牌投标人不作为中标候选人。</w:t>
      </w:r>
    </w:p>
    <w:p w14:paraId="4D3448AB">
      <w:pPr>
        <w:spacing w:line="500" w:lineRule="exact"/>
        <w:ind w:firstLine="482" w:firstLineChars="200"/>
        <w:rPr>
          <w:rFonts w:ascii="宋体" w:hAnsi="宋体"/>
          <w:sz w:val="24"/>
        </w:rPr>
      </w:pPr>
      <w:r>
        <w:rPr>
          <w:rFonts w:hint="eastAsia" w:ascii="宋体" w:hAnsi="宋体" w:cs="宋体"/>
          <w:b/>
          <w:bCs/>
          <w:sz w:val="24"/>
          <w:szCs w:val="24"/>
        </w:rPr>
        <w:t>非单一产品采购项目，</w:t>
      </w:r>
      <w:r>
        <w:rPr>
          <w:rFonts w:ascii="宋体" w:hAnsi="宋体"/>
          <w:sz w:val="24"/>
        </w:rPr>
        <w:t>采购人应当根据采购项目技术构成、产品价格比重等合理确定核心产品</w:t>
      </w:r>
      <w:r>
        <w:rPr>
          <w:rFonts w:hint="eastAsia" w:ascii="宋体" w:hAnsi="宋体"/>
          <w:sz w:val="24"/>
        </w:rPr>
        <w:t>，</w:t>
      </w:r>
      <w:r>
        <w:rPr>
          <w:rFonts w:ascii="宋体" w:hAnsi="宋体"/>
          <w:sz w:val="24"/>
        </w:rPr>
        <w:t>并在招标文件中载明。多家投标人提供的核心产品品牌相同的</w:t>
      </w:r>
      <w:r>
        <w:rPr>
          <w:rFonts w:hint="eastAsia" w:ascii="宋体" w:hAnsi="宋体"/>
          <w:sz w:val="24"/>
        </w:rPr>
        <w:t>，</w:t>
      </w:r>
      <w:r>
        <w:rPr>
          <w:rFonts w:ascii="宋体" w:hAnsi="宋体"/>
          <w:sz w:val="24"/>
        </w:rPr>
        <w:t>按前两款规定处理。</w:t>
      </w:r>
      <w:r>
        <w:rPr>
          <w:rFonts w:hint="eastAsia" w:ascii="宋体" w:hAnsi="宋体"/>
          <w:sz w:val="24"/>
        </w:rPr>
        <w:t>(87号令第31条)</w:t>
      </w:r>
    </w:p>
    <w:p w14:paraId="52AF7D64">
      <w:pPr>
        <w:pStyle w:val="41"/>
        <w:spacing w:before="0" w:beforeAutospacing="0" w:after="0" w:afterAutospacing="0" w:line="500" w:lineRule="exact"/>
        <w:ind w:firstLine="480" w:firstLineChars="200"/>
        <w:jc w:val="both"/>
        <w:rPr>
          <w:rFonts w:ascii="Calibri" w:hAnsi="Calibri"/>
        </w:rPr>
      </w:pPr>
      <w:r>
        <w:rPr>
          <w:rFonts w:hint="eastAsia"/>
          <w:color w:val="000000"/>
        </w:rPr>
        <w:t>26.7投标人在开、评标全过程中应保持通讯畅通，及时取得联系查阅、答复相关信息，并安排专人与采购人及评标委员会联系。</w:t>
      </w:r>
    </w:p>
    <w:p w14:paraId="609A478E">
      <w:pPr>
        <w:keepNext/>
        <w:keepLines/>
        <w:spacing w:line="500" w:lineRule="exact"/>
        <w:ind w:firstLine="480" w:firstLineChars="200"/>
        <w:rPr>
          <w:b/>
          <w:bCs/>
        </w:rPr>
      </w:pPr>
      <w:r>
        <w:rPr>
          <w:rFonts w:hint="eastAsia" w:ascii="宋体" w:hAnsi="宋体" w:cs="宋体"/>
          <w:sz w:val="24"/>
          <w:szCs w:val="24"/>
        </w:rPr>
        <w:t>2</w:t>
      </w:r>
      <w:r>
        <w:rPr>
          <w:rFonts w:ascii="宋体" w:hAnsi="宋体" w:cs="宋体"/>
          <w:sz w:val="24"/>
          <w:szCs w:val="24"/>
        </w:rPr>
        <w:t>7</w:t>
      </w:r>
      <w:r>
        <w:rPr>
          <w:rFonts w:hint="eastAsia" w:ascii="宋体" w:hAnsi="宋体" w:cs="宋体"/>
          <w:sz w:val="24"/>
          <w:szCs w:val="24"/>
        </w:rPr>
        <w:t>、无效投标条款和废标条款</w:t>
      </w:r>
    </w:p>
    <w:p w14:paraId="1E5FE404">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.1无效投标条款</w:t>
      </w:r>
    </w:p>
    <w:p w14:paraId="0B90D1A1">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.1.1未按照招标文件规定要求密封、签署、盖章的；</w:t>
      </w:r>
    </w:p>
    <w:p w14:paraId="235553A8">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.1.2投标人在报价时采用选择性报价；</w:t>
      </w:r>
    </w:p>
    <w:p w14:paraId="2307E64D">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.1.3投标人不具备招标文件中规定资格要求的；</w:t>
      </w:r>
    </w:p>
    <w:p w14:paraId="6316766D">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.1.4投标人的报价超过了采购预算或最高限价的；</w:t>
      </w:r>
    </w:p>
    <w:p w14:paraId="16697456">
      <w:pPr>
        <w:spacing w:line="500" w:lineRule="exact"/>
        <w:ind w:firstLine="480" w:firstLineChars="200"/>
        <w:rPr>
          <w:rFonts w:ascii="宋体" w:hAnsi="宋体"/>
          <w:bCs/>
          <w:i/>
          <w:sz w:val="24"/>
          <w:u w:val="single"/>
        </w:rPr>
      </w:pPr>
      <w:r>
        <w:rPr>
          <w:rFonts w:hint="eastAsia" w:ascii="宋体" w:hAnsi="宋体"/>
          <w:bCs/>
          <w:sz w:val="24"/>
        </w:rPr>
        <w:t>2</w:t>
      </w:r>
      <w:r>
        <w:rPr>
          <w:rFonts w:ascii="宋体" w:hAnsi="宋体"/>
          <w:bCs/>
          <w:sz w:val="24"/>
        </w:rPr>
        <w:t>7</w:t>
      </w:r>
      <w:r>
        <w:rPr>
          <w:rFonts w:hint="eastAsia" w:ascii="宋体" w:hAnsi="宋体"/>
          <w:bCs/>
          <w:sz w:val="24"/>
        </w:rPr>
        <w:t>.1.5未通过符合性检查的；</w:t>
      </w:r>
    </w:p>
    <w:p w14:paraId="4DC30E42">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.1.6不符合招标文件中规定的其他实质性要求和条件的；</w:t>
      </w:r>
    </w:p>
    <w:p w14:paraId="2293066C">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.1.7投标人串通投标；</w:t>
      </w:r>
    </w:p>
    <w:p w14:paraId="1FB5908A">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.1.8投标文件含有采购人不能接受的附加条件的。</w:t>
      </w:r>
    </w:p>
    <w:p w14:paraId="2BEF5924">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1.9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307792B">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.1.10其他法律、法规及本招标文件规定的属无效投标的情形。</w:t>
      </w:r>
    </w:p>
    <w:p w14:paraId="2FDF1550">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.2废标条款：</w:t>
      </w:r>
    </w:p>
    <w:p w14:paraId="2CD5E3E8">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.2.1符合专业条件的供应商或者对招标文件作实质响应的供应商不足三家的；</w:t>
      </w:r>
    </w:p>
    <w:p w14:paraId="0B460797">
      <w:pPr>
        <w:pStyle w:val="17"/>
        <w:spacing w:line="500" w:lineRule="exact"/>
        <w:ind w:firstLine="480" w:firstLineChars="200"/>
        <w:rPr>
          <w:rFonts w:ascii="宋体" w:hAnsi="宋体" w:eastAsia="宋体" w:cs="宋体"/>
          <w:bCs/>
          <w:sz w:val="24"/>
        </w:rPr>
      </w:pPr>
      <w:r>
        <w:rPr>
          <w:rFonts w:hint="eastAsia" w:ascii="宋体" w:hAnsi="宋体"/>
          <w:bCs/>
          <w:sz w:val="24"/>
        </w:rPr>
        <w:t>2</w:t>
      </w:r>
      <w:r>
        <w:rPr>
          <w:rFonts w:ascii="宋体" w:hAnsi="宋体"/>
          <w:bCs/>
          <w:sz w:val="24"/>
        </w:rPr>
        <w:t>7</w:t>
      </w:r>
      <w:r>
        <w:rPr>
          <w:rFonts w:hint="eastAsia" w:ascii="宋体" w:hAnsi="宋体"/>
          <w:bCs/>
          <w:sz w:val="24"/>
        </w:rPr>
        <w:t>.2.2</w:t>
      </w:r>
      <w:r>
        <w:rPr>
          <w:rFonts w:hint="eastAsia" w:ascii="宋体" w:hAnsi="宋体" w:eastAsia="宋体" w:cs="宋体"/>
          <w:bCs/>
          <w:sz w:val="24"/>
        </w:rPr>
        <w:t>出现影响采购公正的违法、违规行为的；</w:t>
      </w:r>
    </w:p>
    <w:p w14:paraId="4F75ABF3">
      <w:pPr>
        <w:pStyle w:val="17"/>
        <w:spacing w:line="500" w:lineRule="exact"/>
        <w:ind w:firstLine="480" w:firstLineChars="200"/>
        <w:rPr>
          <w:rFonts w:ascii="宋体" w:hAnsi="宋体" w:eastAsia="宋体" w:cs="宋体"/>
          <w:bCs/>
          <w:sz w:val="24"/>
        </w:rPr>
      </w:pPr>
      <w:r>
        <w:rPr>
          <w:rFonts w:hint="eastAsia" w:ascii="宋体" w:hAnsi="宋体" w:eastAsia="宋体" w:cs="宋体"/>
          <w:bCs/>
          <w:sz w:val="24"/>
        </w:rPr>
        <w:t>2</w:t>
      </w:r>
      <w:r>
        <w:rPr>
          <w:rFonts w:ascii="宋体" w:hAnsi="宋体" w:eastAsia="宋体" w:cs="宋体"/>
          <w:bCs/>
          <w:sz w:val="24"/>
        </w:rPr>
        <w:t>7</w:t>
      </w:r>
      <w:r>
        <w:rPr>
          <w:rFonts w:hint="eastAsia" w:ascii="宋体" w:hAnsi="宋体" w:eastAsia="宋体" w:cs="宋体"/>
          <w:bCs/>
          <w:sz w:val="24"/>
        </w:rPr>
        <w:t>.2.3因重大变故，采购任务取消的；</w:t>
      </w:r>
    </w:p>
    <w:p w14:paraId="0D06C73B">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.2.4评标委员会认定招标文件存在歧义、重大缺陷导致评审工作无法进行。</w:t>
      </w:r>
    </w:p>
    <w:p w14:paraId="69893C31">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.3投标截止时间结束后参加投标的供应商不足三家的处理：</w:t>
      </w:r>
    </w:p>
    <w:p w14:paraId="6098B0F3">
      <w:pPr>
        <w:spacing w:line="500" w:lineRule="exact"/>
        <w:ind w:firstLine="480" w:firstLineChars="200"/>
        <w:rPr>
          <w:rFonts w:ascii="宋体" w:hAnsi="宋体"/>
          <w:bCs/>
          <w:sz w:val="24"/>
        </w:rPr>
      </w:pPr>
      <w:r>
        <w:rPr>
          <w:rFonts w:hint="eastAsia" w:ascii="宋体" w:hAnsi="宋体"/>
          <w:bCs/>
          <w:sz w:val="24"/>
        </w:rPr>
        <w:t>2</w:t>
      </w:r>
      <w:r>
        <w:rPr>
          <w:rFonts w:ascii="宋体" w:hAnsi="宋体"/>
          <w:bCs/>
          <w:sz w:val="24"/>
        </w:rPr>
        <w:t>7</w:t>
      </w:r>
      <w:r>
        <w:rPr>
          <w:rFonts w:hint="eastAsia" w:ascii="宋体" w:hAnsi="宋体"/>
          <w:bCs/>
          <w:sz w:val="24"/>
        </w:rPr>
        <w:t>.3.1如出现投标截止时间结束后参加投标的供应商或者在评标期间对招标文件做出实质响应的供应商不足三家情况，按财政部第八十七号令第四十三条的规定执行。</w:t>
      </w:r>
    </w:p>
    <w:p w14:paraId="4EA4393C">
      <w:pPr>
        <w:pStyle w:val="3"/>
        <w:spacing w:before="0" w:after="0" w:line="500" w:lineRule="exact"/>
        <w:ind w:firstLine="482" w:firstLineChars="200"/>
        <w:jc w:val="both"/>
        <w:rPr>
          <w:sz w:val="24"/>
          <w:szCs w:val="24"/>
        </w:rPr>
      </w:pPr>
      <w:r>
        <w:rPr>
          <w:rFonts w:hint="eastAsia"/>
          <w:sz w:val="24"/>
          <w:szCs w:val="24"/>
        </w:rPr>
        <w:t>六、定标</w:t>
      </w:r>
    </w:p>
    <w:p w14:paraId="79BD4DFC">
      <w:pPr>
        <w:spacing w:line="500" w:lineRule="exact"/>
        <w:ind w:firstLine="482" w:firstLineChars="200"/>
        <w:rPr>
          <w:rFonts w:ascii="宋体" w:hAnsi="宋体" w:cs="宋体"/>
          <w:b/>
          <w:bCs/>
          <w:sz w:val="24"/>
          <w:szCs w:val="24"/>
        </w:rPr>
      </w:pPr>
      <w:r>
        <w:rPr>
          <w:rFonts w:ascii="宋体" w:hAnsi="宋体" w:cs="宋体"/>
          <w:b/>
          <w:bCs/>
          <w:sz w:val="24"/>
          <w:szCs w:val="24"/>
        </w:rPr>
        <w:t>28</w:t>
      </w:r>
      <w:r>
        <w:rPr>
          <w:rFonts w:hint="eastAsia" w:ascii="宋体" w:hAnsi="宋体" w:cs="宋体"/>
          <w:b/>
          <w:bCs/>
          <w:sz w:val="24"/>
          <w:szCs w:val="24"/>
        </w:rPr>
        <w:t>、确定中标单位</w:t>
      </w:r>
    </w:p>
    <w:p w14:paraId="5533CA55">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.1评委会根据本招标文件规定评标方法与评标标准向采购人推荐出中标候选人。</w:t>
      </w:r>
    </w:p>
    <w:p w14:paraId="26173ADD">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.2采购人应根据评委会推荐的中标候选人确定中标供应商。</w:t>
      </w:r>
    </w:p>
    <w:p w14:paraId="4656DED2">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.3代理机构将在</w:t>
      </w:r>
      <w:r>
        <w:rPr>
          <w:rFonts w:hint="eastAsia" w:ascii="宋体" w:hAnsi="宋体"/>
          <w:sz w:val="24"/>
        </w:rPr>
        <w:t>“江苏医药职业学院网”</w:t>
      </w:r>
      <w:r>
        <w:rPr>
          <w:rFonts w:hint="eastAsia" w:ascii="宋体" w:hAnsi="宋体"/>
          <w:bCs/>
          <w:sz w:val="24"/>
        </w:rPr>
        <w:t>发布中标公告，公告期限为1个工作日。</w:t>
      </w:r>
    </w:p>
    <w:p w14:paraId="7A42F3C4">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.4若有充分证据证明，中标供应商出现下列情况之一的，一经查实，将被取消中标资格：</w:t>
      </w:r>
    </w:p>
    <w:p w14:paraId="64241026">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.4.1提供虚假材料谋取中标的；</w:t>
      </w:r>
    </w:p>
    <w:p w14:paraId="5A381FA0">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.4.2向采购人、代理机构行贿或者提供其他不正当利益的；</w:t>
      </w:r>
    </w:p>
    <w:p w14:paraId="429A22FD">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.4.3恶意竞争，投标总报价明显低于其自身合理成本且又无法提供证明的；</w:t>
      </w:r>
    </w:p>
    <w:p w14:paraId="26EFD9AC">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.4.4属于本文件规定的无效条件，但在评标过程中又未被评委会发现的；</w:t>
      </w:r>
    </w:p>
    <w:p w14:paraId="21F56CDB">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.4.5与采购人或者其他供应商恶意串通的；</w:t>
      </w:r>
    </w:p>
    <w:p w14:paraId="09CE485F">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.4.6采取不正当手段诋毁、排挤其他供应商的；</w:t>
      </w:r>
    </w:p>
    <w:p w14:paraId="4CF8A003">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.4.7不符合法律、法规的规定的。</w:t>
      </w:r>
    </w:p>
    <w:p w14:paraId="3918B4CD">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.5有下列情形之一的，视为投标人串通投标，投标无效：</w:t>
      </w:r>
    </w:p>
    <w:p w14:paraId="3E1727A6">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.5.1不同投标人的投标文件由同一单位或者个人编制。</w:t>
      </w:r>
    </w:p>
    <w:p w14:paraId="63CE9CCB">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.5.2不同投标人委托同一单位或者个人办理投标事宜。</w:t>
      </w:r>
    </w:p>
    <w:p w14:paraId="1C4489A6">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.5.3不同投标人的投标文件载明的项目管理成员或者联系人员为同一人。</w:t>
      </w:r>
    </w:p>
    <w:p w14:paraId="6165AE9B">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.5.4不同投标人的投标文件异常一致或者投标报价呈规律性差异。</w:t>
      </w:r>
    </w:p>
    <w:p w14:paraId="5C94C297">
      <w:pPr>
        <w:spacing w:line="500" w:lineRule="exact"/>
        <w:ind w:firstLine="480" w:firstLineChars="200"/>
        <w:rPr>
          <w:rFonts w:ascii="宋体" w:hAnsi="宋体"/>
          <w:bCs/>
          <w:sz w:val="24"/>
        </w:rPr>
      </w:pPr>
      <w:r>
        <w:rPr>
          <w:rFonts w:ascii="宋体" w:hAnsi="宋体"/>
          <w:bCs/>
          <w:sz w:val="24"/>
        </w:rPr>
        <w:t>28</w:t>
      </w:r>
      <w:r>
        <w:rPr>
          <w:rFonts w:hint="eastAsia" w:ascii="宋体" w:hAnsi="宋体"/>
          <w:bCs/>
          <w:sz w:val="24"/>
        </w:rPr>
        <w:t>.5.5不同投标人的投标文件相互混装。</w:t>
      </w:r>
    </w:p>
    <w:p w14:paraId="5C0F9AA2">
      <w:pPr>
        <w:spacing w:line="500" w:lineRule="exact"/>
        <w:ind w:firstLine="482" w:firstLineChars="200"/>
        <w:rPr>
          <w:rFonts w:ascii="宋体" w:hAnsi="宋体" w:cs="宋体"/>
          <w:b/>
          <w:bCs/>
          <w:sz w:val="24"/>
          <w:szCs w:val="24"/>
        </w:rPr>
      </w:pPr>
      <w:r>
        <w:rPr>
          <w:rFonts w:ascii="宋体" w:hAnsi="宋体" w:cs="宋体"/>
          <w:b/>
          <w:bCs/>
          <w:sz w:val="24"/>
          <w:szCs w:val="24"/>
        </w:rPr>
        <w:t>29</w:t>
      </w:r>
      <w:r>
        <w:rPr>
          <w:rFonts w:hint="eastAsia" w:ascii="宋体" w:hAnsi="宋体" w:cs="宋体"/>
          <w:b/>
          <w:bCs/>
          <w:sz w:val="24"/>
          <w:szCs w:val="24"/>
        </w:rPr>
        <w:t>、质疑处理</w:t>
      </w:r>
      <w:r>
        <w:rPr>
          <w:rFonts w:hint="eastAsia" w:ascii="宋体" w:hAnsi="宋体" w:cs="宋体"/>
          <w:b/>
          <w:bCs/>
          <w:sz w:val="24"/>
          <w:szCs w:val="24"/>
        </w:rPr>
        <w:tab/>
      </w:r>
    </w:p>
    <w:p w14:paraId="71F6EE23">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1参加投标供应商认为招标文件、采购过程和中标结果使自己的权益受到损害的，可以在知道或应知其权益受到损害之日起三个工作日内，以书面形式向代理机构或采购人提出质疑。上述应知其权益受到损害之日，是指：</w:t>
      </w:r>
    </w:p>
    <w:p w14:paraId="0DD7E3BA">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.1.1对可以质疑的招标文件提出质疑的，为收到招标文件之日或者招标文件公告期限届满之日；</w:t>
      </w:r>
    </w:p>
    <w:p w14:paraId="73C27FD6">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.1.2对采购过程提出质疑的，为各采购程序环节结束之日；</w:t>
      </w:r>
    </w:p>
    <w:p w14:paraId="39C4E439">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.1.3对中标结果提出质疑的，为中标结果公告期限届满之日。</w:t>
      </w:r>
    </w:p>
    <w:p w14:paraId="334CADE3">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.2质疑必须按《政府采购法》、《政府采购法实施条例》及《江苏省政府采购供应商监督管理暂行办法》的相关规定提交，未按上述要求提交的质疑函（含传真、电子邮件等）代理机构有权不予受理。</w:t>
      </w:r>
    </w:p>
    <w:p w14:paraId="40030D96">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.3未参加投标活动的供应商或在投标活动中自身权益未受到损害的供应商所提出的质疑不予受理。</w:t>
      </w:r>
    </w:p>
    <w:p w14:paraId="49FBC4A1">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.4质疑函应当包括下列内容：</w:t>
      </w:r>
    </w:p>
    <w:p w14:paraId="08FE9C00">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.4.1质疑投标人的名称、地址、邮编、联系人、联系电话；</w:t>
      </w:r>
    </w:p>
    <w:p w14:paraId="0992E2D4">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.4.2具体的质疑事项及明确的请求；</w:t>
      </w:r>
    </w:p>
    <w:p w14:paraId="7E6BFE4C">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.4.3认为自己合法权益受到损害或可能受到损害的相关证据材料；</w:t>
      </w:r>
    </w:p>
    <w:p w14:paraId="26664E29">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.4.4提起质疑的日期；</w:t>
      </w:r>
    </w:p>
    <w:p w14:paraId="273C3447">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4.5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代理机构将不予受理。质疑人委托代理质疑的，应当向代理机构提交授权委托书，并载明委托代理的具体权限和事项。</w:t>
      </w:r>
    </w:p>
    <w:p w14:paraId="467379C9">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.5代理机构收到质疑函后，将对质疑的形式和内容进行审查，如质疑函内容、格式不符合规定，代理机构将告知质疑人进行补正。</w:t>
      </w:r>
    </w:p>
    <w:p w14:paraId="751A1EC3">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.6质疑人应当在法定质疑期限内进行补正并重新提交质疑函，拒不补正或者在法定期限内未重新提交质疑函的，为无效质疑，代理机构将不予受理。</w:t>
      </w:r>
    </w:p>
    <w:p w14:paraId="34395F25">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.7对于内容、格式符合规定的质疑函，代理机构应当在收到投标供应商的书面质疑后三个工作日内作出答复，并以书面形式通知质疑供应商和其他有关供应商，但答复的内容不得涉及商业秘密。</w:t>
      </w:r>
    </w:p>
    <w:p w14:paraId="5ED0F2C3">
      <w:pPr>
        <w:spacing w:line="500" w:lineRule="exact"/>
        <w:ind w:firstLine="480" w:firstLineChars="200"/>
        <w:rPr>
          <w:rFonts w:ascii="宋体" w:hAnsi="宋体"/>
          <w:bCs/>
          <w:sz w:val="24"/>
        </w:rPr>
      </w:pPr>
      <w:r>
        <w:rPr>
          <w:rFonts w:ascii="宋体" w:hAnsi="宋体"/>
          <w:bCs/>
          <w:sz w:val="24"/>
        </w:rPr>
        <w:t>29</w:t>
      </w:r>
      <w:r>
        <w:rPr>
          <w:rFonts w:hint="eastAsia" w:ascii="宋体" w:hAnsi="宋体"/>
          <w:bCs/>
          <w:sz w:val="24"/>
        </w:rPr>
        <w:t>.8投标人提出书面质疑必须有理、有据，不得恶意质疑或提交虚假质疑。否则，一经查实，代理机构有权依据政府采购的有关规定，报请政府采购监管部门对该投标人进行相应的行政处罚，并扣减其诚信记录分。</w:t>
      </w:r>
    </w:p>
    <w:p w14:paraId="08D7B4BF">
      <w:pPr>
        <w:spacing w:line="500" w:lineRule="exact"/>
        <w:ind w:firstLine="482" w:firstLineChars="200"/>
        <w:rPr>
          <w:rFonts w:ascii="宋体" w:hAnsi="宋体" w:cs="宋体"/>
          <w:b/>
          <w:bCs/>
          <w:sz w:val="24"/>
          <w:szCs w:val="24"/>
        </w:rPr>
      </w:pPr>
      <w:r>
        <w:rPr>
          <w:rFonts w:hint="eastAsia" w:ascii="宋体" w:hAnsi="宋体" w:cs="宋体"/>
          <w:b/>
          <w:bCs/>
          <w:sz w:val="24"/>
          <w:szCs w:val="24"/>
        </w:rPr>
        <w:t>3</w:t>
      </w:r>
      <w:r>
        <w:rPr>
          <w:rFonts w:ascii="宋体" w:hAnsi="宋体" w:cs="宋体"/>
          <w:b/>
          <w:bCs/>
          <w:sz w:val="24"/>
          <w:szCs w:val="24"/>
        </w:rPr>
        <w:t>0</w:t>
      </w:r>
      <w:r>
        <w:rPr>
          <w:rFonts w:hint="eastAsia" w:ascii="宋体" w:hAnsi="宋体" w:cs="宋体"/>
          <w:b/>
          <w:bCs/>
          <w:sz w:val="24"/>
          <w:szCs w:val="24"/>
        </w:rPr>
        <w:t>、中标通知书</w:t>
      </w:r>
    </w:p>
    <w:p w14:paraId="3FB6B76E">
      <w:pPr>
        <w:spacing w:line="500" w:lineRule="exact"/>
        <w:ind w:firstLine="480" w:firstLineChars="200"/>
        <w:rPr>
          <w:rFonts w:ascii="宋体" w:hAnsi="宋体"/>
          <w:bCs/>
          <w:sz w:val="24"/>
        </w:rPr>
      </w:pPr>
      <w:r>
        <w:rPr>
          <w:rFonts w:hint="eastAsia" w:ascii="宋体" w:hAnsi="宋体"/>
          <w:bCs/>
          <w:sz w:val="24"/>
        </w:rPr>
        <w:t>3</w:t>
      </w:r>
      <w:r>
        <w:rPr>
          <w:rFonts w:ascii="宋体" w:hAnsi="宋体"/>
          <w:bCs/>
          <w:sz w:val="24"/>
        </w:rPr>
        <w:t>0</w:t>
      </w:r>
      <w:r>
        <w:rPr>
          <w:rFonts w:hint="eastAsia" w:ascii="宋体" w:hAnsi="宋体"/>
          <w:bCs/>
          <w:sz w:val="24"/>
        </w:rPr>
        <w:t>.l中标结果公告质疑期满后，代理机构将向中标供应商发出中标通知书。</w:t>
      </w:r>
    </w:p>
    <w:p w14:paraId="59953AC8">
      <w:pPr>
        <w:spacing w:line="500" w:lineRule="exact"/>
        <w:ind w:firstLine="480" w:firstLineChars="200"/>
      </w:pPr>
      <w:r>
        <w:rPr>
          <w:rFonts w:hint="eastAsia" w:ascii="宋体" w:hAnsi="宋体"/>
          <w:bCs/>
          <w:sz w:val="24"/>
        </w:rPr>
        <w:t>3</w:t>
      </w:r>
      <w:r>
        <w:rPr>
          <w:rFonts w:ascii="宋体" w:hAnsi="宋体"/>
          <w:bCs/>
          <w:sz w:val="24"/>
        </w:rPr>
        <w:t>0</w:t>
      </w:r>
      <w:r>
        <w:rPr>
          <w:rFonts w:hint="eastAsia" w:ascii="宋体" w:hAnsi="宋体"/>
          <w:bCs/>
          <w:sz w:val="24"/>
        </w:rPr>
        <w:t>.2中标通知书将是合同的一个组成部分。对采购人和中标供应商均具有法律效力。中标通知书发出后，采购人改变中标结果的，或者中标供应商放弃中标项目的，应当依法承担法律责任。</w:t>
      </w:r>
    </w:p>
    <w:p w14:paraId="530A23BE">
      <w:pPr>
        <w:spacing w:line="500" w:lineRule="exact"/>
        <w:ind w:firstLine="482" w:firstLineChars="200"/>
        <w:rPr>
          <w:rFonts w:ascii="宋体" w:hAnsi="宋体" w:cs="宋体"/>
          <w:b/>
          <w:bCs/>
          <w:sz w:val="24"/>
          <w:szCs w:val="24"/>
        </w:rPr>
      </w:pPr>
      <w:r>
        <w:rPr>
          <w:rFonts w:hint="eastAsia" w:ascii="宋体" w:hAnsi="宋体" w:cs="宋体"/>
          <w:b/>
          <w:bCs/>
          <w:sz w:val="24"/>
          <w:szCs w:val="24"/>
        </w:rPr>
        <w:t>七、合同签订相关事项</w:t>
      </w:r>
    </w:p>
    <w:p w14:paraId="25FC6843">
      <w:pPr>
        <w:spacing w:line="500" w:lineRule="exact"/>
        <w:ind w:firstLine="482" w:firstLineChars="200"/>
        <w:rPr>
          <w:rFonts w:ascii="宋体" w:hAnsi="宋体" w:cs="宋体"/>
          <w:b/>
          <w:sz w:val="24"/>
          <w:szCs w:val="24"/>
        </w:rPr>
      </w:pPr>
      <w:r>
        <w:rPr>
          <w:rFonts w:hint="eastAsia" w:ascii="宋体" w:hAnsi="宋体" w:cs="宋体"/>
          <w:b/>
          <w:sz w:val="24"/>
          <w:szCs w:val="24"/>
        </w:rPr>
        <w:t>3</w:t>
      </w:r>
      <w:r>
        <w:rPr>
          <w:rFonts w:ascii="宋体" w:hAnsi="宋体" w:cs="宋体"/>
          <w:b/>
          <w:sz w:val="24"/>
          <w:szCs w:val="24"/>
        </w:rPr>
        <w:t>1</w:t>
      </w:r>
      <w:r>
        <w:rPr>
          <w:rFonts w:hint="eastAsia" w:ascii="宋体" w:hAnsi="宋体" w:cs="宋体"/>
          <w:b/>
          <w:sz w:val="24"/>
          <w:szCs w:val="24"/>
        </w:rPr>
        <w:t>、签订合同</w:t>
      </w:r>
    </w:p>
    <w:p w14:paraId="102734B3">
      <w:pPr>
        <w:spacing w:line="500" w:lineRule="exact"/>
        <w:ind w:firstLine="480" w:firstLineChars="200"/>
        <w:rPr>
          <w:rFonts w:ascii="宋体" w:hAnsi="宋体" w:cs="宋体"/>
          <w:bCs/>
          <w:sz w:val="24"/>
          <w:szCs w:val="24"/>
        </w:rPr>
      </w:pPr>
      <w:r>
        <w:rPr>
          <w:rFonts w:hint="eastAsia" w:ascii="宋体" w:hAnsi="宋体" w:cs="宋体"/>
          <w:bCs/>
          <w:sz w:val="24"/>
          <w:szCs w:val="24"/>
        </w:rPr>
        <w:t>3</w:t>
      </w:r>
      <w:r>
        <w:rPr>
          <w:rFonts w:ascii="宋体" w:hAnsi="宋体" w:cs="宋体"/>
          <w:bCs/>
          <w:sz w:val="24"/>
          <w:szCs w:val="24"/>
        </w:rPr>
        <w:t>1</w:t>
      </w:r>
      <w:r>
        <w:rPr>
          <w:rFonts w:hint="eastAsia" w:ascii="宋体" w:hAnsi="宋体" w:cs="宋体"/>
          <w:bCs/>
          <w:sz w:val="24"/>
          <w:szCs w:val="24"/>
        </w:rPr>
        <w:t>.l 中标供应商应按中标通知书规定的时间、地点，按照招标文件确定的事项与采购人签订政府采购合同，且不得迟于中标通知书发出之日起十五日内，由此给采购人造成损失的，中标供应商还应承担赔偿责任。</w:t>
      </w:r>
    </w:p>
    <w:p w14:paraId="6CCC8F7A">
      <w:pPr>
        <w:spacing w:line="500" w:lineRule="exact"/>
        <w:ind w:firstLine="480" w:firstLineChars="200"/>
        <w:rPr>
          <w:rFonts w:ascii="宋体" w:hAnsi="宋体" w:cs="宋体"/>
          <w:bCs/>
          <w:sz w:val="24"/>
          <w:szCs w:val="24"/>
        </w:rPr>
      </w:pPr>
      <w:r>
        <w:rPr>
          <w:rFonts w:hint="eastAsia" w:ascii="宋体" w:hAnsi="宋体" w:cs="宋体"/>
          <w:bCs/>
          <w:sz w:val="24"/>
          <w:szCs w:val="24"/>
        </w:rPr>
        <w:t>3</w:t>
      </w:r>
      <w:r>
        <w:rPr>
          <w:rFonts w:ascii="宋体" w:hAnsi="宋体" w:cs="宋体"/>
          <w:bCs/>
          <w:sz w:val="24"/>
          <w:szCs w:val="24"/>
        </w:rPr>
        <w:t>1</w:t>
      </w:r>
      <w:r>
        <w:rPr>
          <w:rFonts w:hint="eastAsia" w:ascii="宋体" w:hAnsi="宋体" w:cs="宋体"/>
          <w:bCs/>
          <w:sz w:val="24"/>
          <w:szCs w:val="24"/>
        </w:rPr>
        <w:t>.2 招标文件、中标供应商的投标文件及招标过程中有关澄清、承诺文件均应作为合同附件。</w:t>
      </w:r>
    </w:p>
    <w:p w14:paraId="43304E82">
      <w:pPr>
        <w:spacing w:line="500" w:lineRule="exact"/>
        <w:ind w:firstLine="480" w:firstLineChars="200"/>
      </w:pPr>
      <w:r>
        <w:rPr>
          <w:rFonts w:hint="eastAsia" w:ascii="宋体" w:hAnsi="宋体" w:cs="宋体"/>
          <w:bCs/>
          <w:sz w:val="24"/>
          <w:szCs w:val="24"/>
        </w:rPr>
        <w:t>3</w:t>
      </w:r>
      <w:r>
        <w:rPr>
          <w:rFonts w:ascii="宋体" w:hAnsi="宋体" w:cs="宋体"/>
          <w:bCs/>
          <w:sz w:val="24"/>
          <w:szCs w:val="24"/>
        </w:rPr>
        <w:t>1</w:t>
      </w:r>
      <w:r>
        <w:rPr>
          <w:rFonts w:hint="eastAsia" w:ascii="宋体" w:hAnsi="宋体" w:cs="宋体"/>
          <w:bCs/>
          <w:sz w:val="24"/>
          <w:szCs w:val="24"/>
        </w:rPr>
        <w:t>.3 签订合同后，中标供应商不得将货物及其他相关服务进行转包。未经采购人同意，中标供应商也不得采用分包的形式履行合同，否则采购人有权终止合同，中标供应商的履约保证金将不予退还。转包或分包造成采购人损失的，中标供应商应承担相应赔偿责任。</w:t>
      </w:r>
    </w:p>
    <w:p w14:paraId="330C10CD">
      <w:pPr>
        <w:tabs>
          <w:tab w:val="left" w:pos="900"/>
        </w:tabs>
        <w:spacing w:line="500" w:lineRule="exact"/>
        <w:ind w:firstLine="482" w:firstLineChars="200"/>
        <w:rPr>
          <w:rFonts w:ascii="宋体"/>
          <w:b/>
          <w:sz w:val="24"/>
          <w:szCs w:val="24"/>
        </w:rPr>
      </w:pPr>
      <w:r>
        <w:rPr>
          <w:rFonts w:ascii="宋体" w:hAnsi="宋体"/>
          <w:b/>
          <w:sz w:val="24"/>
          <w:szCs w:val="24"/>
        </w:rPr>
        <w:t>32</w:t>
      </w:r>
      <w:r>
        <w:rPr>
          <w:rFonts w:hint="eastAsia" w:ascii="宋体" w:hAnsi="宋体"/>
          <w:b/>
          <w:sz w:val="24"/>
          <w:szCs w:val="24"/>
        </w:rPr>
        <w:t>、履约保证金</w:t>
      </w:r>
    </w:p>
    <w:p w14:paraId="2DC42C5B">
      <w:pPr>
        <w:spacing w:line="500" w:lineRule="exact"/>
        <w:ind w:firstLine="482" w:firstLineChars="200"/>
        <w:rPr>
          <w:rFonts w:ascii="宋体" w:hAnsi="宋体" w:cs="宋体"/>
          <w:b/>
          <w:bCs/>
          <w:color w:val="000000"/>
          <w:sz w:val="24"/>
          <w:szCs w:val="24"/>
        </w:rPr>
      </w:pPr>
      <w:r>
        <w:rPr>
          <w:rFonts w:ascii="宋体" w:hAnsi="宋体"/>
          <w:b/>
          <w:sz w:val="24"/>
          <w:szCs w:val="24"/>
        </w:rPr>
        <w:t>32</w:t>
      </w:r>
      <w:r>
        <w:rPr>
          <w:rFonts w:hint="eastAsia" w:ascii="宋体" w:hAnsi="宋体" w:cs="宋体"/>
          <w:b/>
          <w:bCs/>
          <w:color w:val="000000"/>
          <w:sz w:val="24"/>
          <w:szCs w:val="24"/>
        </w:rPr>
        <w:t>.1在签订合同前，中标人需向招标人交纳履约保证金（请将履约保证金汇款凭证发送至QQ邮箱：</w:t>
      </w:r>
      <w:r>
        <w:fldChar w:fldCharType="begin"/>
      </w:r>
      <w:r>
        <w:instrText xml:space="preserve"> HYPERLINK "mailto:532223373@qq.com），具体金额为中标价的5%25" </w:instrText>
      </w:r>
      <w:r>
        <w:fldChar w:fldCharType="separate"/>
      </w:r>
      <w:r>
        <w:rPr>
          <w:rFonts w:hint="eastAsia" w:ascii="宋体" w:hAnsi="宋体" w:cs="宋体"/>
          <w:b/>
          <w:bCs/>
          <w:sz w:val="24"/>
          <w:szCs w:val="24"/>
          <w:u w:val="single"/>
        </w:rPr>
        <w:t>532223373@qq.com），具体金额为中标价的5%</w:t>
      </w:r>
      <w:r>
        <w:rPr>
          <w:rFonts w:hint="eastAsia" w:ascii="宋体" w:hAnsi="宋体" w:cs="宋体"/>
          <w:b/>
          <w:bCs/>
          <w:sz w:val="24"/>
          <w:szCs w:val="24"/>
          <w:u w:val="single"/>
        </w:rPr>
        <w:fldChar w:fldCharType="end"/>
      </w:r>
      <w:r>
        <w:rPr>
          <w:rFonts w:hint="eastAsia" w:ascii="宋体" w:hAnsi="宋体" w:cs="宋体"/>
          <w:b/>
          <w:bCs/>
          <w:color w:val="000000"/>
          <w:sz w:val="24"/>
          <w:szCs w:val="24"/>
        </w:rPr>
        <w:t>。拟中标人应当按照招标人的要求及时、足额缴纳履约保证金，履约保证金待项目验收结束后无质量问题一次性无息退还。</w:t>
      </w:r>
    </w:p>
    <w:p w14:paraId="7359A644">
      <w:pPr>
        <w:spacing w:line="500" w:lineRule="exact"/>
        <w:ind w:firstLine="480" w:firstLineChars="200"/>
        <w:rPr>
          <w:rFonts w:ascii="宋体" w:hAnsi="宋体" w:cs="宋体"/>
          <w:bCs/>
          <w:color w:val="000000"/>
          <w:sz w:val="24"/>
          <w:szCs w:val="24"/>
        </w:rPr>
      </w:pPr>
      <w:r>
        <w:rPr>
          <w:rFonts w:ascii="宋体" w:hAnsi="宋体" w:cs="宋体"/>
          <w:bCs/>
          <w:color w:val="000000"/>
          <w:sz w:val="24"/>
          <w:szCs w:val="24"/>
        </w:rPr>
        <w:t>32</w:t>
      </w:r>
      <w:r>
        <w:rPr>
          <w:rFonts w:hint="eastAsia" w:ascii="宋体" w:hAnsi="宋体" w:cs="宋体"/>
          <w:bCs/>
          <w:color w:val="000000"/>
          <w:sz w:val="24"/>
          <w:szCs w:val="24"/>
        </w:rPr>
        <w:t>.2履约保证金专户帐户信息</w:t>
      </w:r>
    </w:p>
    <w:p w14:paraId="7AC4B495">
      <w:pPr>
        <w:spacing w:line="500" w:lineRule="exact"/>
        <w:ind w:firstLine="480" w:firstLineChars="200"/>
        <w:rPr>
          <w:rFonts w:ascii="宋体" w:hAnsi="宋体" w:cs="宋体"/>
          <w:bCs/>
          <w:color w:val="000000"/>
          <w:sz w:val="24"/>
          <w:szCs w:val="24"/>
        </w:rPr>
      </w:pPr>
      <w:r>
        <w:rPr>
          <w:rFonts w:hint="eastAsia" w:ascii="宋体" w:hAnsi="宋体" w:cs="宋体"/>
          <w:bCs/>
          <w:color w:val="000000"/>
          <w:sz w:val="24"/>
          <w:szCs w:val="24"/>
        </w:rPr>
        <w:t>单位名称：江苏医药职业学院</w:t>
      </w:r>
    </w:p>
    <w:p w14:paraId="4957630D">
      <w:pPr>
        <w:spacing w:line="500" w:lineRule="exact"/>
        <w:ind w:firstLine="480" w:firstLineChars="200"/>
        <w:rPr>
          <w:rFonts w:ascii="宋体" w:hAnsi="宋体" w:cs="宋体"/>
          <w:bCs/>
          <w:color w:val="000000"/>
          <w:sz w:val="24"/>
          <w:szCs w:val="24"/>
        </w:rPr>
      </w:pPr>
      <w:r>
        <w:rPr>
          <w:rFonts w:hint="eastAsia" w:ascii="宋体" w:hAnsi="宋体" w:cs="宋体"/>
          <w:bCs/>
          <w:color w:val="000000"/>
          <w:sz w:val="24"/>
          <w:szCs w:val="24"/>
        </w:rPr>
        <w:t>开户行名称：建行盐城市城南支行</w:t>
      </w:r>
    </w:p>
    <w:p w14:paraId="342F390B">
      <w:pPr>
        <w:spacing w:line="500" w:lineRule="exact"/>
        <w:ind w:firstLine="480" w:firstLineChars="200"/>
        <w:rPr>
          <w:rFonts w:ascii="宋体" w:hAnsi="宋体" w:cs="宋体"/>
          <w:bCs/>
          <w:color w:val="000000"/>
          <w:sz w:val="24"/>
          <w:szCs w:val="24"/>
        </w:rPr>
      </w:pPr>
      <w:r>
        <w:rPr>
          <w:rFonts w:hint="eastAsia" w:ascii="宋体" w:hAnsi="宋体" w:cs="宋体"/>
          <w:bCs/>
          <w:color w:val="000000"/>
          <w:sz w:val="24"/>
          <w:szCs w:val="24"/>
        </w:rPr>
        <w:t>银行帐号：32001735038052500575</w:t>
      </w:r>
    </w:p>
    <w:p w14:paraId="1F5B6563">
      <w:pPr>
        <w:spacing w:line="500" w:lineRule="exact"/>
        <w:ind w:firstLine="480" w:firstLineChars="200"/>
        <w:rPr>
          <w:rFonts w:ascii="宋体" w:hAnsi="宋体" w:cs="宋体"/>
          <w:bCs/>
          <w:color w:val="000000"/>
          <w:sz w:val="24"/>
          <w:szCs w:val="24"/>
        </w:rPr>
      </w:pPr>
      <w:r>
        <w:rPr>
          <w:rFonts w:hint="eastAsia" w:ascii="宋体" w:hAnsi="宋体" w:cs="宋体"/>
          <w:bCs/>
          <w:color w:val="000000"/>
          <w:sz w:val="24"/>
          <w:szCs w:val="24"/>
        </w:rPr>
        <w:t>地    址：江苏省盐城市解放南路283号</w:t>
      </w:r>
    </w:p>
    <w:p w14:paraId="190A2573">
      <w:pPr>
        <w:spacing w:line="500" w:lineRule="exact"/>
        <w:ind w:firstLine="480" w:firstLineChars="200"/>
        <w:rPr>
          <w:rFonts w:ascii="宋体" w:hAnsi="宋体" w:cs="宋体"/>
          <w:bCs/>
          <w:color w:val="000000"/>
          <w:sz w:val="24"/>
          <w:szCs w:val="24"/>
        </w:rPr>
      </w:pPr>
      <w:r>
        <w:rPr>
          <w:rFonts w:hint="eastAsia" w:ascii="宋体" w:hAnsi="宋体" w:cs="宋体"/>
          <w:bCs/>
          <w:color w:val="000000"/>
          <w:sz w:val="24"/>
          <w:szCs w:val="24"/>
        </w:rPr>
        <w:t>电    话：0515-88550311</w:t>
      </w:r>
    </w:p>
    <w:p w14:paraId="29793816">
      <w:pPr>
        <w:spacing w:line="500" w:lineRule="exact"/>
        <w:ind w:firstLine="480" w:firstLineChars="200"/>
        <w:rPr>
          <w:rFonts w:ascii="宋体" w:hAnsi="宋体" w:cs="宋体"/>
          <w:bCs/>
          <w:color w:val="000000"/>
          <w:sz w:val="24"/>
          <w:szCs w:val="24"/>
        </w:rPr>
      </w:pPr>
      <w:r>
        <w:rPr>
          <w:rFonts w:ascii="宋体" w:hAnsi="宋体" w:cs="宋体"/>
          <w:bCs/>
          <w:color w:val="000000"/>
          <w:sz w:val="24"/>
          <w:szCs w:val="24"/>
        </w:rPr>
        <w:t>32</w:t>
      </w:r>
      <w:r>
        <w:rPr>
          <w:rFonts w:hint="eastAsia" w:ascii="宋体" w:hAnsi="宋体" w:cs="宋体"/>
          <w:bCs/>
          <w:color w:val="000000"/>
          <w:sz w:val="24"/>
          <w:szCs w:val="24"/>
        </w:rPr>
        <w:t>.3如果拟中标人没有在规定的时间内交纳履约保证金，或放弃中标、</w:t>
      </w:r>
      <w:r>
        <w:rPr>
          <w:rFonts w:ascii="宋体" w:hAnsi="宋体" w:cs="宋体"/>
          <w:bCs/>
          <w:color w:val="000000"/>
          <w:sz w:val="24"/>
          <w:szCs w:val="24"/>
        </w:rPr>
        <w:t>或被查实存在影响中标结果的违法行为</w:t>
      </w:r>
      <w:r>
        <w:rPr>
          <w:rFonts w:hint="eastAsia" w:ascii="宋体" w:hAnsi="宋体" w:cs="宋体"/>
          <w:bCs/>
          <w:color w:val="000000"/>
          <w:sz w:val="24"/>
          <w:szCs w:val="24"/>
        </w:rPr>
        <w:t>、或其他供应商对招标项目的质疑（投诉）成立、或拒绝遵守招标文件规定、响应承诺，或拒绝签订合同、或虽签署合同但不予履行等，则取消（拟）中标人资格，已经缴纳的履约保证金作为违约金不予退还。</w:t>
      </w:r>
    </w:p>
    <w:p w14:paraId="4EA9C767">
      <w:pPr>
        <w:spacing w:line="500" w:lineRule="exact"/>
        <w:ind w:firstLine="480" w:firstLineChars="200"/>
        <w:rPr>
          <w:rFonts w:ascii="宋体" w:hAnsi="宋体" w:cs="宋体"/>
          <w:bCs/>
          <w:color w:val="000000"/>
          <w:sz w:val="24"/>
          <w:szCs w:val="24"/>
        </w:rPr>
      </w:pPr>
      <w:r>
        <w:rPr>
          <w:rFonts w:ascii="宋体" w:hAnsi="宋体" w:cs="宋体"/>
          <w:bCs/>
          <w:color w:val="000000"/>
          <w:sz w:val="24"/>
          <w:szCs w:val="24"/>
        </w:rPr>
        <w:t>32</w:t>
      </w:r>
      <w:r>
        <w:rPr>
          <w:rFonts w:hint="eastAsia" w:ascii="宋体" w:hAnsi="宋体" w:cs="宋体"/>
          <w:bCs/>
          <w:color w:val="000000"/>
          <w:sz w:val="24"/>
          <w:szCs w:val="24"/>
        </w:rPr>
        <w:t>.4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14:paraId="7154FDD7">
      <w:pPr>
        <w:spacing w:line="500" w:lineRule="exact"/>
        <w:ind w:firstLine="480" w:firstLineChars="200"/>
        <w:rPr>
          <w:rFonts w:ascii="宋体" w:hAnsi="宋体" w:cs="宋体"/>
          <w:bCs/>
          <w:color w:val="000000"/>
          <w:sz w:val="24"/>
          <w:szCs w:val="24"/>
        </w:rPr>
      </w:pPr>
      <w:r>
        <w:rPr>
          <w:rFonts w:ascii="宋体" w:hAnsi="宋体" w:cs="宋体"/>
          <w:bCs/>
          <w:color w:val="000000"/>
          <w:sz w:val="24"/>
          <w:szCs w:val="24"/>
        </w:rPr>
        <w:t>32</w:t>
      </w:r>
      <w:r>
        <w:rPr>
          <w:rFonts w:hint="eastAsia" w:ascii="宋体" w:hAnsi="宋体" w:cs="宋体"/>
          <w:bCs/>
          <w:color w:val="000000"/>
          <w:sz w:val="24"/>
          <w:szCs w:val="24"/>
        </w:rPr>
        <w:t>.</w:t>
      </w:r>
      <w:r>
        <w:rPr>
          <w:rFonts w:ascii="宋体" w:hAnsi="宋体" w:cs="宋体"/>
          <w:bCs/>
          <w:color w:val="000000"/>
          <w:sz w:val="24"/>
          <w:szCs w:val="24"/>
        </w:rPr>
        <w:t xml:space="preserve">5 </w:t>
      </w:r>
      <w:r>
        <w:rPr>
          <w:rFonts w:hint="eastAsia" w:ascii="宋体" w:hAnsi="宋体" w:cs="宋体"/>
          <w:bCs/>
          <w:color w:val="000000"/>
          <w:sz w:val="24"/>
          <w:szCs w:val="24"/>
        </w:rPr>
        <w:t>根据盐城市财政局、盐城市公管办、盐城市信用办《关于在政府采购活动中应用第三方信用报告落实“信易购”应用场景的通知》（盐财购【2021】19号）文件精神，采购人对第三方信用服务机构依据标准规范评定为AA级及以上（需提供在“信用盐城”网站备案的第三方信用报告）的政府采购供应商，免收履约保证金或降级履约保证金缴纳比例及金额。收取履约保证金的，项目全部验收后由甲方免息返还给乙方；如因乙方单方面原因导致项目不能按时完成验收，履约保证金不予退还；项目全部验收后，如因甲方单方面原因导致履约保证金不能退还，甲方承担相应的法律责任。</w:t>
      </w:r>
    </w:p>
    <w:p w14:paraId="3B0FC3A7">
      <w:pPr>
        <w:keepNext/>
        <w:keepLines/>
        <w:spacing w:line="500" w:lineRule="exact"/>
        <w:ind w:firstLine="482" w:firstLineChars="200"/>
        <w:rPr>
          <w:rFonts w:ascii="宋体" w:hAnsi="宋体" w:cs="宋体"/>
          <w:b/>
          <w:sz w:val="24"/>
          <w:szCs w:val="24"/>
        </w:rPr>
      </w:pPr>
      <w:r>
        <w:rPr>
          <w:rFonts w:hint="eastAsia" w:ascii="宋体" w:hAnsi="宋体" w:cs="宋体"/>
          <w:b/>
          <w:sz w:val="24"/>
          <w:szCs w:val="24"/>
        </w:rPr>
        <w:t>3</w:t>
      </w:r>
      <w:r>
        <w:rPr>
          <w:rFonts w:ascii="宋体" w:hAnsi="宋体" w:cs="宋体"/>
          <w:b/>
          <w:sz w:val="24"/>
          <w:szCs w:val="24"/>
        </w:rPr>
        <w:t>3</w:t>
      </w:r>
      <w:r>
        <w:rPr>
          <w:rFonts w:hint="eastAsia" w:ascii="宋体" w:hAnsi="宋体" w:cs="宋体"/>
          <w:b/>
          <w:sz w:val="24"/>
          <w:szCs w:val="24"/>
        </w:rPr>
        <w:t>、政府采购履约资金扶持政策</w:t>
      </w:r>
    </w:p>
    <w:p w14:paraId="75A06012">
      <w:pPr>
        <w:widowControl/>
        <w:spacing w:line="500" w:lineRule="exact"/>
        <w:ind w:firstLine="480" w:firstLineChars="200"/>
        <w:rPr>
          <w:rFonts w:ascii="宋体" w:hAnsi="宋体" w:cs="宋体"/>
          <w:bCs/>
          <w:sz w:val="24"/>
          <w:szCs w:val="24"/>
        </w:rPr>
      </w:pPr>
      <w:r>
        <w:rPr>
          <w:rFonts w:hint="eastAsia" w:ascii="Calibri" w:hAnsi="Calibri" w:cs="Calibri"/>
          <w:bCs/>
          <w:sz w:val="24"/>
        </w:rPr>
        <w:t>根据《转发江苏省财政厅 中国人民银行南京分行&lt;关于深入推进政府采购线上合同信用融资工作的通知&gt;的通知》（盐财购〔2021〕20号）规定，中标供应商如有融资需求，可持政府采购合同在线向相关金融机构（具体信息详见盐城市政府采购网浮动窗口“政采贷”栏目）申请贷款，相关金融机构按照双方自愿的原则提供便捷、优惠的贷款服务；采购人应当依法按时在“苏采云”系统中录入并公开政府采购合同信息，勾选“融资贷款”选项，并在合同签订、验收付款、账号维护等环节提供必要便利，持续降低参与政府采购的中小企业融资成本。</w:t>
      </w:r>
    </w:p>
    <w:p w14:paraId="67285D8A">
      <w:pPr>
        <w:tabs>
          <w:tab w:val="left" w:pos="900"/>
        </w:tabs>
        <w:spacing w:line="500" w:lineRule="exact"/>
        <w:ind w:firstLine="482" w:firstLineChars="200"/>
        <w:rPr>
          <w:rFonts w:ascii="宋体" w:hAnsi="宋体"/>
          <w:b/>
          <w:sz w:val="24"/>
          <w:szCs w:val="24"/>
        </w:rPr>
      </w:pPr>
      <w:r>
        <w:rPr>
          <w:rFonts w:hint="eastAsia" w:ascii="宋体" w:hAnsi="宋体"/>
          <w:b/>
          <w:sz w:val="24"/>
          <w:szCs w:val="24"/>
        </w:rPr>
        <w:t>3</w:t>
      </w:r>
      <w:r>
        <w:rPr>
          <w:rFonts w:ascii="宋体" w:hAnsi="宋体"/>
          <w:b/>
          <w:sz w:val="24"/>
          <w:szCs w:val="24"/>
        </w:rPr>
        <w:t>4</w:t>
      </w:r>
      <w:r>
        <w:rPr>
          <w:rFonts w:hint="eastAsia" w:ascii="宋体" w:hAnsi="宋体"/>
          <w:b/>
          <w:sz w:val="24"/>
          <w:szCs w:val="24"/>
        </w:rPr>
        <w:t>、招标代理服务费</w:t>
      </w:r>
    </w:p>
    <w:p w14:paraId="5C10EA3B">
      <w:pPr>
        <w:spacing w:line="500" w:lineRule="exact"/>
        <w:ind w:firstLine="480" w:firstLineChars="200"/>
        <w:rPr>
          <w:rFonts w:ascii="宋体" w:hAnsi="宋体" w:cs="宋体"/>
          <w:bCs/>
          <w:color w:val="000000"/>
          <w:sz w:val="24"/>
          <w:szCs w:val="24"/>
        </w:rPr>
      </w:pPr>
      <w:r>
        <w:rPr>
          <w:rFonts w:hint="eastAsia" w:ascii="宋体" w:hAnsi="宋体" w:cs="宋体"/>
          <w:bCs/>
          <w:color w:val="000000"/>
          <w:sz w:val="24"/>
          <w:szCs w:val="24"/>
        </w:rPr>
        <w:t>1.投标人应自行承担所有与参加投标有关的费用，无论投标过程中的做法和结果如何，江苏国信政府采购服务中心有限公司（以下简称代理机构）在任何情况下均无义务和责任承担这些费用。</w:t>
      </w:r>
    </w:p>
    <w:p w14:paraId="4D004F13">
      <w:pPr>
        <w:spacing w:line="500" w:lineRule="exact"/>
        <w:ind w:firstLine="480" w:firstLineChars="200"/>
        <w:rPr>
          <w:rFonts w:ascii="宋体" w:hAnsi="宋体" w:cs="宋体"/>
          <w:bCs/>
          <w:color w:val="000000"/>
          <w:sz w:val="24"/>
          <w:szCs w:val="24"/>
        </w:rPr>
      </w:pPr>
      <w:r>
        <w:rPr>
          <w:rFonts w:hint="eastAsia" w:ascii="宋体" w:hAnsi="宋体" w:cs="宋体"/>
          <w:bCs/>
          <w:color w:val="000000"/>
          <w:sz w:val="24"/>
          <w:szCs w:val="24"/>
        </w:rPr>
        <w:t>2．招标采购代理费按《招标代理服务收费管理暂行办法》（计价格〔2002〕1980号）文件规定的收费标准×40%（如低于3000元的，按3000元计取）。招标完成后，由中标人向招标代理机构一次性付清。（本条不单独列表报价，自行综合考虑在投标报价中）</w:t>
      </w:r>
    </w:p>
    <w:p w14:paraId="53955189">
      <w:pPr>
        <w:rPr>
          <w:highlight w:val="yellow"/>
        </w:rPr>
      </w:pPr>
    </w:p>
    <w:p w14:paraId="49CC133C"/>
    <w:p w14:paraId="509EDDA7"/>
    <w:p w14:paraId="39849F05"/>
    <w:p w14:paraId="6FD7F1A2"/>
    <w:p w14:paraId="207104FD"/>
    <w:p w14:paraId="2C410B07"/>
    <w:p w14:paraId="2E27734E"/>
    <w:p w14:paraId="65B2F89F"/>
    <w:p w14:paraId="3DFEC042"/>
    <w:p w14:paraId="519EFB20"/>
    <w:p w14:paraId="32B9DE31"/>
    <w:p w14:paraId="753DAB08"/>
    <w:p w14:paraId="46544BBA"/>
    <w:p w14:paraId="41359F2C"/>
    <w:p w14:paraId="0D1FB46C"/>
    <w:bookmarkEnd w:id="52"/>
    <w:bookmarkEnd w:id="53"/>
    <w:bookmarkEnd w:id="54"/>
    <w:bookmarkEnd w:id="55"/>
    <w:bookmarkEnd w:id="56"/>
    <w:p w14:paraId="4D98B8DC">
      <w:pPr>
        <w:spacing w:line="500" w:lineRule="exact"/>
        <w:jc w:val="center"/>
        <w:rPr>
          <w:rFonts w:ascii="方正小标宋_GBK" w:hAnsi="方正小标宋_GBK" w:eastAsia="方正小标宋_GBK" w:cs="方正小标宋_GBK"/>
          <w:color w:val="000000"/>
          <w:sz w:val="44"/>
          <w:szCs w:val="44"/>
        </w:rPr>
      </w:pPr>
      <w:bookmarkStart w:id="73" w:name="_Toc16938590"/>
      <w:bookmarkStart w:id="74" w:name="_Toc20823346"/>
      <w:bookmarkStart w:id="75" w:name="_Toc120614244"/>
      <w:bookmarkStart w:id="76" w:name="_Toc479757211"/>
      <w:bookmarkStart w:id="77" w:name="_Toc462564139"/>
    </w:p>
    <w:p w14:paraId="78F9EF6D">
      <w:pPr>
        <w:spacing w:line="50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 xml:space="preserve"> </w:t>
      </w:r>
      <w:r>
        <w:rPr>
          <w:rFonts w:ascii="方正小标宋_GBK" w:hAnsi="方正小标宋_GBK" w:eastAsia="方正小标宋_GBK" w:cs="方正小标宋_GBK"/>
          <w:color w:val="000000"/>
          <w:sz w:val="44"/>
          <w:szCs w:val="44"/>
        </w:rPr>
        <w:t xml:space="preserve">                  </w:t>
      </w:r>
    </w:p>
    <w:p w14:paraId="72B2CFA3">
      <w:pPr>
        <w:spacing w:line="500" w:lineRule="exact"/>
        <w:ind w:firstLine="480" w:firstLineChars="200"/>
        <w:rPr>
          <w:rFonts w:ascii="宋体" w:hAnsi="宋体"/>
          <w:bCs/>
          <w:color w:val="000000"/>
          <w:sz w:val="24"/>
          <w:szCs w:val="24"/>
        </w:rPr>
      </w:pPr>
    </w:p>
    <w:p w14:paraId="325D4A7C">
      <w:pPr>
        <w:spacing w:line="500" w:lineRule="exact"/>
        <w:ind w:firstLine="2200" w:firstLineChars="500"/>
        <w:rPr>
          <w:rFonts w:ascii="方正小标宋_GBK" w:hAnsi="方正小标宋_GBK" w:eastAsia="方正小标宋_GBK" w:cs="方正小标宋_GBK"/>
          <w:color w:val="000000"/>
          <w:sz w:val="44"/>
          <w:szCs w:val="44"/>
        </w:rPr>
      </w:pPr>
    </w:p>
    <w:p w14:paraId="73C16839">
      <w:pPr>
        <w:spacing w:line="500" w:lineRule="exact"/>
        <w:ind w:firstLine="2200" w:firstLineChars="500"/>
        <w:rPr>
          <w:rFonts w:ascii="方正小标宋_GBK" w:hAnsi="方正小标宋_GBK" w:eastAsia="方正小标宋_GBK" w:cs="方正小标宋_GBK"/>
          <w:color w:val="000000"/>
          <w:sz w:val="44"/>
          <w:szCs w:val="44"/>
        </w:rPr>
      </w:pPr>
    </w:p>
    <w:p w14:paraId="145CBE93">
      <w:pPr>
        <w:spacing w:line="500" w:lineRule="exact"/>
        <w:ind w:firstLine="2640" w:firstLineChars="600"/>
        <w:outlineLvl w:val="0"/>
        <w:rPr>
          <w:rFonts w:ascii="宋体" w:hAnsi="宋体"/>
          <w:bCs/>
          <w:color w:val="000000"/>
          <w:sz w:val="24"/>
          <w:szCs w:val="24"/>
        </w:rPr>
      </w:pPr>
      <w:bookmarkStart w:id="78" w:name="_Toc181627030"/>
      <w:r>
        <w:rPr>
          <w:rFonts w:hint="eastAsia" w:ascii="方正小标宋_GBK" w:hAnsi="方正小标宋_GBK" w:eastAsia="方正小标宋_GBK" w:cs="方正小标宋_GBK"/>
          <w:color w:val="000000"/>
          <w:sz w:val="44"/>
          <w:szCs w:val="44"/>
        </w:rPr>
        <w:t>第三章  合同条款及格式</w:t>
      </w:r>
      <w:bookmarkEnd w:id="78"/>
    </w:p>
    <w:p w14:paraId="21BED028">
      <w:pPr>
        <w:spacing w:line="500" w:lineRule="exact"/>
        <w:ind w:firstLine="960" w:firstLineChars="400"/>
        <w:rPr>
          <w:rFonts w:ascii="宋体" w:hAnsi="宋体"/>
          <w:bCs/>
          <w:sz w:val="24"/>
          <w:szCs w:val="24"/>
        </w:rPr>
      </w:pPr>
      <w:r>
        <w:rPr>
          <w:rFonts w:hint="eastAsia" w:ascii="宋体" w:hAnsi="宋体"/>
          <w:bCs/>
          <w:sz w:val="24"/>
          <w:szCs w:val="24"/>
        </w:rPr>
        <w:t>以下为成交后签定本项目合同的通用条款，成交供应商不得提出实质性的修改，关于专用条款将由采购人与成交供应商结合本项目具体情况协商后签订。</w:t>
      </w:r>
    </w:p>
    <w:p w14:paraId="0B1ED0BD">
      <w:pPr>
        <w:snapToGrid w:val="0"/>
        <w:spacing w:before="145" w:beforeLines="50" w:after="145" w:afterLines="50" w:line="480" w:lineRule="exact"/>
        <w:jc w:val="center"/>
        <w:rPr>
          <w:rFonts w:ascii="方正小标宋_GBK" w:hAnsi="方正小标宋_GBK" w:eastAsia="方正小标宋_GBK" w:cs="方正小标宋_GBK"/>
          <w:bCs/>
          <w:color w:val="000000"/>
          <w:sz w:val="30"/>
          <w:szCs w:val="20"/>
        </w:rPr>
      </w:pPr>
      <w:bookmarkStart w:id="79" w:name="_Hlt16619369"/>
      <w:bookmarkEnd w:id="79"/>
      <w:r>
        <w:rPr>
          <w:rFonts w:hint="eastAsia" w:ascii="方正小标宋_GBK" w:hAnsi="方正小标宋_GBK" w:eastAsia="方正小标宋_GBK" w:cs="方正小标宋_GBK"/>
          <w:bCs/>
          <w:color w:val="000000"/>
          <w:sz w:val="30"/>
          <w:szCs w:val="24"/>
        </w:rPr>
        <w:t>采购合同</w:t>
      </w:r>
    </w:p>
    <w:p w14:paraId="01BB744B">
      <w:pPr>
        <w:spacing w:line="400" w:lineRule="exact"/>
        <w:ind w:firstLine="5766" w:firstLineChars="2872"/>
        <w:rPr>
          <w:rFonts w:ascii="仿宋" w:hAnsi="仿宋" w:eastAsia="仿宋" w:cs="仿宋"/>
          <w:sz w:val="20"/>
          <w:szCs w:val="20"/>
          <w:lang w:val="zh-CN"/>
        </w:rPr>
      </w:pPr>
      <w:r>
        <w:rPr>
          <w:rFonts w:hint="eastAsia" w:ascii="仿宋" w:hAnsi="仿宋" w:eastAsia="仿宋" w:cs="仿宋"/>
          <w:b/>
          <w:sz w:val="20"/>
          <w:szCs w:val="20"/>
          <w:lang w:val="zh-CN"/>
        </w:rPr>
        <w:t>合同编号：</w:t>
      </w:r>
      <w:r>
        <w:rPr>
          <w:rFonts w:ascii="仿宋" w:hAnsi="仿宋" w:eastAsia="仿宋" w:cs="仿宋"/>
          <w:sz w:val="20"/>
          <w:szCs w:val="20"/>
          <w:lang w:val="zh-CN"/>
        </w:rPr>
        <w:t>SY2024-030-FW-GK</w:t>
      </w:r>
    </w:p>
    <w:p w14:paraId="617F3BF4">
      <w:pPr>
        <w:spacing w:line="400" w:lineRule="exact"/>
        <w:ind w:firstLine="5766" w:firstLineChars="2872"/>
        <w:rPr>
          <w:rFonts w:ascii="仿宋" w:hAnsi="仿宋" w:eastAsia="仿宋" w:cs="仿宋"/>
          <w:sz w:val="20"/>
          <w:szCs w:val="20"/>
          <w:lang w:val="zh-CN"/>
        </w:rPr>
      </w:pPr>
      <w:r>
        <w:rPr>
          <w:rFonts w:hint="eastAsia" w:ascii="仿宋" w:hAnsi="仿宋" w:eastAsia="仿宋" w:cs="仿宋"/>
          <w:b/>
          <w:sz w:val="20"/>
          <w:szCs w:val="20"/>
          <w:lang w:val="zh-CN"/>
        </w:rPr>
        <w:t>签署地点：</w:t>
      </w:r>
      <w:r>
        <w:rPr>
          <w:rFonts w:hint="eastAsia" w:ascii="仿宋" w:hAnsi="仿宋" w:eastAsia="仿宋" w:cs="仿宋"/>
          <w:sz w:val="20"/>
          <w:szCs w:val="20"/>
          <w:lang w:val="zh-CN"/>
        </w:rPr>
        <w:t>江苏医药职业学院</w:t>
      </w:r>
    </w:p>
    <w:p w14:paraId="6F46463D">
      <w:pPr>
        <w:spacing w:line="500" w:lineRule="exact"/>
        <w:ind w:firstLine="480" w:firstLineChars="200"/>
        <w:rPr>
          <w:rFonts w:ascii="宋体" w:hAnsi="宋体"/>
          <w:bCs/>
          <w:sz w:val="24"/>
          <w:szCs w:val="24"/>
        </w:rPr>
      </w:pPr>
    </w:p>
    <w:p w14:paraId="0B7431F0">
      <w:pPr>
        <w:autoSpaceDE w:val="0"/>
        <w:autoSpaceDN w:val="0"/>
        <w:adjustRightInd w:val="0"/>
        <w:spacing w:line="400" w:lineRule="exact"/>
        <w:ind w:firstLine="420" w:firstLineChars="200"/>
        <w:rPr>
          <w:rFonts w:cs="仿宋" w:asciiTheme="minorEastAsia" w:hAnsiTheme="minorEastAsia" w:eastAsiaTheme="minorEastAsia"/>
          <w:lang w:val="zh-CN"/>
        </w:rPr>
      </w:pPr>
      <w:r>
        <w:rPr>
          <w:rFonts w:hint="eastAsia" w:cs="仿宋" w:asciiTheme="minorEastAsia" w:hAnsiTheme="minorEastAsia" w:eastAsiaTheme="minorEastAsia"/>
          <w:lang w:val="zh-CN"/>
        </w:rPr>
        <w:t>为了维护甲、乙双方合法权益，根据《中华人民共和国民法典》和江苏医药职业学院</w:t>
      </w:r>
      <w:r>
        <w:rPr>
          <w:rFonts w:hint="eastAsia" w:cs="仿宋" w:asciiTheme="minorEastAsia" w:hAnsiTheme="minorEastAsia" w:eastAsiaTheme="minorEastAsia"/>
          <w:u w:val="single"/>
          <w:lang w:val="zh-CN"/>
        </w:rPr>
        <w:t>网络驻场运维服务</w:t>
      </w:r>
      <w:r>
        <w:rPr>
          <w:rFonts w:hint="eastAsia" w:cs="仿宋" w:asciiTheme="minorEastAsia" w:hAnsiTheme="minorEastAsia" w:eastAsiaTheme="minorEastAsia"/>
          <w:lang w:val="zh-CN"/>
        </w:rPr>
        <w:t>的采购文件、响应文件及其在采购过程中的承诺，经双方协商，同意签定本合同，共同遵守。</w:t>
      </w:r>
    </w:p>
    <w:p w14:paraId="1EC375E1">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一、合同文件</w:t>
      </w:r>
    </w:p>
    <w:p w14:paraId="79D2B2EB">
      <w:pPr>
        <w:autoSpaceDE w:val="0"/>
        <w:autoSpaceDN w:val="0"/>
        <w:adjustRightInd w:val="0"/>
        <w:spacing w:line="400" w:lineRule="exact"/>
        <w:ind w:firstLine="420" w:firstLineChars="200"/>
        <w:rPr>
          <w:rFonts w:cs="仿宋" w:asciiTheme="minorEastAsia" w:hAnsiTheme="minorEastAsia" w:eastAsiaTheme="minorEastAsia"/>
        </w:rPr>
      </w:pPr>
      <w:r>
        <w:rPr>
          <w:rFonts w:hint="eastAsia" w:cs="仿宋" w:asciiTheme="minorEastAsia" w:hAnsiTheme="minorEastAsia" w:eastAsiaTheme="minorEastAsia"/>
          <w:lang w:val="zh-CN"/>
        </w:rPr>
        <w:t>本合同所附下列文件资料为本合同不可分割的部分：</w:t>
      </w:r>
    </w:p>
    <w:p w14:paraId="753E6290">
      <w:pPr>
        <w:autoSpaceDE w:val="0"/>
        <w:autoSpaceDN w:val="0"/>
        <w:adjustRightInd w:val="0"/>
        <w:spacing w:line="400" w:lineRule="exact"/>
        <w:ind w:firstLine="420" w:firstLineChars="200"/>
        <w:rPr>
          <w:rFonts w:cs="仿宋" w:asciiTheme="minorEastAsia" w:hAnsiTheme="minorEastAsia" w:eastAsiaTheme="minorEastAsia"/>
          <w:lang w:val="zh-CN"/>
        </w:rPr>
      </w:pPr>
      <w:r>
        <w:rPr>
          <w:rFonts w:hint="eastAsia" w:cs="仿宋" w:asciiTheme="minorEastAsia" w:hAnsiTheme="minorEastAsia" w:eastAsiaTheme="minorEastAsia"/>
          <w:lang w:val="zh-CN"/>
        </w:rPr>
        <w:t>1、政府采购招标文件（包括澄清、修改）；</w:t>
      </w:r>
    </w:p>
    <w:p w14:paraId="5F3716D4">
      <w:pPr>
        <w:autoSpaceDE w:val="0"/>
        <w:autoSpaceDN w:val="0"/>
        <w:adjustRightInd w:val="0"/>
        <w:spacing w:line="400" w:lineRule="exact"/>
        <w:ind w:firstLine="420" w:firstLineChars="200"/>
        <w:rPr>
          <w:rFonts w:cs="仿宋" w:asciiTheme="minorEastAsia" w:hAnsiTheme="minorEastAsia" w:eastAsiaTheme="minorEastAsia"/>
          <w:lang w:val="zh-CN"/>
        </w:rPr>
      </w:pPr>
      <w:r>
        <w:rPr>
          <w:rFonts w:hint="eastAsia" w:cs="仿宋" w:asciiTheme="minorEastAsia" w:hAnsiTheme="minorEastAsia" w:eastAsiaTheme="minorEastAsia"/>
          <w:lang w:val="zh-CN"/>
        </w:rPr>
        <w:t>2、乙方投标文件；</w:t>
      </w:r>
    </w:p>
    <w:p w14:paraId="6AEEE9D7">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3、中标（成交）通知书；</w:t>
      </w:r>
    </w:p>
    <w:p w14:paraId="4A367EB3">
      <w:pPr>
        <w:autoSpaceDE w:val="0"/>
        <w:autoSpaceDN w:val="0"/>
        <w:adjustRightInd w:val="0"/>
        <w:spacing w:line="400" w:lineRule="exact"/>
        <w:ind w:firstLine="420" w:firstLineChars="200"/>
        <w:rPr>
          <w:rFonts w:cs="仿宋" w:asciiTheme="minorEastAsia" w:hAnsiTheme="minorEastAsia" w:eastAsiaTheme="minorEastAsia"/>
          <w:lang w:val="zh-CN"/>
        </w:rPr>
      </w:pPr>
      <w:r>
        <w:rPr>
          <w:rFonts w:hint="eastAsia" w:cs="仿宋" w:asciiTheme="minorEastAsia" w:hAnsiTheme="minorEastAsia" w:eastAsiaTheme="minorEastAsia"/>
          <w:lang w:val="zh-CN"/>
        </w:rPr>
        <w:t>4、中标人在评标过程中做出的有关澄清、说明、承诺或者补正文件；</w:t>
      </w:r>
    </w:p>
    <w:p w14:paraId="26D432F4">
      <w:pPr>
        <w:autoSpaceDE w:val="0"/>
        <w:autoSpaceDN w:val="0"/>
        <w:adjustRightInd w:val="0"/>
        <w:spacing w:line="400" w:lineRule="exact"/>
        <w:ind w:firstLine="420" w:firstLineChars="200"/>
        <w:rPr>
          <w:rFonts w:cs="仿宋" w:asciiTheme="minorEastAsia" w:hAnsiTheme="minorEastAsia" w:eastAsiaTheme="minorEastAsia"/>
          <w:lang w:val="zh-CN"/>
        </w:rPr>
      </w:pPr>
      <w:r>
        <w:rPr>
          <w:rFonts w:hint="eastAsia" w:cs="仿宋" w:asciiTheme="minorEastAsia" w:hAnsiTheme="minorEastAsia" w:eastAsiaTheme="minorEastAsia"/>
          <w:lang w:val="zh-CN"/>
        </w:rPr>
        <w:t>5、政府采购委托协议书。</w:t>
      </w:r>
    </w:p>
    <w:p w14:paraId="5EB2BF2C">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二、合同范围和条件</w:t>
      </w:r>
    </w:p>
    <w:p w14:paraId="4F7B8576">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本合同的范围和条件应与上述合同文件的规定相一致。</w:t>
      </w:r>
    </w:p>
    <w:p w14:paraId="74B39478">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三、采购服务信息</w:t>
      </w:r>
    </w:p>
    <w:tbl>
      <w:tblPr>
        <w:tblStyle w:val="46"/>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247"/>
        <w:gridCol w:w="1943"/>
        <w:gridCol w:w="2258"/>
        <w:gridCol w:w="1044"/>
      </w:tblGrid>
      <w:tr w14:paraId="0C37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 w:hRule="atLeast"/>
          <w:jc w:val="center"/>
        </w:trPr>
        <w:tc>
          <w:tcPr>
            <w:tcW w:w="708" w:type="dxa"/>
            <w:tcMar>
              <w:left w:w="0" w:type="dxa"/>
              <w:right w:w="0" w:type="dxa"/>
            </w:tcMar>
            <w:vAlign w:val="center"/>
          </w:tcPr>
          <w:p w14:paraId="6F01DC6A">
            <w:pPr>
              <w:autoSpaceDE w:val="0"/>
              <w:autoSpaceDN w:val="0"/>
              <w:adjustRightInd w:val="0"/>
              <w:spacing w:line="400" w:lineRule="exact"/>
              <w:jc w:val="center"/>
              <w:rPr>
                <w:rFonts w:cs="仿宋" w:asciiTheme="minorEastAsia" w:hAnsiTheme="minorEastAsia" w:eastAsiaTheme="minorEastAsia"/>
                <w:lang w:val="zh-CN"/>
              </w:rPr>
            </w:pPr>
            <w:r>
              <w:rPr>
                <w:rFonts w:hint="eastAsia" w:cs="仿宋" w:asciiTheme="minorEastAsia" w:hAnsiTheme="minorEastAsia" w:eastAsiaTheme="minorEastAsia"/>
                <w:lang w:val="zh-CN"/>
              </w:rPr>
              <w:t>编号</w:t>
            </w:r>
          </w:p>
        </w:tc>
        <w:tc>
          <w:tcPr>
            <w:tcW w:w="2247" w:type="dxa"/>
            <w:vAlign w:val="center"/>
          </w:tcPr>
          <w:p w14:paraId="29D6A460">
            <w:pPr>
              <w:autoSpaceDE w:val="0"/>
              <w:autoSpaceDN w:val="0"/>
              <w:adjustRightInd w:val="0"/>
              <w:spacing w:line="400" w:lineRule="exact"/>
              <w:jc w:val="center"/>
              <w:rPr>
                <w:rFonts w:cs="仿宋" w:asciiTheme="minorEastAsia" w:hAnsiTheme="minorEastAsia" w:eastAsiaTheme="minorEastAsia"/>
                <w:lang w:val="zh-CN"/>
              </w:rPr>
            </w:pPr>
            <w:r>
              <w:rPr>
                <w:rFonts w:hint="eastAsia" w:cs="仿宋" w:asciiTheme="minorEastAsia" w:hAnsiTheme="minorEastAsia" w:eastAsiaTheme="minorEastAsia"/>
                <w:lang w:val="zh-CN"/>
              </w:rPr>
              <w:t>服务名称</w:t>
            </w:r>
          </w:p>
        </w:tc>
        <w:tc>
          <w:tcPr>
            <w:tcW w:w="1943" w:type="dxa"/>
            <w:vAlign w:val="center"/>
          </w:tcPr>
          <w:p w14:paraId="108CCB00">
            <w:pPr>
              <w:autoSpaceDE w:val="0"/>
              <w:autoSpaceDN w:val="0"/>
              <w:adjustRightInd w:val="0"/>
              <w:spacing w:line="400" w:lineRule="exact"/>
              <w:ind w:firstLine="420" w:firstLineChars="200"/>
              <w:jc w:val="center"/>
              <w:rPr>
                <w:rFonts w:cs="仿宋" w:asciiTheme="minorEastAsia" w:hAnsiTheme="minorEastAsia" w:eastAsiaTheme="minorEastAsia"/>
                <w:lang w:val="zh-CN"/>
              </w:rPr>
            </w:pPr>
            <w:r>
              <w:rPr>
                <w:rFonts w:hint="eastAsia" w:cs="仿宋" w:asciiTheme="minorEastAsia" w:hAnsiTheme="minorEastAsia" w:eastAsiaTheme="minorEastAsia"/>
                <w:lang w:val="zh-CN"/>
              </w:rPr>
              <w:t>服务内容</w:t>
            </w:r>
          </w:p>
        </w:tc>
        <w:tc>
          <w:tcPr>
            <w:tcW w:w="2258" w:type="dxa"/>
            <w:vAlign w:val="center"/>
          </w:tcPr>
          <w:p w14:paraId="64522933">
            <w:pPr>
              <w:autoSpaceDE w:val="0"/>
              <w:autoSpaceDN w:val="0"/>
              <w:adjustRightInd w:val="0"/>
              <w:spacing w:line="400" w:lineRule="exact"/>
              <w:jc w:val="center"/>
              <w:rPr>
                <w:rFonts w:cs="仿宋" w:asciiTheme="minorEastAsia" w:hAnsiTheme="minorEastAsia" w:eastAsiaTheme="minorEastAsia"/>
              </w:rPr>
            </w:pPr>
            <w:r>
              <w:rPr>
                <w:rFonts w:hint="eastAsia" w:cs="仿宋" w:asciiTheme="minorEastAsia" w:hAnsiTheme="minorEastAsia" w:eastAsiaTheme="minorEastAsia"/>
              </w:rPr>
              <w:t>技术参数</w:t>
            </w:r>
          </w:p>
        </w:tc>
        <w:tc>
          <w:tcPr>
            <w:tcW w:w="1044" w:type="dxa"/>
            <w:vAlign w:val="center"/>
          </w:tcPr>
          <w:p w14:paraId="6453D913">
            <w:pPr>
              <w:autoSpaceDE w:val="0"/>
              <w:autoSpaceDN w:val="0"/>
              <w:adjustRightInd w:val="0"/>
              <w:spacing w:line="400" w:lineRule="exact"/>
              <w:jc w:val="center"/>
              <w:rPr>
                <w:rFonts w:cs="仿宋" w:asciiTheme="minorEastAsia" w:hAnsiTheme="minorEastAsia" w:eastAsiaTheme="minorEastAsia"/>
                <w:lang w:val="zh-CN"/>
              </w:rPr>
            </w:pPr>
            <w:r>
              <w:rPr>
                <w:rFonts w:hint="eastAsia" w:cs="仿宋" w:asciiTheme="minorEastAsia" w:hAnsiTheme="minorEastAsia" w:eastAsiaTheme="minorEastAsia"/>
                <w:lang w:val="zh-CN"/>
              </w:rPr>
              <w:t>服务期</w:t>
            </w:r>
          </w:p>
        </w:tc>
      </w:tr>
      <w:tr w14:paraId="35EF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708" w:type="dxa"/>
            <w:tcMar>
              <w:left w:w="0" w:type="dxa"/>
              <w:right w:w="0" w:type="dxa"/>
            </w:tcMar>
            <w:vAlign w:val="center"/>
          </w:tcPr>
          <w:p w14:paraId="57555168">
            <w:pPr>
              <w:autoSpaceDE w:val="0"/>
              <w:autoSpaceDN w:val="0"/>
              <w:adjustRightInd w:val="0"/>
              <w:spacing w:line="400" w:lineRule="exact"/>
              <w:jc w:val="center"/>
              <w:rPr>
                <w:rFonts w:cs="仿宋" w:asciiTheme="minorEastAsia" w:hAnsiTheme="minorEastAsia" w:eastAsiaTheme="minorEastAsia"/>
                <w:lang w:val="zh-CN"/>
              </w:rPr>
            </w:pPr>
            <w:r>
              <w:rPr>
                <w:rFonts w:hint="eastAsia" w:cs="仿宋" w:asciiTheme="minorEastAsia" w:hAnsiTheme="minorEastAsia" w:eastAsiaTheme="minorEastAsia"/>
                <w:lang w:val="zh-CN"/>
              </w:rPr>
              <w:t>1</w:t>
            </w:r>
          </w:p>
        </w:tc>
        <w:tc>
          <w:tcPr>
            <w:tcW w:w="2247" w:type="dxa"/>
            <w:vAlign w:val="center"/>
          </w:tcPr>
          <w:p w14:paraId="552C3B68">
            <w:pPr>
              <w:autoSpaceDE w:val="0"/>
              <w:autoSpaceDN w:val="0"/>
              <w:adjustRightInd w:val="0"/>
              <w:spacing w:line="400" w:lineRule="exact"/>
              <w:ind w:firstLine="420" w:firstLineChars="200"/>
              <w:rPr>
                <w:rFonts w:cs="仿宋" w:asciiTheme="minorEastAsia" w:hAnsiTheme="minorEastAsia" w:eastAsiaTheme="minorEastAsia"/>
                <w:lang w:val="zh-CN"/>
              </w:rPr>
            </w:pPr>
          </w:p>
        </w:tc>
        <w:tc>
          <w:tcPr>
            <w:tcW w:w="1943" w:type="dxa"/>
            <w:vAlign w:val="center"/>
          </w:tcPr>
          <w:p w14:paraId="19677366">
            <w:pPr>
              <w:autoSpaceDE w:val="0"/>
              <w:autoSpaceDN w:val="0"/>
              <w:adjustRightInd w:val="0"/>
              <w:spacing w:line="400" w:lineRule="exact"/>
              <w:jc w:val="center"/>
              <w:rPr>
                <w:rFonts w:cs="仿宋" w:asciiTheme="minorEastAsia" w:hAnsiTheme="minorEastAsia" w:eastAsiaTheme="minorEastAsia"/>
                <w:lang w:val="zh-CN"/>
              </w:rPr>
            </w:pPr>
            <w:r>
              <w:rPr>
                <w:rFonts w:hint="eastAsia" w:cs="仿宋" w:asciiTheme="minorEastAsia" w:hAnsiTheme="minorEastAsia" w:eastAsiaTheme="minorEastAsia"/>
                <w:lang w:val="zh-CN"/>
              </w:rPr>
              <w:t>详见投标</w:t>
            </w:r>
          </w:p>
          <w:p w14:paraId="4D40504C">
            <w:pPr>
              <w:autoSpaceDE w:val="0"/>
              <w:autoSpaceDN w:val="0"/>
              <w:adjustRightInd w:val="0"/>
              <w:spacing w:line="400" w:lineRule="exact"/>
              <w:jc w:val="center"/>
              <w:rPr>
                <w:rFonts w:cs="仿宋" w:asciiTheme="minorEastAsia" w:hAnsiTheme="minorEastAsia" w:eastAsiaTheme="minorEastAsia"/>
                <w:lang w:val="zh-CN"/>
              </w:rPr>
            </w:pPr>
            <w:r>
              <w:rPr>
                <w:rFonts w:hint="eastAsia" w:cs="仿宋" w:asciiTheme="minorEastAsia" w:hAnsiTheme="minorEastAsia" w:eastAsiaTheme="minorEastAsia"/>
                <w:lang w:val="zh-CN"/>
              </w:rPr>
              <w:t>（响应文件）</w:t>
            </w:r>
          </w:p>
        </w:tc>
        <w:tc>
          <w:tcPr>
            <w:tcW w:w="2258" w:type="dxa"/>
            <w:vAlign w:val="center"/>
          </w:tcPr>
          <w:p w14:paraId="2C24D38B">
            <w:pPr>
              <w:autoSpaceDE w:val="0"/>
              <w:autoSpaceDN w:val="0"/>
              <w:adjustRightInd w:val="0"/>
              <w:spacing w:line="400" w:lineRule="exact"/>
              <w:rPr>
                <w:rFonts w:cs="仿宋" w:asciiTheme="minorEastAsia" w:hAnsiTheme="minorEastAsia" w:eastAsiaTheme="minorEastAsia"/>
                <w:lang w:val="zh-CN"/>
              </w:rPr>
            </w:pPr>
            <w:r>
              <w:rPr>
                <w:rFonts w:hint="eastAsia" w:cs="仿宋" w:asciiTheme="minorEastAsia" w:hAnsiTheme="minorEastAsia" w:eastAsiaTheme="minorEastAsia"/>
                <w:lang w:val="zh-CN"/>
              </w:rPr>
              <w:t>详细清单及技术参数见后附表</w:t>
            </w:r>
          </w:p>
        </w:tc>
        <w:tc>
          <w:tcPr>
            <w:tcW w:w="1044" w:type="dxa"/>
            <w:vAlign w:val="center"/>
          </w:tcPr>
          <w:p w14:paraId="499ABDD6">
            <w:pPr>
              <w:autoSpaceDE w:val="0"/>
              <w:autoSpaceDN w:val="0"/>
              <w:adjustRightInd w:val="0"/>
              <w:spacing w:line="400" w:lineRule="exact"/>
              <w:ind w:firstLine="420" w:firstLineChars="200"/>
              <w:rPr>
                <w:rFonts w:cs="仿宋" w:asciiTheme="minorEastAsia" w:hAnsiTheme="minorEastAsia" w:eastAsiaTheme="minorEastAsia"/>
                <w:lang w:val="zh-CN"/>
              </w:rPr>
            </w:pPr>
          </w:p>
        </w:tc>
      </w:tr>
    </w:tbl>
    <w:p w14:paraId="6A74E409">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四、合同金额</w:t>
      </w:r>
    </w:p>
    <w:p w14:paraId="64D8AFA9">
      <w:pPr>
        <w:autoSpaceDE w:val="0"/>
        <w:autoSpaceDN w:val="0"/>
        <w:adjustRightInd w:val="0"/>
        <w:spacing w:line="400" w:lineRule="exact"/>
        <w:ind w:firstLine="482"/>
        <w:rPr>
          <w:rFonts w:cs="仿宋" w:asciiTheme="minorEastAsia" w:hAnsiTheme="minorEastAsia" w:eastAsiaTheme="minorEastAsia"/>
          <w:u w:val="single"/>
          <w:lang w:val="zh-CN"/>
        </w:rPr>
      </w:pPr>
      <w:r>
        <w:rPr>
          <w:rFonts w:hint="eastAsia" w:cs="仿宋" w:asciiTheme="minorEastAsia" w:hAnsiTheme="minorEastAsia" w:eastAsiaTheme="minorEastAsia"/>
          <w:lang w:val="zh-CN"/>
        </w:rPr>
        <w:t>根据中标（成交）通知书中规定，合同总金额为人民币（大写）：</w:t>
      </w:r>
      <w:r>
        <w:rPr>
          <w:rFonts w:hint="eastAsia" w:cs="仿宋" w:asciiTheme="minorEastAsia" w:hAnsiTheme="minorEastAsia" w:eastAsiaTheme="minorEastAsia"/>
          <w:u w:val="single"/>
          <w:lang w:val="zh-CN"/>
        </w:rPr>
        <w:t xml:space="preserve">  （￥    ）</w:t>
      </w:r>
    </w:p>
    <w:p w14:paraId="6A84DF0A">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此价格为合同执行不变价，不因国家政策变化而变化，该价款包括了服务价格及与之配套的设计、制造、正版软件、检验、包装、运输、保险、税费以及安装、组织验收、培训、技术服务（包括技术资料、图纸提供等）、质保期服务等全部价款，除此之外，甲方不再向乙方支付其他任何费用。</w:t>
      </w:r>
    </w:p>
    <w:p w14:paraId="23AF3F44">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五、服务时间和地点</w:t>
      </w:r>
    </w:p>
    <w:p w14:paraId="470820A4">
      <w:pPr>
        <w:autoSpaceDE w:val="0"/>
        <w:autoSpaceDN w:val="0"/>
        <w:adjustRightInd w:val="0"/>
        <w:spacing w:line="400" w:lineRule="exact"/>
        <w:ind w:firstLine="482"/>
        <w:rPr>
          <w:rFonts w:cs="仿宋" w:asciiTheme="minorEastAsia" w:hAnsiTheme="minorEastAsia" w:eastAsiaTheme="minorEastAsia"/>
          <w:lang w:val="zh-CN"/>
        </w:rPr>
      </w:pPr>
      <w:bookmarkStart w:id="80" w:name="_Toc414743944"/>
      <w:r>
        <w:rPr>
          <w:rFonts w:hint="eastAsia" w:cs="仿宋" w:asciiTheme="minorEastAsia" w:hAnsiTheme="minorEastAsia" w:eastAsiaTheme="minorEastAsia"/>
          <w:lang w:val="zh-CN"/>
        </w:rPr>
        <w:t>本合同服务期限为</w:t>
      </w:r>
      <w:r>
        <w:rPr>
          <w:rFonts w:hint="eastAsia" w:cs="仿宋" w:asciiTheme="minorEastAsia" w:hAnsiTheme="minorEastAsia" w:eastAsiaTheme="minorEastAsia"/>
          <w:u w:val="single"/>
          <w:lang w:val="zh-CN"/>
        </w:rPr>
        <w:t xml:space="preserve">  </w:t>
      </w:r>
      <w:r>
        <w:rPr>
          <w:rFonts w:hint="eastAsia" w:cs="仿宋" w:asciiTheme="minorEastAsia" w:hAnsiTheme="minorEastAsia" w:eastAsiaTheme="minorEastAsia"/>
          <w:lang w:val="zh-CN"/>
        </w:rPr>
        <w:t xml:space="preserve">年；服务期限自 </w:t>
      </w:r>
      <w:r>
        <w:rPr>
          <w:rFonts w:hint="eastAsia" w:cs="仿宋" w:asciiTheme="minorEastAsia" w:hAnsiTheme="minorEastAsia" w:eastAsiaTheme="minorEastAsia"/>
          <w:u w:val="single"/>
          <w:lang w:val="zh-CN"/>
        </w:rPr>
        <w:t xml:space="preserve">    </w:t>
      </w:r>
      <w:r>
        <w:rPr>
          <w:rFonts w:hint="eastAsia" w:cs="仿宋" w:asciiTheme="minorEastAsia" w:hAnsiTheme="minorEastAsia" w:eastAsiaTheme="minorEastAsia"/>
          <w:lang w:val="zh-CN"/>
        </w:rPr>
        <w:t>年</w:t>
      </w:r>
      <w:r>
        <w:rPr>
          <w:rFonts w:hint="eastAsia" w:cs="仿宋" w:asciiTheme="minorEastAsia" w:hAnsiTheme="minorEastAsia" w:eastAsiaTheme="minorEastAsia"/>
          <w:u w:val="single"/>
          <w:lang w:val="zh-CN"/>
        </w:rPr>
        <w:t xml:space="preserve">    </w:t>
      </w:r>
      <w:r>
        <w:rPr>
          <w:rFonts w:hint="eastAsia" w:cs="仿宋" w:asciiTheme="minorEastAsia" w:hAnsiTheme="minorEastAsia" w:eastAsiaTheme="minorEastAsia"/>
          <w:lang w:val="zh-CN"/>
        </w:rPr>
        <w:t>月</w:t>
      </w:r>
      <w:r>
        <w:rPr>
          <w:rFonts w:hint="eastAsia" w:cs="仿宋" w:asciiTheme="minorEastAsia" w:hAnsiTheme="minorEastAsia" w:eastAsiaTheme="minorEastAsia"/>
          <w:u w:val="single"/>
          <w:lang w:val="zh-CN"/>
        </w:rPr>
        <w:t xml:space="preserve">   </w:t>
      </w:r>
      <w:r>
        <w:rPr>
          <w:rFonts w:hint="eastAsia" w:cs="仿宋" w:asciiTheme="minorEastAsia" w:hAnsiTheme="minorEastAsia" w:eastAsiaTheme="minorEastAsia"/>
          <w:lang w:val="zh-CN"/>
        </w:rPr>
        <w:t>日起至</w:t>
      </w:r>
      <w:r>
        <w:rPr>
          <w:rFonts w:hint="eastAsia" w:cs="仿宋" w:asciiTheme="minorEastAsia" w:hAnsiTheme="minorEastAsia" w:eastAsiaTheme="minorEastAsia"/>
          <w:u w:val="single"/>
          <w:lang w:val="zh-CN"/>
        </w:rPr>
        <w:t xml:space="preserve">   </w:t>
      </w:r>
      <w:r>
        <w:rPr>
          <w:rFonts w:hint="eastAsia" w:cs="仿宋" w:asciiTheme="minorEastAsia" w:hAnsiTheme="minorEastAsia" w:eastAsiaTheme="minorEastAsia"/>
          <w:lang w:val="zh-CN"/>
        </w:rPr>
        <w:t>年</w:t>
      </w:r>
      <w:r>
        <w:rPr>
          <w:rFonts w:hint="eastAsia" w:cs="仿宋" w:asciiTheme="minorEastAsia" w:hAnsiTheme="minorEastAsia" w:eastAsiaTheme="minorEastAsia"/>
          <w:u w:val="single"/>
          <w:lang w:val="zh-CN"/>
        </w:rPr>
        <w:t xml:space="preserve">   </w:t>
      </w:r>
      <w:r>
        <w:rPr>
          <w:rFonts w:hint="eastAsia" w:cs="仿宋" w:asciiTheme="minorEastAsia" w:hAnsiTheme="minorEastAsia" w:eastAsiaTheme="minorEastAsia"/>
          <w:lang w:val="zh-CN"/>
        </w:rPr>
        <w:t>月</w:t>
      </w:r>
      <w:r>
        <w:rPr>
          <w:rFonts w:hint="eastAsia" w:cs="仿宋" w:asciiTheme="minorEastAsia" w:hAnsiTheme="minorEastAsia" w:eastAsiaTheme="minorEastAsia"/>
          <w:u w:val="single"/>
          <w:lang w:val="zh-CN"/>
        </w:rPr>
        <w:t xml:space="preserve">   </w:t>
      </w:r>
      <w:r>
        <w:rPr>
          <w:rFonts w:hint="eastAsia" w:cs="仿宋" w:asciiTheme="minorEastAsia" w:hAnsiTheme="minorEastAsia" w:eastAsiaTheme="minorEastAsia"/>
          <w:lang w:val="zh-CN"/>
        </w:rPr>
        <w:t>日止。</w:t>
      </w:r>
    </w:p>
    <w:p w14:paraId="058991A9">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 xml:space="preserve">本合同服务地点为：江苏医药职业学院指定地点 </w:t>
      </w:r>
    </w:p>
    <w:bookmarkEnd w:id="80"/>
    <w:p w14:paraId="4026FCF5">
      <w:pPr>
        <w:autoSpaceDE w:val="0"/>
        <w:autoSpaceDN w:val="0"/>
        <w:adjustRightInd w:val="0"/>
        <w:spacing w:line="400" w:lineRule="exact"/>
        <w:ind w:firstLine="422" w:firstLineChars="200"/>
        <w:outlineLvl w:val="1"/>
        <w:rPr>
          <w:rFonts w:cs="仿宋" w:asciiTheme="minorEastAsia" w:hAnsiTheme="minorEastAsia" w:eastAsiaTheme="minorEastAsia"/>
          <w:b/>
          <w:bCs/>
        </w:rPr>
      </w:pPr>
      <w:bookmarkStart w:id="81" w:name="_Toc414743945"/>
      <w:r>
        <w:rPr>
          <w:rFonts w:hint="eastAsia" w:cs="仿宋" w:asciiTheme="minorEastAsia" w:hAnsiTheme="minorEastAsia" w:eastAsiaTheme="minorEastAsia"/>
          <w:b/>
          <w:bCs/>
        </w:rPr>
        <w:t>六、服务质量标准</w:t>
      </w:r>
    </w:p>
    <w:p w14:paraId="0A03AFC9">
      <w:pPr>
        <w:autoSpaceDE w:val="0"/>
        <w:autoSpaceDN w:val="0"/>
        <w:adjustRightInd w:val="0"/>
        <w:spacing w:line="400" w:lineRule="exact"/>
        <w:ind w:firstLine="482"/>
        <w:rPr>
          <w:rFonts w:cs="仿宋" w:asciiTheme="minorEastAsia" w:hAnsiTheme="minorEastAsia" w:eastAsiaTheme="minorEastAsia"/>
        </w:rPr>
      </w:pPr>
      <w:r>
        <w:rPr>
          <w:rFonts w:hint="eastAsia" w:cs="仿宋" w:asciiTheme="minorEastAsia" w:hAnsiTheme="minorEastAsia" w:eastAsiaTheme="minorEastAsia"/>
        </w:rPr>
        <w:t>（由采购人结合项目特点和具体要求拟定）</w:t>
      </w:r>
    </w:p>
    <w:p w14:paraId="68651E75">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七、验收办法</w:t>
      </w:r>
      <w:bookmarkEnd w:id="81"/>
    </w:p>
    <w:p w14:paraId="0F764E3B">
      <w:pPr>
        <w:autoSpaceDE w:val="0"/>
        <w:autoSpaceDN w:val="0"/>
        <w:adjustRightInd w:val="0"/>
        <w:spacing w:line="400" w:lineRule="exact"/>
        <w:ind w:firstLine="482"/>
        <w:rPr>
          <w:rFonts w:cs="仿宋" w:asciiTheme="minorEastAsia" w:hAnsiTheme="minorEastAsia" w:eastAsiaTheme="minorEastAsia"/>
        </w:rPr>
      </w:pPr>
      <w:r>
        <w:rPr>
          <w:rFonts w:hint="eastAsia" w:cs="仿宋" w:asciiTheme="minorEastAsia" w:hAnsiTheme="minorEastAsia" w:eastAsiaTheme="minorEastAsia"/>
        </w:rPr>
        <w:t>（由采购人结合项目特点和具体要求拟定）</w:t>
      </w:r>
    </w:p>
    <w:p w14:paraId="11014B80">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 xml:space="preserve">八、付款方式 </w:t>
      </w:r>
    </w:p>
    <w:p w14:paraId="59E10492">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合同签订后，费用一年一付。第一次付款：合同签订后，驻场技术人员入场后支付合同总价的30%；</w:t>
      </w:r>
    </w:p>
    <w:p w14:paraId="33037DCB">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第二次付款：正式服务期满一年后，由校方组织最终验收，验收合格后支付合同总价的70%。以上付款均无息。</w:t>
      </w:r>
    </w:p>
    <w:p w14:paraId="691E1673">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以上付款均以人民币通过银行支付, 付款前需提供我校财务处认可的增值税发票。否则，甲方有权迟延付款并不承担逾期付款违约责任，且乙方不得以此作为拒绝或迟延履行本合同项下各项义务的抗辩理由。</w:t>
      </w:r>
    </w:p>
    <w:p w14:paraId="4CF09D88">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甲方发票开票信息</w:t>
      </w:r>
    </w:p>
    <w:p w14:paraId="1ED5701F">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甲方名称：江苏医药职业学院纳税人识别号：</w:t>
      </w:r>
      <w:r>
        <w:rPr>
          <w:rFonts w:cs="仿宋" w:asciiTheme="minorEastAsia" w:hAnsiTheme="minorEastAsia" w:eastAsiaTheme="minorEastAsia"/>
          <w:lang w:val="zh-CN"/>
        </w:rPr>
        <w:t>123200004660027966</w:t>
      </w:r>
    </w:p>
    <w:p w14:paraId="2728012E">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开户行及账号：建设银行盐城城南支行  32001735038052500575</w:t>
      </w:r>
    </w:p>
    <w:p w14:paraId="08CF2FF7">
      <w:pPr>
        <w:spacing w:line="44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3、乙方收取货款开户行名称、账号等信息：</w:t>
      </w:r>
    </w:p>
    <w:p w14:paraId="1EFD5B6D">
      <w:pPr>
        <w:spacing w:line="44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单位名称：</w:t>
      </w:r>
      <w:r>
        <w:rPr>
          <w:rFonts w:cs="宋体" w:asciiTheme="minorEastAsia" w:hAnsiTheme="minorEastAsia" w:eastAsiaTheme="minorEastAsia"/>
        </w:rPr>
        <w:t xml:space="preserve"> </w:t>
      </w:r>
    </w:p>
    <w:p w14:paraId="3BB165DC">
      <w:pPr>
        <w:spacing w:line="44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开户行名称：</w:t>
      </w:r>
    </w:p>
    <w:p w14:paraId="5841BB76">
      <w:pPr>
        <w:spacing w:line="44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行号：</w:t>
      </w:r>
    </w:p>
    <w:p w14:paraId="1915DEF0">
      <w:pPr>
        <w:spacing w:line="44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账号：</w:t>
      </w:r>
    </w:p>
    <w:p w14:paraId="66A17D24">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九、履约保证金</w:t>
      </w:r>
    </w:p>
    <w:p w14:paraId="06C86AA4">
      <w:pPr>
        <w:autoSpaceDE w:val="0"/>
        <w:autoSpaceDN w:val="0"/>
        <w:adjustRightInd w:val="0"/>
        <w:spacing w:line="400" w:lineRule="exact"/>
        <w:ind w:firstLine="482"/>
        <w:jc w:val="left"/>
        <w:rPr>
          <w:rFonts w:cs="仿宋" w:asciiTheme="minorEastAsia" w:hAnsiTheme="minorEastAsia" w:eastAsiaTheme="minorEastAsia"/>
          <w:lang w:val="zh-CN"/>
        </w:rPr>
      </w:pPr>
      <w:r>
        <w:rPr>
          <w:rFonts w:cs="仿宋" w:asciiTheme="minorEastAsia" w:hAnsiTheme="minorEastAsia" w:eastAsiaTheme="minorEastAsia"/>
          <w:lang w:val="zh-CN"/>
        </w:rPr>
        <w:t>1</w:t>
      </w:r>
      <w:r>
        <w:rPr>
          <w:rFonts w:hint="eastAsia" w:cs="仿宋" w:asciiTheme="minorEastAsia" w:hAnsiTheme="minorEastAsia" w:eastAsiaTheme="minorEastAsia"/>
        </w:rPr>
        <w:t>、</w:t>
      </w:r>
      <w:r>
        <w:rPr>
          <w:rFonts w:hint="eastAsia" w:cs="仿宋" w:asciiTheme="minorEastAsia" w:hAnsiTheme="minorEastAsia" w:eastAsiaTheme="minorEastAsia"/>
          <w:lang w:val="zh-CN"/>
        </w:rPr>
        <w:t>履约保证金用于补偿甲方因乙方不能履行或不能完全履行合同义务而蒙受的损失。</w:t>
      </w:r>
    </w:p>
    <w:p w14:paraId="6EBDEEC1">
      <w:pPr>
        <w:autoSpaceDE w:val="0"/>
        <w:autoSpaceDN w:val="0"/>
        <w:adjustRightInd w:val="0"/>
        <w:spacing w:line="400" w:lineRule="exact"/>
        <w:ind w:firstLine="482"/>
        <w:rPr>
          <w:rFonts w:cs="仿宋" w:asciiTheme="minorEastAsia" w:hAnsiTheme="minorEastAsia" w:eastAsiaTheme="minorEastAsia"/>
          <w:lang w:val="zh-CN"/>
        </w:rPr>
      </w:pPr>
      <w:r>
        <w:rPr>
          <w:rFonts w:cs="仿宋" w:asciiTheme="minorEastAsia" w:hAnsiTheme="minorEastAsia" w:eastAsiaTheme="minorEastAsia"/>
          <w:lang w:val="zh-CN"/>
        </w:rPr>
        <w:t>2</w:t>
      </w:r>
      <w:r>
        <w:rPr>
          <w:rFonts w:hint="eastAsia" w:cs="仿宋" w:asciiTheme="minorEastAsia" w:hAnsiTheme="minorEastAsia" w:eastAsiaTheme="minorEastAsia"/>
        </w:rPr>
        <w:t>、</w:t>
      </w:r>
      <w:r>
        <w:rPr>
          <w:rFonts w:hint="eastAsia" w:cs="仿宋" w:asciiTheme="minorEastAsia" w:hAnsiTheme="minorEastAsia" w:eastAsiaTheme="minorEastAsia"/>
          <w:lang w:val="zh-CN"/>
        </w:rPr>
        <w:t>在签订合同前，乙方需向招标人交纳人民币_______元作为本合同的履约保证金（具体金额为中标价的5%）。履约保证金以转帐、电汇或网汇形式汇转至招标人指定帐户并存于甲方处，待项目验收结束后无质量问题一次性无息退还。</w:t>
      </w:r>
    </w:p>
    <w:p w14:paraId="31412DA4">
      <w:pPr>
        <w:spacing w:line="440" w:lineRule="exact"/>
        <w:ind w:firstLine="420" w:firstLineChars="200"/>
        <w:rPr>
          <w:rFonts w:cs="仿宋" w:asciiTheme="minorEastAsia" w:hAnsiTheme="minorEastAsia" w:eastAsiaTheme="minorEastAsia"/>
          <w:lang w:val="zh-CN"/>
        </w:rPr>
      </w:pPr>
      <w:r>
        <w:rPr>
          <w:rFonts w:hint="eastAsia" w:cs="仿宋" w:asciiTheme="minorEastAsia" w:hAnsiTheme="minorEastAsia" w:eastAsiaTheme="minorEastAsia"/>
          <w:lang w:val="zh-CN"/>
        </w:rPr>
        <w:t>3、乙方如提供AA级以上信用报告的（需经信用管理部门备案的第三方信用报告），只需缴纳合同金额的2.5%的履约保证金。如果乙方不履行合同约定的义务，未能完全履行合同规定的义务或其履行不符合合同的约定，甲方有权扣除履约保证金取得补偿。</w:t>
      </w:r>
    </w:p>
    <w:p w14:paraId="5673D6B8">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十、所有权归属</w:t>
      </w:r>
    </w:p>
    <w:p w14:paraId="0A7DE563">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乙方将服务成果交付甲方，并且经甲乙双方共同验收合格后所有权转移给甲方，在所有权转移之前，标的物损毁、灭失的风险归乙方，乙方保证所交付的服务成果的所有权完全属于乙方且无任何抵押、查封等产权瑕疵。</w:t>
      </w:r>
    </w:p>
    <w:p w14:paraId="59BB95E7">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如乙方交付的服务成果有产权瑕疵的，视为乙方违约，乙方须向甲方支付20%的违约金；如果合同总金额价款已经支付完毕或者开始支付合同价款时才发现产权有瑕疵的，乙方仍须支付上述违约金并且赔偿甲方由此所遭受的一切损失。</w:t>
      </w:r>
    </w:p>
    <w:p w14:paraId="18537D6F">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十一、售后服务及承诺</w:t>
      </w:r>
    </w:p>
    <w:p w14:paraId="2A0E4F4C">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1、服务质量保证期限自提交服务验收合格之日起</w:t>
      </w:r>
      <w:r>
        <w:rPr>
          <w:rFonts w:hint="eastAsia" w:cs="仿宋" w:asciiTheme="minorEastAsia" w:hAnsiTheme="minorEastAsia" w:eastAsiaTheme="minorEastAsia"/>
          <w:u w:val="single"/>
          <w:lang w:val="zh-CN"/>
        </w:rPr>
        <w:t xml:space="preserve">    </w:t>
      </w:r>
      <w:r>
        <w:rPr>
          <w:rFonts w:hint="eastAsia" w:cs="仿宋" w:asciiTheme="minorEastAsia" w:hAnsiTheme="minorEastAsia" w:eastAsiaTheme="minorEastAsia"/>
          <w:lang w:val="zh-CN"/>
        </w:rPr>
        <w:t>个月，在质量保证期内，乙方应对服务出现的问题负责处理并承担一切费用，并且赔偿甲方的损失。</w:t>
      </w:r>
    </w:p>
    <w:p w14:paraId="54159D33">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2、乙方有完善的服务体系，有能力提供持续的、本地化售后服务。</w:t>
      </w:r>
    </w:p>
    <w:p w14:paraId="06F2EE33">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3、乙方负责系统安装和调试以及操作人员培训，并制定详细的培训计划，使操作人员能独立进行管理、操作、维护和故障处理等工作，做好相关记录及技术文档收集整理，待验收后移交。</w:t>
      </w:r>
    </w:p>
    <w:p w14:paraId="5EB586FB">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4、服务范围：负责招标文件所涉及到的所有服务。</w:t>
      </w:r>
    </w:p>
    <w:p w14:paraId="002B3170">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十二、知识产权</w:t>
      </w:r>
    </w:p>
    <w:p w14:paraId="51F40358">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1、乙方保证，甲方在享受服务或者服务的任何一部分时，免受第三方提出的侵犯其专利权、商标权或其他知识产权的起诉。如发生此类纠纷，由乙方承担一切责任；如因此给甲方造成损失的，乙方负责全额赔偿。</w:t>
      </w:r>
    </w:p>
    <w:p w14:paraId="210D2287">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2、乙方为执行本合同而提供的技术资料或者其他相关资料、软件等由甲方永久免费使用。</w:t>
      </w:r>
    </w:p>
    <w:p w14:paraId="7A2E2B36">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rPr>
        <w:t>3、</w:t>
      </w:r>
      <w:r>
        <w:rPr>
          <w:rFonts w:hint="eastAsia" w:cs="仿宋" w:asciiTheme="minorEastAsia" w:hAnsiTheme="minorEastAsia" w:eastAsiaTheme="minorEastAsia"/>
          <w:lang w:val="zh-CN"/>
        </w:rPr>
        <w:t>未经</w:t>
      </w:r>
      <w:r>
        <w:rPr>
          <w:rFonts w:hint="eastAsia" w:cs="仿宋" w:asciiTheme="minorEastAsia" w:hAnsiTheme="minorEastAsia" w:eastAsiaTheme="minorEastAsia"/>
        </w:rPr>
        <w:t>甲</w:t>
      </w:r>
      <w:r>
        <w:rPr>
          <w:rFonts w:hint="eastAsia" w:cs="仿宋" w:asciiTheme="minorEastAsia" w:hAnsiTheme="minorEastAsia" w:eastAsiaTheme="minorEastAsia"/>
          <w:lang w:val="zh-CN"/>
        </w:rPr>
        <w:t>方书面同意，</w:t>
      </w:r>
      <w:r>
        <w:rPr>
          <w:rFonts w:hint="eastAsia" w:cs="仿宋" w:asciiTheme="minorEastAsia" w:hAnsiTheme="minorEastAsia" w:eastAsiaTheme="minorEastAsia"/>
        </w:rPr>
        <w:t>乙</w:t>
      </w:r>
      <w:r>
        <w:rPr>
          <w:rFonts w:hint="eastAsia" w:cs="仿宋" w:asciiTheme="minorEastAsia" w:hAnsiTheme="minorEastAsia" w:eastAsiaTheme="minorEastAsia"/>
          <w:lang w:val="zh-CN"/>
        </w:rPr>
        <w:t>方不得将需方针对该采购标的物所提供的技术标准、技术要求、图纸、工艺、采购订单内容等泄露给任何第三方，否则，需方将依据有关法律追究供方责任，并要求供方赔偿由此给需方造成的损失。</w:t>
      </w:r>
    </w:p>
    <w:p w14:paraId="5968E3B8">
      <w:pPr>
        <w:autoSpaceDE w:val="0"/>
        <w:autoSpaceDN w:val="0"/>
        <w:adjustRightInd w:val="0"/>
        <w:spacing w:line="400" w:lineRule="exact"/>
        <w:ind w:firstLine="482"/>
        <w:rPr>
          <w:rFonts w:asciiTheme="minorEastAsia" w:hAnsiTheme="minorEastAsia" w:eastAsiaTheme="minorEastAsia"/>
          <w:lang w:val="zh-CN"/>
        </w:rPr>
      </w:pPr>
      <w:r>
        <w:rPr>
          <w:rFonts w:hint="eastAsia" w:cs="仿宋" w:asciiTheme="minorEastAsia" w:hAnsiTheme="minorEastAsia" w:eastAsiaTheme="minorEastAsia"/>
        </w:rPr>
        <w:t>4、对于上述涉及的知识产权权利，供方许可需方在本合同约定范围内使用。</w:t>
      </w:r>
    </w:p>
    <w:p w14:paraId="2AE99998">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十三、甲方责任</w:t>
      </w:r>
    </w:p>
    <w:p w14:paraId="3AC9CA97">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1、及时办理付款手续。</w:t>
      </w:r>
    </w:p>
    <w:p w14:paraId="0E5A5444">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2、负责提供工作场地，协助乙方办理有关事宜。</w:t>
      </w:r>
    </w:p>
    <w:p w14:paraId="5CB3C418">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3、对合同条款及所知悉的乙方商业秘密负有保密义务。</w:t>
      </w:r>
    </w:p>
    <w:p w14:paraId="7C8D3184">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十四、乙方责任</w:t>
      </w:r>
    </w:p>
    <w:p w14:paraId="247D502C">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1、保证所提供服务为投标文件承诺服务，符合相关法律法规规定并且满足甲方的需求，保证其配套项目部件为全新的未使用的且符合相关的质量要求。</w:t>
      </w:r>
    </w:p>
    <w:p w14:paraId="6B9EE2DE">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2、保证所提供服务的售后服务，严格依据投标文件及相关承诺，对服务以及与之配套的项目进行保修、维护等服务。</w:t>
      </w:r>
    </w:p>
    <w:p w14:paraId="4DFB3C53">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3、保证其所供服务不存在侵犯第三方知识产权的行为，否则由此产生的损失由乙方承担。</w:t>
      </w:r>
    </w:p>
    <w:p w14:paraId="29892C05">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十五、违约责任</w:t>
      </w:r>
    </w:p>
    <w:p w14:paraId="09ADE56E">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1、乙方所供服务成果及与之配套项目等不符合合同约定标准，甲方有权拒收。同时，乙方向甲方支付合同总金额20%的违约金。</w:t>
      </w:r>
    </w:p>
    <w:p w14:paraId="123F924E">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2、乙方不能交付服务成果时，乙方向甲方支付合同总金额20%的违约金。</w:t>
      </w:r>
    </w:p>
    <w:p w14:paraId="491BB5C1">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3、乙方逾期交付服务成果或</w:t>
      </w:r>
      <w:r>
        <w:rPr>
          <w:rFonts w:hint="eastAsia" w:cs="仿宋" w:asciiTheme="minorEastAsia" w:hAnsiTheme="minorEastAsia" w:eastAsiaTheme="minorEastAsia"/>
        </w:rPr>
        <w:t>乙方未按照本合同的约定期限完成服务</w:t>
      </w:r>
      <w:r>
        <w:rPr>
          <w:rFonts w:hint="eastAsia" w:cs="仿宋" w:asciiTheme="minorEastAsia" w:hAnsiTheme="minorEastAsia" w:eastAsiaTheme="minorEastAsia"/>
          <w:lang w:val="zh-CN"/>
        </w:rPr>
        <w:t>的，每逾1日乙方向甲方支付合同总金额3‰的滞纳金。逾期交付超过30日，甲方有权决定是否继续履行合同，如甲方决定终止履行合同的，乙方向甲方支付合同总金额20%的违约金，并且赔偿甲方因此所遭受的损失。</w:t>
      </w:r>
    </w:p>
    <w:p w14:paraId="273BB30B">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4、任何一方由于不可抗力原因不能履行合同时，在不可抗力事件结束后1日内向对方通报，以尽量减轻可能给对方造成的损失，在取得有关机构的不可抗力证明或双方谅解确认后，根据情况可部分或全部免于承担违约责任。</w:t>
      </w:r>
    </w:p>
    <w:p w14:paraId="6BA2187D">
      <w:pPr>
        <w:autoSpaceDE w:val="0"/>
        <w:autoSpaceDN w:val="0"/>
        <w:adjustRightInd w:val="0"/>
        <w:spacing w:line="400" w:lineRule="exact"/>
        <w:ind w:firstLine="482"/>
        <w:rPr>
          <w:rFonts w:cs="仿宋" w:asciiTheme="minorEastAsia" w:hAnsiTheme="minorEastAsia" w:eastAsiaTheme="minorEastAsia"/>
          <w:lang w:val="zh-CN"/>
        </w:rPr>
      </w:pPr>
      <w:r>
        <w:rPr>
          <w:rFonts w:cs="仿宋" w:asciiTheme="minorEastAsia" w:hAnsiTheme="minorEastAsia" w:eastAsiaTheme="minorEastAsia"/>
          <w:lang w:val="zh-CN"/>
        </w:rPr>
        <w:t>5</w:t>
      </w:r>
      <w:r>
        <w:rPr>
          <w:rFonts w:hint="eastAsia" w:cs="仿宋" w:asciiTheme="minorEastAsia" w:hAnsiTheme="minorEastAsia" w:eastAsiaTheme="minorEastAsia"/>
          <w:lang w:val="zh-CN"/>
        </w:rPr>
        <w:t>、甲方应配合乙方的工作，若因甲方原因造成乙方未完成规定采购内容，甲方不得扣除乙方相应费用。</w:t>
      </w:r>
    </w:p>
    <w:p w14:paraId="07E42B84">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6、如因乙方自身原因，不履行合同义务或者履行合同义务不符合约定的，应当承担继续履行、采取补救措施或者由甲方扣除相应合同价款作为对甲方造成损失的赔偿。</w:t>
      </w:r>
    </w:p>
    <w:p w14:paraId="13C20406">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7、乙方未经甲方书面同意将本合同的全部或部分服务转让给第三方，或者将合同权利、对甲方享有的债权转让给第三方的，该等转让对甲方无效，且甲方有权单方解除本合同。</w:t>
      </w:r>
    </w:p>
    <w:p w14:paraId="1C09890D">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8、如乙方不履行质保义务，甲方有权委托第三方进行替换或从第三方购买替代品，由此发生的费用由乙方承担，除此之外乙方还应向甲方承担本合同总金额20%的违约金。</w:t>
      </w:r>
    </w:p>
    <w:p w14:paraId="6D4549EF">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9、因乙方存在其他违约行为或因乙方原因导致合同目的无法实现或合同无法继续履行的，甲方有权解除合同。</w:t>
      </w:r>
    </w:p>
    <w:p w14:paraId="79942D7F">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1</w:t>
      </w:r>
      <w:r>
        <w:rPr>
          <w:rFonts w:cs="仿宋" w:asciiTheme="minorEastAsia" w:hAnsiTheme="minorEastAsia" w:eastAsiaTheme="minorEastAsia"/>
          <w:lang w:val="zh-CN"/>
        </w:rPr>
        <w:t>0</w:t>
      </w:r>
      <w:r>
        <w:rPr>
          <w:rFonts w:hint="eastAsia" w:cs="仿宋" w:asciiTheme="minorEastAsia" w:hAnsiTheme="minorEastAsia" w:eastAsiaTheme="minorEastAsia"/>
          <w:lang w:val="zh-CN"/>
        </w:rPr>
        <w:t>、乙方违反本合同的约定，除按本合同的约定承担违约责任外，还应赔偿甲方包括但不限于直接损失、甲方向第三方的违约或赔偿损失、误工费、鉴定费、损失的评估费、律师费、诉讼费或仲裁费、保全费、保险费、公告费、执行费等全部损失。</w:t>
      </w:r>
    </w:p>
    <w:p w14:paraId="53970858">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11、本合同所涉及全部违约金，甲方均有权从未付合同价款中扣除，乙方对此无异议。</w:t>
      </w:r>
    </w:p>
    <w:p w14:paraId="06C807CB">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12、其它违约责任按《中华人民共和国民法典》处理。</w:t>
      </w:r>
    </w:p>
    <w:p w14:paraId="2BD85162">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十六、不可抗力</w:t>
      </w:r>
    </w:p>
    <w:p w14:paraId="16D251DE">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甲乙双方的任何一方由于不可抗力不能履行合同时，应当及时通知对方不能履行或不能完全履行的情况和理由；在取得有关主管机关证明以后，允许延期履行、部分履行或者终止履行合同的，根据情况可部分或全部免予承担违约责任。</w:t>
      </w:r>
    </w:p>
    <w:p w14:paraId="775FC9CC">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十七、保密</w:t>
      </w:r>
    </w:p>
    <w:p w14:paraId="29C02207">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乙方在合同履行期间知悉甲方的工作秘密（包括相关业务信息），不得透露或以其他方式提供给合同双方以外的其他方（包括乙方内部与本合同无关的任何人员），乙方的保密责任不因本合同的终止而终止。乙方违反本合同所规定的保密义务，应按照本合同总金额的10%支付违约金。</w:t>
      </w:r>
    </w:p>
    <w:p w14:paraId="339F8A03">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甲方有义务保护乙方的知识产权，未经乙方同意，甲方对乙方交付的成果文件、资料不得向第三方转让或用于本合同以外的项目。如发生以上情况，乙方有权索赔。</w:t>
      </w:r>
    </w:p>
    <w:p w14:paraId="747661E2">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十八、合同解除</w:t>
      </w:r>
    </w:p>
    <w:p w14:paraId="620E60B0">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1、甲方依据本合同约定或法律规定单方解除合同的，自解除合同的通知到达乙方时，合同自行终止。乙方应于合同解除之日起15日内退还甲方全部已支付款项并按一年期贷款市场报价利率四倍计取的资金占用期间的利息，赔偿甲方因此造成的损失，并支付甲方合同总价款30%的违约金。</w:t>
      </w:r>
    </w:p>
    <w:p w14:paraId="6FB48D9D">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2、按合同约定或法律规定，解除合同的事由发生时，解除权人可以解除合同。享有解除权的一方应当自解除事由发生之日起三年内行使解除权，期限届满不行使的，解除权消灭。</w:t>
      </w:r>
    </w:p>
    <w:p w14:paraId="60E1A5BE">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十九、通知与送达</w:t>
      </w:r>
    </w:p>
    <w:p w14:paraId="735EB625">
      <w:pPr>
        <w:pStyle w:val="124"/>
        <w:wordWrap/>
        <w:spacing w:line="360" w:lineRule="auto"/>
        <w:ind w:left="840" w:firstLine="420"/>
        <w:outlineLvl w:val="9"/>
        <w:rPr>
          <w:rFonts w:cs="仿宋" w:asciiTheme="minorEastAsia" w:hAnsiTheme="minorEastAsia" w:eastAsiaTheme="minorEastAsia"/>
          <w:bCs w:val="0"/>
          <w:sz w:val="21"/>
          <w:szCs w:val="21"/>
          <w:lang w:val="zh-CN"/>
        </w:rPr>
      </w:pPr>
      <w:r>
        <w:rPr>
          <w:rFonts w:hint="eastAsia" w:cs="仿宋" w:asciiTheme="minorEastAsia" w:hAnsiTheme="minorEastAsia" w:eastAsiaTheme="minorEastAsia"/>
          <w:bCs w:val="0"/>
          <w:sz w:val="21"/>
          <w:szCs w:val="21"/>
          <w:lang w:val="zh-CN"/>
        </w:rPr>
        <w:t>1、乙方的通知与送达方式为：</w:t>
      </w:r>
    </w:p>
    <w:p w14:paraId="2CD0661A">
      <w:pPr>
        <w:pStyle w:val="124"/>
        <w:wordWrap/>
        <w:spacing w:line="360" w:lineRule="auto"/>
        <w:ind w:left="840" w:firstLine="420"/>
        <w:outlineLvl w:val="9"/>
        <w:rPr>
          <w:rFonts w:cs="仿宋" w:asciiTheme="minorEastAsia" w:hAnsiTheme="minorEastAsia" w:eastAsiaTheme="minorEastAsia"/>
          <w:bCs w:val="0"/>
          <w:sz w:val="21"/>
          <w:szCs w:val="21"/>
          <w:lang w:val="zh-CN"/>
        </w:rPr>
      </w:pPr>
      <w:r>
        <w:rPr>
          <w:rFonts w:hint="eastAsia" w:cs="仿宋" w:asciiTheme="minorEastAsia" w:hAnsiTheme="minorEastAsia" w:eastAsiaTheme="minorEastAsia"/>
          <w:bCs w:val="0"/>
          <w:sz w:val="21"/>
          <w:szCs w:val="21"/>
          <w:lang w:val="zh-CN"/>
        </w:rPr>
        <w:t>乙方：</w:t>
      </w:r>
    </w:p>
    <w:p w14:paraId="458A0B1A">
      <w:pPr>
        <w:pStyle w:val="124"/>
        <w:wordWrap/>
        <w:spacing w:line="360" w:lineRule="auto"/>
        <w:ind w:left="840" w:firstLine="420"/>
        <w:outlineLvl w:val="9"/>
        <w:rPr>
          <w:rFonts w:cs="仿宋" w:asciiTheme="minorEastAsia" w:hAnsiTheme="minorEastAsia" w:eastAsiaTheme="minorEastAsia"/>
          <w:bCs w:val="0"/>
          <w:sz w:val="21"/>
          <w:szCs w:val="21"/>
          <w:lang w:val="zh-CN"/>
        </w:rPr>
      </w:pPr>
      <w:r>
        <w:rPr>
          <w:rFonts w:hint="eastAsia" w:cs="仿宋" w:asciiTheme="minorEastAsia" w:hAnsiTheme="minorEastAsia" w:eastAsiaTheme="minorEastAsia"/>
          <w:bCs w:val="0"/>
          <w:sz w:val="21"/>
          <w:szCs w:val="21"/>
          <w:lang w:val="zh-CN"/>
        </w:rPr>
        <w:t>通讯地址：                      ；</w:t>
      </w:r>
    </w:p>
    <w:p w14:paraId="7EDFEC00">
      <w:pPr>
        <w:pStyle w:val="124"/>
        <w:wordWrap/>
        <w:spacing w:line="360" w:lineRule="auto"/>
        <w:ind w:left="840" w:firstLine="420"/>
        <w:outlineLvl w:val="9"/>
        <w:rPr>
          <w:rFonts w:cs="仿宋" w:asciiTheme="minorEastAsia" w:hAnsiTheme="minorEastAsia" w:eastAsiaTheme="minorEastAsia"/>
          <w:bCs w:val="0"/>
          <w:sz w:val="21"/>
          <w:szCs w:val="21"/>
          <w:lang w:val="zh-CN"/>
        </w:rPr>
      </w:pPr>
      <w:r>
        <w:rPr>
          <w:rFonts w:hint="eastAsia" w:cs="仿宋" w:asciiTheme="minorEastAsia" w:hAnsiTheme="minorEastAsia" w:eastAsiaTheme="minorEastAsia"/>
          <w:bCs w:val="0"/>
          <w:sz w:val="21"/>
          <w:szCs w:val="21"/>
          <w:lang w:val="zh-CN"/>
        </w:rPr>
        <w:t>联系人：                        ；联系电话（手机）：</w:t>
      </w:r>
    </w:p>
    <w:p w14:paraId="7B8D98B1">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2、本合同涉及有关通知事项可按照本合同中约定的通知与送达方式，采用邮寄、直接送达、致电或发送短信、E-mail等任一方式进行，邮寄到达（拒收、退回）当日、直接送达或致电以及短信息、E-mail、微信发送当时，即视为乙方接到该通知。</w:t>
      </w:r>
    </w:p>
    <w:p w14:paraId="6D7A5440">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3、乙方必须保证本合同约定的联络方式真实有效，乙方前述联系方式不真实、不准确或未留联系方式，一切责任均由乙方承担。联系方式如有变更，必须于变更后3日内书面通知甲方。否则，甲方按照本合同约定的通知与送达方式向其发出的任何通知均视为合法有效。乙方拒收、不在指定地址或联系不上导致通知被退回，均视为通知已经合法有效送达。</w:t>
      </w:r>
    </w:p>
    <w:p w14:paraId="5B0C9283">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4、乙方同意，乙方在本通知与送达条款中预留的地址及电话、传真、电子邮箱等，均可作为送达诉讼（或仲裁）文书（包括但不限于起诉状、上诉状、申请书、传票、举证通知书、出庭通知书、各类裁定、判决等）的确认地址。即，只要人民法院（或仲裁委员会）将诉讼（或仲裁）文书发送至乙方预留的地址、传真、电子邮箱，即视为送达。因乙方自己提供或者确认的送达地址不准确、送达地址变更未及时告知甲方，乙方或者乙方指定的联系人拒绝签收，导致诉讼（或仲裁）文书未能被乙方实际接收的，文书退回之日视为送达之日。</w:t>
      </w:r>
    </w:p>
    <w:p w14:paraId="3ED0C93D">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二十、争议解决</w:t>
      </w:r>
    </w:p>
    <w:p w14:paraId="78C8BAE5">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甲乙双方在合同履行中发生争议，应通过协商解决。如协商不成，可以向甲方所在地人民法院提起诉讼。</w:t>
      </w:r>
    </w:p>
    <w:p w14:paraId="654C29A3">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二十一、合同生效及其他</w:t>
      </w:r>
    </w:p>
    <w:p w14:paraId="61225362">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1、 本合同一式肆份，甲方执叁份、乙方执壹份，经甲乙双方代表签字、加盖公章后生效，合同履行完成后自行终止。招标（采购）和投标（响应性）文件为本合同组成部分。</w:t>
      </w:r>
    </w:p>
    <w:p w14:paraId="7F054B12">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2、组成本合同的文件及解释顺序为：本合同及补充条款、中标通知书、投标（响应性）文件及其附件；招标（采购）文件及补充通知。如果乙方的投标（响应性）文件及其附件高于国家行业标准的，以投标文件及其附件为准。</w:t>
      </w:r>
    </w:p>
    <w:p w14:paraId="42E9732D">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3、本合同生效之后，任何一方违反本合同规定，除了承担违约金外，还要承担守约方向违约方追究违约责任所支付的一切费用，包括但不限于律师费、诉讼费、保全费、公告费、鉴定费、交通食宿费等。</w:t>
      </w:r>
    </w:p>
    <w:p w14:paraId="4FC813A3">
      <w:pPr>
        <w:autoSpaceDE w:val="0"/>
        <w:autoSpaceDN w:val="0"/>
        <w:adjustRightInd w:val="0"/>
        <w:spacing w:line="400" w:lineRule="exact"/>
        <w:ind w:firstLine="482"/>
        <w:rPr>
          <w:rFonts w:cs="仿宋" w:asciiTheme="minorEastAsia" w:hAnsiTheme="minorEastAsia" w:eastAsiaTheme="minorEastAsia"/>
          <w:lang w:val="zh-CN"/>
        </w:rPr>
      </w:pPr>
      <w:r>
        <w:rPr>
          <w:rFonts w:hint="eastAsia" w:cs="仿宋" w:asciiTheme="minorEastAsia" w:hAnsiTheme="minorEastAsia" w:eastAsiaTheme="minorEastAsia"/>
          <w:lang w:val="zh-CN"/>
        </w:rPr>
        <w:t>4、本合同未尽事宜，供需双方可签订补充协议，与本合同具有同等法律效力。</w:t>
      </w:r>
    </w:p>
    <w:p w14:paraId="23900905">
      <w:pPr>
        <w:autoSpaceDE w:val="0"/>
        <w:autoSpaceDN w:val="0"/>
        <w:adjustRightInd w:val="0"/>
        <w:spacing w:line="400" w:lineRule="exact"/>
        <w:ind w:firstLine="482"/>
        <w:rPr>
          <w:rFonts w:cs="仿宋" w:asciiTheme="minorEastAsia" w:hAnsiTheme="minorEastAsia" w:eastAsiaTheme="minorEastAsia"/>
        </w:rPr>
      </w:pPr>
      <w:r>
        <w:rPr>
          <w:rFonts w:hint="eastAsia" w:cs="仿宋" w:asciiTheme="minorEastAsia" w:hAnsiTheme="minorEastAsia" w:eastAsiaTheme="minorEastAsia"/>
          <w:lang w:val="zh-CN"/>
        </w:rPr>
        <w:t>5、本合同相关的招投标资料/谈判纪要以及与本合同相关的其他文件均为本合同附件，与本合同具有同等法律效力。若本合同附件与本合同内容存在不一致之处，以本合同约定为准。</w:t>
      </w:r>
    </w:p>
    <w:p w14:paraId="7B181DED">
      <w:pPr>
        <w:pStyle w:val="17"/>
        <w:rPr>
          <w:rFonts w:asciiTheme="minorEastAsia" w:hAnsiTheme="minorEastAsia" w:eastAsiaTheme="minorEastAsia"/>
          <w:szCs w:val="21"/>
        </w:rPr>
      </w:pPr>
    </w:p>
    <w:p w14:paraId="3A84A96B">
      <w:pPr>
        <w:autoSpaceDE w:val="0"/>
        <w:autoSpaceDN w:val="0"/>
        <w:adjustRightInd w:val="0"/>
        <w:spacing w:line="400" w:lineRule="exact"/>
        <w:ind w:firstLine="422" w:firstLineChars="200"/>
        <w:outlineLvl w:val="1"/>
        <w:rPr>
          <w:rFonts w:cs="仿宋" w:asciiTheme="minorEastAsia" w:hAnsiTheme="minorEastAsia" w:eastAsiaTheme="minorEastAsia"/>
          <w:b/>
          <w:bCs/>
        </w:rPr>
      </w:pPr>
      <w:r>
        <w:rPr>
          <w:rFonts w:hint="eastAsia" w:cs="仿宋" w:asciiTheme="minorEastAsia" w:hAnsiTheme="minorEastAsia" w:eastAsiaTheme="minorEastAsia"/>
          <w:b/>
          <w:bCs/>
        </w:rPr>
        <w:t>附件</w:t>
      </w:r>
      <w:r>
        <w:rPr>
          <w:rFonts w:cs="仿宋" w:asciiTheme="minorEastAsia" w:hAnsiTheme="minorEastAsia" w:eastAsiaTheme="minorEastAsia"/>
          <w:b/>
          <w:bCs/>
        </w:rPr>
        <w:t>：</w:t>
      </w:r>
      <w:r>
        <w:rPr>
          <w:rFonts w:hint="eastAsia" w:cs="仿宋" w:asciiTheme="minorEastAsia" w:hAnsiTheme="minorEastAsia" w:eastAsiaTheme="minorEastAsia"/>
          <w:b/>
          <w:bCs/>
        </w:rPr>
        <w:t>清单明细（如有）</w:t>
      </w:r>
    </w:p>
    <w:p w14:paraId="53A38247">
      <w:pPr>
        <w:spacing w:line="276" w:lineRule="auto"/>
        <w:ind w:firstLine="420"/>
        <w:rPr>
          <w:rFonts w:asciiTheme="minorEastAsia" w:hAnsiTheme="minorEastAsia" w:eastAsiaTheme="minorEastAsia"/>
          <w:bCs/>
        </w:rPr>
      </w:pPr>
    </w:p>
    <w:p w14:paraId="5CA7D4C1">
      <w:pPr>
        <w:spacing w:line="276" w:lineRule="auto"/>
        <w:ind w:firstLine="420"/>
        <w:rPr>
          <w:rFonts w:asciiTheme="minorEastAsia" w:hAnsiTheme="minorEastAsia" w:eastAsiaTheme="minorEastAsia"/>
          <w:bCs/>
        </w:rPr>
      </w:pPr>
      <w:r>
        <w:rPr>
          <w:rFonts w:hint="eastAsia" w:asciiTheme="minorEastAsia" w:hAnsiTheme="minorEastAsia" w:eastAsiaTheme="minorEastAsia"/>
          <w:bCs/>
        </w:rPr>
        <w:t>（以下无正文）</w:t>
      </w:r>
    </w:p>
    <w:p w14:paraId="61F4AFA8">
      <w:pPr>
        <w:pStyle w:val="17"/>
        <w:rPr>
          <w:rFonts w:asciiTheme="minorEastAsia" w:hAnsiTheme="minorEastAsia" w:eastAsiaTheme="minorEastAsia"/>
          <w:szCs w:val="21"/>
        </w:rPr>
      </w:pPr>
    </w:p>
    <w:p w14:paraId="346F6954">
      <w:pPr>
        <w:autoSpaceDE w:val="0"/>
        <w:autoSpaceDN w:val="0"/>
        <w:adjustRightInd w:val="0"/>
        <w:spacing w:line="400" w:lineRule="exact"/>
        <w:rPr>
          <w:rFonts w:cs="仿宋" w:asciiTheme="minorEastAsia" w:hAnsiTheme="minorEastAsia" w:eastAsiaTheme="minorEastAsia"/>
          <w:lang w:val="zh-CN"/>
        </w:rPr>
      </w:pPr>
      <w:r>
        <w:rPr>
          <w:rFonts w:hint="eastAsia" w:cs="仿宋" w:asciiTheme="minorEastAsia" w:hAnsiTheme="minorEastAsia" w:eastAsiaTheme="minorEastAsia"/>
          <w:lang w:val="zh-CN"/>
        </w:rPr>
        <w:t xml:space="preserve">甲方(印章): 江苏医药职业学院               乙方(印章):                  </w:t>
      </w:r>
    </w:p>
    <w:p w14:paraId="7F901711">
      <w:pPr>
        <w:snapToGrid w:val="0"/>
        <w:spacing w:line="360" w:lineRule="auto"/>
        <w:jc w:val="left"/>
        <w:rPr>
          <w:rFonts w:ascii="宋体" w:hAnsi="宋体" w:cs="Arial Unicode MS"/>
        </w:rPr>
      </w:pPr>
      <w:r>
        <w:rPr>
          <w:rFonts w:hint="eastAsia" w:ascii="宋体" w:hAnsi="宋体" w:cs="Arial Unicode MS"/>
        </w:rPr>
        <w:t>法定代表人或其委托代理人：                 法定代表人或其委托代理人：</w:t>
      </w:r>
    </w:p>
    <w:p w14:paraId="5E137238">
      <w:pPr>
        <w:snapToGrid w:val="0"/>
        <w:spacing w:line="360" w:lineRule="auto"/>
        <w:ind w:firstLine="420" w:firstLineChars="200"/>
        <w:jc w:val="left"/>
        <w:rPr>
          <w:rFonts w:ascii="宋体" w:hAnsi="宋体" w:cs="Arial Unicode MS"/>
        </w:rPr>
      </w:pPr>
      <w:r>
        <w:rPr>
          <w:rFonts w:hint="eastAsia" w:ascii="宋体" w:hAnsi="宋体" w:cs="Arial Unicode MS"/>
        </w:rPr>
        <w:t>（签字）:                                     (签字):</w:t>
      </w:r>
    </w:p>
    <w:p w14:paraId="7901573E">
      <w:pPr>
        <w:autoSpaceDE w:val="0"/>
        <w:autoSpaceDN w:val="0"/>
        <w:adjustRightInd w:val="0"/>
        <w:spacing w:line="276" w:lineRule="auto"/>
        <w:rPr>
          <w:rFonts w:cs="仿宋" w:asciiTheme="minorEastAsia" w:hAnsiTheme="minorEastAsia" w:eastAsiaTheme="minorEastAsia"/>
          <w:lang w:val="zh-CN"/>
        </w:rPr>
      </w:pPr>
      <w:r>
        <w:rPr>
          <w:rFonts w:hint="eastAsia" w:cs="仿宋" w:asciiTheme="minorEastAsia" w:hAnsiTheme="minorEastAsia" w:eastAsiaTheme="minorEastAsia"/>
          <w:lang w:val="zh-CN"/>
        </w:rPr>
        <w:t xml:space="preserve">地址: 盐城市解放南路283号                  地址:                       </w:t>
      </w:r>
    </w:p>
    <w:p w14:paraId="745DC9D9">
      <w:pPr>
        <w:autoSpaceDE w:val="0"/>
        <w:autoSpaceDN w:val="0"/>
        <w:adjustRightInd w:val="0"/>
        <w:spacing w:line="276" w:lineRule="auto"/>
        <w:jc w:val="left"/>
        <w:rPr>
          <w:rFonts w:cs="仿宋" w:asciiTheme="minorEastAsia" w:hAnsiTheme="minorEastAsia" w:eastAsiaTheme="minorEastAsia"/>
          <w:lang w:val="zh-CN"/>
        </w:rPr>
      </w:pPr>
      <w:r>
        <w:rPr>
          <w:rFonts w:hint="eastAsia" w:cs="仿宋" w:asciiTheme="minorEastAsia" w:hAnsiTheme="minorEastAsia" w:eastAsiaTheme="minorEastAsia"/>
          <w:lang w:val="zh-CN"/>
        </w:rPr>
        <w:t xml:space="preserve">电话:051588550311                          电话:                             </w:t>
      </w:r>
    </w:p>
    <w:p w14:paraId="3B1D228E">
      <w:pPr>
        <w:pStyle w:val="17"/>
        <w:rPr>
          <w:rFonts w:asciiTheme="minorEastAsia" w:hAnsiTheme="minorEastAsia" w:eastAsiaTheme="minorEastAsia"/>
          <w:lang w:val="zh-CN"/>
        </w:rPr>
      </w:pPr>
    </w:p>
    <w:p w14:paraId="30653291">
      <w:pPr>
        <w:tabs>
          <w:tab w:val="left" w:pos="7820"/>
        </w:tabs>
        <w:autoSpaceDE w:val="0"/>
        <w:autoSpaceDN w:val="0"/>
        <w:adjustRightInd w:val="0"/>
        <w:spacing w:line="400" w:lineRule="exact"/>
        <w:ind w:firstLine="3080" w:firstLineChars="1400"/>
      </w:pPr>
      <w:r>
        <w:rPr>
          <w:rFonts w:hint="eastAsia" w:cs="仿宋" w:asciiTheme="minorEastAsia" w:hAnsiTheme="minorEastAsia" w:eastAsiaTheme="minorEastAsia"/>
          <w:sz w:val="22"/>
          <w:lang w:val="zh-CN"/>
        </w:rPr>
        <w:t xml:space="preserve">                           年   月   日</w:t>
      </w:r>
    </w:p>
    <w:p w14:paraId="10C0A67E">
      <w:pPr>
        <w:spacing w:line="400" w:lineRule="exact"/>
        <w:ind w:firstLine="480" w:firstLineChars="200"/>
        <w:rPr>
          <w:rFonts w:cs="仿宋" w:asciiTheme="minorEastAsia" w:hAnsiTheme="minorEastAsia" w:eastAsiaTheme="minorEastAsia"/>
          <w:sz w:val="24"/>
        </w:rPr>
      </w:pPr>
    </w:p>
    <w:bookmarkEnd w:id="73"/>
    <w:bookmarkEnd w:id="74"/>
    <w:bookmarkEnd w:id="75"/>
    <w:p w14:paraId="1B66FCAD">
      <w:pPr>
        <w:spacing w:line="500" w:lineRule="exact"/>
        <w:ind w:firstLine="3080" w:firstLineChars="700"/>
        <w:outlineLvl w:val="0"/>
        <w:rPr>
          <w:rFonts w:ascii="方正小标宋_GBK" w:hAnsi="方正小标宋_GBK" w:eastAsia="方正小标宋_GBK" w:cs="方正小标宋_GBK"/>
          <w:color w:val="000000"/>
          <w:sz w:val="44"/>
          <w:szCs w:val="44"/>
        </w:rPr>
      </w:pPr>
      <w:bookmarkStart w:id="82" w:name="_Toc181627031"/>
      <w:bookmarkStart w:id="83" w:name="_Toc120614281"/>
      <w:bookmarkStart w:id="84" w:name="_Toc49090575"/>
      <w:bookmarkStart w:id="85" w:name="_Toc26554093"/>
      <w:r>
        <w:rPr>
          <w:rFonts w:hint="eastAsia" w:ascii="方正小标宋_GBK" w:hAnsi="方正小标宋_GBK" w:eastAsia="方正小标宋_GBK" w:cs="方正小标宋_GBK"/>
          <w:color w:val="000000"/>
          <w:sz w:val="44"/>
          <w:szCs w:val="44"/>
        </w:rPr>
        <w:t>第四章  项目需求</w:t>
      </w:r>
      <w:bookmarkEnd w:id="82"/>
    </w:p>
    <w:p w14:paraId="54831DDC"/>
    <w:p w14:paraId="30EBC303">
      <w:pPr>
        <w:keepNext/>
        <w:keepLines/>
        <w:widowControl/>
        <w:tabs>
          <w:tab w:val="left" w:pos="567"/>
          <w:tab w:val="left" w:pos="851"/>
          <w:tab w:val="left" w:pos="993"/>
        </w:tabs>
        <w:spacing w:line="420" w:lineRule="exact"/>
        <w:ind w:firstLine="482" w:firstLineChars="200"/>
        <w:jc w:val="left"/>
        <w:outlineLvl w:val="0"/>
        <w:rPr>
          <w:rFonts w:ascii="宋体" w:hAnsi="宋体" w:cs="宋体"/>
          <w:b/>
          <w:bCs/>
          <w:color w:val="000000"/>
          <w:kern w:val="0"/>
          <w:sz w:val="24"/>
          <w:szCs w:val="24"/>
        </w:rPr>
      </w:pPr>
      <w:bookmarkStart w:id="86" w:name="_Toc181627032"/>
      <w:bookmarkStart w:id="87" w:name="OLE_LINK2"/>
      <w:bookmarkStart w:id="88" w:name="OLE_LINK1"/>
      <w:r>
        <w:rPr>
          <w:rFonts w:hint="eastAsia" w:ascii="宋体" w:hAnsi="宋体" w:cs="宋体"/>
          <w:b/>
          <w:bCs/>
          <w:color w:val="000000"/>
          <w:kern w:val="0"/>
          <w:sz w:val="24"/>
          <w:szCs w:val="24"/>
        </w:rPr>
        <w:t>一、项目背景</w:t>
      </w:r>
      <w:bookmarkEnd w:id="86"/>
    </w:p>
    <w:p w14:paraId="214D96DF">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随着学校信息化建设进程，学校对IT系统（基础网络设施、基础IT平台、业务软件、基础智能化系统）的可用性要求日益提高，IT系统运行保障和维护管理成为确保学校各业务系统可靠运行的最有力手段。而随着信息化建设的深入，学校IT系统设施的种类、品牌和数量不断增加，在人员受限的情况下对于信息中心工作有着较大的工作压力，需要信息化老师保证校园IT设备的正常使用，同时各部门举行活动时存在保障人员不够等问题。</w:t>
      </w:r>
    </w:p>
    <w:p w14:paraId="1730BCDB">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学校经过三年的运维外包，发现运维故障每天都能得到更快的解决，有力的保障了网络可用性、稳定性。终端故障及时妥善处理，提高师生工作学习效率，减少故障处理等待时间。</w:t>
      </w:r>
    </w:p>
    <w:p w14:paraId="0C6120E2">
      <w:pPr>
        <w:widowControl/>
        <w:spacing w:line="420" w:lineRule="exact"/>
        <w:ind w:firstLine="482" w:firstLineChars="200"/>
        <w:jc w:val="left"/>
        <w:rPr>
          <w:rFonts w:ascii="仿宋" w:hAnsi="宋体" w:eastAsia="仿宋"/>
          <w:b/>
          <w:bCs/>
          <w:sz w:val="24"/>
          <w:szCs w:val="24"/>
        </w:rPr>
      </w:pPr>
      <w:r>
        <w:rPr>
          <w:rFonts w:ascii="仿宋" w:hAnsi="宋体" w:eastAsia="仿宋"/>
          <w:b/>
          <w:bCs/>
          <w:sz w:val="24"/>
          <w:szCs w:val="24"/>
        </w:rPr>
        <w:t>1</w:t>
      </w:r>
      <w:r>
        <w:rPr>
          <w:rFonts w:hint="eastAsia" w:ascii="仿宋" w:hAnsi="宋体" w:eastAsia="仿宋"/>
          <w:b/>
          <w:bCs/>
          <w:sz w:val="24"/>
          <w:szCs w:val="24"/>
        </w:rPr>
        <w:t>.转变信息中心的工作职责</w:t>
      </w:r>
      <w:r>
        <w:rPr>
          <w:rFonts w:ascii="仿宋" w:hAnsi="宋体" w:eastAsia="仿宋"/>
          <w:b/>
          <w:bCs/>
          <w:sz w:val="24"/>
          <w:szCs w:val="24"/>
        </w:rPr>
        <w:t> </w:t>
      </w:r>
    </w:p>
    <w:p w14:paraId="4E628A98">
      <w:pPr>
        <w:widowControl/>
        <w:spacing w:line="420" w:lineRule="exact"/>
        <w:ind w:firstLine="480" w:firstLineChars="200"/>
        <w:jc w:val="left"/>
        <w:rPr>
          <w:rFonts w:ascii="仿宋" w:hAnsi="宋体" w:eastAsia="仿宋"/>
          <w:sz w:val="24"/>
          <w:szCs w:val="24"/>
        </w:rPr>
      </w:pPr>
      <w:r>
        <w:rPr>
          <w:rFonts w:hint="eastAsia" w:ascii="宋体" w:hAnsi="宋体" w:cs="宋体"/>
          <w:sz w:val="24"/>
          <w:szCs w:val="24"/>
        </w:rPr>
        <w:t>实行校园</w:t>
      </w:r>
      <w:r>
        <w:rPr>
          <w:rFonts w:ascii="宋体" w:hAnsi="宋体" w:cs="宋体"/>
          <w:sz w:val="24"/>
          <w:szCs w:val="24"/>
        </w:rPr>
        <w:t>IT</w:t>
      </w:r>
      <w:r>
        <w:rPr>
          <w:rFonts w:hint="eastAsia" w:ascii="宋体" w:hAnsi="宋体" w:cs="宋体"/>
          <w:sz w:val="24"/>
          <w:szCs w:val="24"/>
        </w:rPr>
        <w:t>服务外包，由日常维护转变为根据学校办学目标制定教育信息化工作计划、组织人员培训、开展课题研究、指导信息技术与学科的整合工作、对</w:t>
      </w:r>
      <w:r>
        <w:rPr>
          <w:rFonts w:ascii="宋体" w:hAnsi="宋体" w:cs="宋体"/>
          <w:sz w:val="24"/>
          <w:szCs w:val="24"/>
        </w:rPr>
        <w:t>IT</w:t>
      </w:r>
      <w:r>
        <w:rPr>
          <w:rFonts w:hint="eastAsia" w:ascii="宋体" w:hAnsi="宋体" w:cs="宋体"/>
          <w:sz w:val="24"/>
          <w:szCs w:val="24"/>
        </w:rPr>
        <w:t>服务外包商工作进行管理，让校园网真正成为师生获取资源的渠道。为积极建立教育信息化持续发展的运行机制，推进信息技术在教学中应用起引领作用。</w:t>
      </w:r>
      <w:r>
        <w:rPr>
          <w:rFonts w:ascii="宋体" w:hAnsi="宋体" w:cs="宋体"/>
          <w:sz w:val="24"/>
          <w:szCs w:val="24"/>
        </w:rPr>
        <w:t> </w:t>
      </w:r>
      <w:r>
        <w:rPr>
          <w:rFonts w:ascii="仿宋" w:hAnsi="宋体" w:eastAsia="仿宋"/>
          <w:sz w:val="24"/>
          <w:szCs w:val="24"/>
        </w:rPr>
        <w:t> </w:t>
      </w:r>
    </w:p>
    <w:p w14:paraId="2A7FB558">
      <w:pPr>
        <w:widowControl/>
        <w:spacing w:line="420" w:lineRule="exact"/>
        <w:ind w:firstLine="482" w:firstLineChars="200"/>
        <w:jc w:val="left"/>
        <w:rPr>
          <w:rFonts w:ascii="仿宋" w:hAnsi="宋体" w:eastAsia="仿宋"/>
          <w:b/>
          <w:bCs/>
          <w:sz w:val="24"/>
          <w:szCs w:val="24"/>
        </w:rPr>
      </w:pPr>
      <w:r>
        <w:rPr>
          <w:rFonts w:ascii="仿宋" w:hAnsi="宋体" w:eastAsia="仿宋"/>
          <w:b/>
          <w:bCs/>
          <w:sz w:val="24"/>
          <w:szCs w:val="24"/>
        </w:rPr>
        <w:t>2</w:t>
      </w:r>
      <w:r>
        <w:rPr>
          <w:rFonts w:hint="eastAsia" w:ascii="仿宋" w:hAnsi="宋体" w:eastAsia="仿宋"/>
          <w:b/>
          <w:bCs/>
          <w:sz w:val="24"/>
          <w:szCs w:val="24"/>
        </w:rPr>
        <w:t>.降低校园</w:t>
      </w:r>
      <w:r>
        <w:rPr>
          <w:rFonts w:ascii="仿宋" w:hAnsi="宋体" w:eastAsia="仿宋"/>
          <w:b/>
          <w:bCs/>
          <w:sz w:val="24"/>
          <w:szCs w:val="24"/>
        </w:rPr>
        <w:t>IT</w:t>
      </w:r>
      <w:r>
        <w:rPr>
          <w:rFonts w:hint="eastAsia" w:ascii="仿宋" w:hAnsi="宋体" w:eastAsia="仿宋"/>
          <w:b/>
          <w:bCs/>
          <w:sz w:val="24"/>
          <w:szCs w:val="24"/>
        </w:rPr>
        <w:t>建设及维护成本</w:t>
      </w:r>
      <w:r>
        <w:rPr>
          <w:rFonts w:ascii="仿宋" w:hAnsi="宋体" w:eastAsia="仿宋"/>
          <w:b/>
          <w:bCs/>
          <w:sz w:val="24"/>
          <w:szCs w:val="24"/>
        </w:rPr>
        <w:t> </w:t>
      </w:r>
    </w:p>
    <w:p w14:paraId="6A925FF2">
      <w:pPr>
        <w:widowControl/>
        <w:spacing w:line="420" w:lineRule="exact"/>
        <w:ind w:firstLine="480" w:firstLineChars="200"/>
        <w:jc w:val="left"/>
        <w:rPr>
          <w:rFonts w:ascii="仿宋" w:hAnsi="宋体" w:eastAsia="仿宋"/>
          <w:sz w:val="24"/>
          <w:szCs w:val="24"/>
        </w:rPr>
      </w:pPr>
      <w:r>
        <w:rPr>
          <w:rFonts w:hint="eastAsia" w:ascii="宋体" w:hAnsi="宋体" w:cs="宋体"/>
          <w:sz w:val="24"/>
          <w:szCs w:val="24"/>
        </w:rPr>
        <w:t>将</w:t>
      </w:r>
      <w:r>
        <w:rPr>
          <w:rFonts w:ascii="宋体" w:hAnsi="宋体" w:cs="宋体"/>
          <w:sz w:val="24"/>
          <w:szCs w:val="24"/>
        </w:rPr>
        <w:t>IT</w:t>
      </w:r>
      <w:r>
        <w:rPr>
          <w:rFonts w:hint="eastAsia" w:ascii="宋体" w:hAnsi="宋体" w:cs="宋体"/>
          <w:sz w:val="24"/>
          <w:szCs w:val="24"/>
        </w:rPr>
        <w:t>服务外包可以降低学校增加专业维护人员的成本，减少了因人才聘用或流失而花费的精力、成本以及面临的压力，节省了培训方面的开支，并增加了人力资源配置的灵活性。</w:t>
      </w:r>
      <w:r>
        <w:rPr>
          <w:rFonts w:ascii="仿宋" w:hAnsi="宋体" w:eastAsia="仿宋"/>
          <w:sz w:val="24"/>
          <w:szCs w:val="24"/>
        </w:rPr>
        <w:t> </w:t>
      </w:r>
    </w:p>
    <w:p w14:paraId="647FA273">
      <w:pPr>
        <w:widowControl/>
        <w:spacing w:line="420" w:lineRule="exact"/>
        <w:ind w:firstLine="482" w:firstLineChars="200"/>
        <w:jc w:val="left"/>
        <w:rPr>
          <w:rFonts w:ascii="仿宋" w:hAnsi="宋体" w:eastAsia="仿宋"/>
          <w:b/>
          <w:bCs/>
          <w:sz w:val="24"/>
          <w:szCs w:val="24"/>
        </w:rPr>
      </w:pPr>
      <w:r>
        <w:rPr>
          <w:rFonts w:ascii="仿宋" w:hAnsi="宋体" w:eastAsia="仿宋"/>
          <w:b/>
          <w:bCs/>
          <w:sz w:val="24"/>
          <w:szCs w:val="24"/>
        </w:rPr>
        <w:t>3</w:t>
      </w:r>
      <w:r>
        <w:rPr>
          <w:rFonts w:hint="eastAsia" w:ascii="仿宋" w:hAnsi="宋体" w:eastAsia="仿宋"/>
          <w:b/>
          <w:bCs/>
          <w:sz w:val="24"/>
          <w:szCs w:val="24"/>
        </w:rPr>
        <w:t>.提升</w:t>
      </w:r>
      <w:r>
        <w:rPr>
          <w:rFonts w:ascii="仿宋" w:hAnsi="宋体" w:eastAsia="仿宋"/>
          <w:b/>
          <w:bCs/>
          <w:sz w:val="24"/>
          <w:szCs w:val="24"/>
        </w:rPr>
        <w:t>IT</w:t>
      </w:r>
      <w:r>
        <w:rPr>
          <w:rFonts w:hint="eastAsia" w:ascii="仿宋" w:hAnsi="宋体" w:eastAsia="仿宋"/>
          <w:b/>
          <w:bCs/>
          <w:sz w:val="24"/>
          <w:szCs w:val="24"/>
        </w:rPr>
        <w:t>维护的能力与服务质量</w:t>
      </w:r>
      <w:r>
        <w:rPr>
          <w:rFonts w:ascii="仿宋" w:hAnsi="宋体" w:eastAsia="仿宋"/>
          <w:b/>
          <w:bCs/>
          <w:sz w:val="24"/>
          <w:szCs w:val="24"/>
        </w:rPr>
        <w:t> </w:t>
      </w:r>
    </w:p>
    <w:p w14:paraId="36BA8FB3">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将IT维护外包能够实现“专业的人做专业的工作”，不但能大大提升学校IT维护的技术实力，还能够改善服务质量及应答速度，实现技术与服务的双保障，提高学校信息化建设与维护水平，避免IT黑洞的发生。经过三年的维保事件观察，事件响应速度基本在5到15分钟内，运维故障每天都得到较快的解决，有力的保障了网络稳定性，提高了师生对网络的满意度。</w:t>
      </w:r>
      <w:bookmarkStart w:id="89" w:name="_Toc56152452"/>
      <w:bookmarkStart w:id="90" w:name="_Toc507423056"/>
      <w:bookmarkStart w:id="91" w:name="_Toc507156946"/>
    </w:p>
    <w:p w14:paraId="460950DE">
      <w:pPr>
        <w:widowControl/>
        <w:spacing w:line="420" w:lineRule="exact"/>
        <w:ind w:firstLine="482" w:firstLineChars="200"/>
        <w:jc w:val="left"/>
        <w:outlineLvl w:val="0"/>
        <w:rPr>
          <w:rFonts w:ascii="宋体" w:hAnsi="宋体" w:cs="宋体"/>
          <w:b/>
          <w:bCs/>
          <w:color w:val="000000"/>
          <w:kern w:val="0"/>
          <w:sz w:val="24"/>
          <w:szCs w:val="24"/>
        </w:rPr>
      </w:pPr>
      <w:r>
        <w:rPr>
          <w:rFonts w:hint="eastAsia" w:ascii="宋体" w:hAnsi="宋体" w:cs="宋体"/>
          <w:b/>
          <w:bCs/>
          <w:color w:val="000000"/>
          <w:kern w:val="0"/>
          <w:sz w:val="24"/>
          <w:szCs w:val="24"/>
        </w:rPr>
        <w:t>二</w:t>
      </w:r>
      <w:r>
        <w:rPr>
          <w:rFonts w:ascii="宋体" w:hAnsi="宋体" w:cs="宋体"/>
          <w:b/>
          <w:bCs/>
          <w:color w:val="000000"/>
          <w:kern w:val="0"/>
          <w:sz w:val="24"/>
          <w:szCs w:val="24"/>
        </w:rPr>
        <w:t>、项目需求</w:t>
      </w:r>
      <w:bookmarkEnd w:id="89"/>
      <w:bookmarkEnd w:id="90"/>
      <w:bookmarkEnd w:id="91"/>
    </w:p>
    <w:p w14:paraId="7FA40429">
      <w:pPr>
        <w:keepNext/>
        <w:keepLines/>
        <w:widowControl/>
        <w:numPr>
          <w:ilvl w:val="1"/>
          <w:numId w:val="0"/>
        </w:numPr>
        <w:spacing w:line="420" w:lineRule="exact"/>
        <w:ind w:left="170" w:firstLine="241" w:firstLineChars="100"/>
        <w:jc w:val="left"/>
        <w:outlineLvl w:val="1"/>
        <w:rPr>
          <w:rFonts w:ascii="仿宋" w:hAnsi="仿宋" w:eastAsia="仿宋"/>
          <w:b/>
          <w:sz w:val="24"/>
          <w:szCs w:val="24"/>
        </w:rPr>
      </w:pPr>
      <w:bookmarkStart w:id="92" w:name="_Toc56152453"/>
      <w:r>
        <w:rPr>
          <w:rFonts w:hint="eastAsia" w:ascii="仿宋" w:hAnsi="仿宋" w:eastAsia="仿宋"/>
          <w:b/>
          <w:sz w:val="24"/>
          <w:szCs w:val="24"/>
        </w:rPr>
        <w:t>1．服务内容及要求</w:t>
      </w:r>
      <w:bookmarkEnd w:id="92"/>
    </w:p>
    <w:p w14:paraId="6A0598BE">
      <w:pPr>
        <w:keepNext/>
        <w:keepLines/>
        <w:widowControl/>
        <w:numPr>
          <w:ilvl w:val="2"/>
          <w:numId w:val="0"/>
        </w:numPr>
        <w:spacing w:line="420" w:lineRule="exact"/>
        <w:ind w:left="340"/>
        <w:jc w:val="left"/>
        <w:outlineLvl w:val="2"/>
        <w:rPr>
          <w:rFonts w:ascii="仿宋" w:hAnsi="仿宋" w:eastAsia="仿宋"/>
          <w:b/>
          <w:bCs/>
          <w:sz w:val="24"/>
          <w:szCs w:val="24"/>
        </w:rPr>
      </w:pPr>
      <w:bookmarkStart w:id="93" w:name="_Toc56152454"/>
      <w:r>
        <w:rPr>
          <w:rFonts w:ascii="仿宋" w:hAnsi="仿宋" w:eastAsia="仿宋"/>
          <w:b/>
          <w:bCs/>
          <w:sz w:val="24"/>
          <w:szCs w:val="24"/>
        </w:rPr>
        <w:t>1.1</w:t>
      </w:r>
      <w:r>
        <w:rPr>
          <w:rFonts w:hint="eastAsia" w:ascii="仿宋" w:hAnsi="仿宋" w:eastAsia="仿宋"/>
          <w:b/>
          <w:bCs/>
          <w:sz w:val="24"/>
          <w:szCs w:val="24"/>
        </w:rPr>
        <w:t>服务范围</w:t>
      </w:r>
      <w:bookmarkEnd w:id="93"/>
    </w:p>
    <w:p w14:paraId="53F9C271">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校园网网络，包括但不限于校园网的核心层、汇聚层、接入层的网络及无线网络设备、智能化系统基础维护；面向用户的网络接入服务等。</w:t>
      </w:r>
    </w:p>
    <w:p w14:paraId="4748DD05">
      <w:pPr>
        <w:keepNext/>
        <w:keepLines/>
        <w:widowControl/>
        <w:numPr>
          <w:ilvl w:val="3"/>
          <w:numId w:val="0"/>
        </w:numPr>
        <w:spacing w:line="420" w:lineRule="exact"/>
        <w:ind w:left="510"/>
        <w:jc w:val="left"/>
        <w:outlineLvl w:val="3"/>
        <w:rPr>
          <w:rFonts w:ascii="仿宋" w:hAnsi="Calibri Light" w:eastAsia="仿宋"/>
          <w:b/>
          <w:bCs/>
          <w:sz w:val="24"/>
          <w:szCs w:val="24"/>
        </w:rPr>
      </w:pPr>
      <w:r>
        <w:rPr>
          <w:rFonts w:hint="eastAsia" w:ascii="仿宋" w:hAnsi="Calibri Light" w:eastAsia="仿宋"/>
          <w:b/>
          <w:bCs/>
          <w:sz w:val="24"/>
          <w:szCs w:val="24"/>
        </w:rPr>
        <w:t>1.1.1</w:t>
      </w:r>
      <w:r>
        <w:rPr>
          <w:rFonts w:ascii="仿宋" w:hAnsi="Calibri Light" w:eastAsia="仿宋"/>
          <w:b/>
          <w:bCs/>
          <w:sz w:val="24"/>
          <w:szCs w:val="24"/>
        </w:rPr>
        <w:t>应急故障排除服务</w:t>
      </w:r>
    </w:p>
    <w:p w14:paraId="5B13FA66">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校方</w:t>
      </w:r>
      <w:r>
        <w:rPr>
          <w:rFonts w:ascii="宋体" w:hAnsi="宋体" w:cs="宋体"/>
          <w:sz w:val="24"/>
          <w:szCs w:val="24"/>
        </w:rPr>
        <w:t>发生大规模病毒灾难、软硬件升级、大批量设备安装调试、需大规模手工维护设备以及</w:t>
      </w:r>
      <w:r>
        <w:rPr>
          <w:rFonts w:hint="eastAsia" w:ascii="宋体" w:hAnsi="宋体" w:cs="宋体"/>
          <w:sz w:val="24"/>
          <w:szCs w:val="24"/>
        </w:rPr>
        <w:t>校方</w:t>
      </w:r>
      <w:r>
        <w:rPr>
          <w:rFonts w:ascii="宋体" w:hAnsi="宋体" w:cs="宋体"/>
          <w:sz w:val="24"/>
          <w:szCs w:val="24"/>
        </w:rPr>
        <w:t>认为工作需要时,</w:t>
      </w:r>
      <w:r>
        <w:rPr>
          <w:rFonts w:hint="eastAsia" w:ascii="宋体" w:hAnsi="宋体" w:cs="宋体"/>
          <w:sz w:val="24"/>
          <w:szCs w:val="24"/>
        </w:rPr>
        <w:t>投标人</w:t>
      </w:r>
      <w:r>
        <w:rPr>
          <w:rFonts w:ascii="宋体" w:hAnsi="宋体" w:cs="宋体"/>
          <w:sz w:val="24"/>
          <w:szCs w:val="24"/>
        </w:rPr>
        <w:t>要根据</w:t>
      </w:r>
      <w:r>
        <w:rPr>
          <w:rFonts w:hint="eastAsia" w:ascii="宋体" w:hAnsi="宋体" w:cs="宋体"/>
          <w:sz w:val="24"/>
          <w:szCs w:val="24"/>
        </w:rPr>
        <w:t>校方</w:t>
      </w:r>
      <w:r>
        <w:rPr>
          <w:rFonts w:ascii="宋体" w:hAnsi="宋体" w:cs="宋体"/>
          <w:sz w:val="24"/>
          <w:szCs w:val="24"/>
        </w:rPr>
        <w:t>发出的需求及时增加相应人数的</w:t>
      </w:r>
      <w:r>
        <w:rPr>
          <w:rFonts w:hint="eastAsia" w:ascii="宋体" w:hAnsi="宋体" w:cs="宋体"/>
          <w:sz w:val="24"/>
          <w:szCs w:val="24"/>
        </w:rPr>
        <w:t>维护人员</w:t>
      </w:r>
      <w:r>
        <w:rPr>
          <w:rFonts w:ascii="宋体" w:hAnsi="宋体" w:cs="宋体"/>
          <w:sz w:val="24"/>
          <w:szCs w:val="24"/>
        </w:rPr>
        <w:t>配合</w:t>
      </w:r>
      <w:r>
        <w:rPr>
          <w:rFonts w:hint="eastAsia" w:ascii="宋体" w:hAnsi="宋体" w:cs="宋体"/>
          <w:sz w:val="24"/>
          <w:szCs w:val="24"/>
        </w:rPr>
        <w:t>校方</w:t>
      </w:r>
      <w:r>
        <w:rPr>
          <w:rFonts w:ascii="宋体" w:hAnsi="宋体" w:cs="宋体"/>
          <w:sz w:val="24"/>
          <w:szCs w:val="24"/>
        </w:rPr>
        <w:t>进行以上工作</w:t>
      </w:r>
      <w:r>
        <w:rPr>
          <w:rFonts w:hint="eastAsia" w:ascii="宋体" w:hAnsi="宋体" w:cs="宋体"/>
          <w:sz w:val="24"/>
          <w:szCs w:val="24"/>
        </w:rPr>
        <w:t>，</w:t>
      </w:r>
      <w:r>
        <w:rPr>
          <w:rFonts w:ascii="宋体" w:hAnsi="宋体" w:cs="宋体"/>
          <w:sz w:val="24"/>
          <w:szCs w:val="24"/>
        </w:rPr>
        <w:t>必须在</w:t>
      </w:r>
      <w:r>
        <w:rPr>
          <w:rFonts w:hint="eastAsia" w:ascii="宋体" w:hAnsi="宋体" w:cs="宋体"/>
          <w:sz w:val="24"/>
          <w:szCs w:val="24"/>
        </w:rPr>
        <w:t>校方</w:t>
      </w:r>
      <w:r>
        <w:rPr>
          <w:rFonts w:ascii="宋体" w:hAnsi="宋体" w:cs="宋体"/>
          <w:sz w:val="24"/>
          <w:szCs w:val="24"/>
        </w:rPr>
        <w:t>规定的期限内完成,不得影响正常工作</w:t>
      </w:r>
      <w:r>
        <w:rPr>
          <w:rFonts w:hint="eastAsia" w:ascii="宋体" w:hAnsi="宋体" w:cs="宋体"/>
          <w:sz w:val="24"/>
          <w:szCs w:val="24"/>
        </w:rPr>
        <w:t>。</w:t>
      </w:r>
    </w:p>
    <w:p w14:paraId="628CB963">
      <w:pPr>
        <w:widowControl/>
        <w:spacing w:line="420" w:lineRule="exact"/>
        <w:ind w:firstLine="480" w:firstLineChars="200"/>
        <w:jc w:val="left"/>
        <w:rPr>
          <w:rFonts w:ascii="宋体" w:hAnsi="宋体" w:cs="宋体"/>
          <w:sz w:val="24"/>
          <w:szCs w:val="24"/>
        </w:rPr>
      </w:pPr>
      <w:r>
        <w:rPr>
          <w:rFonts w:ascii="宋体" w:hAnsi="宋体" w:cs="宋体"/>
          <w:sz w:val="24"/>
          <w:szCs w:val="24"/>
        </w:rPr>
        <w:t>当天所报故障原则上当天必须解决,需维修的设备有积压现象时,</w:t>
      </w:r>
      <w:r>
        <w:rPr>
          <w:rFonts w:hint="eastAsia" w:ascii="宋体" w:hAnsi="宋体" w:cs="宋体"/>
          <w:sz w:val="24"/>
          <w:szCs w:val="24"/>
        </w:rPr>
        <w:t>投标人</w:t>
      </w:r>
      <w:r>
        <w:rPr>
          <w:rFonts w:ascii="宋体" w:hAnsi="宋体" w:cs="宋体"/>
          <w:sz w:val="24"/>
          <w:szCs w:val="24"/>
        </w:rPr>
        <w:t>必须在</w:t>
      </w:r>
      <w:r>
        <w:rPr>
          <w:rFonts w:hint="eastAsia" w:ascii="宋体" w:hAnsi="宋体" w:cs="宋体"/>
          <w:sz w:val="24"/>
          <w:szCs w:val="24"/>
        </w:rPr>
        <w:t>2</w:t>
      </w:r>
      <w:r>
        <w:rPr>
          <w:rFonts w:ascii="宋体" w:hAnsi="宋体" w:cs="宋体"/>
          <w:sz w:val="24"/>
          <w:szCs w:val="24"/>
        </w:rPr>
        <w:t>小时内增派</w:t>
      </w:r>
      <w:r>
        <w:rPr>
          <w:rFonts w:hint="eastAsia" w:ascii="宋体" w:hAnsi="宋体" w:cs="宋体"/>
          <w:sz w:val="24"/>
          <w:szCs w:val="24"/>
        </w:rPr>
        <w:t>维护人员</w:t>
      </w:r>
      <w:r>
        <w:rPr>
          <w:rFonts w:ascii="宋体" w:hAnsi="宋体" w:cs="宋体"/>
          <w:sz w:val="24"/>
          <w:szCs w:val="24"/>
        </w:rPr>
        <w:t>协助处理</w:t>
      </w:r>
      <w:r>
        <w:rPr>
          <w:rFonts w:hint="eastAsia" w:ascii="宋体" w:hAnsi="宋体" w:cs="宋体"/>
          <w:sz w:val="24"/>
          <w:szCs w:val="24"/>
        </w:rPr>
        <w:t>。</w:t>
      </w:r>
    </w:p>
    <w:p w14:paraId="39D35AC5">
      <w:pPr>
        <w:widowControl/>
        <w:spacing w:line="420" w:lineRule="exact"/>
        <w:ind w:firstLine="480" w:firstLineChars="200"/>
        <w:jc w:val="left"/>
        <w:rPr>
          <w:rFonts w:ascii="宋体" w:hAnsi="宋体" w:cs="宋体"/>
          <w:sz w:val="24"/>
          <w:szCs w:val="24"/>
        </w:rPr>
      </w:pPr>
      <w:r>
        <w:rPr>
          <w:rFonts w:ascii="宋体" w:hAnsi="宋体" w:cs="宋体"/>
          <w:sz w:val="24"/>
          <w:szCs w:val="24"/>
        </w:rPr>
        <w:t>提供节假日设备应急维修保障,提供值班人员联系电话,电话不能解决的需在</w:t>
      </w:r>
      <w:r>
        <w:rPr>
          <w:rFonts w:hint="eastAsia" w:ascii="宋体" w:hAnsi="宋体" w:cs="宋体"/>
          <w:sz w:val="24"/>
          <w:szCs w:val="24"/>
        </w:rPr>
        <w:t>1小时</w:t>
      </w:r>
      <w:r>
        <w:rPr>
          <w:rFonts w:ascii="宋体" w:hAnsi="宋体" w:cs="宋体"/>
          <w:sz w:val="24"/>
          <w:szCs w:val="24"/>
        </w:rPr>
        <w:t>内安排</w:t>
      </w:r>
      <w:r>
        <w:rPr>
          <w:rFonts w:hint="eastAsia" w:ascii="宋体" w:hAnsi="宋体" w:cs="宋体"/>
          <w:sz w:val="24"/>
          <w:szCs w:val="24"/>
        </w:rPr>
        <w:t>维护人员</w:t>
      </w:r>
      <w:r>
        <w:rPr>
          <w:rFonts w:ascii="宋体" w:hAnsi="宋体" w:cs="宋体"/>
          <w:sz w:val="24"/>
          <w:szCs w:val="24"/>
        </w:rPr>
        <w:t>到达现场进行设备维修处理。</w:t>
      </w:r>
    </w:p>
    <w:p w14:paraId="57D48906">
      <w:pPr>
        <w:keepNext/>
        <w:keepLines/>
        <w:widowControl/>
        <w:numPr>
          <w:ilvl w:val="3"/>
          <w:numId w:val="0"/>
        </w:numPr>
        <w:spacing w:line="420" w:lineRule="exact"/>
        <w:ind w:left="510"/>
        <w:jc w:val="left"/>
        <w:outlineLvl w:val="3"/>
        <w:rPr>
          <w:rFonts w:ascii="仿宋" w:hAnsi="Calibri Light" w:eastAsia="仿宋"/>
          <w:b/>
          <w:bCs/>
          <w:sz w:val="24"/>
          <w:szCs w:val="24"/>
        </w:rPr>
      </w:pPr>
      <w:r>
        <w:rPr>
          <w:rFonts w:hint="eastAsia" w:ascii="仿宋" w:hAnsi="Calibri Light" w:eastAsia="仿宋"/>
          <w:b/>
          <w:bCs/>
          <w:sz w:val="24"/>
          <w:szCs w:val="24"/>
        </w:rPr>
        <w:t>1.1</w:t>
      </w:r>
      <w:r>
        <w:rPr>
          <w:rFonts w:ascii="仿宋" w:hAnsi="Calibri Light" w:eastAsia="仿宋"/>
          <w:b/>
          <w:bCs/>
          <w:sz w:val="24"/>
          <w:szCs w:val="24"/>
        </w:rPr>
        <w:t>.</w:t>
      </w:r>
      <w:r>
        <w:rPr>
          <w:rFonts w:hint="eastAsia" w:ascii="仿宋" w:hAnsi="Calibri Light" w:eastAsia="仿宋"/>
          <w:b/>
          <w:bCs/>
          <w:sz w:val="24"/>
          <w:szCs w:val="24"/>
        </w:rPr>
        <w:t>2日常维护服务</w:t>
      </w:r>
    </w:p>
    <w:p w14:paraId="5C2BD3E3">
      <w:pPr>
        <w:widowControl/>
        <w:spacing w:line="420" w:lineRule="exact"/>
        <w:ind w:firstLine="480" w:firstLineChars="200"/>
        <w:jc w:val="left"/>
        <w:rPr>
          <w:rFonts w:ascii="宋体" w:hAnsi="宋体" w:cs="宋体"/>
          <w:sz w:val="24"/>
          <w:szCs w:val="24"/>
        </w:rPr>
      </w:pPr>
      <w:r>
        <w:rPr>
          <w:rFonts w:ascii="宋体" w:hAnsi="宋体" w:cs="宋体"/>
          <w:sz w:val="24"/>
          <w:szCs w:val="24"/>
        </w:rPr>
        <w:t>保障</w:t>
      </w:r>
      <w:r>
        <w:rPr>
          <w:rFonts w:hint="eastAsia" w:ascii="宋体" w:hAnsi="宋体" w:cs="宋体"/>
          <w:sz w:val="24"/>
          <w:szCs w:val="24"/>
        </w:rPr>
        <w:t>校方</w:t>
      </w:r>
      <w:r>
        <w:rPr>
          <w:rFonts w:ascii="宋体" w:hAnsi="宋体" w:cs="宋体"/>
          <w:sz w:val="24"/>
          <w:szCs w:val="24"/>
        </w:rPr>
        <w:t>所有计算机及设备的网络畅通</w:t>
      </w:r>
      <w:r>
        <w:rPr>
          <w:rFonts w:hint="eastAsia" w:ascii="宋体" w:hAnsi="宋体" w:cs="宋体"/>
          <w:sz w:val="24"/>
          <w:szCs w:val="24"/>
        </w:rPr>
        <w:t>，包括但不限于网络核心设备、汇聚及接入交换机、两校区所有</w:t>
      </w:r>
      <w:r>
        <w:rPr>
          <w:rFonts w:ascii="宋体" w:hAnsi="宋体" w:cs="宋体"/>
          <w:sz w:val="24"/>
          <w:szCs w:val="24"/>
        </w:rPr>
        <w:t>弱电间维护</w:t>
      </w:r>
      <w:r>
        <w:rPr>
          <w:rFonts w:hint="eastAsia" w:ascii="宋体" w:hAnsi="宋体" w:cs="宋体"/>
          <w:sz w:val="24"/>
          <w:szCs w:val="24"/>
        </w:rPr>
        <w:t>、两校区5</w:t>
      </w:r>
      <w:r>
        <w:rPr>
          <w:rFonts w:ascii="宋体" w:hAnsi="宋体" w:cs="宋体"/>
          <w:sz w:val="24"/>
          <w:szCs w:val="24"/>
        </w:rPr>
        <w:t>000多个</w:t>
      </w:r>
      <w:r>
        <w:rPr>
          <w:rFonts w:hint="eastAsia" w:ascii="宋体" w:hAnsi="宋体" w:cs="宋体"/>
          <w:sz w:val="24"/>
          <w:szCs w:val="24"/>
        </w:rPr>
        <w:t>楼宇信息点、办公</w:t>
      </w:r>
      <w:r>
        <w:rPr>
          <w:rFonts w:ascii="宋体" w:hAnsi="宋体" w:cs="宋体"/>
          <w:sz w:val="24"/>
          <w:szCs w:val="24"/>
        </w:rPr>
        <w:t>计算机、打印机、复印机等信息化</w:t>
      </w:r>
      <w:r>
        <w:rPr>
          <w:rFonts w:hint="eastAsia" w:ascii="宋体" w:hAnsi="宋体" w:cs="宋体"/>
          <w:sz w:val="24"/>
          <w:szCs w:val="24"/>
        </w:rPr>
        <w:t>办公</w:t>
      </w:r>
      <w:r>
        <w:rPr>
          <w:rFonts w:ascii="宋体" w:hAnsi="宋体" w:cs="宋体"/>
          <w:sz w:val="24"/>
          <w:szCs w:val="24"/>
        </w:rPr>
        <w:t>设备</w:t>
      </w:r>
      <w:r>
        <w:rPr>
          <w:rFonts w:hint="eastAsia" w:ascii="宋体" w:hAnsi="宋体" w:cs="宋体"/>
          <w:sz w:val="24"/>
          <w:szCs w:val="24"/>
        </w:rPr>
        <w:t>；127间标准化考场监控、铃声、音响、屏蔽仪、无线AP；弱电</w:t>
      </w:r>
      <w:r>
        <w:rPr>
          <w:rFonts w:ascii="宋体" w:hAnsi="宋体" w:cs="宋体"/>
          <w:sz w:val="24"/>
          <w:szCs w:val="24"/>
        </w:rPr>
        <w:t>间</w:t>
      </w:r>
      <w:r>
        <w:rPr>
          <w:rFonts w:hint="eastAsia" w:ascii="宋体" w:hAnsi="宋体" w:cs="宋体"/>
          <w:sz w:val="24"/>
          <w:szCs w:val="24"/>
        </w:rPr>
        <w:t>巡检，对校园网及机房环境状况进行监控等智能化系统基础运维，及时处理运行故障并反馈给校方；网络线路检测，协助校方完成相关布线施工，</w:t>
      </w:r>
      <w:r>
        <w:rPr>
          <w:rFonts w:ascii="宋体" w:hAnsi="宋体" w:cs="宋体"/>
          <w:sz w:val="24"/>
          <w:szCs w:val="24"/>
        </w:rPr>
        <w:t>网络系统流量分析和系统运行状态监控</w:t>
      </w:r>
      <w:r>
        <w:rPr>
          <w:rFonts w:hint="eastAsia" w:ascii="宋体" w:hAnsi="宋体" w:cs="宋体"/>
          <w:sz w:val="24"/>
          <w:szCs w:val="24"/>
        </w:rPr>
        <w:t>及临时交办的紧急任务。</w:t>
      </w:r>
    </w:p>
    <w:p w14:paraId="60D0E38D">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（1）</w:t>
      </w:r>
      <w:r>
        <w:rPr>
          <w:rFonts w:ascii="宋体" w:hAnsi="宋体" w:cs="宋体"/>
          <w:sz w:val="24"/>
          <w:szCs w:val="24"/>
        </w:rPr>
        <w:t>对计算机操作系统、应用软件、业务应用系统、可选软件的安装</w:t>
      </w:r>
      <w:r>
        <w:rPr>
          <w:rFonts w:hint="eastAsia" w:ascii="宋体" w:hAnsi="宋体" w:cs="宋体"/>
          <w:sz w:val="24"/>
          <w:szCs w:val="24"/>
        </w:rPr>
        <w:t>；</w:t>
      </w:r>
    </w:p>
    <w:p w14:paraId="4434B2D0">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（2）</w:t>
      </w:r>
      <w:r>
        <w:rPr>
          <w:rFonts w:ascii="宋体" w:hAnsi="宋体" w:cs="宋体"/>
          <w:sz w:val="24"/>
          <w:szCs w:val="24"/>
        </w:rPr>
        <w:t>对用户在使用软硬件过程中遇到的问题给予现场简单辅导</w:t>
      </w:r>
      <w:r>
        <w:rPr>
          <w:rFonts w:hint="eastAsia" w:ascii="宋体" w:hAnsi="宋体" w:cs="宋体"/>
          <w:sz w:val="24"/>
          <w:szCs w:val="24"/>
        </w:rPr>
        <w:t>；软硬件故障排查，协助用户快速解决相关问题。</w:t>
      </w:r>
    </w:p>
    <w:p w14:paraId="627FC2EE">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（3）</w:t>
      </w:r>
      <w:r>
        <w:rPr>
          <w:rFonts w:ascii="宋体" w:hAnsi="宋体" w:cs="宋体"/>
          <w:sz w:val="24"/>
          <w:szCs w:val="24"/>
        </w:rPr>
        <w:t>在电脑维修维护过程中</w:t>
      </w:r>
      <w:r>
        <w:rPr>
          <w:rFonts w:hint="eastAsia" w:ascii="宋体" w:hAnsi="宋体" w:cs="宋体"/>
          <w:sz w:val="24"/>
          <w:szCs w:val="24"/>
        </w:rPr>
        <w:t>，</w:t>
      </w:r>
      <w:r>
        <w:rPr>
          <w:rFonts w:ascii="宋体" w:hAnsi="宋体" w:cs="宋体"/>
          <w:sz w:val="24"/>
          <w:szCs w:val="24"/>
        </w:rPr>
        <w:t>确保用户软件及文件不丢失。系统无法修复需重装时</w:t>
      </w:r>
      <w:r>
        <w:rPr>
          <w:rFonts w:hint="eastAsia" w:ascii="宋体" w:hAnsi="宋体" w:cs="宋体"/>
          <w:sz w:val="24"/>
          <w:szCs w:val="24"/>
        </w:rPr>
        <w:t>，</w:t>
      </w:r>
      <w:r>
        <w:rPr>
          <w:rFonts w:ascii="宋体" w:hAnsi="宋体" w:cs="宋体"/>
          <w:sz w:val="24"/>
          <w:szCs w:val="24"/>
        </w:rPr>
        <w:t>必须咨询用户需保留的文件内容</w:t>
      </w:r>
      <w:r>
        <w:rPr>
          <w:rFonts w:hint="eastAsia" w:ascii="宋体" w:hAnsi="宋体" w:cs="宋体"/>
          <w:sz w:val="24"/>
          <w:szCs w:val="24"/>
        </w:rPr>
        <w:t>，</w:t>
      </w:r>
      <w:r>
        <w:rPr>
          <w:rFonts w:ascii="宋体" w:hAnsi="宋体" w:cs="宋体"/>
          <w:sz w:val="24"/>
          <w:szCs w:val="24"/>
        </w:rPr>
        <w:t>确保对相关文档进行拷贝</w:t>
      </w:r>
      <w:r>
        <w:rPr>
          <w:rFonts w:hint="eastAsia" w:ascii="宋体" w:hAnsi="宋体" w:cs="宋体"/>
          <w:sz w:val="24"/>
          <w:szCs w:val="24"/>
        </w:rPr>
        <w:t>，</w:t>
      </w:r>
      <w:r>
        <w:rPr>
          <w:rFonts w:ascii="宋体" w:hAnsi="宋体" w:cs="宋体"/>
          <w:sz w:val="24"/>
          <w:szCs w:val="24"/>
        </w:rPr>
        <w:t>防止丢失</w:t>
      </w:r>
      <w:r>
        <w:rPr>
          <w:rFonts w:hint="eastAsia" w:ascii="宋体" w:hAnsi="宋体" w:cs="宋体"/>
          <w:sz w:val="24"/>
          <w:szCs w:val="24"/>
        </w:rPr>
        <w:t>，</w:t>
      </w:r>
      <w:r>
        <w:rPr>
          <w:rFonts w:ascii="宋体" w:hAnsi="宋体" w:cs="宋体"/>
          <w:sz w:val="24"/>
          <w:szCs w:val="24"/>
        </w:rPr>
        <w:t>并按用户要求安装办公所需相关软件</w:t>
      </w:r>
      <w:r>
        <w:rPr>
          <w:rFonts w:hint="eastAsia" w:ascii="宋体" w:hAnsi="宋体" w:cs="宋体"/>
          <w:sz w:val="24"/>
          <w:szCs w:val="24"/>
        </w:rPr>
        <w:t>；</w:t>
      </w:r>
    </w:p>
    <w:p w14:paraId="1967D30A">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（4）在校方网络优化或建设的时候，根据需求提出具体网络优化方案，提供专业网络高级工程师现场配合实施，完成机房及各网络节点的网络线路整理工作；</w:t>
      </w:r>
    </w:p>
    <w:p w14:paraId="5A80B5E0">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）重大活动、考试期间提供网络和设备的现场保障；</w:t>
      </w:r>
    </w:p>
    <w:p w14:paraId="496E5EDF">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w:t>
      </w:r>
      <w:r>
        <w:rPr>
          <w:rFonts w:ascii="宋体" w:hAnsi="宋体" w:cs="宋体"/>
          <w:sz w:val="24"/>
          <w:szCs w:val="24"/>
        </w:rPr>
        <w:t>6</w:t>
      </w:r>
      <w:r>
        <w:rPr>
          <w:rFonts w:hint="eastAsia" w:ascii="宋体" w:hAnsi="宋体" w:cs="宋体"/>
          <w:sz w:val="24"/>
          <w:szCs w:val="24"/>
        </w:rPr>
        <w:t>）对校方网络设备及系统运行定期巡检，每学期期初、期中、期末各进行一次现场巡检。每月至少1次对全校所有机房、弱电间进行巡检工作，并做好巡检记录，巡检内容包括：设备状态检查、电源模块检查、风扇状态检查等；</w:t>
      </w:r>
    </w:p>
    <w:p w14:paraId="0698096F">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w:t>
      </w:r>
      <w:r>
        <w:rPr>
          <w:rFonts w:ascii="宋体" w:hAnsi="宋体" w:cs="宋体"/>
          <w:sz w:val="24"/>
          <w:szCs w:val="24"/>
        </w:rPr>
        <w:t>7</w:t>
      </w:r>
      <w:r>
        <w:rPr>
          <w:rFonts w:hint="eastAsia" w:ascii="宋体" w:hAnsi="宋体" w:cs="宋体"/>
          <w:sz w:val="24"/>
          <w:szCs w:val="24"/>
        </w:rPr>
        <w:t>）认真做好维护记录，对设备运行情况和配置更改情况进行及时登记，做好网络设备配置文件的备份工作，建立相应的业务档案，出具运维报告。</w:t>
      </w:r>
    </w:p>
    <w:p w14:paraId="1CE63422">
      <w:pPr>
        <w:keepNext/>
        <w:keepLines/>
        <w:widowControl/>
        <w:numPr>
          <w:ilvl w:val="2"/>
          <w:numId w:val="0"/>
        </w:numPr>
        <w:spacing w:line="420" w:lineRule="exact"/>
        <w:ind w:left="340"/>
        <w:jc w:val="left"/>
        <w:outlineLvl w:val="2"/>
        <w:rPr>
          <w:rFonts w:ascii="仿宋" w:hAnsi="仿宋" w:eastAsia="仿宋"/>
          <w:b/>
          <w:bCs/>
          <w:sz w:val="24"/>
          <w:szCs w:val="24"/>
        </w:rPr>
      </w:pPr>
      <w:bookmarkStart w:id="94" w:name="_Toc56152455"/>
      <w:r>
        <w:rPr>
          <w:rFonts w:hint="eastAsia" w:ascii="仿宋" w:hAnsi="仿宋" w:eastAsia="仿宋"/>
          <w:b/>
          <w:bCs/>
          <w:sz w:val="24"/>
          <w:szCs w:val="24"/>
        </w:rPr>
        <w:t>1.2</w:t>
      </w:r>
      <w:r>
        <w:rPr>
          <w:rFonts w:ascii="仿宋" w:hAnsi="仿宋" w:eastAsia="仿宋"/>
          <w:b/>
          <w:bCs/>
          <w:sz w:val="24"/>
          <w:szCs w:val="24"/>
        </w:rPr>
        <w:t>.</w:t>
      </w:r>
      <w:r>
        <w:rPr>
          <w:rFonts w:hint="eastAsia" w:ascii="仿宋" w:hAnsi="仿宋" w:eastAsia="仿宋"/>
          <w:b/>
          <w:bCs/>
          <w:sz w:val="24"/>
          <w:szCs w:val="24"/>
        </w:rPr>
        <w:t>服务时间</w:t>
      </w:r>
      <w:bookmarkEnd w:id="94"/>
    </w:p>
    <w:p w14:paraId="34EA88FB">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投标人应在维保期内向校方提供工作日8:00-</w:t>
      </w:r>
      <w:r>
        <w:rPr>
          <w:rFonts w:ascii="宋体" w:hAnsi="宋体" w:cs="宋体"/>
          <w:sz w:val="24"/>
          <w:szCs w:val="24"/>
        </w:rPr>
        <w:t>18</w:t>
      </w:r>
      <w:r>
        <w:rPr>
          <w:rFonts w:hint="eastAsia" w:ascii="宋体" w:hAnsi="宋体" w:cs="宋体"/>
          <w:sz w:val="24"/>
          <w:szCs w:val="24"/>
        </w:rPr>
        <w:t>:00，其他时间可不安排驻场但需提供2</w:t>
      </w:r>
      <w:r>
        <w:rPr>
          <w:rFonts w:ascii="宋体" w:hAnsi="宋体" w:cs="宋体"/>
          <w:sz w:val="24"/>
          <w:szCs w:val="24"/>
        </w:rPr>
        <w:t>4</w:t>
      </w:r>
      <w:r>
        <w:rPr>
          <w:rFonts w:hint="eastAsia" w:ascii="宋体" w:hAnsi="宋体" w:cs="宋体"/>
          <w:sz w:val="24"/>
          <w:szCs w:val="24"/>
        </w:rPr>
        <w:t>小时响应服务。当网络运行发生故障时，要求30分钟内到达现场服务。若遇重大网络故障，则全天24小时响应。大型活动IT信息服务保障；节假日根据学校需要提供到校值班及相关服务。</w:t>
      </w:r>
    </w:p>
    <w:p w14:paraId="1CFC98F0">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遇国家法定节假日，或校方系统上线、迁移、安全检查等重要活动安排时，投标人须根据校方的要求，派出指定工程师到校方现场对设备系统进行保障。</w:t>
      </w:r>
    </w:p>
    <w:p w14:paraId="78B34931">
      <w:pPr>
        <w:keepNext/>
        <w:keepLines/>
        <w:widowControl/>
        <w:numPr>
          <w:ilvl w:val="2"/>
          <w:numId w:val="0"/>
        </w:numPr>
        <w:spacing w:line="420" w:lineRule="exact"/>
        <w:ind w:left="340"/>
        <w:jc w:val="left"/>
        <w:outlineLvl w:val="2"/>
        <w:rPr>
          <w:rFonts w:ascii="仿宋" w:hAnsi="仿宋" w:eastAsia="仿宋"/>
          <w:b/>
          <w:bCs/>
          <w:sz w:val="24"/>
          <w:szCs w:val="24"/>
        </w:rPr>
      </w:pPr>
      <w:bookmarkStart w:id="95" w:name="_Toc56152456"/>
      <w:r>
        <w:rPr>
          <w:rFonts w:hint="eastAsia" w:ascii="仿宋" w:hAnsi="仿宋" w:eastAsia="仿宋"/>
          <w:b/>
          <w:bCs/>
          <w:sz w:val="24"/>
          <w:szCs w:val="24"/>
        </w:rPr>
        <w:t>1.3</w:t>
      </w:r>
      <w:r>
        <w:rPr>
          <w:rFonts w:ascii="仿宋" w:hAnsi="仿宋" w:eastAsia="仿宋"/>
          <w:b/>
          <w:bCs/>
          <w:sz w:val="24"/>
          <w:szCs w:val="24"/>
        </w:rPr>
        <w:t>.</w:t>
      </w:r>
      <w:r>
        <w:rPr>
          <w:rFonts w:hint="eastAsia" w:ascii="仿宋" w:hAnsi="仿宋" w:eastAsia="仿宋"/>
          <w:b/>
          <w:bCs/>
          <w:sz w:val="24"/>
          <w:szCs w:val="24"/>
        </w:rPr>
        <w:t>服务人员</w:t>
      </w:r>
      <w:bookmarkEnd w:id="95"/>
    </w:p>
    <w:p w14:paraId="11FF0423">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配置不少于2人的运维服务团队，其中有专门的项目经理全面负责本项目的执行，提供一名驻场维护人员，保障用户网络与信息系统的畅通运行，维护硬件设备正常运行。对驻场维护人员调整（人员更换）需提前四周通知学校相关人员，新来的驻场维护人员必须要提前两周到岗熟悉工作情况并需要得到校方管理人员的认同（考察时间为正常工作日十天）。</w:t>
      </w:r>
    </w:p>
    <w:p w14:paraId="691ADB2B">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如遇网络突发事件，项目经理10分钟内及时响应，1小时内赶到现场；遇特殊情况，如网络开通初期、开学初期、故障高发、病毒爆发、突发事件等，应根据校方的要求随时增派驻场人员，随时解决故障问题。</w:t>
      </w:r>
    </w:p>
    <w:p w14:paraId="14DAA414">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驻场维护人员必须是合法用工并且提供单位近半年内任意一个月社保缴纳证明材料，须提供明确的驻场维护人员姓名</w:t>
      </w:r>
      <w:r>
        <w:rPr>
          <w:rFonts w:ascii="宋体" w:hAnsi="宋体" w:cs="宋体"/>
          <w:sz w:val="24"/>
          <w:szCs w:val="24"/>
        </w:rPr>
        <w:t>，</w:t>
      </w:r>
      <w:r>
        <w:rPr>
          <w:rFonts w:hint="eastAsia" w:ascii="宋体" w:hAnsi="宋体" w:cs="宋体"/>
          <w:sz w:val="24"/>
          <w:szCs w:val="24"/>
        </w:rPr>
        <w:t>人员须定点学校专人专用。驻场维护人员需具有</w:t>
      </w:r>
      <w:r>
        <w:rPr>
          <w:rFonts w:ascii="宋体" w:hAnsi="宋体" w:cs="宋体"/>
          <w:sz w:val="24"/>
          <w:szCs w:val="24"/>
        </w:rPr>
        <w:t>从事电脑软硬件维护</w:t>
      </w:r>
      <w:r>
        <w:rPr>
          <w:rFonts w:hint="eastAsia" w:ascii="宋体" w:hAnsi="宋体" w:cs="宋体"/>
          <w:sz w:val="24"/>
          <w:szCs w:val="24"/>
        </w:rPr>
        <w:t>丰富工作经验</w:t>
      </w:r>
      <w:r>
        <w:rPr>
          <w:rFonts w:ascii="宋体" w:hAnsi="宋体" w:cs="宋体"/>
          <w:sz w:val="24"/>
          <w:szCs w:val="24"/>
        </w:rPr>
        <w:t>,有较强的办公设备</w:t>
      </w:r>
      <w:r>
        <w:rPr>
          <w:rFonts w:hint="eastAsia" w:ascii="宋体" w:hAnsi="宋体" w:cs="宋体"/>
          <w:sz w:val="24"/>
          <w:szCs w:val="24"/>
        </w:rPr>
        <w:t>、</w:t>
      </w:r>
      <w:r>
        <w:rPr>
          <w:rFonts w:ascii="宋体" w:hAnsi="宋体" w:cs="宋体"/>
          <w:sz w:val="24"/>
          <w:szCs w:val="24"/>
        </w:rPr>
        <w:t>网络系统运行维护经验</w:t>
      </w:r>
      <w:r>
        <w:rPr>
          <w:rFonts w:hint="eastAsia" w:ascii="宋体" w:hAnsi="宋体" w:cs="宋体"/>
          <w:sz w:val="24"/>
          <w:szCs w:val="24"/>
        </w:rPr>
        <w:t>，</w:t>
      </w:r>
      <w:r>
        <w:rPr>
          <w:rFonts w:ascii="宋体" w:hAnsi="宋体" w:cs="宋体"/>
          <w:sz w:val="24"/>
          <w:szCs w:val="24"/>
        </w:rPr>
        <w:t>精通网络布线</w:t>
      </w:r>
      <w:r>
        <w:rPr>
          <w:rFonts w:hint="eastAsia" w:ascii="宋体" w:hAnsi="宋体" w:cs="宋体"/>
          <w:sz w:val="24"/>
          <w:szCs w:val="24"/>
        </w:rPr>
        <w:t>，</w:t>
      </w:r>
      <w:r>
        <w:rPr>
          <w:rFonts w:ascii="宋体" w:hAnsi="宋体" w:cs="宋体"/>
          <w:sz w:val="24"/>
          <w:szCs w:val="24"/>
        </w:rPr>
        <w:t>精通华为</w:t>
      </w:r>
      <w:r>
        <w:rPr>
          <w:rFonts w:hint="eastAsia" w:ascii="宋体" w:hAnsi="宋体" w:cs="宋体"/>
          <w:sz w:val="24"/>
          <w:szCs w:val="24"/>
        </w:rPr>
        <w:t>、华三、锐捷等</w:t>
      </w:r>
      <w:r>
        <w:rPr>
          <w:rFonts w:ascii="宋体" w:hAnsi="宋体" w:cs="宋体"/>
          <w:sz w:val="24"/>
          <w:szCs w:val="24"/>
        </w:rPr>
        <w:t>网络设备的配置和维护</w:t>
      </w:r>
      <w:r>
        <w:rPr>
          <w:rFonts w:hint="eastAsia" w:ascii="宋体" w:hAnsi="宋体" w:cs="宋体"/>
          <w:sz w:val="24"/>
          <w:szCs w:val="24"/>
        </w:rPr>
        <w:t>；</w:t>
      </w:r>
      <w:r>
        <w:rPr>
          <w:rFonts w:ascii="宋体" w:hAnsi="宋体" w:cs="宋体"/>
          <w:sz w:val="24"/>
          <w:szCs w:val="24"/>
        </w:rPr>
        <w:t>熟悉会议室各种电子设备</w:t>
      </w:r>
      <w:r>
        <w:rPr>
          <w:rFonts w:hint="eastAsia" w:ascii="宋体" w:hAnsi="宋体" w:cs="宋体"/>
          <w:sz w:val="24"/>
          <w:szCs w:val="24"/>
        </w:rPr>
        <w:t>：</w:t>
      </w:r>
      <w:r>
        <w:rPr>
          <w:rFonts w:ascii="宋体" w:hAnsi="宋体" w:cs="宋体"/>
          <w:sz w:val="24"/>
          <w:szCs w:val="24"/>
        </w:rPr>
        <w:t>如</w:t>
      </w:r>
      <w:r>
        <w:rPr>
          <w:rFonts w:hint="eastAsia" w:ascii="宋体" w:hAnsi="宋体" w:cs="宋体"/>
          <w:sz w:val="24"/>
          <w:szCs w:val="24"/>
        </w:rPr>
        <w:t>视频会议、</w:t>
      </w:r>
      <w:r>
        <w:rPr>
          <w:rFonts w:ascii="宋体" w:hAnsi="宋体" w:cs="宋体"/>
          <w:sz w:val="24"/>
          <w:szCs w:val="24"/>
        </w:rPr>
        <w:t>监控等的操作和维护</w:t>
      </w:r>
      <w:r>
        <w:rPr>
          <w:rFonts w:hint="eastAsia" w:ascii="宋体" w:hAnsi="宋体" w:cs="宋体"/>
          <w:sz w:val="24"/>
          <w:szCs w:val="24"/>
        </w:rPr>
        <w:t>；熟悉</w:t>
      </w:r>
      <w:r>
        <w:rPr>
          <w:rFonts w:ascii="宋体" w:hAnsi="宋体" w:cs="宋体"/>
          <w:sz w:val="24"/>
          <w:szCs w:val="24"/>
        </w:rPr>
        <w:t>复印机、打印机、传真机维修工作</w:t>
      </w:r>
      <w:r>
        <w:rPr>
          <w:rFonts w:hint="eastAsia" w:ascii="宋体" w:hAnsi="宋体" w:cs="宋体"/>
          <w:sz w:val="24"/>
          <w:szCs w:val="24"/>
        </w:rPr>
        <w:t>。</w:t>
      </w:r>
    </w:p>
    <w:p w14:paraId="20F69DDD">
      <w:pPr>
        <w:keepNext/>
        <w:keepLines/>
        <w:widowControl/>
        <w:numPr>
          <w:ilvl w:val="2"/>
          <w:numId w:val="0"/>
        </w:numPr>
        <w:spacing w:line="420" w:lineRule="exact"/>
        <w:ind w:left="340"/>
        <w:jc w:val="left"/>
        <w:outlineLvl w:val="2"/>
        <w:rPr>
          <w:rFonts w:ascii="仿宋" w:hAnsi="仿宋" w:eastAsia="仿宋"/>
          <w:b/>
          <w:bCs/>
          <w:sz w:val="24"/>
          <w:szCs w:val="24"/>
        </w:rPr>
      </w:pPr>
      <w:bookmarkStart w:id="96" w:name="_Toc56152462"/>
      <w:r>
        <w:rPr>
          <w:rFonts w:hint="eastAsia" w:ascii="仿宋" w:hAnsi="仿宋" w:eastAsia="仿宋"/>
          <w:b/>
          <w:bCs/>
          <w:sz w:val="24"/>
          <w:szCs w:val="24"/>
        </w:rPr>
        <w:t>1.4</w:t>
      </w:r>
      <w:r>
        <w:rPr>
          <w:rFonts w:ascii="仿宋" w:hAnsi="仿宋" w:eastAsia="仿宋"/>
          <w:b/>
          <w:bCs/>
          <w:sz w:val="24"/>
          <w:szCs w:val="24"/>
        </w:rPr>
        <w:t>.</w:t>
      </w:r>
      <w:r>
        <w:rPr>
          <w:rFonts w:hint="eastAsia" w:ascii="仿宋" w:hAnsi="仿宋" w:eastAsia="仿宋"/>
          <w:b/>
          <w:bCs/>
          <w:sz w:val="24"/>
          <w:szCs w:val="24"/>
        </w:rPr>
        <w:t>管理需求</w:t>
      </w:r>
      <w:bookmarkEnd w:id="96"/>
    </w:p>
    <w:p w14:paraId="17570A14">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（1）投标人须提供本次项目人员名单，未经校方同意，不得变更相关人员。</w:t>
      </w:r>
    </w:p>
    <w:p w14:paraId="69E2C465">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（2）投标人须记录校方的每一次需求，并填写运维工作记录表。</w:t>
      </w:r>
    </w:p>
    <w:p w14:paraId="62C3C717">
      <w:pPr>
        <w:widowControl/>
        <w:spacing w:line="360" w:lineRule="auto"/>
        <w:jc w:val="center"/>
        <w:rPr>
          <w:rFonts w:ascii="宋体" w:hAnsi="宋体" w:eastAsia="仿宋"/>
          <w:b/>
          <w:color w:val="000000"/>
          <w:sz w:val="24"/>
          <w:szCs w:val="24"/>
        </w:rPr>
      </w:pPr>
      <w:r>
        <w:rPr>
          <w:rFonts w:hint="eastAsia" w:ascii="宋体" w:hAnsi="宋体" w:eastAsia="仿宋"/>
          <w:b/>
          <w:color w:val="000000"/>
          <w:sz w:val="24"/>
          <w:szCs w:val="24"/>
        </w:rPr>
        <w:t>运维工作记录表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708"/>
        <w:gridCol w:w="847"/>
        <w:gridCol w:w="1202"/>
        <w:gridCol w:w="780"/>
        <w:gridCol w:w="1407"/>
        <w:gridCol w:w="1277"/>
        <w:gridCol w:w="993"/>
        <w:gridCol w:w="993"/>
        <w:gridCol w:w="813"/>
      </w:tblGrid>
      <w:tr w14:paraId="420E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7FD5C186">
            <w:pPr>
              <w:widowControl/>
              <w:jc w:val="left"/>
              <w:rPr>
                <w:rFonts w:ascii="宋体" w:hAnsi="宋体" w:eastAsia="仿宋"/>
                <w:bCs/>
                <w:color w:val="000000"/>
                <w:sz w:val="24"/>
                <w:szCs w:val="24"/>
              </w:rPr>
            </w:pPr>
            <w:r>
              <w:rPr>
                <w:rFonts w:hint="eastAsia" w:ascii="宋体" w:hAnsi="宋体" w:eastAsia="仿宋"/>
                <w:bCs/>
                <w:color w:val="000000"/>
                <w:sz w:val="24"/>
                <w:szCs w:val="24"/>
              </w:rPr>
              <w:t>序号</w:t>
            </w:r>
          </w:p>
        </w:tc>
        <w:tc>
          <w:tcPr>
            <w:tcW w:w="359" w:type="pct"/>
            <w:vAlign w:val="center"/>
          </w:tcPr>
          <w:p w14:paraId="2965587F">
            <w:pPr>
              <w:widowControl/>
              <w:jc w:val="left"/>
              <w:rPr>
                <w:rFonts w:ascii="宋体" w:hAnsi="宋体" w:eastAsia="仿宋"/>
                <w:bCs/>
                <w:color w:val="000000"/>
                <w:sz w:val="24"/>
                <w:szCs w:val="24"/>
              </w:rPr>
            </w:pPr>
            <w:r>
              <w:rPr>
                <w:rFonts w:hint="eastAsia" w:ascii="宋体" w:hAnsi="宋体" w:eastAsia="仿宋"/>
                <w:bCs/>
                <w:color w:val="000000"/>
                <w:sz w:val="24"/>
                <w:szCs w:val="24"/>
              </w:rPr>
              <w:t>事件</w:t>
            </w:r>
          </w:p>
        </w:tc>
        <w:tc>
          <w:tcPr>
            <w:tcW w:w="430" w:type="pct"/>
            <w:vAlign w:val="center"/>
          </w:tcPr>
          <w:p w14:paraId="5824CA07">
            <w:pPr>
              <w:widowControl/>
              <w:jc w:val="left"/>
              <w:rPr>
                <w:rFonts w:ascii="宋体" w:hAnsi="宋体" w:eastAsia="仿宋"/>
                <w:bCs/>
                <w:color w:val="000000"/>
                <w:sz w:val="24"/>
                <w:szCs w:val="24"/>
              </w:rPr>
            </w:pPr>
            <w:r>
              <w:rPr>
                <w:rFonts w:hint="eastAsia" w:ascii="宋体" w:hAnsi="宋体" w:eastAsia="仿宋"/>
                <w:bCs/>
                <w:color w:val="000000"/>
                <w:sz w:val="24"/>
                <w:szCs w:val="24"/>
              </w:rPr>
              <w:t>提出时间</w:t>
            </w:r>
          </w:p>
        </w:tc>
        <w:tc>
          <w:tcPr>
            <w:tcW w:w="610" w:type="pct"/>
            <w:vAlign w:val="center"/>
          </w:tcPr>
          <w:p w14:paraId="7DDC54AD">
            <w:pPr>
              <w:widowControl/>
              <w:jc w:val="left"/>
              <w:rPr>
                <w:rFonts w:ascii="宋体" w:hAnsi="宋体" w:eastAsia="仿宋"/>
                <w:bCs/>
                <w:color w:val="000000"/>
                <w:sz w:val="24"/>
                <w:szCs w:val="24"/>
              </w:rPr>
            </w:pPr>
            <w:r>
              <w:rPr>
                <w:rFonts w:hint="eastAsia" w:ascii="宋体" w:hAnsi="宋体" w:eastAsia="仿宋"/>
                <w:bCs/>
                <w:color w:val="000000"/>
                <w:sz w:val="24"/>
                <w:szCs w:val="24"/>
              </w:rPr>
              <w:t>响应时间</w:t>
            </w:r>
          </w:p>
        </w:tc>
        <w:tc>
          <w:tcPr>
            <w:tcW w:w="396" w:type="pct"/>
            <w:vAlign w:val="center"/>
          </w:tcPr>
          <w:p w14:paraId="6B696B31">
            <w:pPr>
              <w:widowControl/>
              <w:jc w:val="left"/>
              <w:rPr>
                <w:rFonts w:ascii="宋体" w:hAnsi="宋体" w:eastAsia="仿宋"/>
                <w:bCs/>
                <w:color w:val="000000"/>
                <w:sz w:val="24"/>
                <w:szCs w:val="24"/>
              </w:rPr>
            </w:pPr>
            <w:r>
              <w:rPr>
                <w:rFonts w:hint="eastAsia" w:ascii="宋体" w:hAnsi="宋体" w:eastAsia="仿宋"/>
                <w:bCs/>
                <w:color w:val="000000"/>
                <w:sz w:val="24"/>
                <w:szCs w:val="24"/>
              </w:rPr>
              <w:t>处理完成时间</w:t>
            </w:r>
          </w:p>
        </w:tc>
        <w:tc>
          <w:tcPr>
            <w:tcW w:w="714" w:type="pct"/>
            <w:vAlign w:val="center"/>
          </w:tcPr>
          <w:p w14:paraId="5A09B438">
            <w:pPr>
              <w:widowControl/>
              <w:jc w:val="left"/>
              <w:rPr>
                <w:rFonts w:ascii="宋体" w:hAnsi="宋体" w:eastAsia="仿宋"/>
                <w:bCs/>
                <w:color w:val="000000"/>
                <w:sz w:val="24"/>
                <w:szCs w:val="24"/>
              </w:rPr>
            </w:pPr>
            <w:r>
              <w:rPr>
                <w:rFonts w:hint="eastAsia" w:ascii="宋体" w:hAnsi="宋体" w:eastAsia="仿宋"/>
                <w:bCs/>
                <w:color w:val="000000"/>
                <w:sz w:val="24"/>
                <w:szCs w:val="24"/>
              </w:rPr>
              <w:t>问题分析</w:t>
            </w:r>
          </w:p>
        </w:tc>
        <w:tc>
          <w:tcPr>
            <w:tcW w:w="648" w:type="pct"/>
            <w:vAlign w:val="center"/>
          </w:tcPr>
          <w:p w14:paraId="60AA461E">
            <w:pPr>
              <w:widowControl/>
              <w:jc w:val="left"/>
              <w:rPr>
                <w:rFonts w:ascii="宋体" w:hAnsi="宋体" w:eastAsia="仿宋"/>
                <w:bCs/>
                <w:color w:val="000000"/>
                <w:sz w:val="24"/>
                <w:szCs w:val="24"/>
              </w:rPr>
            </w:pPr>
            <w:r>
              <w:rPr>
                <w:rFonts w:hint="eastAsia" w:ascii="宋体" w:hAnsi="宋体" w:eastAsia="仿宋"/>
                <w:bCs/>
                <w:color w:val="000000"/>
                <w:sz w:val="24"/>
                <w:szCs w:val="24"/>
              </w:rPr>
              <w:t>解决方式</w:t>
            </w:r>
          </w:p>
        </w:tc>
        <w:tc>
          <w:tcPr>
            <w:tcW w:w="504" w:type="pct"/>
            <w:vAlign w:val="center"/>
          </w:tcPr>
          <w:p w14:paraId="4F491728">
            <w:pPr>
              <w:widowControl/>
              <w:jc w:val="left"/>
              <w:rPr>
                <w:rFonts w:ascii="宋体" w:hAnsi="宋体" w:eastAsia="仿宋"/>
                <w:bCs/>
                <w:color w:val="000000"/>
                <w:sz w:val="24"/>
                <w:szCs w:val="24"/>
              </w:rPr>
            </w:pPr>
            <w:r>
              <w:rPr>
                <w:rFonts w:hint="eastAsia" w:ascii="宋体" w:hAnsi="宋体" w:eastAsia="仿宋"/>
                <w:bCs/>
                <w:color w:val="000000"/>
                <w:sz w:val="24"/>
                <w:szCs w:val="24"/>
              </w:rPr>
              <w:t>处理人</w:t>
            </w:r>
          </w:p>
        </w:tc>
        <w:tc>
          <w:tcPr>
            <w:tcW w:w="504" w:type="pct"/>
            <w:vAlign w:val="center"/>
          </w:tcPr>
          <w:p w14:paraId="4977CEF8">
            <w:pPr>
              <w:widowControl/>
              <w:jc w:val="left"/>
              <w:rPr>
                <w:rFonts w:ascii="宋体" w:hAnsi="宋体" w:eastAsia="仿宋"/>
                <w:bCs/>
                <w:color w:val="000000"/>
                <w:sz w:val="24"/>
                <w:szCs w:val="24"/>
              </w:rPr>
            </w:pPr>
            <w:r>
              <w:rPr>
                <w:rFonts w:hint="eastAsia" w:ascii="宋体" w:hAnsi="宋体" w:eastAsia="仿宋"/>
                <w:bCs/>
                <w:color w:val="000000"/>
                <w:sz w:val="24"/>
                <w:szCs w:val="24"/>
              </w:rPr>
              <w:t>确认人</w:t>
            </w:r>
          </w:p>
        </w:tc>
        <w:tc>
          <w:tcPr>
            <w:tcW w:w="412" w:type="pct"/>
            <w:vAlign w:val="center"/>
          </w:tcPr>
          <w:p w14:paraId="283065B0">
            <w:pPr>
              <w:widowControl/>
              <w:jc w:val="left"/>
              <w:rPr>
                <w:rFonts w:ascii="宋体" w:hAnsi="宋体" w:eastAsia="仿宋"/>
                <w:bCs/>
                <w:color w:val="000000"/>
                <w:sz w:val="24"/>
                <w:szCs w:val="24"/>
              </w:rPr>
            </w:pPr>
            <w:r>
              <w:rPr>
                <w:rFonts w:hint="eastAsia" w:ascii="宋体" w:hAnsi="宋体" w:eastAsia="仿宋"/>
                <w:bCs/>
                <w:color w:val="000000"/>
                <w:sz w:val="24"/>
                <w:szCs w:val="24"/>
              </w:rPr>
              <w:t>备注</w:t>
            </w:r>
          </w:p>
        </w:tc>
      </w:tr>
      <w:tr w14:paraId="7AFA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661C32C5">
            <w:pPr>
              <w:widowControl/>
              <w:spacing w:line="360" w:lineRule="auto"/>
              <w:jc w:val="left"/>
              <w:rPr>
                <w:rFonts w:ascii="宋体" w:hAnsi="宋体" w:eastAsia="仿宋"/>
                <w:bCs/>
                <w:color w:val="000000"/>
                <w:sz w:val="24"/>
                <w:szCs w:val="24"/>
              </w:rPr>
            </w:pPr>
          </w:p>
        </w:tc>
        <w:tc>
          <w:tcPr>
            <w:tcW w:w="359" w:type="pct"/>
            <w:vAlign w:val="center"/>
          </w:tcPr>
          <w:p w14:paraId="2E986048">
            <w:pPr>
              <w:widowControl/>
              <w:spacing w:line="360" w:lineRule="auto"/>
              <w:jc w:val="left"/>
              <w:rPr>
                <w:rFonts w:ascii="宋体" w:hAnsi="宋体" w:eastAsia="仿宋"/>
                <w:bCs/>
                <w:color w:val="000000"/>
                <w:sz w:val="24"/>
                <w:szCs w:val="24"/>
              </w:rPr>
            </w:pPr>
          </w:p>
        </w:tc>
        <w:tc>
          <w:tcPr>
            <w:tcW w:w="430" w:type="pct"/>
            <w:vAlign w:val="center"/>
          </w:tcPr>
          <w:p w14:paraId="540EDFBE">
            <w:pPr>
              <w:widowControl/>
              <w:spacing w:line="360" w:lineRule="auto"/>
              <w:jc w:val="left"/>
              <w:rPr>
                <w:rFonts w:ascii="宋体" w:hAnsi="宋体" w:eastAsia="仿宋"/>
                <w:bCs/>
                <w:color w:val="000000"/>
                <w:sz w:val="24"/>
                <w:szCs w:val="24"/>
              </w:rPr>
            </w:pPr>
          </w:p>
        </w:tc>
        <w:tc>
          <w:tcPr>
            <w:tcW w:w="610" w:type="pct"/>
            <w:vAlign w:val="center"/>
          </w:tcPr>
          <w:p w14:paraId="70C7A220">
            <w:pPr>
              <w:widowControl/>
              <w:spacing w:line="360" w:lineRule="auto"/>
              <w:jc w:val="left"/>
              <w:rPr>
                <w:rFonts w:ascii="宋体" w:hAnsi="宋体" w:eastAsia="仿宋"/>
                <w:bCs/>
                <w:color w:val="000000"/>
                <w:sz w:val="24"/>
                <w:szCs w:val="24"/>
              </w:rPr>
            </w:pPr>
          </w:p>
        </w:tc>
        <w:tc>
          <w:tcPr>
            <w:tcW w:w="396" w:type="pct"/>
            <w:vAlign w:val="center"/>
          </w:tcPr>
          <w:p w14:paraId="2369A618">
            <w:pPr>
              <w:widowControl/>
              <w:spacing w:line="360" w:lineRule="auto"/>
              <w:jc w:val="left"/>
              <w:rPr>
                <w:rFonts w:ascii="宋体" w:hAnsi="宋体" w:eastAsia="仿宋"/>
                <w:bCs/>
                <w:color w:val="000000"/>
                <w:sz w:val="24"/>
                <w:szCs w:val="24"/>
              </w:rPr>
            </w:pPr>
          </w:p>
        </w:tc>
        <w:tc>
          <w:tcPr>
            <w:tcW w:w="714" w:type="pct"/>
            <w:vAlign w:val="center"/>
          </w:tcPr>
          <w:p w14:paraId="388BC223">
            <w:pPr>
              <w:widowControl/>
              <w:spacing w:line="360" w:lineRule="auto"/>
              <w:jc w:val="left"/>
              <w:rPr>
                <w:rFonts w:ascii="宋体" w:hAnsi="宋体" w:eastAsia="仿宋"/>
                <w:bCs/>
                <w:color w:val="000000"/>
                <w:sz w:val="24"/>
                <w:szCs w:val="24"/>
              </w:rPr>
            </w:pPr>
          </w:p>
        </w:tc>
        <w:tc>
          <w:tcPr>
            <w:tcW w:w="648" w:type="pct"/>
            <w:vAlign w:val="center"/>
          </w:tcPr>
          <w:p w14:paraId="6177CB26">
            <w:pPr>
              <w:widowControl/>
              <w:spacing w:line="360" w:lineRule="auto"/>
              <w:jc w:val="left"/>
              <w:rPr>
                <w:rFonts w:ascii="宋体" w:hAnsi="宋体" w:eastAsia="仿宋"/>
                <w:bCs/>
                <w:color w:val="000000"/>
                <w:sz w:val="24"/>
                <w:szCs w:val="24"/>
              </w:rPr>
            </w:pPr>
          </w:p>
        </w:tc>
        <w:tc>
          <w:tcPr>
            <w:tcW w:w="504" w:type="pct"/>
            <w:vAlign w:val="center"/>
          </w:tcPr>
          <w:p w14:paraId="2E105474">
            <w:pPr>
              <w:widowControl/>
              <w:spacing w:line="360" w:lineRule="auto"/>
              <w:jc w:val="left"/>
              <w:rPr>
                <w:rFonts w:ascii="宋体" w:hAnsi="宋体" w:eastAsia="仿宋"/>
                <w:bCs/>
                <w:color w:val="000000"/>
                <w:sz w:val="24"/>
                <w:szCs w:val="24"/>
              </w:rPr>
            </w:pPr>
          </w:p>
        </w:tc>
        <w:tc>
          <w:tcPr>
            <w:tcW w:w="504" w:type="pct"/>
            <w:vAlign w:val="center"/>
          </w:tcPr>
          <w:p w14:paraId="04A6D251">
            <w:pPr>
              <w:widowControl/>
              <w:spacing w:line="360" w:lineRule="auto"/>
              <w:jc w:val="left"/>
              <w:rPr>
                <w:rFonts w:ascii="宋体" w:hAnsi="宋体" w:eastAsia="仿宋"/>
                <w:bCs/>
                <w:color w:val="000000"/>
                <w:sz w:val="24"/>
                <w:szCs w:val="24"/>
              </w:rPr>
            </w:pPr>
          </w:p>
        </w:tc>
        <w:tc>
          <w:tcPr>
            <w:tcW w:w="412" w:type="pct"/>
            <w:vAlign w:val="center"/>
          </w:tcPr>
          <w:p w14:paraId="3C6EF3EC">
            <w:pPr>
              <w:widowControl/>
              <w:spacing w:line="360" w:lineRule="auto"/>
              <w:jc w:val="left"/>
              <w:rPr>
                <w:rFonts w:ascii="宋体" w:hAnsi="宋体" w:eastAsia="仿宋"/>
                <w:bCs/>
                <w:color w:val="000000"/>
                <w:sz w:val="24"/>
                <w:szCs w:val="24"/>
              </w:rPr>
            </w:pPr>
          </w:p>
        </w:tc>
      </w:tr>
      <w:tr w14:paraId="2BF2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3ABAB8EF">
            <w:pPr>
              <w:widowControl/>
              <w:spacing w:line="360" w:lineRule="auto"/>
              <w:jc w:val="left"/>
              <w:rPr>
                <w:rFonts w:ascii="宋体" w:hAnsi="宋体" w:eastAsia="仿宋"/>
                <w:bCs/>
                <w:color w:val="000000"/>
                <w:sz w:val="24"/>
                <w:szCs w:val="24"/>
              </w:rPr>
            </w:pPr>
          </w:p>
        </w:tc>
        <w:tc>
          <w:tcPr>
            <w:tcW w:w="359" w:type="pct"/>
            <w:vAlign w:val="center"/>
          </w:tcPr>
          <w:p w14:paraId="5B9745EB">
            <w:pPr>
              <w:widowControl/>
              <w:spacing w:line="360" w:lineRule="auto"/>
              <w:jc w:val="left"/>
              <w:rPr>
                <w:rFonts w:ascii="宋体" w:hAnsi="宋体" w:eastAsia="仿宋"/>
                <w:bCs/>
                <w:color w:val="000000"/>
                <w:sz w:val="24"/>
                <w:szCs w:val="24"/>
              </w:rPr>
            </w:pPr>
          </w:p>
        </w:tc>
        <w:tc>
          <w:tcPr>
            <w:tcW w:w="430" w:type="pct"/>
            <w:vAlign w:val="center"/>
          </w:tcPr>
          <w:p w14:paraId="141069B7">
            <w:pPr>
              <w:widowControl/>
              <w:spacing w:line="360" w:lineRule="auto"/>
              <w:jc w:val="left"/>
              <w:rPr>
                <w:rFonts w:ascii="宋体" w:hAnsi="宋体" w:eastAsia="仿宋"/>
                <w:bCs/>
                <w:color w:val="000000"/>
                <w:sz w:val="24"/>
                <w:szCs w:val="24"/>
              </w:rPr>
            </w:pPr>
          </w:p>
        </w:tc>
        <w:tc>
          <w:tcPr>
            <w:tcW w:w="610" w:type="pct"/>
            <w:vAlign w:val="center"/>
          </w:tcPr>
          <w:p w14:paraId="76FEB2AC">
            <w:pPr>
              <w:widowControl/>
              <w:spacing w:line="360" w:lineRule="auto"/>
              <w:jc w:val="left"/>
              <w:rPr>
                <w:rFonts w:ascii="宋体" w:hAnsi="宋体" w:eastAsia="仿宋"/>
                <w:bCs/>
                <w:color w:val="000000"/>
                <w:sz w:val="24"/>
                <w:szCs w:val="24"/>
              </w:rPr>
            </w:pPr>
          </w:p>
        </w:tc>
        <w:tc>
          <w:tcPr>
            <w:tcW w:w="396" w:type="pct"/>
            <w:vAlign w:val="center"/>
          </w:tcPr>
          <w:p w14:paraId="4DF1B0D3">
            <w:pPr>
              <w:widowControl/>
              <w:spacing w:line="360" w:lineRule="auto"/>
              <w:jc w:val="left"/>
              <w:rPr>
                <w:rFonts w:ascii="宋体" w:hAnsi="宋体" w:eastAsia="仿宋"/>
                <w:bCs/>
                <w:color w:val="000000"/>
                <w:sz w:val="24"/>
                <w:szCs w:val="24"/>
              </w:rPr>
            </w:pPr>
          </w:p>
        </w:tc>
        <w:tc>
          <w:tcPr>
            <w:tcW w:w="714" w:type="pct"/>
            <w:vAlign w:val="center"/>
          </w:tcPr>
          <w:p w14:paraId="06D5671D">
            <w:pPr>
              <w:widowControl/>
              <w:spacing w:line="360" w:lineRule="auto"/>
              <w:jc w:val="left"/>
              <w:rPr>
                <w:rFonts w:ascii="宋体" w:hAnsi="宋体" w:eastAsia="仿宋"/>
                <w:bCs/>
                <w:color w:val="000000"/>
                <w:sz w:val="24"/>
                <w:szCs w:val="24"/>
              </w:rPr>
            </w:pPr>
          </w:p>
        </w:tc>
        <w:tc>
          <w:tcPr>
            <w:tcW w:w="648" w:type="pct"/>
            <w:vAlign w:val="center"/>
          </w:tcPr>
          <w:p w14:paraId="4BF90CD9">
            <w:pPr>
              <w:widowControl/>
              <w:spacing w:line="360" w:lineRule="auto"/>
              <w:jc w:val="left"/>
              <w:rPr>
                <w:rFonts w:ascii="宋体" w:hAnsi="宋体" w:eastAsia="仿宋"/>
                <w:bCs/>
                <w:color w:val="000000"/>
                <w:sz w:val="24"/>
                <w:szCs w:val="24"/>
              </w:rPr>
            </w:pPr>
          </w:p>
        </w:tc>
        <w:tc>
          <w:tcPr>
            <w:tcW w:w="504" w:type="pct"/>
            <w:vAlign w:val="center"/>
          </w:tcPr>
          <w:p w14:paraId="418E5A9A">
            <w:pPr>
              <w:widowControl/>
              <w:spacing w:line="360" w:lineRule="auto"/>
              <w:jc w:val="left"/>
              <w:rPr>
                <w:rFonts w:ascii="宋体" w:hAnsi="宋体" w:eastAsia="仿宋"/>
                <w:bCs/>
                <w:color w:val="000000"/>
                <w:sz w:val="24"/>
                <w:szCs w:val="24"/>
              </w:rPr>
            </w:pPr>
          </w:p>
        </w:tc>
        <w:tc>
          <w:tcPr>
            <w:tcW w:w="504" w:type="pct"/>
            <w:vAlign w:val="center"/>
          </w:tcPr>
          <w:p w14:paraId="5628E4C2">
            <w:pPr>
              <w:widowControl/>
              <w:spacing w:line="360" w:lineRule="auto"/>
              <w:jc w:val="left"/>
              <w:rPr>
                <w:rFonts w:ascii="宋体" w:hAnsi="宋体" w:eastAsia="仿宋"/>
                <w:bCs/>
                <w:color w:val="000000"/>
                <w:sz w:val="24"/>
                <w:szCs w:val="24"/>
              </w:rPr>
            </w:pPr>
          </w:p>
        </w:tc>
        <w:tc>
          <w:tcPr>
            <w:tcW w:w="412" w:type="pct"/>
            <w:vAlign w:val="center"/>
          </w:tcPr>
          <w:p w14:paraId="5DCD9F3D">
            <w:pPr>
              <w:widowControl/>
              <w:spacing w:line="360" w:lineRule="auto"/>
              <w:jc w:val="left"/>
              <w:rPr>
                <w:rFonts w:ascii="宋体" w:hAnsi="宋体" w:eastAsia="仿宋"/>
                <w:bCs/>
                <w:color w:val="000000"/>
                <w:sz w:val="24"/>
                <w:szCs w:val="24"/>
              </w:rPr>
            </w:pPr>
          </w:p>
        </w:tc>
      </w:tr>
      <w:tr w14:paraId="3802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6113C475">
            <w:pPr>
              <w:widowControl/>
              <w:spacing w:line="360" w:lineRule="auto"/>
              <w:jc w:val="left"/>
              <w:rPr>
                <w:rFonts w:ascii="宋体" w:hAnsi="宋体" w:eastAsia="仿宋"/>
                <w:bCs/>
                <w:color w:val="000000"/>
                <w:sz w:val="24"/>
                <w:szCs w:val="24"/>
              </w:rPr>
            </w:pPr>
          </w:p>
        </w:tc>
        <w:tc>
          <w:tcPr>
            <w:tcW w:w="359" w:type="pct"/>
            <w:vAlign w:val="center"/>
          </w:tcPr>
          <w:p w14:paraId="5B65CC03">
            <w:pPr>
              <w:widowControl/>
              <w:spacing w:line="360" w:lineRule="auto"/>
              <w:jc w:val="left"/>
              <w:rPr>
                <w:rFonts w:ascii="宋体" w:hAnsi="宋体" w:eastAsia="仿宋"/>
                <w:bCs/>
                <w:color w:val="000000"/>
                <w:sz w:val="24"/>
                <w:szCs w:val="24"/>
              </w:rPr>
            </w:pPr>
          </w:p>
        </w:tc>
        <w:tc>
          <w:tcPr>
            <w:tcW w:w="430" w:type="pct"/>
            <w:vAlign w:val="center"/>
          </w:tcPr>
          <w:p w14:paraId="450F250F">
            <w:pPr>
              <w:widowControl/>
              <w:spacing w:line="360" w:lineRule="auto"/>
              <w:jc w:val="left"/>
              <w:rPr>
                <w:rFonts w:ascii="宋体" w:hAnsi="宋体" w:eastAsia="仿宋"/>
                <w:bCs/>
                <w:color w:val="000000"/>
                <w:sz w:val="24"/>
                <w:szCs w:val="24"/>
              </w:rPr>
            </w:pPr>
          </w:p>
        </w:tc>
        <w:tc>
          <w:tcPr>
            <w:tcW w:w="610" w:type="pct"/>
            <w:vAlign w:val="center"/>
          </w:tcPr>
          <w:p w14:paraId="55327C5C">
            <w:pPr>
              <w:widowControl/>
              <w:spacing w:line="360" w:lineRule="auto"/>
              <w:jc w:val="left"/>
              <w:rPr>
                <w:rFonts w:ascii="宋体" w:hAnsi="宋体" w:eastAsia="仿宋"/>
                <w:bCs/>
                <w:color w:val="000000"/>
                <w:sz w:val="24"/>
                <w:szCs w:val="24"/>
              </w:rPr>
            </w:pPr>
          </w:p>
        </w:tc>
        <w:tc>
          <w:tcPr>
            <w:tcW w:w="396" w:type="pct"/>
            <w:vAlign w:val="center"/>
          </w:tcPr>
          <w:p w14:paraId="63950809">
            <w:pPr>
              <w:widowControl/>
              <w:spacing w:line="360" w:lineRule="auto"/>
              <w:jc w:val="left"/>
              <w:rPr>
                <w:rFonts w:ascii="宋体" w:hAnsi="宋体" w:eastAsia="仿宋"/>
                <w:bCs/>
                <w:color w:val="000000"/>
                <w:sz w:val="24"/>
                <w:szCs w:val="24"/>
              </w:rPr>
            </w:pPr>
          </w:p>
        </w:tc>
        <w:tc>
          <w:tcPr>
            <w:tcW w:w="714" w:type="pct"/>
            <w:vAlign w:val="center"/>
          </w:tcPr>
          <w:p w14:paraId="7D8B032B">
            <w:pPr>
              <w:widowControl/>
              <w:spacing w:line="360" w:lineRule="auto"/>
              <w:jc w:val="left"/>
              <w:rPr>
                <w:rFonts w:ascii="宋体" w:hAnsi="宋体" w:eastAsia="仿宋"/>
                <w:bCs/>
                <w:color w:val="000000"/>
                <w:sz w:val="24"/>
                <w:szCs w:val="24"/>
              </w:rPr>
            </w:pPr>
          </w:p>
        </w:tc>
        <w:tc>
          <w:tcPr>
            <w:tcW w:w="648" w:type="pct"/>
            <w:vAlign w:val="center"/>
          </w:tcPr>
          <w:p w14:paraId="32460A7B">
            <w:pPr>
              <w:widowControl/>
              <w:spacing w:line="360" w:lineRule="auto"/>
              <w:jc w:val="left"/>
              <w:rPr>
                <w:rFonts w:ascii="宋体" w:hAnsi="宋体" w:eastAsia="仿宋"/>
                <w:bCs/>
                <w:color w:val="000000"/>
                <w:sz w:val="24"/>
                <w:szCs w:val="24"/>
              </w:rPr>
            </w:pPr>
          </w:p>
        </w:tc>
        <w:tc>
          <w:tcPr>
            <w:tcW w:w="504" w:type="pct"/>
            <w:vAlign w:val="center"/>
          </w:tcPr>
          <w:p w14:paraId="35187176">
            <w:pPr>
              <w:widowControl/>
              <w:spacing w:line="360" w:lineRule="auto"/>
              <w:jc w:val="left"/>
              <w:rPr>
                <w:rFonts w:ascii="宋体" w:hAnsi="宋体" w:eastAsia="仿宋"/>
                <w:bCs/>
                <w:color w:val="000000"/>
                <w:sz w:val="24"/>
                <w:szCs w:val="24"/>
              </w:rPr>
            </w:pPr>
          </w:p>
        </w:tc>
        <w:tc>
          <w:tcPr>
            <w:tcW w:w="504" w:type="pct"/>
            <w:vAlign w:val="center"/>
          </w:tcPr>
          <w:p w14:paraId="762635A5">
            <w:pPr>
              <w:widowControl/>
              <w:spacing w:line="360" w:lineRule="auto"/>
              <w:jc w:val="left"/>
              <w:rPr>
                <w:rFonts w:ascii="宋体" w:hAnsi="宋体" w:eastAsia="仿宋"/>
                <w:bCs/>
                <w:color w:val="000000"/>
                <w:sz w:val="24"/>
                <w:szCs w:val="24"/>
              </w:rPr>
            </w:pPr>
          </w:p>
        </w:tc>
        <w:tc>
          <w:tcPr>
            <w:tcW w:w="412" w:type="pct"/>
            <w:vAlign w:val="center"/>
          </w:tcPr>
          <w:p w14:paraId="35F93E0F">
            <w:pPr>
              <w:widowControl/>
              <w:spacing w:line="360" w:lineRule="auto"/>
              <w:jc w:val="left"/>
              <w:rPr>
                <w:rFonts w:ascii="宋体" w:hAnsi="宋体" w:eastAsia="仿宋"/>
                <w:bCs/>
                <w:color w:val="000000"/>
                <w:sz w:val="24"/>
                <w:szCs w:val="24"/>
              </w:rPr>
            </w:pPr>
          </w:p>
        </w:tc>
      </w:tr>
    </w:tbl>
    <w:p w14:paraId="4B85D410">
      <w:pPr>
        <w:keepNext/>
        <w:keepLines/>
        <w:widowControl/>
        <w:numPr>
          <w:ilvl w:val="2"/>
          <w:numId w:val="0"/>
        </w:numPr>
        <w:spacing w:line="400" w:lineRule="exact"/>
        <w:ind w:left="340"/>
        <w:jc w:val="left"/>
        <w:outlineLvl w:val="2"/>
        <w:rPr>
          <w:rFonts w:ascii="仿宋" w:hAnsi="仿宋" w:eastAsia="仿宋"/>
          <w:b/>
          <w:bCs/>
          <w:sz w:val="24"/>
          <w:szCs w:val="24"/>
        </w:rPr>
      </w:pPr>
      <w:bookmarkStart w:id="97" w:name="_Toc56152463"/>
      <w:r>
        <w:rPr>
          <w:rFonts w:hint="eastAsia" w:ascii="仿宋" w:hAnsi="仿宋" w:eastAsia="仿宋"/>
          <w:b/>
          <w:bCs/>
          <w:sz w:val="24"/>
          <w:szCs w:val="24"/>
        </w:rPr>
        <w:t>1.5.服务质量考核</w:t>
      </w:r>
    </w:p>
    <w:p w14:paraId="3283DA6F">
      <w:pPr>
        <w:widowControl/>
        <w:spacing w:line="400" w:lineRule="exact"/>
        <w:ind w:firstLine="480" w:firstLineChars="200"/>
        <w:jc w:val="left"/>
        <w:rPr>
          <w:rFonts w:ascii="宋体" w:hAnsi="宋体" w:cs="宋体"/>
          <w:sz w:val="24"/>
          <w:szCs w:val="24"/>
        </w:rPr>
      </w:pPr>
      <w:r>
        <w:rPr>
          <w:rFonts w:hint="eastAsia" w:ascii="宋体" w:hAnsi="宋体" w:cs="宋体"/>
          <w:sz w:val="24"/>
          <w:szCs w:val="24"/>
        </w:rPr>
        <w:t>为评价中标方提供的服务质量，</w:t>
      </w:r>
      <w:r>
        <w:rPr>
          <w:rFonts w:ascii="宋体" w:hAnsi="宋体" w:cs="宋体"/>
          <w:sz w:val="24"/>
          <w:szCs w:val="24"/>
        </w:rPr>
        <w:t>每</w:t>
      </w:r>
      <w:r>
        <w:rPr>
          <w:rFonts w:hint="eastAsia" w:ascii="宋体" w:hAnsi="宋体" w:cs="宋体"/>
          <w:sz w:val="24"/>
          <w:szCs w:val="24"/>
        </w:rPr>
        <w:t>年</w:t>
      </w:r>
      <w:r>
        <w:rPr>
          <w:rFonts w:ascii="宋体" w:hAnsi="宋体" w:cs="宋体"/>
          <w:sz w:val="24"/>
          <w:szCs w:val="24"/>
        </w:rPr>
        <w:t>对</w:t>
      </w:r>
      <w:r>
        <w:rPr>
          <w:rFonts w:hint="eastAsia" w:ascii="宋体" w:hAnsi="宋体" w:cs="宋体"/>
          <w:sz w:val="24"/>
          <w:szCs w:val="24"/>
        </w:rPr>
        <w:t>中标人的</w:t>
      </w:r>
      <w:r>
        <w:rPr>
          <w:rFonts w:ascii="宋体" w:hAnsi="宋体" w:cs="宋体"/>
          <w:sz w:val="24"/>
          <w:szCs w:val="24"/>
        </w:rPr>
        <w:t>服务进行考核</w:t>
      </w:r>
      <w:r>
        <w:rPr>
          <w:rFonts w:hint="eastAsia" w:ascii="宋体" w:hAnsi="宋体" w:cs="宋体"/>
          <w:sz w:val="24"/>
          <w:szCs w:val="24"/>
        </w:rPr>
        <w:t>评分</w:t>
      </w:r>
      <w:r>
        <w:rPr>
          <w:rFonts w:ascii="宋体" w:hAnsi="宋体" w:cs="宋体"/>
          <w:sz w:val="24"/>
          <w:szCs w:val="24"/>
        </w:rPr>
        <w:t>（百分制）。详细考核机制如下</w:t>
      </w:r>
      <w:r>
        <w:rPr>
          <w:rFonts w:hint="eastAsia" w:ascii="宋体" w:hAnsi="宋体" w:cs="宋体"/>
          <w:sz w:val="24"/>
          <w:szCs w:val="24"/>
        </w:rPr>
        <w:t>表</w:t>
      </w:r>
      <w:r>
        <w:rPr>
          <w:rFonts w:ascii="宋体" w:hAnsi="宋体" w:cs="宋体"/>
          <w:sz w:val="24"/>
          <w:szCs w:val="24"/>
        </w:rPr>
        <w:t>：</w:t>
      </w:r>
    </w:p>
    <w:tbl>
      <w:tblPr>
        <w:tblStyle w:val="46"/>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380"/>
        <w:gridCol w:w="780"/>
        <w:gridCol w:w="4153"/>
        <w:gridCol w:w="1401"/>
      </w:tblGrid>
      <w:tr w14:paraId="17E6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6" w:type="dxa"/>
            <w:vAlign w:val="center"/>
          </w:tcPr>
          <w:p w14:paraId="7906A798">
            <w:pPr>
              <w:widowControl/>
              <w:adjustRightInd w:val="0"/>
              <w:snapToGrid w:val="0"/>
              <w:spacing w:line="360" w:lineRule="auto"/>
              <w:jc w:val="center"/>
              <w:rPr>
                <w:rFonts w:ascii="宋体" w:hAnsi="宋体" w:eastAsia="仿宋" w:cs="宋体"/>
                <w:bCs/>
                <w:color w:val="000000"/>
                <w:kern w:val="0"/>
                <w:sz w:val="24"/>
                <w:szCs w:val="24"/>
              </w:rPr>
            </w:pPr>
            <w:r>
              <w:rPr>
                <w:rFonts w:ascii="宋体" w:hAnsi="宋体" w:eastAsia="仿宋" w:cs="宋体"/>
                <w:bCs/>
                <w:color w:val="000000"/>
                <w:kern w:val="0"/>
                <w:sz w:val="24"/>
                <w:szCs w:val="24"/>
              </w:rPr>
              <w:t>考核</w:t>
            </w:r>
          </w:p>
        </w:tc>
        <w:tc>
          <w:tcPr>
            <w:tcW w:w="1380" w:type="dxa"/>
            <w:vAlign w:val="center"/>
          </w:tcPr>
          <w:p w14:paraId="4E069B8C">
            <w:pPr>
              <w:widowControl/>
              <w:adjustRightInd w:val="0"/>
              <w:snapToGrid w:val="0"/>
              <w:spacing w:line="360" w:lineRule="auto"/>
              <w:jc w:val="center"/>
              <w:rPr>
                <w:rFonts w:ascii="宋体" w:hAnsi="宋体" w:eastAsia="仿宋" w:cs="宋体"/>
                <w:bCs/>
                <w:color w:val="000000"/>
                <w:kern w:val="0"/>
                <w:sz w:val="24"/>
                <w:szCs w:val="24"/>
              </w:rPr>
            </w:pPr>
            <w:r>
              <w:rPr>
                <w:rFonts w:ascii="宋体" w:hAnsi="宋体" w:eastAsia="仿宋" w:cs="宋体"/>
                <w:bCs/>
                <w:color w:val="000000"/>
                <w:kern w:val="0"/>
                <w:sz w:val="24"/>
                <w:szCs w:val="24"/>
              </w:rPr>
              <w:t>考核项目</w:t>
            </w:r>
          </w:p>
        </w:tc>
        <w:tc>
          <w:tcPr>
            <w:tcW w:w="780" w:type="dxa"/>
            <w:vAlign w:val="center"/>
          </w:tcPr>
          <w:p w14:paraId="6CA8EA22">
            <w:pPr>
              <w:widowControl/>
              <w:adjustRightInd w:val="0"/>
              <w:snapToGrid w:val="0"/>
              <w:spacing w:line="360" w:lineRule="auto"/>
              <w:jc w:val="center"/>
              <w:rPr>
                <w:rFonts w:ascii="宋体" w:hAnsi="宋体" w:eastAsia="仿宋" w:cs="宋体"/>
                <w:bCs/>
                <w:color w:val="000000"/>
                <w:kern w:val="0"/>
                <w:sz w:val="24"/>
                <w:szCs w:val="24"/>
              </w:rPr>
            </w:pPr>
            <w:r>
              <w:rPr>
                <w:rFonts w:ascii="宋体" w:hAnsi="宋体" w:eastAsia="仿宋" w:cs="宋体"/>
                <w:bCs/>
                <w:color w:val="000000"/>
                <w:kern w:val="0"/>
                <w:sz w:val="24"/>
                <w:szCs w:val="24"/>
              </w:rPr>
              <w:t>分值</w:t>
            </w:r>
          </w:p>
        </w:tc>
        <w:tc>
          <w:tcPr>
            <w:tcW w:w="4153" w:type="dxa"/>
            <w:vAlign w:val="center"/>
          </w:tcPr>
          <w:p w14:paraId="17A27575">
            <w:pPr>
              <w:widowControl/>
              <w:adjustRightInd w:val="0"/>
              <w:snapToGrid w:val="0"/>
              <w:spacing w:line="360" w:lineRule="auto"/>
              <w:jc w:val="center"/>
              <w:rPr>
                <w:rFonts w:ascii="宋体" w:hAnsi="宋体" w:eastAsia="仿宋" w:cs="宋体"/>
                <w:bCs/>
                <w:color w:val="000000"/>
                <w:kern w:val="0"/>
                <w:sz w:val="24"/>
                <w:szCs w:val="24"/>
              </w:rPr>
            </w:pPr>
            <w:r>
              <w:rPr>
                <w:rFonts w:ascii="宋体" w:hAnsi="宋体" w:eastAsia="仿宋" w:cs="宋体"/>
                <w:bCs/>
                <w:color w:val="000000"/>
                <w:kern w:val="0"/>
                <w:sz w:val="24"/>
                <w:szCs w:val="24"/>
              </w:rPr>
              <w:t>评价描述</w:t>
            </w:r>
          </w:p>
        </w:tc>
        <w:tc>
          <w:tcPr>
            <w:tcW w:w="1401" w:type="dxa"/>
            <w:vAlign w:val="center"/>
          </w:tcPr>
          <w:p w14:paraId="21DC0310">
            <w:pPr>
              <w:widowControl/>
              <w:adjustRightInd w:val="0"/>
              <w:snapToGrid w:val="0"/>
              <w:spacing w:line="360" w:lineRule="auto"/>
              <w:jc w:val="center"/>
              <w:rPr>
                <w:rFonts w:ascii="宋体" w:hAnsi="宋体" w:eastAsia="仿宋" w:cs="宋体"/>
                <w:bCs/>
                <w:color w:val="000000"/>
                <w:kern w:val="0"/>
                <w:sz w:val="24"/>
                <w:szCs w:val="24"/>
              </w:rPr>
            </w:pPr>
            <w:r>
              <w:rPr>
                <w:rFonts w:ascii="宋体" w:hAnsi="宋体" w:eastAsia="仿宋" w:cs="宋体"/>
                <w:bCs/>
                <w:color w:val="000000"/>
                <w:kern w:val="0"/>
                <w:sz w:val="24"/>
                <w:szCs w:val="24"/>
              </w:rPr>
              <w:t>评分</w:t>
            </w:r>
          </w:p>
        </w:tc>
      </w:tr>
      <w:tr w14:paraId="6F9B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836" w:type="dxa"/>
            <w:vMerge w:val="restart"/>
            <w:vAlign w:val="center"/>
          </w:tcPr>
          <w:p w14:paraId="0B4795CF">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工作考核</w:t>
            </w:r>
          </w:p>
          <w:p w14:paraId="02B16D73">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90分</w:t>
            </w:r>
          </w:p>
        </w:tc>
        <w:tc>
          <w:tcPr>
            <w:tcW w:w="1380" w:type="dxa"/>
            <w:vAlign w:val="center"/>
          </w:tcPr>
          <w:p w14:paraId="6CE5AF97">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任务完成效率</w:t>
            </w:r>
          </w:p>
        </w:tc>
        <w:tc>
          <w:tcPr>
            <w:tcW w:w="780" w:type="dxa"/>
            <w:vAlign w:val="center"/>
          </w:tcPr>
          <w:p w14:paraId="57E55394">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40</w:t>
            </w:r>
          </w:p>
        </w:tc>
        <w:tc>
          <w:tcPr>
            <w:tcW w:w="4153" w:type="dxa"/>
            <w:vAlign w:val="center"/>
          </w:tcPr>
          <w:p w14:paraId="1E605B66">
            <w:pPr>
              <w:widowControl/>
              <w:adjustRightInd w:val="0"/>
              <w:snapToGrid w:val="0"/>
              <w:spacing w:line="360" w:lineRule="auto"/>
              <w:jc w:val="center"/>
              <w:rPr>
                <w:rFonts w:ascii="宋体" w:hAnsi="宋体" w:eastAsia="仿宋" w:cs="宋体"/>
                <w:bCs/>
                <w:color w:val="000000"/>
                <w:kern w:val="0"/>
                <w:sz w:val="24"/>
                <w:szCs w:val="24"/>
              </w:rPr>
            </w:pPr>
            <w:r>
              <w:rPr>
                <w:rFonts w:ascii="宋体" w:hAnsi="宋体" w:eastAsia="仿宋" w:cs="宋体"/>
                <w:bCs/>
                <w:color w:val="000000"/>
                <w:kern w:val="0"/>
                <w:sz w:val="24"/>
                <w:szCs w:val="24"/>
              </w:rPr>
              <w:t>未充分规划、在规定时间内不能完成任务</w:t>
            </w:r>
          </w:p>
        </w:tc>
        <w:tc>
          <w:tcPr>
            <w:tcW w:w="1401" w:type="dxa"/>
            <w:vAlign w:val="center"/>
          </w:tcPr>
          <w:p w14:paraId="755A8446">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每次扣5分</w:t>
            </w:r>
          </w:p>
        </w:tc>
      </w:tr>
      <w:tr w14:paraId="1F22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36" w:type="dxa"/>
            <w:vMerge w:val="continue"/>
            <w:vAlign w:val="center"/>
          </w:tcPr>
          <w:p w14:paraId="5726C9D9">
            <w:pPr>
              <w:widowControl/>
              <w:adjustRightInd w:val="0"/>
              <w:snapToGrid w:val="0"/>
              <w:spacing w:line="360" w:lineRule="auto"/>
              <w:jc w:val="center"/>
              <w:rPr>
                <w:rFonts w:ascii="宋体" w:hAnsi="宋体" w:eastAsia="仿宋" w:cs="宋体"/>
                <w:bCs/>
                <w:color w:val="000000"/>
                <w:kern w:val="0"/>
                <w:sz w:val="24"/>
                <w:szCs w:val="24"/>
              </w:rPr>
            </w:pPr>
          </w:p>
        </w:tc>
        <w:tc>
          <w:tcPr>
            <w:tcW w:w="1380" w:type="dxa"/>
            <w:vMerge w:val="restart"/>
            <w:vAlign w:val="center"/>
          </w:tcPr>
          <w:p w14:paraId="27459572">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任务完成质量</w:t>
            </w:r>
          </w:p>
        </w:tc>
        <w:tc>
          <w:tcPr>
            <w:tcW w:w="780" w:type="dxa"/>
            <w:vMerge w:val="restart"/>
            <w:vAlign w:val="center"/>
          </w:tcPr>
          <w:p w14:paraId="405F93DA">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50</w:t>
            </w:r>
          </w:p>
        </w:tc>
        <w:tc>
          <w:tcPr>
            <w:tcW w:w="4153" w:type="dxa"/>
            <w:vAlign w:val="center"/>
          </w:tcPr>
          <w:p w14:paraId="4036D134">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出现质量异常（投诉、失误、返工）</w:t>
            </w:r>
          </w:p>
        </w:tc>
        <w:tc>
          <w:tcPr>
            <w:tcW w:w="1401" w:type="dxa"/>
            <w:vAlign w:val="center"/>
          </w:tcPr>
          <w:p w14:paraId="22F1D99E">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每次扣3分</w:t>
            </w:r>
          </w:p>
        </w:tc>
      </w:tr>
      <w:tr w14:paraId="7C8C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836" w:type="dxa"/>
            <w:vMerge w:val="continue"/>
            <w:vAlign w:val="center"/>
          </w:tcPr>
          <w:p w14:paraId="42CEB444">
            <w:pPr>
              <w:widowControl/>
              <w:adjustRightInd w:val="0"/>
              <w:snapToGrid w:val="0"/>
              <w:spacing w:line="360" w:lineRule="auto"/>
              <w:jc w:val="center"/>
              <w:rPr>
                <w:rFonts w:ascii="宋体" w:hAnsi="宋体" w:eastAsia="仿宋" w:cs="宋体"/>
                <w:bCs/>
                <w:color w:val="000000"/>
                <w:kern w:val="0"/>
                <w:sz w:val="24"/>
                <w:szCs w:val="24"/>
              </w:rPr>
            </w:pPr>
          </w:p>
        </w:tc>
        <w:tc>
          <w:tcPr>
            <w:tcW w:w="1380" w:type="dxa"/>
            <w:vMerge w:val="continue"/>
            <w:vAlign w:val="center"/>
          </w:tcPr>
          <w:p w14:paraId="1DFA8F06">
            <w:pPr>
              <w:widowControl/>
              <w:adjustRightInd w:val="0"/>
              <w:snapToGrid w:val="0"/>
              <w:spacing w:line="360" w:lineRule="auto"/>
              <w:jc w:val="center"/>
              <w:rPr>
                <w:rFonts w:ascii="宋体" w:hAnsi="宋体" w:eastAsia="仿宋" w:cs="宋体"/>
                <w:bCs/>
                <w:color w:val="000000"/>
                <w:kern w:val="0"/>
                <w:sz w:val="24"/>
                <w:szCs w:val="24"/>
              </w:rPr>
            </w:pPr>
          </w:p>
        </w:tc>
        <w:tc>
          <w:tcPr>
            <w:tcW w:w="780" w:type="dxa"/>
            <w:vMerge w:val="continue"/>
            <w:vAlign w:val="center"/>
          </w:tcPr>
          <w:p w14:paraId="12137509">
            <w:pPr>
              <w:widowControl/>
              <w:adjustRightInd w:val="0"/>
              <w:snapToGrid w:val="0"/>
              <w:spacing w:line="360" w:lineRule="auto"/>
              <w:jc w:val="center"/>
              <w:rPr>
                <w:rFonts w:ascii="宋体" w:hAnsi="宋体" w:eastAsia="仿宋" w:cs="宋体"/>
                <w:bCs/>
                <w:color w:val="000000"/>
                <w:kern w:val="0"/>
                <w:sz w:val="24"/>
                <w:szCs w:val="24"/>
              </w:rPr>
            </w:pPr>
          </w:p>
        </w:tc>
        <w:tc>
          <w:tcPr>
            <w:tcW w:w="4153" w:type="dxa"/>
            <w:vAlign w:val="center"/>
          </w:tcPr>
          <w:p w14:paraId="13105BE7">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出现严重质量异常（投诉、失误、返工）</w:t>
            </w:r>
          </w:p>
        </w:tc>
        <w:tc>
          <w:tcPr>
            <w:tcW w:w="1401" w:type="dxa"/>
            <w:vAlign w:val="center"/>
          </w:tcPr>
          <w:p w14:paraId="5085451F">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每次扣6分</w:t>
            </w:r>
          </w:p>
        </w:tc>
      </w:tr>
      <w:tr w14:paraId="6037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836" w:type="dxa"/>
            <w:vMerge w:val="continue"/>
            <w:vAlign w:val="center"/>
          </w:tcPr>
          <w:p w14:paraId="4AC77EFE">
            <w:pPr>
              <w:widowControl/>
              <w:adjustRightInd w:val="0"/>
              <w:snapToGrid w:val="0"/>
              <w:spacing w:line="360" w:lineRule="auto"/>
              <w:jc w:val="center"/>
              <w:rPr>
                <w:rFonts w:ascii="宋体" w:hAnsi="宋体" w:eastAsia="仿宋" w:cs="宋体"/>
                <w:bCs/>
                <w:color w:val="000000"/>
                <w:kern w:val="0"/>
                <w:sz w:val="24"/>
                <w:szCs w:val="24"/>
              </w:rPr>
            </w:pPr>
          </w:p>
        </w:tc>
        <w:tc>
          <w:tcPr>
            <w:tcW w:w="1380" w:type="dxa"/>
            <w:vMerge w:val="continue"/>
            <w:vAlign w:val="center"/>
          </w:tcPr>
          <w:p w14:paraId="5A95688A">
            <w:pPr>
              <w:widowControl/>
              <w:adjustRightInd w:val="0"/>
              <w:snapToGrid w:val="0"/>
              <w:spacing w:line="360" w:lineRule="auto"/>
              <w:jc w:val="center"/>
              <w:rPr>
                <w:rFonts w:ascii="宋体" w:hAnsi="宋体" w:eastAsia="仿宋" w:cs="宋体"/>
                <w:bCs/>
                <w:color w:val="000000"/>
                <w:kern w:val="0"/>
                <w:sz w:val="24"/>
                <w:szCs w:val="24"/>
              </w:rPr>
            </w:pPr>
          </w:p>
        </w:tc>
        <w:tc>
          <w:tcPr>
            <w:tcW w:w="780" w:type="dxa"/>
            <w:vMerge w:val="continue"/>
            <w:vAlign w:val="center"/>
          </w:tcPr>
          <w:p w14:paraId="398E3F75">
            <w:pPr>
              <w:widowControl/>
              <w:adjustRightInd w:val="0"/>
              <w:snapToGrid w:val="0"/>
              <w:spacing w:line="360" w:lineRule="auto"/>
              <w:jc w:val="center"/>
              <w:rPr>
                <w:rFonts w:ascii="宋体" w:hAnsi="宋体" w:eastAsia="仿宋" w:cs="宋体"/>
                <w:bCs/>
                <w:color w:val="000000"/>
                <w:kern w:val="0"/>
                <w:sz w:val="24"/>
                <w:szCs w:val="24"/>
              </w:rPr>
            </w:pPr>
          </w:p>
        </w:tc>
        <w:tc>
          <w:tcPr>
            <w:tcW w:w="4153" w:type="dxa"/>
            <w:vAlign w:val="center"/>
          </w:tcPr>
          <w:p w14:paraId="20601082">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响应需求被动，消极处理问题</w:t>
            </w:r>
          </w:p>
        </w:tc>
        <w:tc>
          <w:tcPr>
            <w:tcW w:w="1401" w:type="dxa"/>
            <w:vAlign w:val="center"/>
          </w:tcPr>
          <w:p w14:paraId="154A75F9">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每次扣5分</w:t>
            </w:r>
          </w:p>
        </w:tc>
      </w:tr>
      <w:tr w14:paraId="2F80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836" w:type="dxa"/>
            <w:vMerge w:val="restart"/>
            <w:vAlign w:val="center"/>
          </w:tcPr>
          <w:p w14:paraId="4CB656B0">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人员考核</w:t>
            </w:r>
          </w:p>
          <w:p w14:paraId="693A1981">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10分</w:t>
            </w:r>
          </w:p>
        </w:tc>
        <w:tc>
          <w:tcPr>
            <w:tcW w:w="1380" w:type="dxa"/>
            <w:vMerge w:val="restart"/>
            <w:vAlign w:val="center"/>
          </w:tcPr>
          <w:p w14:paraId="4FCDE822">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服务质量</w:t>
            </w:r>
          </w:p>
        </w:tc>
        <w:tc>
          <w:tcPr>
            <w:tcW w:w="780" w:type="dxa"/>
            <w:vMerge w:val="restart"/>
            <w:vAlign w:val="center"/>
          </w:tcPr>
          <w:p w14:paraId="721BF7C0">
            <w:pPr>
              <w:widowControl/>
              <w:adjustRightInd w:val="0"/>
              <w:snapToGrid w:val="0"/>
              <w:spacing w:line="360" w:lineRule="auto"/>
              <w:jc w:val="center"/>
              <w:rPr>
                <w:rFonts w:ascii="宋体" w:hAnsi="宋体" w:eastAsia="仿宋" w:cs="宋体"/>
                <w:bCs/>
                <w:color w:val="000000"/>
                <w:kern w:val="0"/>
                <w:sz w:val="24"/>
                <w:szCs w:val="24"/>
              </w:rPr>
            </w:pPr>
            <w:r>
              <w:rPr>
                <w:rFonts w:hint="eastAsia" w:ascii="宋体" w:hAnsi="宋体" w:eastAsia="仿宋" w:cs="宋体"/>
                <w:bCs/>
                <w:color w:val="000000"/>
                <w:kern w:val="0"/>
                <w:sz w:val="24"/>
                <w:szCs w:val="24"/>
              </w:rPr>
              <w:t>10</w:t>
            </w:r>
          </w:p>
        </w:tc>
        <w:tc>
          <w:tcPr>
            <w:tcW w:w="4153" w:type="dxa"/>
            <w:vAlign w:val="bottom"/>
          </w:tcPr>
          <w:p w14:paraId="7A3E4150">
            <w:pPr>
              <w:widowControl/>
              <w:spacing w:line="360" w:lineRule="auto"/>
              <w:jc w:val="left"/>
              <w:rPr>
                <w:rFonts w:ascii="宋体" w:hAnsi="宋体" w:eastAsia="仿宋" w:cs="宋体"/>
                <w:bCs/>
                <w:color w:val="000000"/>
                <w:kern w:val="0"/>
                <w:sz w:val="24"/>
                <w:szCs w:val="24"/>
              </w:rPr>
            </w:pPr>
            <w:r>
              <w:rPr>
                <w:rFonts w:ascii="宋体" w:hAnsi="宋体" w:eastAsia="仿宋" w:cs="宋体"/>
                <w:bCs/>
                <w:color w:val="000000"/>
                <w:kern w:val="0"/>
                <w:sz w:val="24"/>
                <w:szCs w:val="24"/>
              </w:rPr>
              <w:t>不注重沟通</w:t>
            </w:r>
            <w:r>
              <w:rPr>
                <w:rFonts w:hint="eastAsia" w:ascii="宋体" w:hAnsi="宋体" w:eastAsia="仿宋" w:cs="宋体"/>
                <w:bCs/>
                <w:color w:val="000000"/>
                <w:kern w:val="0"/>
                <w:sz w:val="24"/>
                <w:szCs w:val="24"/>
              </w:rPr>
              <w:t>，</w:t>
            </w:r>
            <w:r>
              <w:rPr>
                <w:rFonts w:ascii="宋体" w:hAnsi="宋体" w:eastAsia="仿宋" w:cs="宋体"/>
                <w:bCs/>
                <w:color w:val="000000"/>
                <w:kern w:val="0"/>
                <w:sz w:val="24"/>
                <w:szCs w:val="24"/>
              </w:rPr>
              <w:t>遇到问题以强硬或回避的态度来应对</w:t>
            </w:r>
          </w:p>
        </w:tc>
        <w:tc>
          <w:tcPr>
            <w:tcW w:w="1401" w:type="dxa"/>
            <w:vAlign w:val="center"/>
          </w:tcPr>
          <w:p w14:paraId="485A7BC1">
            <w:pPr>
              <w:widowControl/>
              <w:adjustRightInd w:val="0"/>
              <w:snapToGrid w:val="0"/>
              <w:spacing w:line="360" w:lineRule="auto"/>
              <w:jc w:val="center"/>
              <w:rPr>
                <w:rFonts w:ascii="宋体" w:hAnsi="宋体" w:eastAsia="仿宋" w:cs="宋体"/>
                <w:bCs/>
                <w:color w:val="000000"/>
                <w:kern w:val="0"/>
                <w:sz w:val="24"/>
                <w:szCs w:val="24"/>
              </w:rPr>
            </w:pPr>
            <w:r>
              <w:rPr>
                <w:rFonts w:ascii="宋体" w:hAnsi="宋体" w:eastAsia="仿宋" w:cs="宋体"/>
                <w:bCs/>
                <w:color w:val="000000"/>
                <w:kern w:val="0"/>
                <w:sz w:val="24"/>
                <w:szCs w:val="24"/>
              </w:rPr>
              <w:t>每次扣</w:t>
            </w:r>
            <w:r>
              <w:rPr>
                <w:rFonts w:hint="eastAsia" w:ascii="宋体" w:hAnsi="宋体" w:eastAsia="仿宋" w:cs="宋体"/>
                <w:bCs/>
                <w:color w:val="000000"/>
                <w:kern w:val="0"/>
                <w:sz w:val="24"/>
                <w:szCs w:val="24"/>
              </w:rPr>
              <w:t>2</w:t>
            </w:r>
            <w:r>
              <w:rPr>
                <w:rFonts w:ascii="宋体" w:hAnsi="宋体" w:eastAsia="仿宋" w:cs="宋体"/>
                <w:bCs/>
                <w:color w:val="000000"/>
                <w:kern w:val="0"/>
                <w:sz w:val="24"/>
                <w:szCs w:val="24"/>
              </w:rPr>
              <w:t>分</w:t>
            </w:r>
          </w:p>
        </w:tc>
      </w:tr>
      <w:tr w14:paraId="1A54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836" w:type="dxa"/>
            <w:vMerge w:val="continue"/>
            <w:vAlign w:val="center"/>
          </w:tcPr>
          <w:p w14:paraId="35474AB2">
            <w:pPr>
              <w:widowControl/>
              <w:adjustRightInd w:val="0"/>
              <w:snapToGrid w:val="0"/>
              <w:spacing w:line="360" w:lineRule="auto"/>
              <w:jc w:val="center"/>
              <w:rPr>
                <w:rFonts w:ascii="宋体" w:hAnsi="宋体" w:eastAsia="仿宋" w:cs="宋体"/>
                <w:bCs/>
                <w:color w:val="000000"/>
                <w:kern w:val="0"/>
                <w:sz w:val="24"/>
                <w:szCs w:val="24"/>
              </w:rPr>
            </w:pPr>
          </w:p>
        </w:tc>
        <w:tc>
          <w:tcPr>
            <w:tcW w:w="1380" w:type="dxa"/>
            <w:vMerge w:val="continue"/>
            <w:vAlign w:val="center"/>
          </w:tcPr>
          <w:p w14:paraId="46966555">
            <w:pPr>
              <w:widowControl/>
              <w:adjustRightInd w:val="0"/>
              <w:snapToGrid w:val="0"/>
              <w:spacing w:line="360" w:lineRule="auto"/>
              <w:jc w:val="center"/>
              <w:rPr>
                <w:rFonts w:ascii="宋体" w:hAnsi="宋体" w:eastAsia="仿宋" w:cs="宋体"/>
                <w:bCs/>
                <w:color w:val="000000"/>
                <w:kern w:val="0"/>
                <w:sz w:val="24"/>
                <w:szCs w:val="24"/>
              </w:rPr>
            </w:pPr>
          </w:p>
        </w:tc>
        <w:tc>
          <w:tcPr>
            <w:tcW w:w="780" w:type="dxa"/>
            <w:vMerge w:val="continue"/>
            <w:vAlign w:val="center"/>
          </w:tcPr>
          <w:p w14:paraId="5FBE5261">
            <w:pPr>
              <w:widowControl/>
              <w:adjustRightInd w:val="0"/>
              <w:snapToGrid w:val="0"/>
              <w:spacing w:line="360" w:lineRule="auto"/>
              <w:jc w:val="center"/>
              <w:rPr>
                <w:rFonts w:ascii="宋体" w:hAnsi="宋体" w:eastAsia="仿宋" w:cs="宋体"/>
                <w:bCs/>
                <w:color w:val="000000"/>
                <w:kern w:val="0"/>
                <w:sz w:val="24"/>
                <w:szCs w:val="24"/>
              </w:rPr>
            </w:pPr>
          </w:p>
        </w:tc>
        <w:tc>
          <w:tcPr>
            <w:tcW w:w="4153" w:type="dxa"/>
            <w:vAlign w:val="bottom"/>
          </w:tcPr>
          <w:p w14:paraId="4258EBD9">
            <w:pPr>
              <w:widowControl/>
              <w:adjustRightInd w:val="0"/>
              <w:snapToGrid w:val="0"/>
              <w:spacing w:line="360" w:lineRule="auto"/>
              <w:jc w:val="center"/>
              <w:rPr>
                <w:rFonts w:ascii="宋体" w:hAnsi="宋体" w:eastAsia="仿宋" w:cs="宋体"/>
                <w:bCs/>
                <w:color w:val="000000"/>
                <w:kern w:val="0"/>
                <w:sz w:val="24"/>
                <w:szCs w:val="24"/>
              </w:rPr>
            </w:pPr>
            <w:r>
              <w:rPr>
                <w:rFonts w:ascii="宋体" w:hAnsi="宋体" w:eastAsia="仿宋" w:cs="宋体"/>
                <w:bCs/>
                <w:color w:val="000000"/>
                <w:kern w:val="0"/>
                <w:sz w:val="24"/>
                <w:szCs w:val="24"/>
              </w:rPr>
              <w:t>服务态度差，甲方收到投诉</w:t>
            </w:r>
          </w:p>
        </w:tc>
        <w:tc>
          <w:tcPr>
            <w:tcW w:w="1401" w:type="dxa"/>
            <w:vAlign w:val="bottom"/>
          </w:tcPr>
          <w:p w14:paraId="5D97D4C1">
            <w:pPr>
              <w:widowControl/>
              <w:adjustRightInd w:val="0"/>
              <w:snapToGrid w:val="0"/>
              <w:spacing w:line="360" w:lineRule="auto"/>
              <w:jc w:val="center"/>
              <w:rPr>
                <w:rFonts w:ascii="宋体" w:hAnsi="宋体" w:eastAsia="仿宋" w:cs="宋体"/>
                <w:bCs/>
                <w:color w:val="000000"/>
                <w:kern w:val="0"/>
                <w:sz w:val="24"/>
                <w:szCs w:val="24"/>
              </w:rPr>
            </w:pPr>
            <w:r>
              <w:rPr>
                <w:rFonts w:ascii="宋体" w:hAnsi="宋体" w:eastAsia="仿宋" w:cs="宋体"/>
                <w:bCs/>
                <w:color w:val="000000"/>
                <w:kern w:val="0"/>
                <w:sz w:val="24"/>
                <w:szCs w:val="24"/>
              </w:rPr>
              <w:t>每次扣</w:t>
            </w:r>
            <w:r>
              <w:rPr>
                <w:rFonts w:hint="eastAsia" w:ascii="宋体" w:hAnsi="宋体" w:eastAsia="仿宋" w:cs="宋体"/>
                <w:bCs/>
                <w:color w:val="000000"/>
                <w:kern w:val="0"/>
                <w:sz w:val="24"/>
                <w:szCs w:val="24"/>
              </w:rPr>
              <w:t>5</w:t>
            </w:r>
            <w:r>
              <w:rPr>
                <w:rFonts w:ascii="宋体" w:hAnsi="宋体" w:eastAsia="仿宋" w:cs="宋体"/>
                <w:bCs/>
                <w:color w:val="000000"/>
                <w:kern w:val="0"/>
                <w:sz w:val="24"/>
                <w:szCs w:val="24"/>
              </w:rPr>
              <w:t>分</w:t>
            </w:r>
          </w:p>
        </w:tc>
      </w:tr>
    </w:tbl>
    <w:p w14:paraId="4163B296">
      <w:pPr>
        <w:widowControl/>
        <w:spacing w:line="420" w:lineRule="exact"/>
        <w:jc w:val="left"/>
        <w:rPr>
          <w:rFonts w:ascii="宋体" w:hAnsi="宋体" w:cs="宋体"/>
          <w:sz w:val="24"/>
          <w:szCs w:val="24"/>
        </w:rPr>
      </w:pPr>
      <w:r>
        <w:rPr>
          <w:rFonts w:ascii="宋体" w:hAnsi="宋体" w:cs="宋体"/>
          <w:sz w:val="24"/>
          <w:szCs w:val="24"/>
        </w:rPr>
        <w:t>考核说明：</w:t>
      </w:r>
    </w:p>
    <w:p w14:paraId="055245A6">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1</w:t>
      </w:r>
      <w:r>
        <w:rPr>
          <w:rFonts w:ascii="宋体" w:hAnsi="宋体" w:cs="宋体"/>
          <w:sz w:val="24"/>
          <w:szCs w:val="24"/>
        </w:rPr>
        <w:t>.考核初始赋值 100 分。考核表格包括但不限于以上内容，在实际运作中不断完善。每个考核项目扣分项最多将该项分值扣到 0 分。</w:t>
      </w:r>
    </w:p>
    <w:p w14:paraId="457E271C">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2</w:t>
      </w:r>
      <w:r>
        <w:rPr>
          <w:rFonts w:ascii="宋体" w:hAnsi="宋体" w:cs="宋体"/>
          <w:sz w:val="24"/>
          <w:szCs w:val="24"/>
        </w:rPr>
        <w:t>.每</w:t>
      </w:r>
      <w:r>
        <w:rPr>
          <w:rFonts w:hint="eastAsia" w:ascii="宋体" w:hAnsi="宋体" w:cs="宋体"/>
          <w:sz w:val="24"/>
          <w:szCs w:val="24"/>
        </w:rPr>
        <w:t>季度</w:t>
      </w:r>
      <w:r>
        <w:rPr>
          <w:rFonts w:ascii="宋体" w:hAnsi="宋体" w:cs="宋体"/>
          <w:sz w:val="24"/>
          <w:szCs w:val="24"/>
        </w:rPr>
        <w:t>考核分数在</w:t>
      </w:r>
      <w:r>
        <w:rPr>
          <w:rFonts w:hint="eastAsia" w:ascii="宋体" w:hAnsi="宋体" w:cs="宋体"/>
          <w:sz w:val="24"/>
          <w:szCs w:val="24"/>
        </w:rPr>
        <w:t>60到80分</w:t>
      </w:r>
      <w:r>
        <w:rPr>
          <w:rFonts w:ascii="宋体" w:hAnsi="宋体" w:cs="宋体"/>
          <w:sz w:val="24"/>
          <w:szCs w:val="24"/>
        </w:rPr>
        <w:t>之间，将要求中标</w:t>
      </w:r>
      <w:r>
        <w:rPr>
          <w:rFonts w:hint="eastAsia" w:ascii="宋体" w:hAnsi="宋体" w:cs="宋体"/>
          <w:sz w:val="24"/>
          <w:szCs w:val="24"/>
        </w:rPr>
        <w:t>方</w:t>
      </w:r>
      <w:r>
        <w:rPr>
          <w:rFonts w:ascii="宋体" w:hAnsi="宋体" w:cs="宋体"/>
          <w:sz w:val="24"/>
          <w:szCs w:val="24"/>
        </w:rPr>
        <w:t>对运维服务团队责任人进行谈话，并责令整改。每</w:t>
      </w:r>
      <w:r>
        <w:rPr>
          <w:rFonts w:hint="eastAsia" w:ascii="宋体" w:hAnsi="宋体" w:cs="宋体"/>
          <w:sz w:val="24"/>
          <w:szCs w:val="24"/>
        </w:rPr>
        <w:t>季度</w:t>
      </w:r>
      <w:r>
        <w:rPr>
          <w:rFonts w:ascii="宋体" w:hAnsi="宋体" w:cs="宋体"/>
          <w:sz w:val="24"/>
          <w:szCs w:val="24"/>
        </w:rPr>
        <w:t>考核分数</w:t>
      </w:r>
      <w:r>
        <w:rPr>
          <w:rFonts w:hint="eastAsia" w:ascii="宋体" w:hAnsi="宋体" w:cs="宋体"/>
          <w:sz w:val="24"/>
          <w:szCs w:val="24"/>
        </w:rPr>
        <w:t>≦</w:t>
      </w:r>
      <w:r>
        <w:rPr>
          <w:rFonts w:ascii="宋体" w:hAnsi="宋体" w:cs="宋体"/>
          <w:sz w:val="24"/>
          <w:szCs w:val="24"/>
        </w:rPr>
        <w:t>60分，中标</w:t>
      </w:r>
      <w:r>
        <w:rPr>
          <w:rFonts w:hint="eastAsia" w:ascii="宋体" w:hAnsi="宋体" w:cs="宋体"/>
          <w:sz w:val="24"/>
          <w:szCs w:val="24"/>
        </w:rPr>
        <w:t>方</w:t>
      </w:r>
      <w:r>
        <w:rPr>
          <w:rFonts w:ascii="宋体" w:hAnsi="宋体" w:cs="宋体"/>
          <w:sz w:val="24"/>
          <w:szCs w:val="24"/>
        </w:rPr>
        <w:t>须更换</w:t>
      </w:r>
      <w:r>
        <w:rPr>
          <w:rFonts w:hint="eastAsia" w:ascii="宋体" w:hAnsi="宋体" w:cs="宋体"/>
          <w:sz w:val="24"/>
          <w:szCs w:val="24"/>
        </w:rPr>
        <w:t>驻场维护人员</w:t>
      </w:r>
      <w:r>
        <w:rPr>
          <w:rFonts w:ascii="宋体" w:hAnsi="宋体" w:cs="宋体"/>
          <w:sz w:val="24"/>
          <w:szCs w:val="24"/>
        </w:rPr>
        <w:t>，更换人员须符合</w:t>
      </w:r>
      <w:r>
        <w:rPr>
          <w:rFonts w:hint="eastAsia" w:ascii="宋体" w:hAnsi="宋体" w:cs="宋体"/>
          <w:sz w:val="24"/>
          <w:szCs w:val="24"/>
        </w:rPr>
        <w:t>驻场维护人员</w:t>
      </w:r>
      <w:r>
        <w:rPr>
          <w:rFonts w:ascii="宋体" w:hAnsi="宋体" w:cs="宋体"/>
          <w:sz w:val="24"/>
          <w:szCs w:val="24"/>
        </w:rPr>
        <w:t>要求。如无法更换符合要求的</w:t>
      </w:r>
      <w:r>
        <w:rPr>
          <w:rFonts w:hint="eastAsia" w:ascii="宋体" w:hAnsi="宋体" w:cs="宋体"/>
          <w:sz w:val="24"/>
          <w:szCs w:val="24"/>
        </w:rPr>
        <w:t>驻场维护人员</w:t>
      </w:r>
      <w:r>
        <w:rPr>
          <w:rFonts w:ascii="宋体" w:hAnsi="宋体" w:cs="宋体"/>
          <w:sz w:val="24"/>
          <w:szCs w:val="24"/>
        </w:rPr>
        <w:t>，</w:t>
      </w:r>
      <w:r>
        <w:rPr>
          <w:rFonts w:hint="eastAsia" w:ascii="宋体" w:hAnsi="宋体" w:cs="宋体"/>
          <w:sz w:val="24"/>
          <w:szCs w:val="24"/>
        </w:rPr>
        <w:t>校方</w:t>
      </w:r>
      <w:r>
        <w:rPr>
          <w:rFonts w:ascii="宋体" w:hAnsi="宋体" w:cs="宋体"/>
          <w:sz w:val="24"/>
          <w:szCs w:val="24"/>
        </w:rPr>
        <w:t>将终止合同，并拒付剩余合同款项。</w:t>
      </w:r>
    </w:p>
    <w:p w14:paraId="5D58511D">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3</w:t>
      </w:r>
      <w:r>
        <w:rPr>
          <w:rFonts w:ascii="宋体" w:hAnsi="宋体" w:cs="宋体"/>
          <w:sz w:val="24"/>
          <w:szCs w:val="24"/>
        </w:rPr>
        <w:t>.</w:t>
      </w:r>
      <w:r>
        <w:rPr>
          <w:rFonts w:hint="eastAsia" w:ascii="宋体" w:hAnsi="宋体" w:cs="宋体"/>
          <w:sz w:val="24"/>
          <w:szCs w:val="24"/>
        </w:rPr>
        <w:t>年度评分将作为考核中标方服务质量的依据，作为下一次</w:t>
      </w:r>
      <w:r>
        <w:rPr>
          <w:rFonts w:ascii="宋体" w:hAnsi="宋体" w:cs="宋体"/>
          <w:sz w:val="24"/>
          <w:szCs w:val="24"/>
        </w:rPr>
        <w:t>运维</w:t>
      </w:r>
      <w:r>
        <w:rPr>
          <w:rFonts w:hint="eastAsia" w:ascii="宋体" w:hAnsi="宋体" w:cs="宋体"/>
          <w:sz w:val="24"/>
          <w:szCs w:val="24"/>
        </w:rPr>
        <w:t>服务招标对中标方评价的重要参考依据。</w:t>
      </w:r>
    </w:p>
    <w:p w14:paraId="1FA63123">
      <w:pPr>
        <w:keepNext/>
        <w:keepLines/>
        <w:widowControl/>
        <w:numPr>
          <w:ilvl w:val="2"/>
          <w:numId w:val="0"/>
        </w:numPr>
        <w:spacing w:line="420" w:lineRule="exact"/>
        <w:ind w:left="340"/>
        <w:jc w:val="left"/>
        <w:outlineLvl w:val="2"/>
        <w:rPr>
          <w:rFonts w:ascii="仿宋" w:hAnsi="仿宋" w:eastAsia="仿宋"/>
          <w:b/>
          <w:bCs/>
          <w:sz w:val="24"/>
          <w:szCs w:val="24"/>
        </w:rPr>
      </w:pPr>
      <w:r>
        <w:rPr>
          <w:rFonts w:hint="eastAsia" w:ascii="仿宋" w:hAnsi="仿宋" w:eastAsia="仿宋"/>
          <w:b/>
          <w:bCs/>
          <w:sz w:val="24"/>
          <w:szCs w:val="24"/>
        </w:rPr>
        <w:t>1.6.其他要求</w:t>
      </w:r>
      <w:bookmarkEnd w:id="97"/>
    </w:p>
    <w:p w14:paraId="6EFFBA0C">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1、运维服务期间如遇到超出投标人服务能力的问题，投标人须向设备或产品原厂商寻求解决方案，确保问题的顺利解决且符合校方管理要求。</w:t>
      </w:r>
    </w:p>
    <w:p w14:paraId="2553A895">
      <w:pPr>
        <w:widowControl/>
        <w:spacing w:line="420" w:lineRule="exact"/>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w:t>
      </w:r>
      <w:r>
        <w:rPr>
          <w:rFonts w:ascii="宋体" w:hAnsi="宋体" w:cs="宋体"/>
          <w:sz w:val="24"/>
          <w:szCs w:val="24"/>
        </w:rPr>
        <w:t>运维</w:t>
      </w:r>
      <w:r>
        <w:rPr>
          <w:rFonts w:hint="eastAsia" w:ascii="宋体" w:hAnsi="宋体" w:cs="宋体"/>
          <w:sz w:val="24"/>
          <w:szCs w:val="24"/>
        </w:rPr>
        <w:t>团队须配备必要的网络维护工具，包括笔记本电脑、基础的网络检测工具等。</w:t>
      </w:r>
    </w:p>
    <w:p w14:paraId="585F8807">
      <w:pPr>
        <w:keepNext/>
        <w:keepLines/>
        <w:widowControl/>
        <w:numPr>
          <w:ilvl w:val="1"/>
          <w:numId w:val="0"/>
        </w:numPr>
        <w:spacing w:line="420" w:lineRule="exact"/>
        <w:ind w:left="170"/>
        <w:jc w:val="left"/>
        <w:outlineLvl w:val="1"/>
        <w:rPr>
          <w:rFonts w:ascii="仿宋" w:hAnsi="仿宋" w:eastAsia="仿宋"/>
          <w:b/>
          <w:sz w:val="24"/>
          <w:szCs w:val="24"/>
        </w:rPr>
      </w:pPr>
      <w:r>
        <w:rPr>
          <w:rFonts w:hint="eastAsia" w:ascii="仿宋" w:hAnsi="仿宋" w:eastAsia="仿宋"/>
          <w:b/>
          <w:sz w:val="24"/>
          <w:szCs w:val="24"/>
        </w:rPr>
        <w:t>2.合同履行期限</w:t>
      </w:r>
    </w:p>
    <w:p w14:paraId="645675DB">
      <w:pPr>
        <w:widowControl/>
        <w:spacing w:line="420" w:lineRule="exact"/>
        <w:ind w:firstLine="480" w:firstLineChars="200"/>
        <w:jc w:val="left"/>
        <w:rPr>
          <w:rFonts w:ascii="宋体" w:hAnsi="宋体" w:cs="宋体"/>
          <w:sz w:val="24"/>
          <w:szCs w:val="24"/>
        </w:rPr>
      </w:pPr>
      <w:r>
        <w:rPr>
          <w:rFonts w:hint="eastAsia" w:ascii="宋体" w:hAnsi="宋体" w:cs="宋体"/>
          <w:sz w:val="24"/>
          <w:szCs w:val="24"/>
        </w:rPr>
        <w:t>服务期限为三年。合同一年一签，校方根据中标人的服务质量决定是否续签下一年合同。</w:t>
      </w:r>
    </w:p>
    <w:p w14:paraId="205339E5">
      <w:pPr>
        <w:keepNext/>
        <w:keepLines/>
        <w:widowControl/>
        <w:numPr>
          <w:ilvl w:val="1"/>
          <w:numId w:val="0"/>
        </w:numPr>
        <w:spacing w:line="420" w:lineRule="exact"/>
        <w:ind w:left="170"/>
        <w:jc w:val="left"/>
        <w:outlineLvl w:val="1"/>
        <w:rPr>
          <w:rFonts w:ascii="仿宋" w:hAnsi="仿宋" w:eastAsia="仿宋"/>
          <w:b/>
          <w:sz w:val="24"/>
          <w:szCs w:val="24"/>
        </w:rPr>
      </w:pPr>
      <w:bookmarkStart w:id="98" w:name="_Toc56152466"/>
      <w:r>
        <w:rPr>
          <w:rFonts w:hint="eastAsia" w:ascii="仿宋" w:hAnsi="仿宋" w:eastAsia="仿宋"/>
          <w:b/>
          <w:sz w:val="24"/>
          <w:szCs w:val="24"/>
        </w:rPr>
        <w:t>3.付款</w:t>
      </w:r>
      <w:bookmarkEnd w:id="98"/>
    </w:p>
    <w:p w14:paraId="63DA3D14">
      <w:pPr>
        <w:spacing w:line="420" w:lineRule="exact"/>
        <w:ind w:firstLine="480" w:firstLineChars="200"/>
        <w:rPr>
          <w:rFonts w:ascii="宋体" w:hAnsi="宋体" w:cs="宋体"/>
          <w:sz w:val="24"/>
          <w:szCs w:val="24"/>
        </w:rPr>
      </w:pPr>
      <w:r>
        <w:rPr>
          <w:rFonts w:hint="eastAsia" w:ascii="宋体" w:hAnsi="宋体" w:cs="宋体"/>
          <w:sz w:val="24"/>
          <w:szCs w:val="24"/>
        </w:rPr>
        <w:t>费用一年一付。第一次付款：合同签订后，驻场技术人员入场后支付合同总价的30%；</w:t>
      </w:r>
    </w:p>
    <w:p w14:paraId="6D54C171">
      <w:pPr>
        <w:widowControl/>
        <w:spacing w:line="420" w:lineRule="exact"/>
        <w:ind w:firstLine="480" w:firstLineChars="200"/>
        <w:jc w:val="left"/>
        <w:rPr>
          <w:rStyle w:val="68"/>
          <w:rFonts w:ascii="宋体" w:hAnsi="宋体" w:cs="宋体"/>
          <w:sz w:val="24"/>
          <w:szCs w:val="24"/>
        </w:rPr>
      </w:pPr>
      <w:r>
        <w:rPr>
          <w:rFonts w:hint="eastAsia" w:ascii="宋体" w:hAnsi="宋体" w:cs="宋体"/>
          <w:sz w:val="24"/>
          <w:szCs w:val="24"/>
        </w:rPr>
        <w:t>第二次付款：正式服务期满一年后，由校方组织最终验收，验收合格后支付合同总价的70%。以上付款均无息</w:t>
      </w:r>
      <w:r>
        <w:rPr>
          <w:rFonts w:ascii="宋体" w:hAnsi="宋体" w:cs="宋体"/>
          <w:sz w:val="24"/>
          <w:szCs w:val="24"/>
        </w:rPr>
        <w:t>。</w:t>
      </w:r>
      <w:bookmarkEnd w:id="87"/>
      <w:bookmarkEnd w:id="88"/>
    </w:p>
    <w:p w14:paraId="45FF79EA">
      <w:pPr>
        <w:widowControl/>
        <w:spacing w:line="420" w:lineRule="exact"/>
        <w:ind w:firstLine="482" w:firstLineChars="200"/>
        <w:jc w:val="left"/>
        <w:rPr>
          <w:rFonts w:ascii="宋体" w:hAnsi="宋体" w:cs="宋体"/>
          <w:b/>
          <w:sz w:val="24"/>
          <w:szCs w:val="24"/>
        </w:rPr>
      </w:pPr>
      <w:r>
        <w:rPr>
          <w:rFonts w:hint="eastAsia" w:ascii="宋体" w:hAnsi="宋体" w:cs="宋体"/>
          <w:b/>
          <w:sz w:val="24"/>
          <w:szCs w:val="24"/>
        </w:rPr>
        <w:t>注：采购标的的所属行业为 软件和信息技术服务业 ，根据《工业和信息化部、国家统计局、国家发展和改革委员会、财政部关于印发中小企业划型标准规定的通知》（工信部联企业[2011]300号）规定的划分标准填写。</w:t>
      </w:r>
    </w:p>
    <w:p w14:paraId="2DE0589D">
      <w:pPr>
        <w:widowControl/>
        <w:spacing w:line="420" w:lineRule="exact"/>
        <w:ind w:firstLine="482" w:firstLineChars="200"/>
        <w:jc w:val="left"/>
        <w:rPr>
          <w:rFonts w:ascii="宋体" w:hAnsi="宋体" w:cs="宋体"/>
          <w:b/>
          <w:sz w:val="24"/>
          <w:szCs w:val="24"/>
        </w:rPr>
      </w:pPr>
    </w:p>
    <w:p w14:paraId="36956F45">
      <w:pPr>
        <w:widowControl/>
        <w:spacing w:line="420" w:lineRule="exact"/>
        <w:ind w:firstLine="482" w:firstLineChars="200"/>
        <w:jc w:val="left"/>
        <w:rPr>
          <w:rFonts w:ascii="宋体" w:hAnsi="宋体" w:cs="宋体"/>
          <w:b/>
          <w:sz w:val="24"/>
          <w:szCs w:val="24"/>
        </w:rPr>
      </w:pPr>
    </w:p>
    <w:p w14:paraId="2F00F9F4">
      <w:pPr>
        <w:widowControl/>
        <w:spacing w:line="420" w:lineRule="exact"/>
        <w:ind w:firstLine="482" w:firstLineChars="200"/>
        <w:jc w:val="left"/>
        <w:rPr>
          <w:rFonts w:ascii="宋体" w:hAnsi="宋体" w:cs="宋体"/>
          <w:b/>
          <w:sz w:val="24"/>
          <w:szCs w:val="24"/>
        </w:rPr>
      </w:pPr>
    </w:p>
    <w:p w14:paraId="5A270F56">
      <w:pPr>
        <w:widowControl/>
        <w:spacing w:line="420" w:lineRule="exact"/>
        <w:ind w:firstLine="482" w:firstLineChars="200"/>
        <w:jc w:val="left"/>
        <w:rPr>
          <w:rFonts w:ascii="宋体" w:hAnsi="宋体" w:cs="宋体"/>
          <w:b/>
          <w:sz w:val="24"/>
          <w:szCs w:val="24"/>
        </w:rPr>
      </w:pPr>
    </w:p>
    <w:p w14:paraId="18EF7DD8">
      <w:pPr>
        <w:rPr>
          <w:rFonts w:eastAsia="仿宋_GB2312"/>
          <w:sz w:val="24"/>
          <w:szCs w:val="24"/>
        </w:rPr>
      </w:pPr>
      <w:r>
        <w:rPr>
          <w:rFonts w:hint="eastAsia" w:eastAsia="仿宋_GB2312"/>
          <w:sz w:val="24"/>
          <w:szCs w:val="24"/>
        </w:rPr>
        <w:t xml:space="preserve"> </w:t>
      </w:r>
      <w:r>
        <w:rPr>
          <w:rFonts w:eastAsia="仿宋_GB2312"/>
          <w:sz w:val="24"/>
          <w:szCs w:val="24"/>
        </w:rPr>
        <w:t xml:space="preserve">                                                </w:t>
      </w:r>
    </w:p>
    <w:bookmarkEnd w:id="76"/>
    <w:bookmarkEnd w:id="77"/>
    <w:bookmarkEnd w:id="83"/>
    <w:bookmarkEnd w:id="84"/>
    <w:bookmarkEnd w:id="85"/>
    <w:p w14:paraId="15689739">
      <w:bookmarkStart w:id="99" w:name="_Toc181627033"/>
    </w:p>
    <w:p w14:paraId="40834AF9"/>
    <w:p w14:paraId="168C4834"/>
    <w:p w14:paraId="2A084358"/>
    <w:p w14:paraId="4F6FFC8B"/>
    <w:p w14:paraId="52F330DC"/>
    <w:p w14:paraId="476A0197"/>
    <w:p w14:paraId="6C89A42B"/>
    <w:p w14:paraId="09F755DC"/>
    <w:p w14:paraId="08768880">
      <w:pPr>
        <w:spacing w:line="500" w:lineRule="exact"/>
        <w:ind w:firstLine="2200" w:firstLineChars="500"/>
        <w:outlineLvl w:val="0"/>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第五章  评标方法与评标标准</w:t>
      </w:r>
      <w:bookmarkEnd w:id="99"/>
    </w:p>
    <w:p w14:paraId="18D41858">
      <w:pPr>
        <w:pStyle w:val="41"/>
        <w:spacing w:beforeAutospacing="0" w:afterAutospacing="0" w:line="460" w:lineRule="exact"/>
        <w:jc w:val="both"/>
      </w:pPr>
      <w:r>
        <w:rPr>
          <w:rFonts w:hint="eastAsia"/>
        </w:rPr>
        <w:t xml:space="preserve">   </w:t>
      </w:r>
    </w:p>
    <w:p w14:paraId="021A9D08">
      <w:pPr>
        <w:pStyle w:val="41"/>
        <w:spacing w:beforeAutospacing="0" w:afterAutospacing="0" w:line="460" w:lineRule="exact"/>
        <w:ind w:firstLine="480" w:firstLineChars="200"/>
        <w:jc w:val="both"/>
      </w:pPr>
      <w:r>
        <w:rPr>
          <w:rFonts w:ascii="Arial" w:hAnsi="Arial" w:cs="Aria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候选人。本项目选取1名中标候选人。</w:t>
      </w:r>
    </w:p>
    <w:p w14:paraId="67A4AB79">
      <w:pPr>
        <w:spacing w:line="460" w:lineRule="exact"/>
        <w:ind w:firstLine="482" w:firstLineChars="200"/>
        <w:rPr>
          <w:rFonts w:ascii="宋体" w:hAnsi="宋体" w:cs="宋体"/>
          <w:b/>
          <w:sz w:val="24"/>
          <w:szCs w:val="24"/>
        </w:rPr>
      </w:pPr>
      <w:r>
        <w:rPr>
          <w:rFonts w:hint="eastAsia" w:ascii="宋体" w:hAnsi="宋体" w:cs="宋体"/>
          <w:b/>
          <w:sz w:val="24"/>
          <w:szCs w:val="24"/>
        </w:rPr>
        <w:t>一、政府采购政策功能落实</w:t>
      </w:r>
    </w:p>
    <w:p w14:paraId="04BF1B65">
      <w:pPr>
        <w:tabs>
          <w:tab w:val="left" w:pos="900"/>
        </w:tabs>
        <w:spacing w:line="460" w:lineRule="exact"/>
        <w:ind w:firstLine="480" w:firstLineChars="200"/>
        <w:rPr>
          <w:rFonts w:ascii="宋体" w:hAnsi="宋体" w:cs="宋体"/>
          <w:bCs/>
          <w:sz w:val="24"/>
          <w:szCs w:val="24"/>
        </w:rPr>
      </w:pPr>
      <w:r>
        <w:rPr>
          <w:rFonts w:hint="eastAsia" w:ascii="宋体" w:hAnsi="宋体" w:cs="宋体"/>
          <w:bCs/>
          <w:sz w:val="24"/>
          <w:szCs w:val="24"/>
        </w:rPr>
        <w:t>因本项目为专门面向中小企业采购的项目，不再执行价格评审优惠的扶持政策。</w:t>
      </w:r>
    </w:p>
    <w:p w14:paraId="2325E532">
      <w:pPr>
        <w:tabs>
          <w:tab w:val="left" w:pos="900"/>
        </w:tabs>
        <w:spacing w:line="460" w:lineRule="exact"/>
        <w:ind w:firstLine="480" w:firstLineChars="200"/>
        <w:rPr>
          <w:rFonts w:ascii="宋体" w:hAnsi="宋体"/>
          <w:bCs/>
          <w:sz w:val="24"/>
          <w:szCs w:val="24"/>
        </w:rPr>
      </w:pPr>
      <w:r>
        <w:rPr>
          <w:rFonts w:hint="eastAsia" w:ascii="宋体" w:hAnsi="宋体"/>
          <w:bCs/>
          <w:sz w:val="24"/>
          <w:szCs w:val="24"/>
        </w:rPr>
        <w:t>注：中小微企业，应当同时符合以下条件：</w:t>
      </w:r>
    </w:p>
    <w:p w14:paraId="6781D6DE">
      <w:pPr>
        <w:tabs>
          <w:tab w:val="left" w:pos="900"/>
        </w:tabs>
        <w:spacing w:line="460" w:lineRule="exact"/>
        <w:ind w:firstLine="480" w:firstLineChars="200"/>
        <w:rPr>
          <w:rFonts w:ascii="宋体" w:hAnsi="宋体"/>
          <w:bCs/>
          <w:sz w:val="24"/>
          <w:szCs w:val="24"/>
        </w:rPr>
      </w:pPr>
      <w:r>
        <w:rPr>
          <w:rFonts w:hint="eastAsia" w:ascii="宋体" w:hAnsi="宋体"/>
          <w:bCs/>
          <w:sz w:val="24"/>
          <w:szCs w:val="24"/>
        </w:rPr>
        <w:t>1.符合中小企业划分标准；</w:t>
      </w:r>
    </w:p>
    <w:p w14:paraId="5D4FEFF6">
      <w:pPr>
        <w:tabs>
          <w:tab w:val="left" w:pos="900"/>
        </w:tabs>
        <w:spacing w:line="460" w:lineRule="exact"/>
        <w:ind w:firstLine="480" w:firstLineChars="200"/>
        <w:rPr>
          <w:rFonts w:ascii="宋体" w:hAnsi="宋体"/>
          <w:bCs/>
          <w:sz w:val="24"/>
          <w:szCs w:val="24"/>
        </w:rPr>
      </w:pPr>
      <w:r>
        <w:rPr>
          <w:rFonts w:hint="eastAsia" w:ascii="宋体" w:hAnsi="宋体"/>
          <w:bCs/>
          <w:sz w:val="24"/>
          <w:szCs w:val="24"/>
        </w:rPr>
        <w:t>2.提供本企业制造的货物、承担的工程或者服务，或者提供其他中小企业制造的货物。本项所称货物不包括使用大型企业注册商标的货物。</w:t>
      </w:r>
    </w:p>
    <w:p w14:paraId="7FD7997B">
      <w:pPr>
        <w:tabs>
          <w:tab w:val="left" w:pos="900"/>
        </w:tabs>
        <w:spacing w:line="460" w:lineRule="exact"/>
        <w:ind w:firstLine="480" w:firstLineChars="200"/>
        <w:rPr>
          <w:rFonts w:ascii="宋体" w:hAnsi="宋体"/>
          <w:bCs/>
          <w:sz w:val="24"/>
          <w:szCs w:val="24"/>
        </w:rPr>
      </w:pPr>
      <w:r>
        <w:rPr>
          <w:rFonts w:hint="eastAsia" w:ascii="宋体" w:hAnsi="宋体"/>
          <w:bCs/>
          <w:sz w:val="24"/>
          <w:szCs w:val="24"/>
        </w:rPr>
        <w:t>小型、微型企业提供中型企业制造的货物的，视同为中型企业。</w:t>
      </w:r>
    </w:p>
    <w:p w14:paraId="7D1EC29D">
      <w:pPr>
        <w:tabs>
          <w:tab w:val="left" w:pos="900"/>
        </w:tabs>
        <w:spacing w:line="460" w:lineRule="exact"/>
        <w:ind w:firstLine="480" w:firstLineChars="200"/>
        <w:rPr>
          <w:rFonts w:ascii="宋体" w:hAnsi="宋体"/>
          <w:bCs/>
          <w:sz w:val="24"/>
          <w:szCs w:val="24"/>
        </w:rPr>
      </w:pPr>
      <w:r>
        <w:rPr>
          <w:rFonts w:hint="eastAsia" w:ascii="宋体" w:hAnsi="宋体"/>
          <w:bCs/>
          <w:sz w:val="24"/>
          <w:szCs w:val="24"/>
        </w:rPr>
        <w:t>具体以《政府采购促进中小企业发展管理办法》（财库﹝2020﹞46 号）和《工业和信息化部、国家统计局、国家发展和改革委员会、财政部关于印发中小企业划型标准规定的通知》（工信部联企业[2011]300号）的规定为准（划型标准附后）。</w:t>
      </w:r>
    </w:p>
    <w:p w14:paraId="1B31B3C5">
      <w:pPr>
        <w:tabs>
          <w:tab w:val="left" w:pos="900"/>
        </w:tabs>
        <w:spacing w:line="460" w:lineRule="exact"/>
        <w:ind w:firstLine="480" w:firstLineChars="200"/>
        <w:rPr>
          <w:rFonts w:ascii="宋体" w:hAnsi="宋体"/>
          <w:bCs/>
          <w:sz w:val="24"/>
          <w:szCs w:val="24"/>
        </w:rPr>
      </w:pPr>
      <w:r>
        <w:rPr>
          <w:rFonts w:hint="eastAsia" w:ascii="宋体" w:hAnsi="宋体"/>
          <w:bCs/>
          <w:sz w:val="24"/>
          <w:szCs w:val="24"/>
        </w:rPr>
        <w:t>投标人为残疾人福利性单位的，视同小微企业，提供《残疾人福利性单位声明函》（加盖公章，格式见招标文件第七章《投标文件相关格式》）。具体以《关于促进残疾人就业政府采购政策的通知》（财库〔2017〕141号）的规定为准。</w:t>
      </w:r>
    </w:p>
    <w:p w14:paraId="3FAABD50">
      <w:pPr>
        <w:tabs>
          <w:tab w:val="left" w:pos="900"/>
        </w:tabs>
        <w:spacing w:line="460" w:lineRule="exact"/>
        <w:ind w:firstLine="480" w:firstLineChars="200"/>
        <w:rPr>
          <w:rFonts w:ascii="宋体" w:hAnsi="宋体"/>
          <w:bCs/>
          <w:sz w:val="24"/>
          <w:szCs w:val="24"/>
        </w:rPr>
      </w:pPr>
      <w:r>
        <w:rPr>
          <w:rFonts w:hint="eastAsia" w:ascii="宋体" w:hAnsi="宋体"/>
          <w:bCs/>
          <w:sz w:val="24"/>
          <w:szCs w:val="24"/>
        </w:rPr>
        <w:t>投标人为监狱企业的，视同小微企业，提供省级以上监狱管理局、戒毒管理局（含新疆生产建设兵团）出具的属于监狱企业的证明文件复印件。具体以《财政部 司法部关于政府采购支持监狱企业发展有关问题的通知》（财库〔2014〕68号）的规定为准。</w:t>
      </w:r>
    </w:p>
    <w:p w14:paraId="2E7B7B42">
      <w:pPr>
        <w:tabs>
          <w:tab w:val="left" w:pos="900"/>
        </w:tabs>
        <w:spacing w:line="460" w:lineRule="exact"/>
        <w:ind w:firstLine="480" w:firstLineChars="200"/>
        <w:rPr>
          <w:rFonts w:ascii="宋体" w:hAnsi="宋体"/>
          <w:bCs/>
          <w:sz w:val="24"/>
          <w:szCs w:val="24"/>
        </w:rPr>
      </w:pPr>
    </w:p>
    <w:p w14:paraId="792BE184">
      <w:pPr>
        <w:tabs>
          <w:tab w:val="left" w:pos="900"/>
        </w:tabs>
        <w:spacing w:line="460" w:lineRule="exact"/>
        <w:ind w:firstLine="480" w:firstLineChars="200"/>
        <w:rPr>
          <w:rFonts w:ascii="宋体" w:hAnsi="宋体"/>
          <w:bCs/>
          <w:sz w:val="24"/>
          <w:szCs w:val="24"/>
        </w:rPr>
      </w:pPr>
    </w:p>
    <w:p w14:paraId="33320FAC">
      <w:pPr>
        <w:tabs>
          <w:tab w:val="left" w:pos="900"/>
        </w:tabs>
        <w:spacing w:line="460" w:lineRule="exact"/>
        <w:ind w:firstLine="480" w:firstLineChars="200"/>
        <w:rPr>
          <w:rFonts w:ascii="宋体" w:hAnsi="宋体"/>
          <w:bCs/>
          <w:sz w:val="24"/>
          <w:szCs w:val="24"/>
        </w:rPr>
      </w:pPr>
    </w:p>
    <w:p w14:paraId="0FD37E2C"/>
    <w:p w14:paraId="577B3C57"/>
    <w:p w14:paraId="6A3162E2"/>
    <w:p w14:paraId="507A5B10"/>
    <w:p w14:paraId="30120FA8"/>
    <w:p w14:paraId="6C153D0F"/>
    <w:p w14:paraId="35DE9B14"/>
    <w:p w14:paraId="5D1D3793"/>
    <w:p w14:paraId="20E77784">
      <w:pPr>
        <w:pStyle w:val="41"/>
        <w:spacing w:before="120" w:beforeAutospacing="0" w:after="120" w:afterAutospacing="0" w:line="0" w:lineRule="atLeast"/>
        <w:ind w:firstLine="482"/>
        <w:outlineLvl w:val="1"/>
      </w:pPr>
      <w:r>
        <w:rPr>
          <w:rFonts w:hint="eastAsia"/>
          <w:b/>
        </w:rPr>
        <w:t>二、评标方法与评标标准</w:t>
      </w:r>
      <w:bookmarkStart w:id="100" w:name="_Toc120614282"/>
      <w:bookmarkStart w:id="101" w:name="_Toc49090576"/>
      <w:bookmarkStart w:id="102" w:name="_Toc26554094"/>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843"/>
        <w:gridCol w:w="851"/>
        <w:gridCol w:w="5918"/>
      </w:tblGrid>
      <w:tr w14:paraId="5F4A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565" w:type="pct"/>
            <w:gridSpan w:val="2"/>
            <w:tcBorders>
              <w:top w:val="single" w:color="auto" w:sz="4" w:space="0"/>
              <w:left w:val="single" w:color="auto" w:sz="4" w:space="0"/>
              <w:bottom w:val="single" w:color="auto" w:sz="4" w:space="0"/>
              <w:right w:val="single" w:color="auto" w:sz="4" w:space="0"/>
            </w:tcBorders>
            <w:vAlign w:val="center"/>
          </w:tcPr>
          <w:p w14:paraId="0C99B380">
            <w:pPr>
              <w:spacing w:line="320" w:lineRule="exact"/>
              <w:jc w:val="center"/>
              <w:rPr>
                <w:rFonts w:hAnsi="仿宋"/>
                <w:b/>
                <w:bCs/>
              </w:rPr>
            </w:pPr>
            <w:r>
              <w:rPr>
                <w:rFonts w:hint="eastAsia" w:hAnsi="仿宋"/>
                <w:b/>
                <w:bCs/>
              </w:rPr>
              <w:t>评分项目</w:t>
            </w:r>
          </w:p>
        </w:tc>
        <w:tc>
          <w:tcPr>
            <w:tcW w:w="432" w:type="pct"/>
            <w:tcBorders>
              <w:top w:val="single" w:color="auto" w:sz="4" w:space="0"/>
              <w:left w:val="single" w:color="auto" w:sz="4" w:space="0"/>
              <w:bottom w:val="single" w:color="auto" w:sz="4" w:space="0"/>
              <w:right w:val="single" w:color="auto" w:sz="4" w:space="0"/>
            </w:tcBorders>
            <w:vAlign w:val="center"/>
          </w:tcPr>
          <w:p w14:paraId="26AB9814">
            <w:pPr>
              <w:spacing w:line="320" w:lineRule="exact"/>
              <w:jc w:val="center"/>
              <w:rPr>
                <w:rFonts w:hAnsi="仿宋"/>
                <w:b/>
                <w:bCs/>
              </w:rPr>
            </w:pPr>
            <w:r>
              <w:rPr>
                <w:rFonts w:hint="eastAsia" w:hAnsi="仿宋"/>
                <w:b/>
                <w:bCs/>
              </w:rPr>
              <w:t>分值</w:t>
            </w:r>
          </w:p>
        </w:tc>
        <w:tc>
          <w:tcPr>
            <w:tcW w:w="3003" w:type="pct"/>
            <w:tcBorders>
              <w:top w:val="single" w:color="auto" w:sz="4" w:space="0"/>
              <w:left w:val="single" w:color="auto" w:sz="4" w:space="0"/>
              <w:bottom w:val="single" w:color="auto" w:sz="4" w:space="0"/>
              <w:right w:val="single" w:color="auto" w:sz="4" w:space="0"/>
            </w:tcBorders>
            <w:vAlign w:val="center"/>
          </w:tcPr>
          <w:p w14:paraId="7F80CDB4">
            <w:pPr>
              <w:spacing w:line="320" w:lineRule="exact"/>
              <w:jc w:val="center"/>
              <w:rPr>
                <w:rFonts w:hAnsi="仿宋"/>
                <w:b/>
                <w:bCs/>
              </w:rPr>
            </w:pPr>
            <w:r>
              <w:rPr>
                <w:rFonts w:hint="eastAsia" w:ascii="宋体" w:hAnsi="宋体" w:cs="宋体"/>
                <w:b/>
                <w:color w:val="000000"/>
                <w:sz w:val="22"/>
                <w:szCs w:val="22"/>
              </w:rPr>
              <w:t>评审标准</w:t>
            </w:r>
          </w:p>
        </w:tc>
      </w:tr>
      <w:tr w14:paraId="5167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565" w:type="pct"/>
            <w:gridSpan w:val="2"/>
            <w:vAlign w:val="center"/>
          </w:tcPr>
          <w:p w14:paraId="2F13D888">
            <w:pPr>
              <w:spacing w:line="3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投标报价（30分）</w:t>
            </w:r>
          </w:p>
        </w:tc>
        <w:tc>
          <w:tcPr>
            <w:tcW w:w="432" w:type="pct"/>
            <w:vAlign w:val="center"/>
          </w:tcPr>
          <w:p w14:paraId="12BEB9DF">
            <w:pPr>
              <w:spacing w:line="3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w:t>
            </w:r>
            <w:r>
              <w:rPr>
                <w:rFonts w:asciiTheme="minorEastAsia" w:hAnsiTheme="minorEastAsia" w:eastAsiaTheme="minorEastAsia"/>
                <w:color w:val="000000"/>
                <w:sz w:val="24"/>
                <w:szCs w:val="24"/>
              </w:rPr>
              <w:t>0分</w:t>
            </w:r>
          </w:p>
        </w:tc>
        <w:tc>
          <w:tcPr>
            <w:tcW w:w="3003" w:type="pct"/>
            <w:vAlign w:val="center"/>
          </w:tcPr>
          <w:p w14:paraId="3A540C47">
            <w:pPr>
              <w:spacing w:line="320" w:lineRule="exact"/>
              <w:ind w:firstLine="480" w:firstLineChars="200"/>
              <w:rPr>
                <w:rFonts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满足招标文件要求且投标报价最低的投标报价为评标基准价，其价格为满分。其他投标人的价格分按照公式计算：投标报价得分＝（评标基准价/磋商报价）×30分，</w:t>
            </w:r>
            <w:r>
              <w:rPr>
                <w:rFonts w:hint="eastAsia" w:cs="Arial" w:asciiTheme="minorEastAsia" w:hAnsiTheme="minorEastAsia" w:eastAsiaTheme="minorEastAsia"/>
                <w:kern w:val="0"/>
                <w:sz w:val="24"/>
                <w:szCs w:val="24"/>
              </w:rPr>
              <w:t>小数点后保留两位。（注：有效投标报价为资格审查合格的所有投标单位报价）。</w:t>
            </w:r>
          </w:p>
        </w:tc>
      </w:tr>
      <w:tr w14:paraId="32EA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vMerge w:val="restart"/>
            <w:vAlign w:val="center"/>
          </w:tcPr>
          <w:p w14:paraId="78434BDF">
            <w:pPr>
              <w:spacing w:line="32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商务部分（2</w:t>
            </w:r>
            <w:r>
              <w:rPr>
                <w:rFonts w:asciiTheme="minorEastAsia" w:hAnsiTheme="minorEastAsia" w:eastAsiaTheme="minorEastAsia"/>
                <w:sz w:val="24"/>
                <w:szCs w:val="24"/>
              </w:rPr>
              <w:t>2</w:t>
            </w:r>
            <w:r>
              <w:rPr>
                <w:rFonts w:hint="eastAsia" w:asciiTheme="minorEastAsia" w:hAnsiTheme="minorEastAsia" w:eastAsiaTheme="minorEastAsia"/>
                <w:sz w:val="24"/>
                <w:szCs w:val="24"/>
              </w:rPr>
              <w:t>分）</w:t>
            </w:r>
          </w:p>
        </w:tc>
        <w:tc>
          <w:tcPr>
            <w:tcW w:w="935" w:type="pct"/>
            <w:vAlign w:val="center"/>
          </w:tcPr>
          <w:p w14:paraId="77DA1284">
            <w:pPr>
              <w:spacing w:line="32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企业实力</w:t>
            </w:r>
          </w:p>
        </w:tc>
        <w:tc>
          <w:tcPr>
            <w:tcW w:w="432" w:type="pct"/>
            <w:vAlign w:val="center"/>
          </w:tcPr>
          <w:p w14:paraId="57FA3EC2">
            <w:pPr>
              <w:spacing w:line="32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6</w:t>
            </w:r>
            <w:r>
              <w:rPr>
                <w:rFonts w:asciiTheme="minorEastAsia" w:hAnsiTheme="minorEastAsia" w:eastAsiaTheme="minorEastAsia"/>
                <w:color w:val="000000"/>
                <w:sz w:val="24"/>
                <w:szCs w:val="24"/>
              </w:rPr>
              <w:t>分</w:t>
            </w:r>
          </w:p>
        </w:tc>
        <w:tc>
          <w:tcPr>
            <w:tcW w:w="3003" w:type="pct"/>
            <w:vAlign w:val="center"/>
          </w:tcPr>
          <w:p w14:paraId="7E5FE857">
            <w:pPr>
              <w:adjustRightInd w:val="0"/>
              <w:snapToGrid w:val="0"/>
              <w:spacing w:line="320" w:lineRule="exact"/>
              <w:ind w:firstLine="480" w:firstLineChars="200"/>
              <w:rPr>
                <w:rFonts w:asciiTheme="minorEastAsia" w:hAnsiTheme="minorEastAsia" w:eastAsiaTheme="minorEastAsia"/>
                <w:bCs/>
                <w:color w:val="000000"/>
                <w:sz w:val="24"/>
                <w:szCs w:val="24"/>
              </w:rPr>
            </w:pP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、投标人具有有效期内的ISO 20000信息技术服务管理体系认证证书得</w:t>
            </w:r>
            <w:r>
              <w:rPr>
                <w:rFonts w:asciiTheme="minorEastAsia" w:hAnsiTheme="minorEastAsia" w:eastAsiaTheme="minorEastAsia"/>
                <w:bCs/>
                <w:color w:val="000000"/>
                <w:sz w:val="24"/>
                <w:szCs w:val="24"/>
              </w:rPr>
              <w:t>3</w:t>
            </w:r>
            <w:r>
              <w:rPr>
                <w:rFonts w:hint="eastAsia" w:asciiTheme="minorEastAsia" w:hAnsiTheme="minorEastAsia" w:eastAsiaTheme="minorEastAsia"/>
                <w:bCs/>
                <w:color w:val="000000"/>
                <w:sz w:val="24"/>
                <w:szCs w:val="24"/>
              </w:rPr>
              <w:t>分。</w:t>
            </w:r>
          </w:p>
          <w:p w14:paraId="36F1C25A">
            <w:pPr>
              <w:adjustRightInd w:val="0"/>
              <w:snapToGrid w:val="0"/>
              <w:spacing w:line="320" w:lineRule="exact"/>
              <w:ind w:firstLine="480" w:firstLineChars="200"/>
              <w:rPr>
                <w:rFonts w:asciiTheme="minorEastAsia" w:hAnsiTheme="minorEastAsia" w:eastAsiaTheme="minorEastAsia"/>
                <w:bCs/>
                <w:color w:val="000000"/>
                <w:sz w:val="24"/>
                <w:szCs w:val="24"/>
              </w:rPr>
            </w:pPr>
            <w:r>
              <w:rPr>
                <w:rFonts w:asciiTheme="minorEastAsia" w:hAnsiTheme="minorEastAsia" w:eastAsiaTheme="minorEastAsia"/>
                <w:bCs/>
                <w:color w:val="000000"/>
                <w:sz w:val="24"/>
                <w:szCs w:val="24"/>
              </w:rPr>
              <w:t>2</w:t>
            </w:r>
            <w:r>
              <w:rPr>
                <w:rFonts w:hint="eastAsia" w:asciiTheme="minorEastAsia" w:hAnsiTheme="minorEastAsia" w:eastAsiaTheme="minorEastAsia"/>
                <w:bCs/>
                <w:color w:val="000000"/>
                <w:sz w:val="24"/>
                <w:szCs w:val="24"/>
              </w:rPr>
              <w:t>、投标人具有有效期内的技术服务运行维护标准符合性证书（ITSS），得3分。</w:t>
            </w:r>
          </w:p>
          <w:p w14:paraId="67F58DC0">
            <w:pPr>
              <w:adjustRightInd w:val="0"/>
              <w:snapToGrid w:val="0"/>
              <w:spacing w:line="320" w:lineRule="exac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注：提供证书扫描件并加盖投标人公章。</w:t>
            </w:r>
          </w:p>
        </w:tc>
      </w:tr>
      <w:tr w14:paraId="1B40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30" w:type="pct"/>
            <w:vMerge w:val="continue"/>
          </w:tcPr>
          <w:p w14:paraId="37A04033">
            <w:pPr>
              <w:spacing w:line="320" w:lineRule="exact"/>
              <w:jc w:val="center"/>
              <w:rPr>
                <w:rFonts w:asciiTheme="minorEastAsia" w:hAnsiTheme="minorEastAsia" w:eastAsiaTheme="minorEastAsia"/>
                <w:sz w:val="24"/>
                <w:szCs w:val="24"/>
              </w:rPr>
            </w:pPr>
          </w:p>
        </w:tc>
        <w:tc>
          <w:tcPr>
            <w:tcW w:w="935" w:type="pct"/>
            <w:vAlign w:val="center"/>
          </w:tcPr>
          <w:p w14:paraId="5EA18EF3">
            <w:pPr>
              <w:spacing w:line="32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企业业绩</w:t>
            </w:r>
          </w:p>
        </w:tc>
        <w:tc>
          <w:tcPr>
            <w:tcW w:w="432" w:type="pct"/>
            <w:vAlign w:val="center"/>
          </w:tcPr>
          <w:p w14:paraId="31228405">
            <w:pPr>
              <w:spacing w:line="3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w:t>
            </w:r>
            <w:r>
              <w:rPr>
                <w:rFonts w:asciiTheme="minorEastAsia" w:hAnsiTheme="minorEastAsia" w:eastAsiaTheme="minorEastAsia"/>
                <w:color w:val="000000"/>
                <w:sz w:val="24"/>
                <w:szCs w:val="24"/>
              </w:rPr>
              <w:t>0</w:t>
            </w:r>
            <w:r>
              <w:rPr>
                <w:rFonts w:hint="eastAsia" w:asciiTheme="minorEastAsia" w:hAnsiTheme="minorEastAsia" w:eastAsiaTheme="minorEastAsia"/>
                <w:color w:val="000000"/>
                <w:sz w:val="24"/>
                <w:szCs w:val="24"/>
              </w:rPr>
              <w:t>分</w:t>
            </w:r>
          </w:p>
        </w:tc>
        <w:tc>
          <w:tcPr>
            <w:tcW w:w="3003" w:type="pct"/>
            <w:vAlign w:val="center"/>
          </w:tcPr>
          <w:p w14:paraId="2F21EE75">
            <w:pPr>
              <w:adjustRightInd w:val="0"/>
              <w:snapToGrid w:val="0"/>
              <w:spacing w:line="320" w:lineRule="exact"/>
              <w:ind w:firstLine="240" w:firstLineChars="100"/>
              <w:rPr>
                <w:rFonts w:asciiTheme="minorEastAsia" w:hAnsiTheme="minorEastAsia" w:eastAsiaTheme="minorEastAsia"/>
                <w:bCs/>
                <w:color w:val="FF0000"/>
                <w:sz w:val="24"/>
                <w:szCs w:val="24"/>
              </w:rPr>
            </w:pPr>
            <w:r>
              <w:rPr>
                <w:rFonts w:hint="eastAsia" w:cs="宋体" w:asciiTheme="minorEastAsia" w:hAnsiTheme="minorEastAsia" w:eastAsiaTheme="minorEastAsia"/>
                <w:bCs/>
                <w:color w:val="000000"/>
                <w:sz w:val="24"/>
                <w:szCs w:val="24"/>
              </w:rPr>
              <w:t>3</w:t>
            </w:r>
            <w:r>
              <w:rPr>
                <w:rFonts w:hint="eastAsia" w:asciiTheme="minorEastAsia" w:hAnsiTheme="minorEastAsia" w:eastAsiaTheme="minorEastAsia"/>
                <w:bCs/>
                <w:color w:val="000000"/>
                <w:sz w:val="24"/>
                <w:szCs w:val="24"/>
              </w:rPr>
              <w:t>、</w:t>
            </w:r>
            <w:r>
              <w:rPr>
                <w:rFonts w:hint="eastAsia" w:cs="宋体" w:asciiTheme="minorEastAsia" w:hAnsiTheme="minorEastAsia" w:eastAsiaTheme="minorEastAsia"/>
                <w:color w:val="000000"/>
                <w:kern w:val="0"/>
                <w:sz w:val="24"/>
                <w:szCs w:val="24"/>
              </w:rPr>
              <w:t>提供投标人2021年1月1日以来网络建设项目类似案例（提</w:t>
            </w:r>
            <w:r>
              <w:rPr>
                <w:rFonts w:cs="宋体" w:asciiTheme="minorEastAsia" w:hAnsiTheme="minorEastAsia" w:eastAsiaTheme="minorEastAsia"/>
                <w:color w:val="000000"/>
                <w:kern w:val="0"/>
                <w:sz w:val="24"/>
                <w:szCs w:val="24"/>
              </w:rPr>
              <w:t>供合同复印件</w:t>
            </w:r>
            <w:r>
              <w:rPr>
                <w:rFonts w:hint="eastAsia" w:cs="宋体" w:asciiTheme="minorEastAsia" w:hAnsiTheme="minorEastAsia" w:eastAsiaTheme="minorEastAsia"/>
                <w:color w:val="000000"/>
                <w:kern w:val="0"/>
                <w:sz w:val="24"/>
                <w:szCs w:val="24"/>
              </w:rPr>
              <w:t>，清单需包含核心交换机设备等）。每一个案例得2分，最高得10分。</w:t>
            </w:r>
          </w:p>
        </w:tc>
      </w:tr>
      <w:tr w14:paraId="065F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630" w:type="pct"/>
            <w:vMerge w:val="continue"/>
          </w:tcPr>
          <w:p w14:paraId="30945140">
            <w:pPr>
              <w:spacing w:line="320" w:lineRule="exact"/>
              <w:jc w:val="center"/>
              <w:rPr>
                <w:rFonts w:asciiTheme="minorEastAsia" w:hAnsiTheme="minorEastAsia" w:eastAsiaTheme="minorEastAsia"/>
                <w:sz w:val="24"/>
                <w:szCs w:val="24"/>
              </w:rPr>
            </w:pPr>
          </w:p>
        </w:tc>
        <w:tc>
          <w:tcPr>
            <w:tcW w:w="935" w:type="pct"/>
            <w:vAlign w:val="center"/>
          </w:tcPr>
          <w:p w14:paraId="477F668F">
            <w:pPr>
              <w:spacing w:line="32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网络运维服务能力</w:t>
            </w:r>
          </w:p>
        </w:tc>
        <w:tc>
          <w:tcPr>
            <w:tcW w:w="432" w:type="pct"/>
            <w:vAlign w:val="center"/>
          </w:tcPr>
          <w:p w14:paraId="7F7B10D4">
            <w:pPr>
              <w:spacing w:line="320" w:lineRule="exact"/>
              <w:jc w:val="center"/>
              <w:rPr>
                <w:rFonts w:asciiTheme="minorEastAsia" w:hAnsiTheme="minorEastAsia" w:eastAsiaTheme="minorEastAsia"/>
                <w:color w:val="000000"/>
                <w:sz w:val="24"/>
                <w:szCs w:val="24"/>
              </w:rPr>
            </w:pPr>
            <w:r>
              <w:rPr>
                <w:rFonts w:asciiTheme="minorEastAsia" w:hAnsiTheme="minorEastAsia" w:eastAsiaTheme="minorEastAsia"/>
                <w:sz w:val="24"/>
                <w:szCs w:val="24"/>
              </w:rPr>
              <w:t>6</w:t>
            </w:r>
            <w:r>
              <w:rPr>
                <w:rFonts w:asciiTheme="minorEastAsia" w:hAnsiTheme="minorEastAsia" w:eastAsiaTheme="minorEastAsia"/>
                <w:color w:val="000000"/>
                <w:sz w:val="24"/>
                <w:szCs w:val="24"/>
              </w:rPr>
              <w:t>分</w:t>
            </w:r>
          </w:p>
        </w:tc>
        <w:tc>
          <w:tcPr>
            <w:tcW w:w="3003" w:type="pct"/>
            <w:vAlign w:val="center"/>
          </w:tcPr>
          <w:p w14:paraId="5775B8D7">
            <w:pPr>
              <w:widowControl/>
              <w:adjustRightInd w:val="0"/>
              <w:snapToGrid w:val="0"/>
              <w:spacing w:line="320" w:lineRule="exact"/>
              <w:ind w:firstLine="240" w:firstLineChars="100"/>
              <w:jc w:val="left"/>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投标人配置不少于2人的运维服务团队：</w:t>
            </w:r>
          </w:p>
          <w:p w14:paraId="451CABFE">
            <w:pPr>
              <w:widowControl/>
              <w:adjustRightInd w:val="0"/>
              <w:snapToGrid w:val="0"/>
              <w:spacing w:line="320" w:lineRule="exact"/>
              <w:ind w:firstLine="240" w:firstLineChars="100"/>
              <w:jc w:val="left"/>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4、技术团队中负责此项目的项目经理具有IT 服务项目经理证书的得3分。</w:t>
            </w:r>
          </w:p>
          <w:p w14:paraId="69D6E691">
            <w:pPr>
              <w:widowControl/>
              <w:adjustRightInd w:val="0"/>
              <w:snapToGrid w:val="0"/>
              <w:spacing w:line="320" w:lineRule="exact"/>
              <w:ind w:firstLine="240" w:firstLineChars="100"/>
              <w:jc w:val="left"/>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5、驻场人员具有主流网络设备厂家（华为、华三、锐捷等）认证证书的得3分。</w:t>
            </w:r>
          </w:p>
          <w:p w14:paraId="04301A06">
            <w:pPr>
              <w:adjustRightInd w:val="0"/>
              <w:snapToGrid w:val="0"/>
              <w:spacing w:line="320" w:lineRule="exact"/>
              <w:ind w:firstLine="482" w:firstLineChars="200"/>
              <w:rPr>
                <w:rFonts w:cs="宋体" w:asciiTheme="minorEastAsia" w:hAnsiTheme="minorEastAsia" w:eastAsiaTheme="minorEastAsia"/>
                <w:bCs/>
                <w:color w:val="000000"/>
                <w:sz w:val="24"/>
                <w:szCs w:val="24"/>
              </w:rPr>
            </w:pPr>
            <w:r>
              <w:rPr>
                <w:rFonts w:hint="eastAsia" w:asciiTheme="minorEastAsia" w:hAnsiTheme="minorEastAsia" w:eastAsiaTheme="minorEastAsia"/>
                <w:b/>
                <w:sz w:val="24"/>
                <w:szCs w:val="24"/>
              </w:rPr>
              <w:t>以上人员须提供投标人近半年内任意一个月社保缴纳证明材料，否则不得分，一人多证只能取其中一个证书进行得分。</w:t>
            </w:r>
          </w:p>
        </w:tc>
      </w:tr>
      <w:tr w14:paraId="6660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pct"/>
            <w:vMerge w:val="restart"/>
            <w:vAlign w:val="center"/>
          </w:tcPr>
          <w:p w14:paraId="50EBE5AD">
            <w:pPr>
              <w:spacing w:line="320" w:lineRule="exact"/>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技术部分（48分）</w:t>
            </w:r>
          </w:p>
        </w:tc>
        <w:tc>
          <w:tcPr>
            <w:tcW w:w="935" w:type="pct"/>
            <w:tcBorders>
              <w:bottom w:val="single" w:color="auto" w:sz="4" w:space="0"/>
            </w:tcBorders>
            <w:vAlign w:val="center"/>
          </w:tcPr>
          <w:p w14:paraId="1BCEEC91">
            <w:pPr>
              <w:spacing w:line="320" w:lineRule="exact"/>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服务响应程度</w:t>
            </w:r>
          </w:p>
        </w:tc>
        <w:tc>
          <w:tcPr>
            <w:tcW w:w="432" w:type="pct"/>
            <w:tcBorders>
              <w:bottom w:val="single" w:color="auto" w:sz="4" w:space="0"/>
            </w:tcBorders>
            <w:vAlign w:val="center"/>
          </w:tcPr>
          <w:p w14:paraId="59A36829">
            <w:pPr>
              <w:spacing w:line="320" w:lineRule="exact"/>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20</w:t>
            </w:r>
            <w:r>
              <w:rPr>
                <w:rFonts w:hint="eastAsia" w:asciiTheme="minorEastAsia" w:hAnsiTheme="minorEastAsia" w:eastAsiaTheme="minorEastAsia"/>
                <w:color w:val="000000"/>
                <w:sz w:val="24"/>
                <w:szCs w:val="24"/>
              </w:rPr>
              <w:t>分</w:t>
            </w:r>
          </w:p>
        </w:tc>
        <w:tc>
          <w:tcPr>
            <w:tcW w:w="3003" w:type="pct"/>
            <w:vAlign w:val="center"/>
          </w:tcPr>
          <w:p w14:paraId="7642F0BF">
            <w:pPr>
              <w:adjustRightInd w:val="0"/>
              <w:snapToGrid w:val="0"/>
              <w:spacing w:line="320" w:lineRule="exact"/>
              <w:ind w:firstLine="480" w:firstLineChars="20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对应于采购文件第四章“项目需求”中“服务内容及要求”符合程度进行评析：完全满足磋商文件要求的，得20分。非实质性指标如有负偏离，每项扣</w:t>
            </w:r>
            <w:r>
              <w:rPr>
                <w:rFonts w:asciiTheme="minorEastAsia" w:hAnsiTheme="minorEastAsia" w:eastAsiaTheme="minorEastAsia"/>
                <w:color w:val="000000"/>
                <w:sz w:val="24"/>
                <w:szCs w:val="24"/>
              </w:rPr>
              <w:t>2</w:t>
            </w:r>
            <w:r>
              <w:rPr>
                <w:rFonts w:hint="eastAsia" w:asciiTheme="minorEastAsia" w:hAnsiTheme="minorEastAsia" w:eastAsiaTheme="minorEastAsia"/>
                <w:color w:val="000000"/>
                <w:sz w:val="24"/>
                <w:szCs w:val="24"/>
              </w:rPr>
              <w:t>分，扣完为止。</w:t>
            </w:r>
          </w:p>
        </w:tc>
      </w:tr>
      <w:tr w14:paraId="4EC3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atLeast"/>
          <w:jc w:val="center"/>
        </w:trPr>
        <w:tc>
          <w:tcPr>
            <w:tcW w:w="630" w:type="pct"/>
            <w:vMerge w:val="continue"/>
          </w:tcPr>
          <w:p w14:paraId="3348ECD7">
            <w:pPr>
              <w:spacing w:line="320" w:lineRule="exact"/>
              <w:jc w:val="center"/>
              <w:rPr>
                <w:rFonts w:asciiTheme="minorEastAsia" w:hAnsiTheme="minorEastAsia" w:eastAsiaTheme="minorEastAsia"/>
                <w:bCs/>
                <w:sz w:val="24"/>
                <w:szCs w:val="24"/>
              </w:rPr>
            </w:pPr>
          </w:p>
        </w:tc>
        <w:tc>
          <w:tcPr>
            <w:tcW w:w="935" w:type="pct"/>
            <w:tcBorders>
              <w:bottom w:val="single" w:color="auto" w:sz="4" w:space="0"/>
            </w:tcBorders>
            <w:vAlign w:val="center"/>
          </w:tcPr>
          <w:p w14:paraId="622B7FF2">
            <w:pPr>
              <w:spacing w:line="3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bCs/>
                <w:sz w:val="24"/>
                <w:szCs w:val="24"/>
              </w:rPr>
              <w:t>运维服务方案</w:t>
            </w:r>
          </w:p>
        </w:tc>
        <w:tc>
          <w:tcPr>
            <w:tcW w:w="432" w:type="pct"/>
            <w:tcBorders>
              <w:bottom w:val="single" w:color="auto" w:sz="4" w:space="0"/>
            </w:tcBorders>
            <w:vAlign w:val="center"/>
          </w:tcPr>
          <w:p w14:paraId="24FD8AE0">
            <w:pPr>
              <w:spacing w:line="320" w:lineRule="exact"/>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8</w:t>
            </w:r>
            <w:r>
              <w:rPr>
                <w:rFonts w:hint="eastAsia" w:asciiTheme="minorEastAsia" w:hAnsiTheme="minorEastAsia" w:eastAsiaTheme="minorEastAsia"/>
                <w:color w:val="000000"/>
                <w:sz w:val="24"/>
                <w:szCs w:val="24"/>
              </w:rPr>
              <w:t>分</w:t>
            </w:r>
          </w:p>
        </w:tc>
        <w:tc>
          <w:tcPr>
            <w:tcW w:w="3003" w:type="pct"/>
            <w:vAlign w:val="center"/>
          </w:tcPr>
          <w:p w14:paraId="273961FA">
            <w:pPr>
              <w:adjustRightInd w:val="0"/>
              <w:snapToGrid w:val="0"/>
              <w:ind w:firstLine="480" w:firstLineChars="200"/>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6</w:t>
            </w:r>
            <w:r>
              <w:rPr>
                <w:rFonts w:hint="eastAsia" w:asciiTheme="minorEastAsia" w:hAnsiTheme="minorEastAsia" w:eastAsiaTheme="minorEastAsia"/>
                <w:color w:val="000000"/>
                <w:sz w:val="24"/>
                <w:szCs w:val="24"/>
              </w:rPr>
              <w:t>、运维服务方案：投标人根据学校现有网络情况，结合招标文件需求，制定出详细、合理的运维服务方案：根据方案内容综合评比：方案完整、详细、具体，故障响应及时得</w:t>
            </w:r>
            <w:r>
              <w:rPr>
                <w:rFonts w:asciiTheme="minorEastAsia" w:hAnsiTheme="minorEastAsia" w:eastAsiaTheme="minorEastAsia"/>
                <w:color w:val="000000"/>
                <w:sz w:val="24"/>
                <w:szCs w:val="24"/>
              </w:rPr>
              <w:t>6</w:t>
            </w: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8</w:t>
            </w:r>
            <w:r>
              <w:rPr>
                <w:rFonts w:hint="eastAsia" w:asciiTheme="minorEastAsia" w:hAnsiTheme="minorEastAsia" w:eastAsiaTheme="minorEastAsia"/>
                <w:color w:val="000000"/>
                <w:sz w:val="24"/>
                <w:szCs w:val="24"/>
              </w:rPr>
              <w:t>分；方案合理、故障响应较及时、尚有改进空间得</w:t>
            </w:r>
            <w:r>
              <w:rPr>
                <w:rFonts w:asciiTheme="minorEastAsia" w:hAnsiTheme="minorEastAsia" w:eastAsiaTheme="minorEastAsia"/>
                <w:color w:val="000000"/>
                <w:sz w:val="24"/>
                <w:szCs w:val="24"/>
              </w:rPr>
              <w:t>3</w:t>
            </w: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5</w:t>
            </w:r>
            <w:r>
              <w:rPr>
                <w:rFonts w:hint="eastAsia" w:asciiTheme="minorEastAsia" w:hAnsiTheme="minorEastAsia" w:eastAsiaTheme="minorEastAsia"/>
                <w:color w:val="000000"/>
                <w:sz w:val="24"/>
                <w:szCs w:val="24"/>
              </w:rPr>
              <w:t>分；方案有缺陷、思路不清晰得1-</w:t>
            </w:r>
            <w:r>
              <w:rPr>
                <w:rFonts w:asciiTheme="minorEastAsia" w:hAnsiTheme="minorEastAsia" w:eastAsiaTheme="minorEastAsia"/>
                <w:color w:val="000000"/>
                <w:sz w:val="24"/>
                <w:szCs w:val="24"/>
              </w:rPr>
              <w:t>2</w:t>
            </w:r>
            <w:r>
              <w:rPr>
                <w:rFonts w:hint="eastAsia" w:asciiTheme="minorEastAsia" w:hAnsiTheme="minorEastAsia" w:eastAsiaTheme="minorEastAsia"/>
                <w:color w:val="000000"/>
                <w:sz w:val="24"/>
                <w:szCs w:val="24"/>
              </w:rPr>
              <w:t>分；未提供不得分。</w:t>
            </w:r>
          </w:p>
        </w:tc>
      </w:tr>
      <w:tr w14:paraId="475A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630" w:type="pct"/>
            <w:vMerge w:val="continue"/>
          </w:tcPr>
          <w:p w14:paraId="34517060">
            <w:pPr>
              <w:spacing w:line="320" w:lineRule="exact"/>
              <w:jc w:val="center"/>
              <w:rPr>
                <w:rFonts w:asciiTheme="minorEastAsia" w:hAnsiTheme="minorEastAsia" w:eastAsiaTheme="minorEastAsia"/>
                <w:color w:val="000000"/>
                <w:sz w:val="24"/>
                <w:szCs w:val="24"/>
              </w:rPr>
            </w:pPr>
          </w:p>
        </w:tc>
        <w:tc>
          <w:tcPr>
            <w:tcW w:w="935" w:type="pct"/>
            <w:vAlign w:val="center"/>
          </w:tcPr>
          <w:p w14:paraId="6A30E029">
            <w:pPr>
              <w:spacing w:line="320" w:lineRule="exact"/>
              <w:jc w:val="center"/>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定期巡检方案</w:t>
            </w:r>
          </w:p>
        </w:tc>
        <w:tc>
          <w:tcPr>
            <w:tcW w:w="432" w:type="pct"/>
            <w:vAlign w:val="center"/>
          </w:tcPr>
          <w:p w14:paraId="27A81D09">
            <w:pPr>
              <w:spacing w:line="320" w:lineRule="exact"/>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8分</w:t>
            </w:r>
          </w:p>
        </w:tc>
        <w:tc>
          <w:tcPr>
            <w:tcW w:w="3003" w:type="pct"/>
            <w:vAlign w:val="center"/>
          </w:tcPr>
          <w:p w14:paraId="7E3FEFFC">
            <w:pPr>
              <w:adjustRightInd w:val="0"/>
              <w:snapToGrid w:val="0"/>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7、定期巡检方案：投标人结合学校现状，制定出进度合理的定期巡检方案：方案内容科学、可行，针对性和操作性综合评比：方案内容科学、可行，针对性和操作性强得</w:t>
            </w:r>
            <w:r>
              <w:rPr>
                <w:rFonts w:asciiTheme="minorEastAsia" w:hAnsiTheme="minorEastAsia" w:eastAsiaTheme="minorEastAsia"/>
                <w:color w:val="000000"/>
                <w:sz w:val="24"/>
                <w:szCs w:val="24"/>
              </w:rPr>
              <w:t>6</w:t>
            </w: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8</w:t>
            </w:r>
            <w:r>
              <w:rPr>
                <w:rFonts w:hint="eastAsia" w:asciiTheme="minorEastAsia" w:hAnsiTheme="minorEastAsia" w:eastAsiaTheme="minorEastAsia"/>
                <w:color w:val="000000"/>
                <w:sz w:val="24"/>
                <w:szCs w:val="24"/>
              </w:rPr>
              <w:t>分；方案内容合理、细节待完善得</w:t>
            </w:r>
            <w:r>
              <w:rPr>
                <w:rFonts w:asciiTheme="minorEastAsia" w:hAnsiTheme="minorEastAsia" w:eastAsiaTheme="minorEastAsia"/>
                <w:color w:val="000000"/>
                <w:sz w:val="24"/>
                <w:szCs w:val="24"/>
              </w:rPr>
              <w:t>3</w:t>
            </w: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5</w:t>
            </w:r>
            <w:r>
              <w:rPr>
                <w:rFonts w:hint="eastAsia" w:asciiTheme="minorEastAsia" w:hAnsiTheme="minorEastAsia" w:eastAsiaTheme="minorEastAsia"/>
                <w:color w:val="000000"/>
                <w:sz w:val="24"/>
                <w:szCs w:val="24"/>
              </w:rPr>
              <w:t>分；方案内容欠合理，可行性较一般，基本满足项目需要得1-</w:t>
            </w:r>
            <w:r>
              <w:rPr>
                <w:rFonts w:asciiTheme="minorEastAsia" w:hAnsiTheme="minorEastAsia" w:eastAsiaTheme="minorEastAsia"/>
                <w:color w:val="000000"/>
                <w:sz w:val="24"/>
                <w:szCs w:val="24"/>
              </w:rPr>
              <w:t>2</w:t>
            </w:r>
            <w:r>
              <w:rPr>
                <w:rFonts w:hint="eastAsia" w:asciiTheme="minorEastAsia" w:hAnsiTheme="minorEastAsia" w:eastAsiaTheme="minorEastAsia"/>
                <w:color w:val="000000"/>
                <w:sz w:val="24"/>
                <w:szCs w:val="24"/>
              </w:rPr>
              <w:t>分；未提供不得分。</w:t>
            </w:r>
          </w:p>
        </w:tc>
      </w:tr>
      <w:tr w14:paraId="4E09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30" w:type="pct"/>
            <w:vMerge w:val="continue"/>
          </w:tcPr>
          <w:p w14:paraId="53FFF903">
            <w:pPr>
              <w:spacing w:line="320" w:lineRule="exact"/>
              <w:ind w:left="240" w:hanging="240" w:hangingChars="100"/>
              <w:jc w:val="center"/>
              <w:rPr>
                <w:rFonts w:asciiTheme="minorEastAsia" w:hAnsiTheme="minorEastAsia" w:eastAsiaTheme="minorEastAsia"/>
                <w:color w:val="000000"/>
                <w:sz w:val="24"/>
                <w:szCs w:val="24"/>
              </w:rPr>
            </w:pPr>
          </w:p>
        </w:tc>
        <w:tc>
          <w:tcPr>
            <w:tcW w:w="935" w:type="pct"/>
            <w:vAlign w:val="center"/>
          </w:tcPr>
          <w:p w14:paraId="094C1F70">
            <w:pPr>
              <w:spacing w:line="320" w:lineRule="exact"/>
              <w:ind w:left="240" w:hanging="240" w:hangingChars="100"/>
              <w:jc w:val="center"/>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应急响应方案</w:t>
            </w:r>
          </w:p>
        </w:tc>
        <w:tc>
          <w:tcPr>
            <w:tcW w:w="432" w:type="pct"/>
            <w:vAlign w:val="center"/>
          </w:tcPr>
          <w:p w14:paraId="2F2C4CC7">
            <w:pPr>
              <w:spacing w:line="320" w:lineRule="exact"/>
              <w:jc w:val="center"/>
              <w:rPr>
                <w:rFonts w:asciiTheme="minorEastAsia" w:hAnsiTheme="minorEastAsia" w:eastAsiaTheme="minorEastAsia"/>
                <w:sz w:val="24"/>
                <w:szCs w:val="24"/>
              </w:rPr>
            </w:pPr>
            <w:r>
              <w:rPr>
                <w:rFonts w:asciiTheme="minorEastAsia" w:hAnsiTheme="minorEastAsia" w:eastAsiaTheme="minorEastAsia"/>
                <w:color w:val="000000"/>
                <w:sz w:val="24"/>
                <w:szCs w:val="24"/>
              </w:rPr>
              <w:t>8分</w:t>
            </w:r>
          </w:p>
        </w:tc>
        <w:tc>
          <w:tcPr>
            <w:tcW w:w="3003" w:type="pct"/>
            <w:vAlign w:val="center"/>
          </w:tcPr>
          <w:p w14:paraId="60445DD7">
            <w:pPr>
              <w:adjustRightInd w:val="0"/>
              <w:snapToGrid w:val="0"/>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8、应急响应方案：投标人结合学校现状，对学校突发事件制定出应急响应方案，方案、流程规划详尽、合理且具备应急响应处理手册等内容综合评比：方案、流程规划详尽、合理且具备应急响应处理手册等内容得</w:t>
            </w:r>
            <w:r>
              <w:rPr>
                <w:rFonts w:asciiTheme="minorEastAsia" w:hAnsiTheme="minorEastAsia" w:eastAsiaTheme="minorEastAsia"/>
                <w:color w:val="000000"/>
                <w:sz w:val="24"/>
                <w:szCs w:val="24"/>
              </w:rPr>
              <w:t>6</w:t>
            </w: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8</w:t>
            </w:r>
            <w:r>
              <w:rPr>
                <w:rFonts w:hint="eastAsia" w:asciiTheme="minorEastAsia" w:hAnsiTheme="minorEastAsia" w:eastAsiaTheme="minorEastAsia"/>
                <w:color w:val="000000"/>
                <w:sz w:val="24"/>
                <w:szCs w:val="24"/>
              </w:rPr>
              <w:t>分；方案、流程规划详尽、合理得</w:t>
            </w:r>
            <w:r>
              <w:rPr>
                <w:rFonts w:asciiTheme="minorEastAsia" w:hAnsiTheme="minorEastAsia" w:eastAsiaTheme="minorEastAsia"/>
                <w:color w:val="000000"/>
                <w:sz w:val="24"/>
                <w:szCs w:val="24"/>
              </w:rPr>
              <w:t>3</w:t>
            </w: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5</w:t>
            </w:r>
            <w:r>
              <w:rPr>
                <w:rFonts w:hint="eastAsia" w:asciiTheme="minorEastAsia" w:hAnsiTheme="minorEastAsia" w:eastAsiaTheme="minorEastAsia"/>
                <w:color w:val="000000"/>
                <w:sz w:val="24"/>
                <w:szCs w:val="24"/>
              </w:rPr>
              <w:t>分；方案、流程规划一般得1-</w:t>
            </w:r>
            <w:r>
              <w:rPr>
                <w:rFonts w:asciiTheme="minorEastAsia" w:hAnsiTheme="minorEastAsia" w:eastAsiaTheme="minorEastAsia"/>
                <w:color w:val="000000"/>
                <w:sz w:val="24"/>
                <w:szCs w:val="24"/>
              </w:rPr>
              <w:t>2</w:t>
            </w:r>
            <w:r>
              <w:rPr>
                <w:rFonts w:hint="eastAsia" w:asciiTheme="minorEastAsia" w:hAnsiTheme="minorEastAsia" w:eastAsiaTheme="minorEastAsia"/>
                <w:color w:val="000000"/>
                <w:sz w:val="24"/>
                <w:szCs w:val="24"/>
              </w:rPr>
              <w:t>分；未提供不得分。</w:t>
            </w:r>
          </w:p>
        </w:tc>
      </w:tr>
      <w:tr w14:paraId="2B6C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30" w:type="pct"/>
            <w:vMerge w:val="continue"/>
          </w:tcPr>
          <w:p w14:paraId="6F1FB485">
            <w:pPr>
              <w:spacing w:line="320" w:lineRule="exact"/>
              <w:ind w:left="240" w:hanging="240" w:hangingChars="100"/>
              <w:jc w:val="center"/>
              <w:rPr>
                <w:rFonts w:asciiTheme="minorEastAsia" w:hAnsiTheme="minorEastAsia" w:eastAsiaTheme="minorEastAsia"/>
                <w:color w:val="000000"/>
                <w:sz w:val="24"/>
                <w:szCs w:val="24"/>
              </w:rPr>
            </w:pPr>
          </w:p>
        </w:tc>
        <w:tc>
          <w:tcPr>
            <w:tcW w:w="935" w:type="pct"/>
            <w:vAlign w:val="center"/>
          </w:tcPr>
          <w:p w14:paraId="2769F21B">
            <w:pPr>
              <w:spacing w:line="320" w:lineRule="exact"/>
              <w:ind w:left="240" w:hanging="240" w:hangingChars="10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合理化建议</w:t>
            </w:r>
          </w:p>
        </w:tc>
        <w:tc>
          <w:tcPr>
            <w:tcW w:w="432" w:type="pct"/>
            <w:vAlign w:val="center"/>
          </w:tcPr>
          <w:p w14:paraId="616061DE">
            <w:pPr>
              <w:spacing w:line="320" w:lineRule="exact"/>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4</w:t>
            </w:r>
            <w:r>
              <w:rPr>
                <w:rFonts w:hint="eastAsia" w:asciiTheme="minorEastAsia" w:hAnsiTheme="minorEastAsia" w:eastAsiaTheme="minorEastAsia"/>
                <w:color w:val="000000"/>
                <w:sz w:val="24"/>
                <w:szCs w:val="24"/>
              </w:rPr>
              <w:t>分</w:t>
            </w:r>
          </w:p>
        </w:tc>
        <w:tc>
          <w:tcPr>
            <w:tcW w:w="3003" w:type="pct"/>
            <w:vAlign w:val="center"/>
          </w:tcPr>
          <w:p w14:paraId="5C94C664">
            <w:pPr>
              <w:widowControl/>
              <w:adjustRightInd w:val="0"/>
              <w:snapToGrid w:val="0"/>
              <w:spacing w:line="320" w:lineRule="exact"/>
              <w:ind w:firstLine="240" w:firstLineChars="10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针对本项目的运维实施规划提出合理化建议得0</w:t>
            </w:r>
            <w:r>
              <w:rPr>
                <w:rFonts w:asciiTheme="minorEastAsia" w:hAnsiTheme="minorEastAsia" w:eastAsiaTheme="minorEastAsia"/>
                <w:color w:val="000000"/>
                <w:sz w:val="24"/>
                <w:szCs w:val="24"/>
              </w:rPr>
              <w:t>-4</w:t>
            </w:r>
            <w:r>
              <w:rPr>
                <w:rFonts w:hint="eastAsia" w:asciiTheme="minorEastAsia" w:hAnsiTheme="minorEastAsia" w:eastAsiaTheme="minorEastAsia"/>
                <w:color w:val="000000"/>
                <w:sz w:val="24"/>
                <w:szCs w:val="24"/>
              </w:rPr>
              <w:t>分；未提供不得分。</w:t>
            </w:r>
          </w:p>
        </w:tc>
      </w:tr>
      <w:tr w14:paraId="213D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565" w:type="pct"/>
            <w:gridSpan w:val="2"/>
            <w:vAlign w:val="center"/>
          </w:tcPr>
          <w:p w14:paraId="2A61211C">
            <w:pPr>
              <w:spacing w:line="320" w:lineRule="exact"/>
              <w:ind w:left="240" w:hanging="240" w:hangingChars="10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总分</w:t>
            </w:r>
          </w:p>
        </w:tc>
        <w:tc>
          <w:tcPr>
            <w:tcW w:w="3435" w:type="pct"/>
            <w:gridSpan w:val="2"/>
            <w:vAlign w:val="center"/>
          </w:tcPr>
          <w:p w14:paraId="5403A950">
            <w:pPr>
              <w:spacing w:line="3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100分</w:t>
            </w:r>
          </w:p>
        </w:tc>
      </w:tr>
    </w:tbl>
    <w:p w14:paraId="7525C09F"/>
    <w:p w14:paraId="48AF602F"/>
    <w:p w14:paraId="76AF38FC">
      <w:pPr>
        <w:pStyle w:val="2"/>
        <w:spacing w:line="500" w:lineRule="exact"/>
        <w:ind w:firstLine="3080" w:firstLineChars="700"/>
        <w:jc w:val="both"/>
        <w:rPr>
          <w:rFonts w:ascii="方正小标宋_GBK" w:hAnsi="方正小标宋_GBK" w:eastAsia="方正小标宋_GBK" w:cs="方正小标宋_GBK"/>
          <w:bCs/>
          <w:kern w:val="0"/>
          <w:sz w:val="44"/>
          <w:szCs w:val="44"/>
        </w:rPr>
      </w:pPr>
      <w:bookmarkStart w:id="103" w:name="_Toc181627034"/>
    </w:p>
    <w:p w14:paraId="0C2E48D9">
      <w:pPr>
        <w:pStyle w:val="2"/>
        <w:spacing w:line="500" w:lineRule="exact"/>
        <w:ind w:firstLine="3080" w:firstLineChars="700"/>
        <w:jc w:val="both"/>
        <w:rPr>
          <w:rFonts w:ascii="方正小标宋_GBK" w:hAnsi="方正小标宋_GBK" w:eastAsia="方正小标宋_GBK" w:cs="方正小标宋_GBK"/>
          <w:bCs/>
          <w:kern w:val="0"/>
          <w:sz w:val="44"/>
          <w:szCs w:val="44"/>
        </w:rPr>
      </w:pPr>
    </w:p>
    <w:p w14:paraId="3C25D234">
      <w:pPr>
        <w:widowControl/>
        <w:jc w:val="left"/>
        <w:rPr>
          <w:rFonts w:ascii="方正小标宋_GBK" w:hAnsi="方正小标宋_GBK" w:eastAsia="方正小标宋_GBK" w:cs="方正小标宋_GBK"/>
          <w:bCs/>
          <w:kern w:val="0"/>
          <w:sz w:val="44"/>
          <w:szCs w:val="44"/>
        </w:rPr>
      </w:pPr>
      <w:r>
        <w:rPr>
          <w:rFonts w:ascii="方正小标宋_GBK" w:hAnsi="方正小标宋_GBK" w:eastAsia="方正小标宋_GBK" w:cs="方正小标宋_GBK"/>
          <w:bCs/>
          <w:kern w:val="0"/>
          <w:sz w:val="44"/>
          <w:szCs w:val="44"/>
        </w:rPr>
        <w:br w:type="page"/>
      </w:r>
    </w:p>
    <w:p w14:paraId="37481192">
      <w:pPr>
        <w:pStyle w:val="2"/>
        <w:spacing w:line="500" w:lineRule="exact"/>
        <w:ind w:firstLine="3080" w:firstLineChars="700"/>
        <w:jc w:val="both"/>
        <w:rPr>
          <w:rFonts w:ascii="方正小标宋_GBK" w:hAnsi="方正小标宋_GBK" w:eastAsia="方正小标宋_GBK" w:cs="方正小标宋_GBK"/>
          <w:bCs/>
          <w:kern w:val="0"/>
          <w:sz w:val="44"/>
          <w:szCs w:val="44"/>
        </w:rPr>
      </w:pPr>
    </w:p>
    <w:p w14:paraId="71065CBB">
      <w:pPr>
        <w:pStyle w:val="2"/>
        <w:spacing w:line="500" w:lineRule="exact"/>
        <w:ind w:firstLine="3080" w:firstLineChars="700"/>
        <w:jc w:val="both"/>
        <w:rPr>
          <w:rFonts w:ascii="方正小标宋_GBK" w:hAnsi="方正小标宋_GBK" w:eastAsia="方正小标宋_GBK" w:cs="方正小标宋_GBK"/>
          <w:bCs/>
          <w:kern w:val="0"/>
          <w:sz w:val="44"/>
          <w:szCs w:val="44"/>
        </w:rPr>
      </w:pPr>
    </w:p>
    <w:p w14:paraId="5169C886">
      <w:pPr>
        <w:pStyle w:val="2"/>
        <w:spacing w:line="500" w:lineRule="exact"/>
        <w:ind w:firstLine="3080" w:firstLineChars="700"/>
        <w:jc w:val="both"/>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bCs/>
          <w:kern w:val="0"/>
          <w:sz w:val="44"/>
          <w:szCs w:val="44"/>
        </w:rPr>
        <w:t>第六章  投标文件格式</w:t>
      </w:r>
      <w:bookmarkEnd w:id="103"/>
    </w:p>
    <w:p w14:paraId="39D347BC">
      <w:pPr>
        <w:jc w:val="center"/>
        <w:rPr>
          <w:rFonts w:ascii="方正小标宋_GBK" w:hAnsi="方正小标宋_GBK" w:eastAsia="方正小标宋_GBK" w:cs="方正小标宋_GBK"/>
          <w:b/>
          <w:color w:val="000000"/>
          <w:sz w:val="72"/>
        </w:rPr>
      </w:pPr>
      <w:bookmarkStart w:id="104" w:name="_Hlt26955039"/>
      <w:bookmarkEnd w:id="104"/>
      <w:bookmarkStart w:id="105" w:name="_Hlt26671244"/>
      <w:bookmarkEnd w:id="105"/>
    </w:p>
    <w:p w14:paraId="12D5A75B">
      <w:pPr>
        <w:jc w:val="center"/>
        <w:rPr>
          <w:rFonts w:ascii="方正小标宋_GBK" w:hAnsi="方正小标宋_GBK" w:eastAsia="方正小标宋_GBK" w:cs="方正小标宋_GBK"/>
          <w:bCs/>
          <w:color w:val="000000"/>
          <w:sz w:val="72"/>
        </w:rPr>
      </w:pPr>
    </w:p>
    <w:p w14:paraId="0D286076">
      <w:pPr>
        <w:jc w:val="center"/>
        <w:rPr>
          <w:rFonts w:ascii="方正小标宋_GBK" w:hAnsi="方正小标宋_GBK" w:eastAsia="方正小标宋_GBK" w:cs="方正小标宋_GBK"/>
          <w:bCs/>
          <w:color w:val="000000"/>
          <w:sz w:val="72"/>
        </w:rPr>
      </w:pPr>
      <w:r>
        <w:rPr>
          <w:rFonts w:hint="eastAsia" w:ascii="方正小标宋_GBK" w:hAnsi="方正小标宋_GBK" w:eastAsia="方正小标宋_GBK" w:cs="方正小标宋_GBK"/>
          <w:bCs/>
          <w:color w:val="000000"/>
          <w:sz w:val="72"/>
        </w:rPr>
        <w:t xml:space="preserve"> </w:t>
      </w:r>
      <w:r>
        <w:rPr>
          <w:rFonts w:ascii="方正小标宋_GBK" w:hAnsi="方正小标宋_GBK" w:eastAsia="方正小标宋_GBK" w:cs="方正小标宋_GBK"/>
          <w:bCs/>
          <w:color w:val="000000"/>
          <w:sz w:val="72"/>
        </w:rPr>
        <w:t xml:space="preserve">  </w:t>
      </w:r>
      <w:r>
        <w:rPr>
          <w:rFonts w:hint="eastAsia" w:ascii="方正小标宋_GBK" w:hAnsi="方正小标宋_GBK" w:eastAsia="方正小标宋_GBK" w:cs="方正小标宋_GBK"/>
          <w:bCs/>
          <w:color w:val="000000"/>
          <w:sz w:val="72"/>
        </w:rPr>
        <w:t>投  标  文  件</w:t>
      </w:r>
    </w:p>
    <w:p w14:paraId="10771879">
      <w:pPr>
        <w:jc w:val="center"/>
        <w:rPr>
          <w:rFonts w:ascii="宋体" w:hAnsi="宋体" w:cs="宋体"/>
          <w:bCs/>
          <w:color w:val="000000"/>
          <w:sz w:val="36"/>
          <w:szCs w:val="36"/>
        </w:rPr>
      </w:pPr>
      <w:r>
        <w:rPr>
          <w:rFonts w:hint="eastAsia" w:ascii="宋体" w:hAnsi="宋体" w:cs="宋体"/>
          <w:bCs/>
          <w:color w:val="000000"/>
          <w:sz w:val="36"/>
          <w:szCs w:val="36"/>
        </w:rPr>
        <w:t>（正或副本）</w:t>
      </w:r>
    </w:p>
    <w:p w14:paraId="2B9CCD66">
      <w:pPr>
        <w:jc w:val="center"/>
        <w:rPr>
          <w:rFonts w:ascii="宋体" w:hAnsi="宋体"/>
          <w:b/>
          <w:color w:val="000000"/>
          <w:sz w:val="72"/>
        </w:rPr>
      </w:pPr>
    </w:p>
    <w:p w14:paraId="68303AB5">
      <w:pPr>
        <w:jc w:val="center"/>
        <w:rPr>
          <w:rFonts w:ascii="宋体" w:hAnsi="宋体"/>
          <w:b/>
          <w:color w:val="000000"/>
          <w:sz w:val="36"/>
        </w:rPr>
      </w:pPr>
    </w:p>
    <w:p w14:paraId="0A654D03">
      <w:pPr>
        <w:jc w:val="center"/>
        <w:rPr>
          <w:rFonts w:ascii="宋体" w:hAnsi="宋体"/>
          <w:b/>
          <w:color w:val="000000"/>
          <w:sz w:val="36"/>
        </w:rPr>
      </w:pPr>
    </w:p>
    <w:p w14:paraId="2E591482">
      <w:pPr>
        <w:jc w:val="center"/>
        <w:rPr>
          <w:rFonts w:ascii="宋体" w:hAnsi="宋体"/>
          <w:b/>
          <w:color w:val="000000"/>
          <w:sz w:val="36"/>
        </w:rPr>
      </w:pPr>
    </w:p>
    <w:p w14:paraId="13DD5136">
      <w:pPr>
        <w:ind w:firstLine="1260" w:firstLineChars="350"/>
        <w:rPr>
          <w:rFonts w:ascii="宋体" w:hAnsi="宋体"/>
          <w:bCs/>
          <w:color w:val="000000"/>
          <w:sz w:val="36"/>
        </w:rPr>
      </w:pPr>
      <w:r>
        <w:rPr>
          <w:rFonts w:hint="eastAsia" w:ascii="宋体" w:hAnsi="宋体"/>
          <w:bCs/>
          <w:color w:val="000000"/>
          <w:sz w:val="36"/>
        </w:rPr>
        <w:t>项 目 名 称：</w:t>
      </w:r>
      <w:r>
        <w:rPr>
          <w:rFonts w:hint="eastAsia" w:ascii="宋体" w:hAnsi="宋体"/>
          <w:bCs/>
          <w:color w:val="000000"/>
          <w:sz w:val="36"/>
          <w:u w:val="single"/>
        </w:rPr>
        <w:t xml:space="preserve">               </w:t>
      </w:r>
    </w:p>
    <w:p w14:paraId="52F2B135">
      <w:pPr>
        <w:ind w:firstLine="1260" w:firstLineChars="350"/>
        <w:rPr>
          <w:rFonts w:ascii="宋体" w:hAnsi="宋体"/>
          <w:bCs/>
          <w:color w:val="000000"/>
          <w:sz w:val="36"/>
          <w:u w:val="single"/>
        </w:rPr>
      </w:pPr>
      <w:r>
        <w:rPr>
          <w:rFonts w:hint="eastAsia" w:ascii="宋体" w:hAnsi="宋体"/>
          <w:bCs/>
          <w:color w:val="000000"/>
          <w:sz w:val="36"/>
        </w:rPr>
        <w:t>招 标 编 号：</w:t>
      </w:r>
      <w:r>
        <w:rPr>
          <w:rFonts w:hint="eastAsia" w:ascii="宋体" w:hAnsi="宋体"/>
          <w:bCs/>
          <w:color w:val="000000"/>
          <w:sz w:val="36"/>
          <w:u w:val="single"/>
        </w:rPr>
        <w:t xml:space="preserve">               </w:t>
      </w:r>
    </w:p>
    <w:p w14:paraId="61CE4A41">
      <w:pPr>
        <w:ind w:firstLine="1260" w:firstLineChars="350"/>
        <w:rPr>
          <w:rFonts w:ascii="宋体" w:hAnsi="宋体"/>
          <w:bCs/>
          <w:color w:val="000000"/>
          <w:sz w:val="36"/>
          <w:u w:val="single"/>
        </w:rPr>
      </w:pPr>
      <w:r>
        <w:rPr>
          <w:rFonts w:hint="eastAsia" w:ascii="宋体" w:hAnsi="宋体"/>
          <w:bCs/>
          <w:color w:val="000000"/>
          <w:sz w:val="36"/>
        </w:rPr>
        <w:t>投标人名称 ：</w:t>
      </w:r>
      <w:r>
        <w:rPr>
          <w:rFonts w:hint="eastAsia" w:ascii="宋体" w:hAnsi="宋体"/>
          <w:bCs/>
          <w:color w:val="000000"/>
          <w:sz w:val="36"/>
          <w:u w:val="single"/>
        </w:rPr>
        <w:t xml:space="preserve">               </w:t>
      </w:r>
    </w:p>
    <w:p w14:paraId="3386ACD1">
      <w:pPr>
        <w:ind w:firstLine="1260" w:firstLineChars="350"/>
        <w:rPr>
          <w:rFonts w:ascii="宋体" w:hAnsi="宋体"/>
          <w:bCs/>
          <w:color w:val="000000"/>
          <w:sz w:val="36"/>
        </w:rPr>
      </w:pPr>
      <w:r>
        <w:rPr>
          <w:rFonts w:hint="eastAsia" w:ascii="宋体" w:hAnsi="宋体"/>
          <w:bCs/>
          <w:color w:val="000000"/>
          <w:sz w:val="36"/>
        </w:rPr>
        <w:t>日      期 ：</w:t>
      </w:r>
      <w:r>
        <w:rPr>
          <w:rFonts w:hint="eastAsia" w:ascii="宋体" w:hAnsi="宋体"/>
          <w:bCs/>
          <w:color w:val="000000"/>
          <w:sz w:val="36"/>
          <w:u w:val="single"/>
        </w:rPr>
        <w:t xml:space="preserve">               </w:t>
      </w:r>
    </w:p>
    <w:p w14:paraId="0B28934B">
      <w:pPr>
        <w:spacing w:line="440" w:lineRule="exact"/>
        <w:jc w:val="center"/>
        <w:rPr>
          <w:rFonts w:ascii="宋体" w:hAnsi="宋体"/>
          <w:b/>
          <w:bCs/>
          <w:color w:val="000000"/>
          <w:sz w:val="32"/>
          <w:szCs w:val="32"/>
        </w:rPr>
      </w:pPr>
    </w:p>
    <w:p w14:paraId="709D4990">
      <w:r>
        <w:rPr>
          <w:rFonts w:hint="eastAsia"/>
        </w:rPr>
        <w:br w:type="page"/>
      </w:r>
    </w:p>
    <w:p w14:paraId="1C9CF6E0">
      <w:pPr>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评分索引表</w:t>
      </w:r>
    </w:p>
    <w:p w14:paraId="30850AD8">
      <w:pPr>
        <w:jc w:val="left"/>
        <w:rPr>
          <w:color w:val="000000"/>
        </w:rPr>
      </w:pP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5"/>
        <w:gridCol w:w="4377"/>
      </w:tblGrid>
      <w:tr w14:paraId="103F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5" w:type="dxa"/>
            <w:vAlign w:val="center"/>
          </w:tcPr>
          <w:p w14:paraId="6231B770">
            <w:pPr>
              <w:pStyle w:val="75"/>
              <w:shd w:val="clear" w:color="auto" w:fill="FFFFFF"/>
              <w:ind w:left="420"/>
              <w:jc w:val="center"/>
              <w:rPr>
                <w:rFonts w:ascii="宋体" w:hAnsi="宋体"/>
                <w:color w:val="000000"/>
                <w:lang w:eastAsia="zh-CN"/>
              </w:rPr>
            </w:pPr>
            <w:r>
              <w:rPr>
                <w:rFonts w:hint="eastAsia" w:ascii="宋体" w:hAnsi="宋体"/>
                <w:color w:val="000000"/>
              </w:rPr>
              <w:t>评分项目</w:t>
            </w:r>
          </w:p>
        </w:tc>
        <w:tc>
          <w:tcPr>
            <w:tcW w:w="4377" w:type="dxa"/>
            <w:vAlign w:val="center"/>
          </w:tcPr>
          <w:p w14:paraId="799CB788">
            <w:pPr>
              <w:jc w:val="center"/>
              <w:rPr>
                <w:rFonts w:ascii="宋体" w:hAnsi="宋体"/>
                <w:color w:val="000000"/>
                <w:sz w:val="24"/>
                <w:szCs w:val="24"/>
              </w:rPr>
            </w:pPr>
            <w:r>
              <w:rPr>
                <w:rFonts w:hint="eastAsia" w:ascii="宋体" w:hAnsi="宋体"/>
                <w:color w:val="000000"/>
                <w:kern w:val="0"/>
                <w:sz w:val="24"/>
                <w:szCs w:val="24"/>
                <w:lang w:bidi="en-US"/>
              </w:rPr>
              <w:t>在投标文件中的页码位置</w:t>
            </w:r>
          </w:p>
        </w:tc>
      </w:tr>
      <w:tr w14:paraId="28B0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5" w:type="dxa"/>
          </w:tcPr>
          <w:p w14:paraId="092192C4">
            <w:pPr>
              <w:pStyle w:val="75"/>
              <w:shd w:val="clear" w:color="auto" w:fill="FFFFFF"/>
              <w:spacing w:line="265" w:lineRule="atLeast"/>
              <w:ind w:left="420"/>
              <w:jc w:val="both"/>
              <w:rPr>
                <w:rFonts w:ascii="宋体" w:hAnsi="宋体"/>
                <w:b/>
                <w:color w:val="000000"/>
                <w:lang w:eastAsia="zh-CN"/>
              </w:rPr>
            </w:pPr>
          </w:p>
        </w:tc>
        <w:tc>
          <w:tcPr>
            <w:tcW w:w="4377" w:type="dxa"/>
          </w:tcPr>
          <w:p w14:paraId="0D0C7D94">
            <w:pPr>
              <w:rPr>
                <w:rFonts w:ascii="宋体" w:hAnsi="宋体"/>
                <w:b/>
                <w:color w:val="000000"/>
                <w:kern w:val="0"/>
                <w:sz w:val="24"/>
                <w:lang w:bidi="en-US"/>
              </w:rPr>
            </w:pPr>
          </w:p>
        </w:tc>
      </w:tr>
      <w:tr w14:paraId="7118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5" w:type="dxa"/>
          </w:tcPr>
          <w:p w14:paraId="5DC647D7">
            <w:pPr>
              <w:pStyle w:val="75"/>
              <w:shd w:val="clear" w:color="auto" w:fill="FFFFFF"/>
              <w:spacing w:line="265" w:lineRule="atLeast"/>
              <w:ind w:left="420"/>
              <w:rPr>
                <w:rFonts w:ascii="宋体" w:hAnsi="宋体"/>
                <w:color w:val="000000"/>
                <w:lang w:eastAsia="zh-CN"/>
              </w:rPr>
            </w:pPr>
          </w:p>
        </w:tc>
        <w:tc>
          <w:tcPr>
            <w:tcW w:w="4377" w:type="dxa"/>
          </w:tcPr>
          <w:p w14:paraId="73618294">
            <w:pPr>
              <w:rPr>
                <w:rFonts w:ascii="宋体" w:hAnsi="宋体"/>
                <w:color w:val="000000"/>
              </w:rPr>
            </w:pPr>
          </w:p>
        </w:tc>
      </w:tr>
      <w:tr w14:paraId="4373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5" w:type="dxa"/>
          </w:tcPr>
          <w:p w14:paraId="3954C6BD">
            <w:pPr>
              <w:pStyle w:val="75"/>
              <w:shd w:val="clear" w:color="auto" w:fill="FFFFFF"/>
              <w:spacing w:line="265" w:lineRule="atLeast"/>
              <w:ind w:left="420"/>
              <w:rPr>
                <w:rFonts w:ascii="宋体" w:hAnsi="宋体"/>
                <w:color w:val="000000"/>
                <w:lang w:eastAsia="zh-CN"/>
              </w:rPr>
            </w:pPr>
          </w:p>
        </w:tc>
        <w:tc>
          <w:tcPr>
            <w:tcW w:w="4377" w:type="dxa"/>
          </w:tcPr>
          <w:p w14:paraId="7AB83772">
            <w:pPr>
              <w:rPr>
                <w:rFonts w:ascii="宋体" w:hAnsi="宋体"/>
                <w:color w:val="000000"/>
              </w:rPr>
            </w:pPr>
          </w:p>
        </w:tc>
      </w:tr>
      <w:tr w14:paraId="4944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5" w:type="dxa"/>
          </w:tcPr>
          <w:p w14:paraId="1CBE74F3">
            <w:pPr>
              <w:pStyle w:val="75"/>
              <w:shd w:val="clear" w:color="auto" w:fill="FFFFFF"/>
              <w:spacing w:line="265" w:lineRule="atLeast"/>
              <w:ind w:left="420"/>
              <w:rPr>
                <w:rFonts w:ascii="宋体" w:hAnsi="宋体"/>
                <w:color w:val="000000"/>
                <w:lang w:eastAsia="zh-CN"/>
              </w:rPr>
            </w:pPr>
          </w:p>
        </w:tc>
        <w:tc>
          <w:tcPr>
            <w:tcW w:w="4377" w:type="dxa"/>
          </w:tcPr>
          <w:p w14:paraId="260E32BC">
            <w:pPr>
              <w:rPr>
                <w:rFonts w:ascii="宋体" w:hAnsi="宋体"/>
                <w:color w:val="000000"/>
              </w:rPr>
            </w:pPr>
          </w:p>
        </w:tc>
      </w:tr>
      <w:tr w14:paraId="0DFB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5" w:type="dxa"/>
          </w:tcPr>
          <w:p w14:paraId="2D78121B">
            <w:pPr>
              <w:pStyle w:val="75"/>
              <w:shd w:val="clear" w:color="auto" w:fill="FFFFFF"/>
              <w:spacing w:line="265" w:lineRule="atLeast"/>
              <w:ind w:left="420"/>
              <w:rPr>
                <w:rFonts w:ascii="宋体" w:hAnsi="宋体"/>
                <w:color w:val="000000"/>
                <w:lang w:eastAsia="zh-CN"/>
              </w:rPr>
            </w:pPr>
          </w:p>
        </w:tc>
        <w:tc>
          <w:tcPr>
            <w:tcW w:w="4377" w:type="dxa"/>
          </w:tcPr>
          <w:p w14:paraId="50498390">
            <w:pPr>
              <w:rPr>
                <w:rFonts w:ascii="宋体" w:hAnsi="宋体"/>
                <w:color w:val="000000"/>
              </w:rPr>
            </w:pPr>
          </w:p>
        </w:tc>
      </w:tr>
      <w:tr w14:paraId="3A91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5" w:type="dxa"/>
          </w:tcPr>
          <w:p w14:paraId="3B71EDB9">
            <w:pPr>
              <w:pStyle w:val="75"/>
              <w:shd w:val="clear" w:color="auto" w:fill="FFFFFF"/>
              <w:spacing w:line="265" w:lineRule="atLeast"/>
              <w:ind w:left="420"/>
              <w:rPr>
                <w:rFonts w:ascii="宋体" w:hAnsi="宋体"/>
                <w:color w:val="000000"/>
                <w:lang w:eastAsia="zh-CN"/>
              </w:rPr>
            </w:pPr>
          </w:p>
        </w:tc>
        <w:tc>
          <w:tcPr>
            <w:tcW w:w="4377" w:type="dxa"/>
          </w:tcPr>
          <w:p w14:paraId="722E4441">
            <w:pPr>
              <w:rPr>
                <w:rFonts w:ascii="宋体" w:hAnsi="宋体"/>
                <w:color w:val="000000"/>
              </w:rPr>
            </w:pPr>
          </w:p>
        </w:tc>
      </w:tr>
      <w:tr w14:paraId="4B07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5" w:type="dxa"/>
          </w:tcPr>
          <w:p w14:paraId="4E46AFF8">
            <w:pPr>
              <w:pStyle w:val="75"/>
              <w:shd w:val="clear" w:color="auto" w:fill="FFFFFF"/>
              <w:spacing w:line="265" w:lineRule="atLeast"/>
              <w:ind w:left="420"/>
              <w:rPr>
                <w:rFonts w:ascii="宋体" w:hAnsi="宋体"/>
                <w:color w:val="000000"/>
                <w:lang w:eastAsia="zh-CN"/>
              </w:rPr>
            </w:pPr>
          </w:p>
        </w:tc>
        <w:tc>
          <w:tcPr>
            <w:tcW w:w="4377" w:type="dxa"/>
          </w:tcPr>
          <w:p w14:paraId="05E1A0E8">
            <w:pPr>
              <w:rPr>
                <w:rFonts w:ascii="宋体" w:hAnsi="宋体"/>
                <w:color w:val="000000"/>
              </w:rPr>
            </w:pPr>
          </w:p>
        </w:tc>
      </w:tr>
      <w:tr w14:paraId="7E76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5" w:type="dxa"/>
          </w:tcPr>
          <w:p w14:paraId="257D6F27">
            <w:pPr>
              <w:pStyle w:val="75"/>
              <w:shd w:val="clear" w:color="auto" w:fill="FFFFFF"/>
              <w:spacing w:line="265" w:lineRule="atLeast"/>
              <w:ind w:left="420"/>
              <w:rPr>
                <w:rFonts w:ascii="宋体" w:hAnsi="宋体"/>
                <w:color w:val="000000"/>
                <w:lang w:eastAsia="zh-CN"/>
              </w:rPr>
            </w:pPr>
          </w:p>
        </w:tc>
        <w:tc>
          <w:tcPr>
            <w:tcW w:w="4377" w:type="dxa"/>
          </w:tcPr>
          <w:p w14:paraId="33E02251">
            <w:pPr>
              <w:rPr>
                <w:rFonts w:ascii="宋体" w:hAnsi="宋体"/>
                <w:color w:val="000000"/>
              </w:rPr>
            </w:pPr>
          </w:p>
        </w:tc>
      </w:tr>
      <w:tr w14:paraId="05BB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5" w:type="dxa"/>
          </w:tcPr>
          <w:p w14:paraId="5B69D4FC">
            <w:pPr>
              <w:pStyle w:val="75"/>
              <w:shd w:val="clear" w:color="auto" w:fill="FFFFFF"/>
              <w:spacing w:line="265" w:lineRule="atLeast"/>
              <w:ind w:left="420"/>
              <w:rPr>
                <w:rFonts w:ascii="宋体" w:hAnsi="宋体"/>
                <w:color w:val="000000"/>
                <w:lang w:eastAsia="zh-CN"/>
              </w:rPr>
            </w:pPr>
          </w:p>
        </w:tc>
        <w:tc>
          <w:tcPr>
            <w:tcW w:w="4377" w:type="dxa"/>
          </w:tcPr>
          <w:p w14:paraId="439C738B">
            <w:pPr>
              <w:rPr>
                <w:rFonts w:ascii="宋体" w:hAnsi="宋体"/>
                <w:color w:val="000000"/>
              </w:rPr>
            </w:pPr>
          </w:p>
        </w:tc>
      </w:tr>
      <w:tr w14:paraId="1DF1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5" w:type="dxa"/>
          </w:tcPr>
          <w:p w14:paraId="4D9BB367">
            <w:pPr>
              <w:pStyle w:val="75"/>
              <w:shd w:val="clear" w:color="auto" w:fill="FFFFFF"/>
              <w:spacing w:line="265" w:lineRule="atLeast"/>
              <w:ind w:left="420"/>
              <w:rPr>
                <w:rFonts w:ascii="宋体" w:hAnsi="宋体"/>
                <w:color w:val="000000"/>
                <w:lang w:eastAsia="zh-CN"/>
              </w:rPr>
            </w:pPr>
          </w:p>
        </w:tc>
        <w:tc>
          <w:tcPr>
            <w:tcW w:w="4377" w:type="dxa"/>
          </w:tcPr>
          <w:p w14:paraId="6AB0009E">
            <w:pPr>
              <w:rPr>
                <w:rFonts w:ascii="宋体" w:hAnsi="宋体"/>
                <w:color w:val="000000"/>
              </w:rPr>
            </w:pPr>
          </w:p>
        </w:tc>
      </w:tr>
      <w:tr w14:paraId="144F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5" w:type="dxa"/>
          </w:tcPr>
          <w:p w14:paraId="1E2BFFCA">
            <w:pPr>
              <w:pStyle w:val="75"/>
              <w:shd w:val="clear" w:color="auto" w:fill="FFFFFF"/>
              <w:spacing w:line="265" w:lineRule="atLeast"/>
              <w:ind w:left="420"/>
              <w:rPr>
                <w:rFonts w:ascii="宋体" w:hAnsi="宋体"/>
                <w:color w:val="000000"/>
                <w:lang w:eastAsia="zh-CN"/>
              </w:rPr>
            </w:pPr>
          </w:p>
        </w:tc>
        <w:tc>
          <w:tcPr>
            <w:tcW w:w="4377" w:type="dxa"/>
          </w:tcPr>
          <w:p w14:paraId="0638016A">
            <w:pPr>
              <w:rPr>
                <w:rFonts w:ascii="宋体" w:hAnsi="宋体"/>
                <w:color w:val="000000"/>
              </w:rPr>
            </w:pPr>
          </w:p>
        </w:tc>
      </w:tr>
    </w:tbl>
    <w:p w14:paraId="278B5648">
      <w:pPr>
        <w:rPr>
          <w:rFonts w:ascii="宋体" w:hAnsi="宋体"/>
          <w:color w:val="000000"/>
        </w:rPr>
      </w:pPr>
    </w:p>
    <w:p w14:paraId="79D9AB55">
      <w:r>
        <w:br w:type="page"/>
      </w:r>
    </w:p>
    <w:p w14:paraId="56B30558">
      <w:pPr>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投标主要文件目录</w:t>
      </w:r>
    </w:p>
    <w:p w14:paraId="06A729E0">
      <w:pPr>
        <w:jc w:val="left"/>
        <w:rPr>
          <w:color w:val="000000"/>
        </w:rPr>
      </w:pPr>
    </w:p>
    <w:p w14:paraId="12D55033">
      <w:pPr>
        <w:spacing w:line="500" w:lineRule="exact"/>
        <w:ind w:firstLine="480" w:firstLineChars="200"/>
        <w:rPr>
          <w:rFonts w:ascii="宋体" w:hAnsi="宋体"/>
          <w:color w:val="000000"/>
          <w:sz w:val="24"/>
        </w:rPr>
      </w:pPr>
      <w:r>
        <w:rPr>
          <w:rFonts w:hint="eastAsia" w:ascii="宋体" w:hAnsi="宋体"/>
          <w:color w:val="000000"/>
          <w:sz w:val="24"/>
        </w:rPr>
        <w:t>一、</w:t>
      </w:r>
      <w:r>
        <w:rPr>
          <w:rFonts w:hint="eastAsia" w:ascii="宋体" w:hAnsi="宋体"/>
          <w:bCs/>
          <w:color w:val="000000"/>
          <w:sz w:val="24"/>
        </w:rPr>
        <w:t>资信证明文件要求</w:t>
      </w:r>
    </w:p>
    <w:p w14:paraId="7D144A3D">
      <w:pPr>
        <w:spacing w:line="500" w:lineRule="exact"/>
        <w:ind w:firstLine="482" w:firstLineChars="200"/>
        <w:rPr>
          <w:rFonts w:ascii="宋体" w:hAnsi="宋体"/>
          <w:color w:val="C00000"/>
        </w:rPr>
      </w:pPr>
      <w:r>
        <w:rPr>
          <w:rFonts w:hint="eastAsia" w:ascii="宋体" w:hAnsi="宋体"/>
          <w:b/>
          <w:bCs/>
          <w:color w:val="000000"/>
          <w:sz w:val="24"/>
        </w:rPr>
        <w:t>二</w:t>
      </w:r>
      <w:r>
        <w:rPr>
          <w:rFonts w:hint="eastAsia" w:ascii="宋体" w:hAnsi="宋体"/>
          <w:color w:val="000000"/>
          <w:sz w:val="24"/>
        </w:rPr>
        <w:t>、资格性审查响应对照表</w:t>
      </w:r>
    </w:p>
    <w:p w14:paraId="003F2EAE">
      <w:pPr>
        <w:spacing w:line="500" w:lineRule="exact"/>
        <w:ind w:firstLine="480" w:firstLineChars="200"/>
        <w:rPr>
          <w:rFonts w:ascii="宋体" w:hAnsi="宋体"/>
          <w:bCs/>
          <w:color w:val="000000"/>
          <w:sz w:val="24"/>
        </w:rPr>
      </w:pPr>
      <w:r>
        <w:rPr>
          <w:rFonts w:hint="eastAsia" w:ascii="宋体" w:hAnsi="宋体"/>
          <w:color w:val="000000"/>
          <w:sz w:val="24"/>
        </w:rPr>
        <w:t>三、符合性检查响应对照表</w:t>
      </w:r>
    </w:p>
    <w:p w14:paraId="4CAF8FCD">
      <w:pPr>
        <w:spacing w:line="500" w:lineRule="exact"/>
        <w:ind w:firstLine="480" w:firstLineChars="200"/>
        <w:rPr>
          <w:rFonts w:ascii="宋体" w:hAnsi="宋体"/>
          <w:color w:val="000000"/>
          <w:sz w:val="24"/>
        </w:rPr>
      </w:pPr>
      <w:r>
        <w:rPr>
          <w:rFonts w:hint="eastAsia" w:ascii="宋体" w:hAnsi="宋体"/>
          <w:color w:val="000000"/>
          <w:sz w:val="24"/>
        </w:rPr>
        <w:t>四、投标函</w:t>
      </w:r>
    </w:p>
    <w:p w14:paraId="33AD3D84">
      <w:pPr>
        <w:spacing w:line="500" w:lineRule="exact"/>
        <w:ind w:firstLine="480" w:firstLineChars="200"/>
        <w:rPr>
          <w:rFonts w:ascii="宋体" w:hAnsi="宋体"/>
          <w:color w:val="000000"/>
          <w:sz w:val="24"/>
        </w:rPr>
      </w:pPr>
      <w:r>
        <w:rPr>
          <w:rFonts w:hint="eastAsia" w:ascii="宋体" w:hAnsi="宋体"/>
          <w:color w:val="000000"/>
          <w:sz w:val="24"/>
        </w:rPr>
        <w:t>五、开标一览表</w:t>
      </w:r>
    </w:p>
    <w:p w14:paraId="303C9F4A">
      <w:pPr>
        <w:spacing w:line="500" w:lineRule="exact"/>
        <w:ind w:firstLine="480" w:firstLineChars="200"/>
        <w:rPr>
          <w:rFonts w:ascii="宋体" w:hAnsi="宋体"/>
          <w:color w:val="000000"/>
          <w:sz w:val="24"/>
        </w:rPr>
      </w:pPr>
      <w:r>
        <w:rPr>
          <w:rFonts w:hint="eastAsia" w:ascii="宋体" w:hAnsi="宋体"/>
          <w:color w:val="000000"/>
          <w:sz w:val="24"/>
        </w:rPr>
        <w:t>六、商务条款响应及偏离表</w:t>
      </w:r>
    </w:p>
    <w:p w14:paraId="442799EF">
      <w:pPr>
        <w:spacing w:line="500" w:lineRule="exact"/>
        <w:ind w:firstLine="480" w:firstLineChars="200"/>
        <w:rPr>
          <w:rFonts w:ascii="宋体" w:hAnsi="宋体"/>
          <w:color w:val="000000"/>
          <w:sz w:val="24"/>
        </w:rPr>
      </w:pPr>
      <w:r>
        <w:rPr>
          <w:rFonts w:hint="eastAsia" w:ascii="宋体" w:hAnsi="宋体"/>
          <w:color w:val="000000"/>
          <w:sz w:val="24"/>
        </w:rPr>
        <w:t>七、分项报价表响应报价表</w:t>
      </w:r>
    </w:p>
    <w:p w14:paraId="6BBAE695">
      <w:pPr>
        <w:spacing w:line="500" w:lineRule="exact"/>
        <w:ind w:firstLine="480" w:firstLineChars="200"/>
        <w:rPr>
          <w:rFonts w:ascii="宋体" w:hAnsi="宋体"/>
          <w:color w:val="000000"/>
          <w:sz w:val="24"/>
        </w:rPr>
      </w:pPr>
      <w:r>
        <w:rPr>
          <w:rFonts w:hint="eastAsia" w:ascii="宋体" w:hAnsi="宋体"/>
          <w:color w:val="000000"/>
          <w:sz w:val="24"/>
        </w:rPr>
        <w:t>八、服务承诺、培训承诺等</w:t>
      </w:r>
    </w:p>
    <w:p w14:paraId="7EF09545">
      <w:pPr>
        <w:widowControl/>
        <w:spacing w:line="500" w:lineRule="exact"/>
        <w:ind w:firstLine="480" w:firstLineChars="200"/>
        <w:jc w:val="left"/>
        <w:rPr>
          <w:rFonts w:ascii="宋体" w:hAnsi="宋体"/>
          <w:color w:val="000000"/>
          <w:sz w:val="24"/>
        </w:rPr>
      </w:pPr>
      <w:r>
        <w:rPr>
          <w:rFonts w:hint="eastAsia" w:ascii="宋体" w:hAnsi="宋体"/>
          <w:color w:val="000000"/>
          <w:sz w:val="24"/>
        </w:rPr>
        <w:t>九</w:t>
      </w:r>
      <w:r>
        <w:rPr>
          <w:rFonts w:ascii="宋体" w:hAnsi="宋体"/>
          <w:color w:val="000000"/>
          <w:sz w:val="24"/>
        </w:rPr>
        <w:t>、</w:t>
      </w:r>
      <w:r>
        <w:rPr>
          <w:rFonts w:hint="eastAsia" w:ascii="宋体" w:hAnsi="宋体"/>
          <w:color w:val="000000"/>
          <w:sz w:val="24"/>
        </w:rPr>
        <w:t>盐城市政府采购事前信用承诺书</w:t>
      </w:r>
    </w:p>
    <w:p w14:paraId="78D25481">
      <w:pPr>
        <w:spacing w:line="440" w:lineRule="exact"/>
        <w:rPr>
          <w:rFonts w:ascii="宋体" w:hAnsi="宋体"/>
          <w:color w:val="000000"/>
          <w:sz w:val="24"/>
        </w:rPr>
      </w:pPr>
    </w:p>
    <w:p w14:paraId="2634BEA1">
      <w:r>
        <w:br w:type="page"/>
      </w:r>
    </w:p>
    <w:p w14:paraId="4042A4E7"/>
    <w:p w14:paraId="6B8C56DD">
      <w:pPr>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一、资信证明文件要求</w:t>
      </w:r>
    </w:p>
    <w:p w14:paraId="160873AB"/>
    <w:p w14:paraId="6B9E5B2A">
      <w:pPr>
        <w:snapToGrid w:val="0"/>
        <w:spacing w:before="50" w:after="50" w:line="500" w:lineRule="exact"/>
        <w:rPr>
          <w:rFonts w:ascii="宋体" w:hAnsi="宋体" w:eastAsia="仿宋_GB2312"/>
          <w:color w:val="000000"/>
          <w:sz w:val="24"/>
          <w:szCs w:val="20"/>
        </w:rPr>
      </w:pPr>
      <w:r>
        <w:rPr>
          <w:rFonts w:hint="eastAsia" w:ascii="黑体" w:eastAsia="黑体"/>
          <w:color w:val="000000"/>
          <w:sz w:val="44"/>
        </w:rPr>
        <w:t xml:space="preserve">  </w:t>
      </w:r>
      <w:r>
        <w:rPr>
          <w:rFonts w:hint="eastAsia" w:ascii="宋体" w:hAnsi="宋体"/>
          <w:b/>
          <w:bCs/>
          <w:color w:val="000000"/>
          <w:sz w:val="24"/>
        </w:rPr>
        <w:t>实质性资格证明文件目录</w:t>
      </w:r>
    </w:p>
    <w:p w14:paraId="0205845A">
      <w:pPr>
        <w:snapToGrid w:val="0"/>
        <w:spacing w:line="500" w:lineRule="exact"/>
        <w:ind w:firstLine="480" w:firstLineChars="200"/>
        <w:rPr>
          <w:rFonts w:ascii="宋体" w:hAnsi="宋体" w:cs="宋体"/>
          <w:color w:val="000000"/>
          <w:sz w:val="24"/>
        </w:rPr>
      </w:pPr>
      <w:r>
        <w:rPr>
          <w:rFonts w:hint="eastAsia" w:ascii="宋体" w:hAnsi="宋体" w:cs="宋体"/>
          <w:color w:val="000000"/>
          <w:sz w:val="24"/>
          <w:szCs w:val="24"/>
        </w:rPr>
        <w:t xml:space="preserve">文件1 </w:t>
      </w:r>
      <w:r>
        <w:rPr>
          <w:rFonts w:hint="eastAsia" w:ascii="宋体" w:hAnsi="宋体" w:cs="宋体"/>
          <w:color w:val="000000"/>
          <w:sz w:val="24"/>
        </w:rPr>
        <w:t>法人或者其他组织的营业执照等证明文件，自然人的身份证明（复印件）</w:t>
      </w:r>
    </w:p>
    <w:p w14:paraId="14E11D3C">
      <w:pPr>
        <w:snapToGrid w:val="0"/>
        <w:spacing w:line="500" w:lineRule="exact"/>
        <w:ind w:firstLine="480" w:firstLineChars="200"/>
        <w:rPr>
          <w:rFonts w:ascii="宋体" w:hAnsi="宋体" w:cs="宋体"/>
          <w:color w:val="000000"/>
          <w:sz w:val="24"/>
        </w:rPr>
      </w:pPr>
      <w:r>
        <w:rPr>
          <w:rFonts w:hint="eastAsia" w:ascii="宋体" w:hAnsi="宋体" w:cs="宋体"/>
          <w:color w:val="000000"/>
          <w:sz w:val="24"/>
        </w:rPr>
        <w:t>文件2 上一年度财务状况报表（复印件，成立不满一年不需提供）</w:t>
      </w:r>
    </w:p>
    <w:p w14:paraId="57F2DFA8">
      <w:pPr>
        <w:snapToGrid w:val="0"/>
        <w:spacing w:line="500" w:lineRule="exact"/>
        <w:ind w:firstLine="480" w:firstLineChars="200"/>
        <w:rPr>
          <w:rFonts w:ascii="宋体" w:hAnsi="宋体" w:cs="宋体"/>
          <w:color w:val="000000"/>
          <w:sz w:val="24"/>
        </w:rPr>
      </w:pPr>
      <w:r>
        <w:rPr>
          <w:rFonts w:hint="eastAsia" w:ascii="宋体" w:hAnsi="宋体" w:cs="宋体"/>
          <w:color w:val="000000"/>
          <w:sz w:val="24"/>
        </w:rPr>
        <w:t>文件3 依法缴纳税收和社会保障资金的相关材料（复印件）</w:t>
      </w:r>
    </w:p>
    <w:p w14:paraId="78DFBE39">
      <w:pPr>
        <w:snapToGrid w:val="0"/>
        <w:spacing w:line="500" w:lineRule="exact"/>
        <w:ind w:firstLine="480" w:firstLineChars="200"/>
        <w:jc w:val="left"/>
        <w:rPr>
          <w:rFonts w:ascii="宋体" w:hAnsi="宋体" w:cs="宋体"/>
          <w:color w:val="000000"/>
          <w:sz w:val="24"/>
        </w:rPr>
      </w:pPr>
      <w:r>
        <w:rPr>
          <w:rFonts w:hint="eastAsia" w:ascii="宋体" w:hAnsi="宋体" w:cs="宋体"/>
          <w:color w:val="000000"/>
          <w:sz w:val="24"/>
        </w:rPr>
        <w:t>文件4 具备履行合同所必需的设备和专业技术能力证明材料</w:t>
      </w:r>
    </w:p>
    <w:p w14:paraId="1998D063">
      <w:pPr>
        <w:snapToGrid w:val="0"/>
        <w:spacing w:line="500" w:lineRule="exact"/>
        <w:ind w:firstLine="480" w:firstLineChars="200"/>
        <w:rPr>
          <w:rFonts w:ascii="宋体" w:hAnsi="宋体" w:cs="宋体"/>
          <w:color w:val="000000"/>
          <w:sz w:val="24"/>
        </w:rPr>
      </w:pPr>
      <w:r>
        <w:rPr>
          <w:rFonts w:hint="eastAsia" w:ascii="宋体" w:hAnsi="宋体" w:cs="宋体"/>
          <w:color w:val="000000"/>
          <w:sz w:val="24"/>
        </w:rPr>
        <w:t>文件5 参加政府采购活动前 3 年内在经营活动中没有重大违法记录的书面声明</w:t>
      </w:r>
    </w:p>
    <w:p w14:paraId="35075FDB">
      <w:pPr>
        <w:snapToGrid w:val="0"/>
        <w:spacing w:line="500" w:lineRule="exact"/>
        <w:ind w:firstLine="480" w:firstLineChars="200"/>
        <w:jc w:val="left"/>
        <w:rPr>
          <w:rFonts w:ascii="宋体" w:hAnsi="宋体" w:cs="宋体"/>
          <w:color w:val="000000"/>
          <w:sz w:val="24"/>
        </w:rPr>
      </w:pPr>
      <w:r>
        <w:rPr>
          <w:rFonts w:hint="eastAsia" w:ascii="宋体" w:hAnsi="宋体" w:cs="宋体"/>
          <w:color w:val="000000"/>
          <w:sz w:val="24"/>
        </w:rPr>
        <w:t>文件6 法人授权书</w:t>
      </w:r>
    </w:p>
    <w:p w14:paraId="046F8887">
      <w:pPr>
        <w:snapToGrid w:val="0"/>
        <w:spacing w:line="500" w:lineRule="exact"/>
        <w:ind w:firstLine="480" w:firstLineChars="200"/>
        <w:jc w:val="left"/>
        <w:rPr>
          <w:rFonts w:ascii="宋体" w:hAnsi="宋体" w:cs="宋体"/>
          <w:color w:val="000000"/>
          <w:sz w:val="24"/>
        </w:rPr>
      </w:pPr>
      <w:r>
        <w:rPr>
          <w:rFonts w:hint="eastAsia" w:ascii="宋体" w:hAnsi="宋体" w:cs="宋体"/>
          <w:color w:val="000000"/>
          <w:sz w:val="24"/>
        </w:rPr>
        <w:t>文件7 招标文件中规定要求提供的证明材料和投标人认为需要提供的其他材料</w:t>
      </w:r>
    </w:p>
    <w:p w14:paraId="1F2E167A">
      <w:r>
        <w:br w:type="page"/>
      </w:r>
    </w:p>
    <w:p w14:paraId="70D872A2">
      <w:pPr>
        <w:pStyle w:val="3"/>
        <w:spacing w:line="500" w:lineRule="exact"/>
        <w:rPr>
          <w:rFonts w:ascii="方正小标宋_GBK" w:hAnsi="方正小标宋_GBK" w:eastAsia="方正小标宋_GBK" w:cs="方正小标宋_GBK"/>
          <w:b w:val="0"/>
          <w:color w:val="000000"/>
          <w:sz w:val="24"/>
          <w:szCs w:val="24"/>
        </w:rPr>
      </w:pPr>
      <w:r>
        <w:rPr>
          <w:rFonts w:hint="eastAsia" w:ascii="方正小标宋_GBK" w:hAnsi="方正小标宋_GBK" w:eastAsia="方正小标宋_GBK" w:cs="方正小标宋_GBK"/>
          <w:b w:val="0"/>
          <w:bCs w:val="0"/>
          <w:color w:val="000000"/>
          <w:sz w:val="32"/>
          <w:szCs w:val="32"/>
        </w:rPr>
        <w:t>具备履行合同所必需的设备和专业技术能力的书面声明</w:t>
      </w:r>
    </w:p>
    <w:p w14:paraId="7F1CA1F4">
      <w:pPr>
        <w:rPr>
          <w:color w:val="000000"/>
        </w:rPr>
      </w:pPr>
    </w:p>
    <w:p w14:paraId="192C0861">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14:paraId="748DB0D2">
      <w:pPr>
        <w:spacing w:line="500" w:lineRule="exact"/>
        <w:ind w:firstLine="493"/>
        <w:rPr>
          <w:rFonts w:ascii="宋体"/>
          <w:bCs/>
          <w:color w:val="000000"/>
          <w:sz w:val="24"/>
        </w:rPr>
      </w:pPr>
      <w:r>
        <w:rPr>
          <w:rFonts w:hint="eastAsia" w:ascii="宋体" w:hAnsi="宋体"/>
          <w:bCs/>
          <w:color w:val="000000"/>
          <w:sz w:val="24"/>
        </w:rPr>
        <w:t xml:space="preserve">主要设备有： </w:t>
      </w:r>
      <w:r>
        <w:rPr>
          <w:rFonts w:ascii="宋体" w:hAnsi="宋体"/>
          <w:bCs/>
          <w:color w:val="000000"/>
          <w:sz w:val="24"/>
        </w:rPr>
        <w:t xml:space="preserve">  </w:t>
      </w:r>
      <w:r>
        <w:rPr>
          <w:rFonts w:hint="eastAsia" w:ascii="宋体" w:hAnsi="宋体"/>
          <w:bCs/>
          <w:color w:val="000000"/>
          <w:sz w:val="24"/>
        </w:rPr>
        <w:t>。</w:t>
      </w:r>
    </w:p>
    <w:p w14:paraId="5682261B">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rPr>
        <w:t xml:space="preserve">   </w:t>
      </w:r>
      <w:r>
        <w:rPr>
          <w:rFonts w:hint="eastAsia" w:ascii="宋体" w:hAnsi="宋体"/>
          <w:bCs/>
          <w:color w:val="000000"/>
          <w:sz w:val="24"/>
        </w:rPr>
        <w:t>。</w:t>
      </w:r>
    </w:p>
    <w:p w14:paraId="0558F195">
      <w:pPr>
        <w:pStyle w:val="45"/>
      </w:pPr>
    </w:p>
    <w:p w14:paraId="144EE8AE">
      <w:pPr>
        <w:pStyle w:val="45"/>
      </w:pPr>
    </w:p>
    <w:p w14:paraId="69875B08">
      <w:pPr>
        <w:pStyle w:val="45"/>
      </w:pPr>
    </w:p>
    <w:p w14:paraId="27F361C4">
      <w:pPr>
        <w:pStyle w:val="45"/>
      </w:pPr>
    </w:p>
    <w:p w14:paraId="6EC531BF">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14:paraId="62356B45">
      <w:pPr>
        <w:spacing w:line="460" w:lineRule="exact"/>
        <w:rPr>
          <w:color w:val="000000"/>
        </w:rPr>
      </w:pPr>
      <w:r>
        <w:rPr>
          <w:rFonts w:ascii="宋体" w:hAnsi="宋体"/>
          <w:bCs/>
          <w:color w:val="000000"/>
          <w:sz w:val="24"/>
        </w:rPr>
        <w:t xml:space="preserve">                                   </w:t>
      </w:r>
      <w:r>
        <w:rPr>
          <w:color w:val="000000"/>
        </w:rPr>
        <w:t xml:space="preserve">  </w:t>
      </w:r>
    </w:p>
    <w:p w14:paraId="2A6FA084">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14:paraId="5680F4D9">
      <w:r>
        <w:br w:type="page"/>
      </w:r>
    </w:p>
    <w:p w14:paraId="2418D7D2">
      <w:pPr>
        <w:pStyle w:val="3"/>
        <w:spacing w:line="500" w:lineRule="exact"/>
        <w:rPr>
          <w:rFonts w:ascii="方正小标宋_GBK" w:hAnsi="方正小标宋_GBK" w:eastAsia="方正小标宋_GBK" w:cs="方正小标宋_GBK"/>
          <w:b w:val="0"/>
          <w:bCs w:val="0"/>
          <w:color w:val="000000"/>
          <w:sz w:val="32"/>
          <w:szCs w:val="32"/>
        </w:rPr>
      </w:pPr>
      <w:r>
        <w:rPr>
          <w:rFonts w:hint="eastAsia" w:ascii="方正小标宋_GBK" w:hAnsi="方正小标宋_GBK" w:eastAsia="方正小标宋_GBK" w:cs="方正小标宋_GBK"/>
          <w:b w:val="0"/>
          <w:bCs w:val="0"/>
          <w:color w:val="000000"/>
          <w:sz w:val="32"/>
          <w:szCs w:val="32"/>
        </w:rPr>
        <w:t>参加政府采购活动前 3 年内在经营活动中没有重大违法记录的</w:t>
      </w:r>
    </w:p>
    <w:p w14:paraId="63E9F749">
      <w:pPr>
        <w:pStyle w:val="3"/>
        <w:spacing w:line="500" w:lineRule="exact"/>
        <w:rPr>
          <w:rFonts w:ascii="方正小标宋_GBK" w:hAnsi="方正小标宋_GBK" w:eastAsia="方正小标宋_GBK" w:cs="方正小标宋_GBK"/>
          <w:b w:val="0"/>
          <w:bCs w:val="0"/>
          <w:color w:val="000000"/>
          <w:sz w:val="32"/>
          <w:szCs w:val="32"/>
        </w:rPr>
      </w:pPr>
      <w:r>
        <w:rPr>
          <w:rFonts w:hint="eastAsia" w:ascii="方正小标宋_GBK" w:hAnsi="方正小标宋_GBK" w:eastAsia="方正小标宋_GBK" w:cs="方正小标宋_GBK"/>
          <w:b w:val="0"/>
          <w:bCs w:val="0"/>
          <w:color w:val="000000"/>
          <w:sz w:val="32"/>
          <w:szCs w:val="32"/>
        </w:rPr>
        <w:t>书面声明</w:t>
      </w:r>
    </w:p>
    <w:p w14:paraId="580BADC2">
      <w:pPr>
        <w:jc w:val="left"/>
        <w:rPr>
          <w:color w:val="000000"/>
        </w:rPr>
      </w:pPr>
    </w:p>
    <w:p w14:paraId="215EB2B6">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14:paraId="03345A22">
      <w:pPr>
        <w:spacing w:line="360" w:lineRule="auto"/>
        <w:rPr>
          <w:rFonts w:ascii="宋体" w:hAnsi="宋体"/>
          <w:bCs/>
          <w:color w:val="000000"/>
          <w:sz w:val="24"/>
        </w:rPr>
      </w:pPr>
      <w:r>
        <w:rPr>
          <w:rFonts w:ascii="宋体" w:hAnsi="宋体"/>
          <w:bCs/>
          <w:color w:val="000000"/>
          <w:sz w:val="24"/>
        </w:rPr>
        <w:t xml:space="preserve">                                     </w:t>
      </w:r>
    </w:p>
    <w:p w14:paraId="351DDA83">
      <w:pPr>
        <w:spacing w:line="360" w:lineRule="auto"/>
        <w:rPr>
          <w:rFonts w:ascii="宋体" w:hAnsi="宋体"/>
          <w:bCs/>
          <w:color w:val="000000"/>
          <w:sz w:val="24"/>
        </w:rPr>
      </w:pPr>
    </w:p>
    <w:p w14:paraId="377324DB">
      <w:pPr>
        <w:spacing w:line="360" w:lineRule="auto"/>
        <w:rPr>
          <w:rFonts w:ascii="宋体" w:hAnsi="宋体"/>
          <w:bCs/>
          <w:color w:val="000000"/>
          <w:sz w:val="24"/>
        </w:rPr>
      </w:pPr>
    </w:p>
    <w:p w14:paraId="65AD1F6D">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14:paraId="6EA524C8">
      <w:pPr>
        <w:spacing w:line="360" w:lineRule="auto"/>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ascii="宋体" w:hAnsi="宋体"/>
          <w:bCs/>
          <w:color w:val="000000"/>
          <w:sz w:val="24"/>
        </w:rPr>
        <w:t>______________________</w:t>
      </w:r>
    </w:p>
    <w:p w14:paraId="59CC0612">
      <w:pPr>
        <w:spacing w:line="360" w:lineRule="auto"/>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14:paraId="43CAE1A1">
      <w:pPr>
        <w:spacing w:line="460" w:lineRule="exact"/>
        <w:rPr>
          <w:rFonts w:ascii="宋体" w:hAnsi="宋体"/>
          <w:bCs/>
          <w:color w:val="000000"/>
          <w:sz w:val="24"/>
        </w:rPr>
      </w:pPr>
    </w:p>
    <w:p w14:paraId="02D57136">
      <w:pPr>
        <w:spacing w:line="460" w:lineRule="exact"/>
        <w:rPr>
          <w:rFonts w:ascii="宋体" w:hAnsi="宋体"/>
          <w:bCs/>
          <w:color w:val="000000"/>
          <w:sz w:val="24"/>
        </w:rPr>
      </w:pPr>
    </w:p>
    <w:p w14:paraId="2BC40B24">
      <w:pPr>
        <w:spacing w:line="460" w:lineRule="exact"/>
        <w:rPr>
          <w:rFonts w:ascii="宋体" w:hAnsi="宋体"/>
          <w:bCs/>
          <w:color w:val="000000"/>
          <w:sz w:val="24"/>
        </w:rPr>
      </w:pPr>
    </w:p>
    <w:p w14:paraId="17E8ED29">
      <w:pPr>
        <w:spacing w:line="460" w:lineRule="exact"/>
        <w:rPr>
          <w:rFonts w:ascii="宋体" w:hAnsi="宋体"/>
          <w:bCs/>
          <w:color w:val="000000"/>
          <w:sz w:val="24"/>
        </w:rPr>
      </w:pPr>
    </w:p>
    <w:p w14:paraId="028C695B">
      <w:pPr>
        <w:spacing w:line="460" w:lineRule="exact"/>
        <w:rPr>
          <w:rFonts w:ascii="宋体" w:hAnsi="宋体"/>
          <w:bCs/>
          <w:color w:val="000000"/>
          <w:sz w:val="24"/>
        </w:rPr>
      </w:pPr>
    </w:p>
    <w:p w14:paraId="0298E556">
      <w:pPr>
        <w:spacing w:line="460" w:lineRule="exact"/>
        <w:rPr>
          <w:rFonts w:ascii="宋体" w:hAnsi="宋体"/>
          <w:bCs/>
          <w:color w:val="000000"/>
          <w:sz w:val="24"/>
        </w:rPr>
      </w:pPr>
    </w:p>
    <w:p w14:paraId="0A8CCCEF">
      <w:pPr>
        <w:spacing w:line="460" w:lineRule="exact"/>
        <w:rPr>
          <w:rFonts w:ascii="宋体" w:hAnsi="宋体"/>
          <w:bCs/>
          <w:color w:val="000000"/>
          <w:sz w:val="24"/>
        </w:rPr>
      </w:pPr>
    </w:p>
    <w:p w14:paraId="7611D7E9">
      <w:pPr>
        <w:spacing w:line="460" w:lineRule="exact"/>
        <w:rPr>
          <w:rFonts w:ascii="宋体" w:hAnsi="宋体"/>
          <w:bCs/>
          <w:color w:val="000000"/>
          <w:sz w:val="24"/>
        </w:rPr>
      </w:pPr>
    </w:p>
    <w:p w14:paraId="7A6BC151">
      <w:pPr>
        <w:spacing w:line="460" w:lineRule="exact"/>
        <w:rPr>
          <w:rFonts w:ascii="宋体" w:hAnsi="宋体"/>
          <w:bCs/>
          <w:color w:val="000000"/>
          <w:sz w:val="24"/>
        </w:rPr>
      </w:pPr>
    </w:p>
    <w:p w14:paraId="29ACDED4">
      <w:pPr>
        <w:spacing w:line="460" w:lineRule="exact"/>
        <w:rPr>
          <w:rFonts w:ascii="宋体" w:hAnsi="宋体"/>
          <w:bCs/>
          <w:color w:val="000000"/>
          <w:sz w:val="24"/>
        </w:rPr>
      </w:pPr>
    </w:p>
    <w:p w14:paraId="0FB02B17">
      <w:pPr>
        <w:spacing w:line="460" w:lineRule="exact"/>
        <w:rPr>
          <w:rFonts w:ascii="宋体" w:hAnsi="宋体"/>
          <w:bCs/>
          <w:color w:val="000000"/>
          <w:sz w:val="24"/>
        </w:rPr>
      </w:pPr>
    </w:p>
    <w:p w14:paraId="6363DC25">
      <w:pPr>
        <w:spacing w:line="460" w:lineRule="exact"/>
        <w:rPr>
          <w:rFonts w:ascii="宋体" w:hAnsi="宋体"/>
          <w:bCs/>
          <w:color w:val="000000"/>
          <w:sz w:val="24"/>
        </w:rPr>
      </w:pPr>
    </w:p>
    <w:p w14:paraId="3738A6BC">
      <w:r>
        <w:rPr>
          <w:rFonts w:hint="eastAsia"/>
        </w:rPr>
        <w:br w:type="page"/>
      </w:r>
    </w:p>
    <w:p w14:paraId="0D7ABDF5">
      <w:pPr>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法人授权书</w:t>
      </w:r>
    </w:p>
    <w:p w14:paraId="280E8284"/>
    <w:p w14:paraId="44968903">
      <w:pPr>
        <w:pStyle w:val="99"/>
        <w:spacing w:line="500" w:lineRule="exact"/>
        <w:ind w:firstLine="480"/>
        <w:rPr>
          <w:color w:val="000000"/>
          <w:sz w:val="24"/>
          <w:szCs w:val="24"/>
        </w:rPr>
      </w:pPr>
      <w:r>
        <w:rPr>
          <w:rFonts w:hint="eastAsia"/>
          <w:color w:val="000000"/>
          <w:sz w:val="24"/>
          <w:szCs w:val="24"/>
        </w:rPr>
        <w:t xml:space="preserve">本授权书声明：____________（供应商名称）授权________________（被授权人的姓名）为我方就 </w:t>
      </w:r>
      <w:r>
        <w:rPr>
          <w:rFonts w:hint="eastAsia"/>
          <w:color w:val="000000"/>
          <w:sz w:val="24"/>
          <w:szCs w:val="24"/>
          <w:u w:val="single"/>
        </w:rPr>
        <w:t xml:space="preserve">           </w:t>
      </w:r>
      <w:r>
        <w:rPr>
          <w:rFonts w:hint="eastAsia"/>
          <w:color w:val="000000"/>
          <w:sz w:val="24"/>
          <w:szCs w:val="24"/>
        </w:rPr>
        <w:t>号项目采购活动的合法代理人，以本公司名义全权处理一切与该项目采购有关的事务。</w:t>
      </w:r>
    </w:p>
    <w:p w14:paraId="135DA916">
      <w:pPr>
        <w:pStyle w:val="99"/>
        <w:ind w:firstLine="480"/>
        <w:rPr>
          <w:color w:val="000000"/>
          <w:sz w:val="24"/>
          <w:szCs w:val="24"/>
        </w:rPr>
      </w:pPr>
      <w:r>
        <w:rPr>
          <w:rFonts w:hint="eastAsia"/>
          <w:color w:val="000000"/>
          <w:sz w:val="24"/>
          <w:szCs w:val="24"/>
        </w:rPr>
        <w:t>本授权书于______年____月____日起生效，特此声明。</w:t>
      </w:r>
    </w:p>
    <w:p w14:paraId="62C65DBF">
      <w:pPr>
        <w:pStyle w:val="99"/>
        <w:ind w:firstLine="0" w:firstLineChars="0"/>
        <w:rPr>
          <w:color w:val="000000"/>
          <w:sz w:val="24"/>
          <w:szCs w:val="24"/>
        </w:rPr>
      </w:pPr>
      <w:r>
        <w:rPr>
          <w:rFonts w:hint="eastAsia"/>
          <w:color w:val="000000"/>
          <w:sz w:val="24"/>
          <w:szCs w:val="24"/>
        </w:rPr>
        <w:t xml:space="preserve">    </w:t>
      </w:r>
    </w:p>
    <w:p w14:paraId="7C5D8031">
      <w:pPr>
        <w:pStyle w:val="99"/>
        <w:ind w:firstLine="1080" w:firstLineChars="450"/>
        <w:rPr>
          <w:color w:val="000000"/>
          <w:sz w:val="24"/>
          <w:szCs w:val="24"/>
        </w:rPr>
      </w:pPr>
      <w:r>
        <w:rPr>
          <w:rFonts w:hint="eastAsia"/>
          <w:color w:val="000000"/>
          <w:sz w:val="24"/>
          <w:szCs w:val="24"/>
        </w:rPr>
        <w:t xml:space="preserve"> 代理人（被授权人）：____________________________</w:t>
      </w:r>
    </w:p>
    <w:p w14:paraId="3809DF68">
      <w:pPr>
        <w:pStyle w:val="99"/>
        <w:ind w:firstLine="0" w:firstLineChars="0"/>
        <w:rPr>
          <w:color w:val="000000"/>
          <w:sz w:val="24"/>
          <w:szCs w:val="24"/>
        </w:rPr>
      </w:pPr>
      <w:r>
        <w:rPr>
          <w:rFonts w:hint="eastAsia"/>
          <w:color w:val="000000"/>
          <w:sz w:val="24"/>
          <w:szCs w:val="24"/>
        </w:rPr>
        <w:t xml:space="preserve">          单位名称：_____________________________________</w:t>
      </w:r>
    </w:p>
    <w:p w14:paraId="0D0A2A27">
      <w:pPr>
        <w:pStyle w:val="99"/>
        <w:ind w:firstLine="0" w:firstLineChars="0"/>
        <w:rPr>
          <w:color w:val="000000"/>
          <w:sz w:val="24"/>
          <w:szCs w:val="24"/>
        </w:rPr>
      </w:pPr>
      <w:r>
        <w:rPr>
          <w:rFonts w:hint="eastAsia"/>
          <w:color w:val="000000"/>
          <w:sz w:val="24"/>
          <w:szCs w:val="24"/>
        </w:rPr>
        <w:t xml:space="preserve">          授权单位盖章：_________________________________</w:t>
      </w:r>
    </w:p>
    <w:p w14:paraId="44A91379">
      <w:pPr>
        <w:pStyle w:val="99"/>
        <w:ind w:firstLine="480"/>
        <w:rPr>
          <w:color w:val="000000"/>
          <w:sz w:val="24"/>
          <w:szCs w:val="24"/>
        </w:rPr>
      </w:pPr>
      <w:r>
        <w:rPr>
          <w:rFonts w:hint="eastAsia"/>
          <w:color w:val="000000"/>
          <w:sz w:val="24"/>
          <w:szCs w:val="24"/>
        </w:rPr>
        <w:t xml:space="preserve">      单位名称：_____________________________________</w:t>
      </w:r>
    </w:p>
    <w:p w14:paraId="5FB397C2">
      <w:pPr>
        <w:pStyle w:val="99"/>
        <w:ind w:firstLine="480"/>
        <w:rPr>
          <w:color w:val="000000"/>
          <w:sz w:val="24"/>
          <w:szCs w:val="24"/>
          <w:u w:val="single"/>
        </w:rPr>
      </w:pPr>
      <w:r>
        <w:rPr>
          <w:rFonts w:hint="eastAsia"/>
          <w:color w:val="000000"/>
          <w:sz w:val="24"/>
          <w:szCs w:val="24"/>
        </w:rPr>
        <w:t xml:space="preserve">      地址：</w:t>
      </w:r>
      <w:r>
        <w:rPr>
          <w:rFonts w:hint="eastAsia"/>
          <w:color w:val="000000"/>
          <w:sz w:val="24"/>
          <w:szCs w:val="24"/>
          <w:u w:val="single"/>
        </w:rPr>
        <w:t xml:space="preserve">                                         </w:t>
      </w:r>
    </w:p>
    <w:p w14:paraId="1AFF8818">
      <w:pPr>
        <w:pStyle w:val="99"/>
        <w:ind w:firstLine="480"/>
        <w:rPr>
          <w:color w:val="000000"/>
          <w:sz w:val="24"/>
          <w:szCs w:val="24"/>
        </w:rPr>
      </w:pPr>
      <w:r>
        <w:rPr>
          <w:rFonts w:hint="eastAsia"/>
          <w:color w:val="000000"/>
          <w:sz w:val="24"/>
          <w:szCs w:val="24"/>
        </w:rPr>
        <w:t xml:space="preserve">      日期：</w:t>
      </w:r>
      <w:r>
        <w:rPr>
          <w:rFonts w:hint="eastAsia"/>
          <w:color w:val="000000"/>
          <w:sz w:val="24"/>
          <w:szCs w:val="24"/>
          <w:u w:val="single"/>
        </w:rPr>
        <w:t xml:space="preserve">                                         </w:t>
      </w:r>
    </w:p>
    <w:p w14:paraId="0B394339">
      <w:pPr>
        <w:keepNext/>
        <w:keepLines/>
        <w:spacing w:line="416" w:lineRule="auto"/>
        <w:rPr>
          <w:color w:val="000000"/>
        </w:rPr>
      </w:pPr>
    </w:p>
    <w:p w14:paraId="26DD53FC">
      <w:pPr>
        <w:pStyle w:val="5"/>
        <w:pBdr>
          <w:top w:val="single" w:color="auto" w:sz="4" w:space="1"/>
          <w:left w:val="single" w:color="auto" w:sz="4" w:space="4"/>
          <w:bottom w:val="single" w:color="auto" w:sz="4" w:space="1"/>
          <w:right w:val="single" w:color="auto" w:sz="4" w:space="4"/>
        </w:pBdr>
        <w:rPr>
          <w:color w:val="000000"/>
        </w:rPr>
      </w:pPr>
    </w:p>
    <w:p w14:paraId="5ED6C09C">
      <w:pPr>
        <w:pStyle w:val="5"/>
        <w:pBdr>
          <w:top w:val="single" w:color="auto" w:sz="4" w:space="1"/>
          <w:left w:val="single" w:color="auto" w:sz="4" w:space="4"/>
          <w:bottom w:val="single" w:color="auto" w:sz="4" w:space="1"/>
          <w:right w:val="single" w:color="auto" w:sz="4" w:space="4"/>
        </w:pBdr>
        <w:rPr>
          <w:color w:val="000000"/>
        </w:rPr>
      </w:pPr>
    </w:p>
    <w:p w14:paraId="445DE4A8">
      <w:pPr>
        <w:pStyle w:val="5"/>
        <w:pBdr>
          <w:top w:val="single" w:color="auto" w:sz="4" w:space="1"/>
          <w:left w:val="single" w:color="auto" w:sz="4" w:space="4"/>
          <w:bottom w:val="single" w:color="auto" w:sz="4" w:space="1"/>
          <w:right w:val="single" w:color="auto" w:sz="4" w:space="4"/>
        </w:pBdr>
        <w:rPr>
          <w:color w:val="000000"/>
        </w:rPr>
      </w:pPr>
    </w:p>
    <w:p w14:paraId="372C69DD">
      <w:pPr>
        <w:pStyle w:val="5"/>
        <w:pBdr>
          <w:top w:val="single" w:color="auto" w:sz="4" w:space="1"/>
          <w:left w:val="single" w:color="auto" w:sz="4" w:space="4"/>
          <w:bottom w:val="single" w:color="auto" w:sz="4" w:space="1"/>
          <w:right w:val="single" w:color="auto" w:sz="4" w:space="4"/>
        </w:pBdr>
        <w:rPr>
          <w:color w:val="000000"/>
        </w:rPr>
      </w:pPr>
    </w:p>
    <w:p w14:paraId="3763CC31">
      <w:pPr>
        <w:pBdr>
          <w:top w:val="single" w:color="auto" w:sz="4" w:space="1"/>
          <w:left w:val="single" w:color="auto" w:sz="4" w:space="4"/>
          <w:bottom w:val="single" w:color="auto" w:sz="4" w:space="1"/>
          <w:right w:val="single" w:color="auto" w:sz="4" w:space="4"/>
        </w:pBdr>
        <w:spacing w:line="560" w:lineRule="exact"/>
        <w:ind w:firstLine="1800" w:firstLineChars="750"/>
        <w:rPr>
          <w:rFonts w:ascii="宋体" w:hAnsi="宋体"/>
          <w:color w:val="000000"/>
          <w:sz w:val="24"/>
        </w:rPr>
      </w:pPr>
      <w:r>
        <w:rPr>
          <w:rFonts w:hint="eastAsia" w:ascii="宋体" w:hAnsi="宋体"/>
          <w:color w:val="000000"/>
          <w:sz w:val="24"/>
        </w:rPr>
        <w:t>身份证复印件粘贴处（正反面且须与原件一致）：</w:t>
      </w:r>
    </w:p>
    <w:p w14:paraId="3F4F23AB">
      <w:pPr>
        <w:pBdr>
          <w:top w:val="single" w:color="auto" w:sz="4" w:space="1"/>
          <w:left w:val="single" w:color="auto" w:sz="4" w:space="4"/>
          <w:bottom w:val="single" w:color="auto" w:sz="4" w:space="1"/>
          <w:right w:val="single" w:color="auto" w:sz="4" w:space="4"/>
        </w:pBdr>
        <w:spacing w:line="560" w:lineRule="exact"/>
        <w:rPr>
          <w:rFonts w:ascii="宋体" w:hAnsi="宋体"/>
          <w:color w:val="000000"/>
          <w:sz w:val="24"/>
        </w:rPr>
      </w:pPr>
    </w:p>
    <w:p w14:paraId="6E221836">
      <w:pPr>
        <w:pBdr>
          <w:top w:val="single" w:color="auto" w:sz="4" w:space="1"/>
          <w:left w:val="single" w:color="auto" w:sz="4" w:space="4"/>
          <w:bottom w:val="single" w:color="auto" w:sz="4" w:space="1"/>
          <w:right w:val="single" w:color="auto" w:sz="4" w:space="4"/>
        </w:pBdr>
        <w:spacing w:line="560" w:lineRule="exact"/>
        <w:ind w:firstLine="645"/>
        <w:rPr>
          <w:rFonts w:ascii="宋体" w:hAnsi="宋体"/>
          <w:color w:val="000000"/>
          <w:sz w:val="24"/>
        </w:rPr>
      </w:pPr>
    </w:p>
    <w:p w14:paraId="4B94148B">
      <w:pPr>
        <w:pBdr>
          <w:top w:val="single" w:color="auto" w:sz="4" w:space="1"/>
          <w:left w:val="single" w:color="auto" w:sz="4" w:space="4"/>
          <w:bottom w:val="single" w:color="auto" w:sz="4" w:space="1"/>
          <w:right w:val="single" w:color="auto" w:sz="4" w:space="4"/>
        </w:pBdr>
        <w:spacing w:line="560" w:lineRule="exact"/>
        <w:ind w:firstLine="645"/>
        <w:rPr>
          <w:rFonts w:ascii="宋体" w:hAnsi="宋体"/>
          <w:color w:val="000000"/>
          <w:sz w:val="24"/>
        </w:rPr>
      </w:pPr>
    </w:p>
    <w:p w14:paraId="0EDA180B">
      <w:r>
        <w:rPr>
          <w:rFonts w:hint="eastAsia"/>
        </w:rPr>
        <w:br w:type="page"/>
      </w:r>
    </w:p>
    <w:p w14:paraId="3BAEFF62">
      <w:pPr>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二、资格性审查响应对照表（格式）</w:t>
      </w:r>
    </w:p>
    <w:p w14:paraId="3E4197A4"/>
    <w:p w14:paraId="1F7A74D4">
      <w:pPr>
        <w:ind w:firstLine="309"/>
        <w:rPr>
          <w:rFonts w:ascii="宋体" w:hAnsi="宋体"/>
          <w:color w:val="000000"/>
          <w:sz w:val="24"/>
          <w:szCs w:val="24"/>
        </w:rPr>
      </w:pPr>
      <w:r>
        <w:rPr>
          <w:rFonts w:hint="eastAsia" w:ascii="宋体" w:hAnsi="宋体"/>
          <w:color w:val="000000"/>
          <w:sz w:val="24"/>
          <w:szCs w:val="24"/>
        </w:rPr>
        <w:t>投标人全称（加盖公章）：</w:t>
      </w:r>
    </w:p>
    <w:tbl>
      <w:tblPr>
        <w:tblStyle w:val="46"/>
        <w:tblW w:w="0" w:type="auto"/>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4172"/>
        <w:gridCol w:w="2200"/>
        <w:gridCol w:w="2281"/>
      </w:tblGrid>
      <w:tr w14:paraId="7089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045" w:type="dxa"/>
            <w:vAlign w:val="center"/>
          </w:tcPr>
          <w:p w14:paraId="7F919626">
            <w:pPr>
              <w:snapToGrid w:val="0"/>
              <w:spacing w:line="240" w:lineRule="atLeast"/>
              <w:jc w:val="center"/>
              <w:rPr>
                <w:rFonts w:ascii="宋体" w:hAnsi="宋体" w:cs="宋体"/>
                <w:bCs/>
                <w:color w:val="000000"/>
                <w:sz w:val="24"/>
                <w:szCs w:val="24"/>
              </w:rPr>
            </w:pPr>
            <w:r>
              <w:rPr>
                <w:rFonts w:hint="eastAsia" w:ascii="宋体" w:hAnsi="宋体" w:cs="宋体"/>
                <w:bCs/>
                <w:color w:val="000000"/>
                <w:sz w:val="24"/>
                <w:szCs w:val="24"/>
              </w:rPr>
              <w:t>序号</w:t>
            </w:r>
          </w:p>
        </w:tc>
        <w:tc>
          <w:tcPr>
            <w:tcW w:w="4172" w:type="dxa"/>
            <w:vAlign w:val="center"/>
          </w:tcPr>
          <w:p w14:paraId="75234D36">
            <w:pPr>
              <w:snapToGrid w:val="0"/>
              <w:spacing w:line="240" w:lineRule="atLeast"/>
              <w:jc w:val="center"/>
              <w:rPr>
                <w:rFonts w:ascii="宋体" w:hAnsi="宋体" w:cs="宋体"/>
                <w:bCs/>
                <w:color w:val="000000"/>
                <w:sz w:val="24"/>
                <w:szCs w:val="24"/>
              </w:rPr>
            </w:pPr>
            <w:r>
              <w:rPr>
                <w:rFonts w:hint="eastAsia" w:ascii="宋体" w:hAnsi="宋体" w:cs="宋体"/>
                <w:bCs/>
                <w:color w:val="000000"/>
                <w:sz w:val="24"/>
                <w:szCs w:val="24"/>
              </w:rPr>
              <w:t>资格性审查响应内容</w:t>
            </w:r>
          </w:p>
        </w:tc>
        <w:tc>
          <w:tcPr>
            <w:tcW w:w="2200" w:type="dxa"/>
            <w:vAlign w:val="center"/>
          </w:tcPr>
          <w:p w14:paraId="59134EDD">
            <w:pPr>
              <w:snapToGrid w:val="0"/>
              <w:spacing w:line="240" w:lineRule="atLeast"/>
              <w:jc w:val="center"/>
              <w:rPr>
                <w:rFonts w:ascii="宋体" w:hAnsi="宋体" w:cs="宋体"/>
                <w:bCs/>
                <w:color w:val="000000"/>
                <w:sz w:val="24"/>
                <w:szCs w:val="24"/>
              </w:rPr>
            </w:pPr>
            <w:r>
              <w:rPr>
                <w:rFonts w:hint="eastAsia" w:ascii="宋体" w:hAnsi="宋体" w:cs="宋体"/>
                <w:bCs/>
                <w:color w:val="000000"/>
                <w:sz w:val="24"/>
                <w:szCs w:val="24"/>
              </w:rPr>
              <w:t>是否响应</w:t>
            </w:r>
          </w:p>
          <w:p w14:paraId="5E6C1E8C">
            <w:pPr>
              <w:snapToGrid w:val="0"/>
              <w:spacing w:line="240" w:lineRule="atLeast"/>
              <w:jc w:val="center"/>
              <w:rPr>
                <w:rFonts w:ascii="宋体" w:hAnsi="宋体" w:cs="宋体"/>
                <w:bCs/>
                <w:color w:val="000000"/>
                <w:sz w:val="24"/>
                <w:szCs w:val="24"/>
              </w:rPr>
            </w:pPr>
            <w:r>
              <w:rPr>
                <w:rFonts w:hint="eastAsia" w:ascii="宋体" w:hAnsi="宋体" w:cs="宋体"/>
                <w:bCs/>
                <w:color w:val="000000"/>
                <w:sz w:val="24"/>
                <w:szCs w:val="24"/>
              </w:rPr>
              <w:t>（填是或者否）</w:t>
            </w:r>
          </w:p>
        </w:tc>
        <w:tc>
          <w:tcPr>
            <w:tcW w:w="2281" w:type="dxa"/>
            <w:vAlign w:val="center"/>
          </w:tcPr>
          <w:p w14:paraId="16219B4D">
            <w:pPr>
              <w:snapToGrid w:val="0"/>
              <w:spacing w:line="240" w:lineRule="atLeast"/>
              <w:jc w:val="center"/>
              <w:rPr>
                <w:rFonts w:ascii="宋体" w:hAnsi="宋体" w:cs="宋体"/>
                <w:bCs/>
                <w:color w:val="000000"/>
                <w:sz w:val="24"/>
                <w:szCs w:val="24"/>
              </w:rPr>
            </w:pPr>
            <w:r>
              <w:rPr>
                <w:rFonts w:hint="eastAsia" w:ascii="宋体" w:hAnsi="宋体" w:cs="宋体"/>
                <w:bCs/>
                <w:color w:val="000000"/>
                <w:sz w:val="24"/>
                <w:szCs w:val="24"/>
              </w:rPr>
              <w:t>投标文件中的</w:t>
            </w:r>
          </w:p>
          <w:p w14:paraId="36550190">
            <w:pPr>
              <w:snapToGrid w:val="0"/>
              <w:spacing w:line="240" w:lineRule="atLeast"/>
              <w:jc w:val="center"/>
              <w:rPr>
                <w:rFonts w:ascii="宋体" w:hAnsi="宋体" w:cs="宋体"/>
                <w:bCs/>
                <w:color w:val="000000"/>
                <w:sz w:val="24"/>
                <w:szCs w:val="24"/>
              </w:rPr>
            </w:pPr>
            <w:r>
              <w:rPr>
                <w:rFonts w:hint="eastAsia" w:ascii="宋体" w:hAnsi="宋体" w:cs="宋体"/>
                <w:bCs/>
                <w:color w:val="000000"/>
                <w:sz w:val="24"/>
                <w:szCs w:val="24"/>
              </w:rPr>
              <w:t>页码位置</w:t>
            </w:r>
          </w:p>
        </w:tc>
      </w:tr>
      <w:tr w14:paraId="0508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45" w:type="dxa"/>
            <w:vAlign w:val="center"/>
          </w:tcPr>
          <w:p w14:paraId="58B0711D">
            <w:pPr>
              <w:jc w:val="center"/>
              <w:rPr>
                <w:rFonts w:ascii="宋体" w:hAnsi="宋体" w:cs="宋体"/>
                <w:bCs/>
                <w:color w:val="000000"/>
                <w:sz w:val="24"/>
                <w:szCs w:val="24"/>
              </w:rPr>
            </w:pPr>
            <w:r>
              <w:rPr>
                <w:rFonts w:hint="eastAsia" w:ascii="宋体" w:hAnsi="宋体" w:cs="宋体"/>
                <w:bCs/>
                <w:color w:val="000000"/>
                <w:sz w:val="24"/>
                <w:szCs w:val="24"/>
              </w:rPr>
              <w:t>1</w:t>
            </w:r>
          </w:p>
        </w:tc>
        <w:tc>
          <w:tcPr>
            <w:tcW w:w="4172" w:type="dxa"/>
            <w:vAlign w:val="center"/>
          </w:tcPr>
          <w:p w14:paraId="0E5101CB">
            <w:pPr>
              <w:spacing w:line="480" w:lineRule="exact"/>
              <w:rPr>
                <w:rFonts w:ascii="宋体" w:hAnsi="宋体" w:cs="宋体"/>
                <w:bCs/>
                <w:iCs/>
                <w:color w:val="000000"/>
                <w:sz w:val="24"/>
                <w:szCs w:val="24"/>
              </w:rPr>
            </w:pPr>
          </w:p>
        </w:tc>
        <w:tc>
          <w:tcPr>
            <w:tcW w:w="2200" w:type="dxa"/>
            <w:vAlign w:val="center"/>
          </w:tcPr>
          <w:p w14:paraId="58DC7313">
            <w:pPr>
              <w:rPr>
                <w:rFonts w:ascii="宋体" w:hAnsi="宋体" w:cs="宋体"/>
                <w:bCs/>
                <w:color w:val="000000"/>
                <w:sz w:val="24"/>
                <w:szCs w:val="24"/>
              </w:rPr>
            </w:pPr>
          </w:p>
        </w:tc>
        <w:tc>
          <w:tcPr>
            <w:tcW w:w="2281" w:type="dxa"/>
            <w:vAlign w:val="center"/>
          </w:tcPr>
          <w:p w14:paraId="725BFBF5">
            <w:pPr>
              <w:rPr>
                <w:rFonts w:ascii="宋体" w:hAnsi="宋体" w:cs="宋体"/>
                <w:bCs/>
                <w:color w:val="000000"/>
                <w:sz w:val="24"/>
                <w:szCs w:val="24"/>
              </w:rPr>
            </w:pPr>
          </w:p>
        </w:tc>
      </w:tr>
      <w:tr w14:paraId="374A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45" w:type="dxa"/>
            <w:vAlign w:val="center"/>
          </w:tcPr>
          <w:p w14:paraId="19DB6CB0">
            <w:pPr>
              <w:jc w:val="center"/>
              <w:rPr>
                <w:rFonts w:ascii="宋体" w:hAnsi="宋体" w:cs="宋体"/>
                <w:bCs/>
                <w:color w:val="000000"/>
                <w:sz w:val="24"/>
                <w:szCs w:val="24"/>
              </w:rPr>
            </w:pPr>
            <w:r>
              <w:rPr>
                <w:rFonts w:hint="eastAsia" w:ascii="宋体" w:hAnsi="宋体" w:cs="宋体"/>
                <w:bCs/>
                <w:color w:val="000000"/>
                <w:sz w:val="24"/>
                <w:szCs w:val="24"/>
              </w:rPr>
              <w:t>2</w:t>
            </w:r>
          </w:p>
        </w:tc>
        <w:tc>
          <w:tcPr>
            <w:tcW w:w="4172" w:type="dxa"/>
            <w:vAlign w:val="center"/>
          </w:tcPr>
          <w:p w14:paraId="47606E09">
            <w:pPr>
              <w:spacing w:line="480" w:lineRule="exact"/>
              <w:rPr>
                <w:rFonts w:ascii="宋体" w:hAnsi="宋体" w:cs="宋体"/>
                <w:bCs/>
                <w:iCs/>
                <w:color w:val="000000"/>
                <w:sz w:val="24"/>
                <w:szCs w:val="24"/>
              </w:rPr>
            </w:pPr>
          </w:p>
        </w:tc>
        <w:tc>
          <w:tcPr>
            <w:tcW w:w="2200" w:type="dxa"/>
            <w:vAlign w:val="center"/>
          </w:tcPr>
          <w:p w14:paraId="04911F6E">
            <w:pPr>
              <w:rPr>
                <w:rFonts w:ascii="宋体" w:hAnsi="宋体" w:cs="宋体"/>
                <w:bCs/>
                <w:color w:val="000000"/>
                <w:sz w:val="24"/>
                <w:szCs w:val="24"/>
              </w:rPr>
            </w:pPr>
          </w:p>
        </w:tc>
        <w:tc>
          <w:tcPr>
            <w:tcW w:w="2281" w:type="dxa"/>
            <w:vAlign w:val="center"/>
          </w:tcPr>
          <w:p w14:paraId="50E8FF53">
            <w:pPr>
              <w:rPr>
                <w:rFonts w:ascii="宋体" w:hAnsi="宋体" w:cs="宋体"/>
                <w:bCs/>
                <w:color w:val="000000"/>
                <w:sz w:val="24"/>
                <w:szCs w:val="24"/>
              </w:rPr>
            </w:pPr>
          </w:p>
        </w:tc>
      </w:tr>
      <w:tr w14:paraId="357A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45" w:type="dxa"/>
            <w:vAlign w:val="center"/>
          </w:tcPr>
          <w:p w14:paraId="2E10044D">
            <w:pPr>
              <w:jc w:val="center"/>
              <w:rPr>
                <w:rFonts w:ascii="宋体" w:hAnsi="宋体" w:cs="宋体"/>
                <w:bCs/>
                <w:color w:val="000000"/>
                <w:sz w:val="24"/>
                <w:szCs w:val="24"/>
              </w:rPr>
            </w:pPr>
            <w:r>
              <w:rPr>
                <w:rFonts w:hint="eastAsia" w:ascii="宋体" w:hAnsi="宋体" w:cs="宋体"/>
                <w:bCs/>
                <w:color w:val="000000"/>
                <w:sz w:val="24"/>
                <w:szCs w:val="24"/>
              </w:rPr>
              <w:t>3</w:t>
            </w:r>
          </w:p>
        </w:tc>
        <w:tc>
          <w:tcPr>
            <w:tcW w:w="4172" w:type="dxa"/>
            <w:vAlign w:val="center"/>
          </w:tcPr>
          <w:p w14:paraId="3B7C5789">
            <w:pPr>
              <w:spacing w:line="480" w:lineRule="exact"/>
              <w:rPr>
                <w:rFonts w:ascii="宋体" w:hAnsi="宋体" w:cs="宋体"/>
                <w:bCs/>
                <w:iCs/>
                <w:color w:val="000000"/>
                <w:sz w:val="24"/>
                <w:szCs w:val="24"/>
              </w:rPr>
            </w:pPr>
          </w:p>
        </w:tc>
        <w:tc>
          <w:tcPr>
            <w:tcW w:w="2200" w:type="dxa"/>
            <w:vAlign w:val="center"/>
          </w:tcPr>
          <w:p w14:paraId="1BF11B30">
            <w:pPr>
              <w:rPr>
                <w:rFonts w:ascii="宋体" w:hAnsi="宋体" w:cs="宋体"/>
                <w:bCs/>
                <w:color w:val="000000"/>
                <w:sz w:val="24"/>
                <w:szCs w:val="24"/>
              </w:rPr>
            </w:pPr>
          </w:p>
        </w:tc>
        <w:tc>
          <w:tcPr>
            <w:tcW w:w="2281" w:type="dxa"/>
            <w:vAlign w:val="center"/>
          </w:tcPr>
          <w:p w14:paraId="401CE54E">
            <w:pPr>
              <w:rPr>
                <w:rFonts w:ascii="宋体" w:hAnsi="宋体" w:cs="宋体"/>
                <w:bCs/>
                <w:color w:val="000000"/>
                <w:sz w:val="24"/>
                <w:szCs w:val="24"/>
              </w:rPr>
            </w:pPr>
          </w:p>
        </w:tc>
      </w:tr>
      <w:tr w14:paraId="1A8B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45" w:type="dxa"/>
            <w:vAlign w:val="center"/>
          </w:tcPr>
          <w:p w14:paraId="58D8FE08">
            <w:pPr>
              <w:jc w:val="center"/>
              <w:rPr>
                <w:rFonts w:ascii="宋体" w:hAnsi="宋体" w:cs="宋体"/>
                <w:bCs/>
                <w:color w:val="000000"/>
                <w:sz w:val="24"/>
                <w:szCs w:val="24"/>
              </w:rPr>
            </w:pPr>
            <w:r>
              <w:rPr>
                <w:rFonts w:hint="eastAsia" w:ascii="宋体" w:hAnsi="宋体" w:cs="宋体"/>
                <w:bCs/>
                <w:color w:val="000000"/>
                <w:sz w:val="24"/>
                <w:szCs w:val="24"/>
              </w:rPr>
              <w:t>4</w:t>
            </w:r>
          </w:p>
        </w:tc>
        <w:tc>
          <w:tcPr>
            <w:tcW w:w="4172" w:type="dxa"/>
            <w:vAlign w:val="center"/>
          </w:tcPr>
          <w:p w14:paraId="761D6095">
            <w:pPr>
              <w:spacing w:line="360" w:lineRule="auto"/>
              <w:rPr>
                <w:rFonts w:ascii="宋体" w:hAnsi="宋体" w:cs="宋体"/>
                <w:bCs/>
                <w:iCs/>
                <w:color w:val="000000"/>
                <w:sz w:val="24"/>
                <w:szCs w:val="24"/>
              </w:rPr>
            </w:pPr>
          </w:p>
        </w:tc>
        <w:tc>
          <w:tcPr>
            <w:tcW w:w="2200" w:type="dxa"/>
            <w:vAlign w:val="center"/>
          </w:tcPr>
          <w:p w14:paraId="2121423B">
            <w:pPr>
              <w:rPr>
                <w:rFonts w:ascii="宋体" w:hAnsi="宋体" w:cs="宋体"/>
                <w:bCs/>
                <w:color w:val="000000"/>
                <w:sz w:val="24"/>
                <w:szCs w:val="24"/>
              </w:rPr>
            </w:pPr>
          </w:p>
        </w:tc>
        <w:tc>
          <w:tcPr>
            <w:tcW w:w="2281" w:type="dxa"/>
            <w:vAlign w:val="center"/>
          </w:tcPr>
          <w:p w14:paraId="49E3F61D">
            <w:pPr>
              <w:rPr>
                <w:rFonts w:ascii="宋体" w:hAnsi="宋体" w:cs="宋体"/>
                <w:bCs/>
                <w:color w:val="000000"/>
                <w:sz w:val="24"/>
                <w:szCs w:val="24"/>
              </w:rPr>
            </w:pPr>
          </w:p>
        </w:tc>
      </w:tr>
      <w:tr w14:paraId="546F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45" w:type="dxa"/>
            <w:vAlign w:val="center"/>
          </w:tcPr>
          <w:p w14:paraId="329FF650">
            <w:pPr>
              <w:jc w:val="center"/>
              <w:rPr>
                <w:rFonts w:ascii="宋体" w:hAnsi="宋体" w:cs="宋体"/>
                <w:bCs/>
                <w:color w:val="000000"/>
                <w:sz w:val="24"/>
                <w:szCs w:val="24"/>
              </w:rPr>
            </w:pPr>
            <w:r>
              <w:rPr>
                <w:rFonts w:hint="eastAsia" w:ascii="宋体" w:hAnsi="宋体" w:cs="宋体"/>
                <w:bCs/>
                <w:color w:val="000000"/>
                <w:sz w:val="24"/>
                <w:szCs w:val="24"/>
              </w:rPr>
              <w:t>5</w:t>
            </w:r>
          </w:p>
        </w:tc>
        <w:tc>
          <w:tcPr>
            <w:tcW w:w="4172" w:type="dxa"/>
            <w:vAlign w:val="center"/>
          </w:tcPr>
          <w:p w14:paraId="25FDCE44">
            <w:pPr>
              <w:snapToGrid w:val="0"/>
              <w:spacing w:line="590" w:lineRule="atLeast"/>
              <w:rPr>
                <w:rFonts w:ascii="宋体" w:hAnsi="宋体" w:cs="宋体"/>
                <w:bCs/>
                <w:iCs/>
                <w:color w:val="000000"/>
                <w:sz w:val="24"/>
                <w:szCs w:val="24"/>
              </w:rPr>
            </w:pPr>
          </w:p>
        </w:tc>
        <w:tc>
          <w:tcPr>
            <w:tcW w:w="2200" w:type="dxa"/>
            <w:vAlign w:val="center"/>
          </w:tcPr>
          <w:p w14:paraId="4D90DE8D">
            <w:pPr>
              <w:rPr>
                <w:rFonts w:ascii="宋体" w:hAnsi="宋体" w:cs="宋体"/>
                <w:bCs/>
                <w:color w:val="000000"/>
                <w:sz w:val="24"/>
                <w:szCs w:val="24"/>
              </w:rPr>
            </w:pPr>
          </w:p>
        </w:tc>
        <w:tc>
          <w:tcPr>
            <w:tcW w:w="2281" w:type="dxa"/>
            <w:vAlign w:val="center"/>
          </w:tcPr>
          <w:p w14:paraId="0B7C93E6">
            <w:pPr>
              <w:rPr>
                <w:rFonts w:ascii="宋体" w:hAnsi="宋体" w:cs="宋体"/>
                <w:bCs/>
                <w:color w:val="000000"/>
                <w:sz w:val="24"/>
                <w:szCs w:val="24"/>
              </w:rPr>
            </w:pPr>
          </w:p>
        </w:tc>
      </w:tr>
      <w:tr w14:paraId="32E7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45" w:type="dxa"/>
            <w:vAlign w:val="center"/>
          </w:tcPr>
          <w:p w14:paraId="58B7616F">
            <w:pPr>
              <w:jc w:val="center"/>
              <w:rPr>
                <w:rFonts w:ascii="宋体" w:hAnsi="宋体" w:cs="宋体"/>
                <w:bCs/>
                <w:color w:val="000000"/>
                <w:sz w:val="24"/>
                <w:szCs w:val="24"/>
              </w:rPr>
            </w:pPr>
            <w:r>
              <w:rPr>
                <w:rFonts w:hint="eastAsia" w:ascii="宋体" w:hAnsi="宋体" w:cs="宋体"/>
                <w:bCs/>
                <w:color w:val="000000"/>
                <w:sz w:val="24"/>
                <w:szCs w:val="24"/>
              </w:rPr>
              <w:t>6</w:t>
            </w:r>
          </w:p>
        </w:tc>
        <w:tc>
          <w:tcPr>
            <w:tcW w:w="4172" w:type="dxa"/>
            <w:vAlign w:val="center"/>
          </w:tcPr>
          <w:p w14:paraId="4D2D11A1">
            <w:pPr>
              <w:snapToGrid w:val="0"/>
              <w:spacing w:line="590" w:lineRule="atLeast"/>
              <w:rPr>
                <w:rFonts w:ascii="宋体" w:hAnsi="宋体" w:cs="宋体"/>
                <w:bCs/>
                <w:iCs/>
                <w:color w:val="000000"/>
                <w:sz w:val="24"/>
                <w:szCs w:val="24"/>
              </w:rPr>
            </w:pPr>
          </w:p>
        </w:tc>
        <w:tc>
          <w:tcPr>
            <w:tcW w:w="2200" w:type="dxa"/>
            <w:vAlign w:val="center"/>
          </w:tcPr>
          <w:p w14:paraId="2D19E026">
            <w:pPr>
              <w:rPr>
                <w:rFonts w:ascii="宋体" w:hAnsi="宋体" w:cs="宋体"/>
                <w:bCs/>
                <w:color w:val="000000"/>
                <w:sz w:val="24"/>
                <w:szCs w:val="24"/>
              </w:rPr>
            </w:pPr>
          </w:p>
        </w:tc>
        <w:tc>
          <w:tcPr>
            <w:tcW w:w="2281" w:type="dxa"/>
            <w:vAlign w:val="center"/>
          </w:tcPr>
          <w:p w14:paraId="196504EF">
            <w:pPr>
              <w:rPr>
                <w:rFonts w:ascii="宋体" w:hAnsi="宋体" w:cs="宋体"/>
                <w:bCs/>
                <w:color w:val="000000"/>
                <w:sz w:val="24"/>
                <w:szCs w:val="24"/>
              </w:rPr>
            </w:pPr>
          </w:p>
        </w:tc>
      </w:tr>
      <w:tr w14:paraId="181B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45" w:type="dxa"/>
            <w:vAlign w:val="center"/>
          </w:tcPr>
          <w:p w14:paraId="392D5DFF">
            <w:pPr>
              <w:jc w:val="center"/>
              <w:rPr>
                <w:rFonts w:ascii="宋体" w:hAnsi="宋体" w:cs="宋体"/>
                <w:bCs/>
                <w:color w:val="000000"/>
                <w:sz w:val="24"/>
                <w:szCs w:val="24"/>
              </w:rPr>
            </w:pPr>
            <w:r>
              <w:rPr>
                <w:rFonts w:hint="eastAsia" w:ascii="宋体" w:hAnsi="宋体" w:cs="宋体"/>
                <w:bCs/>
                <w:color w:val="000000"/>
                <w:sz w:val="24"/>
                <w:szCs w:val="24"/>
              </w:rPr>
              <w:t>7</w:t>
            </w:r>
          </w:p>
        </w:tc>
        <w:tc>
          <w:tcPr>
            <w:tcW w:w="4172" w:type="dxa"/>
            <w:vAlign w:val="center"/>
          </w:tcPr>
          <w:p w14:paraId="7BC54815">
            <w:pPr>
              <w:snapToGrid w:val="0"/>
              <w:spacing w:line="590" w:lineRule="atLeast"/>
              <w:rPr>
                <w:rFonts w:ascii="宋体" w:hAnsi="宋体" w:cs="宋体"/>
                <w:bCs/>
                <w:iCs/>
                <w:color w:val="000000"/>
                <w:sz w:val="24"/>
                <w:szCs w:val="24"/>
              </w:rPr>
            </w:pPr>
          </w:p>
        </w:tc>
        <w:tc>
          <w:tcPr>
            <w:tcW w:w="2200" w:type="dxa"/>
            <w:vAlign w:val="center"/>
          </w:tcPr>
          <w:p w14:paraId="15C6D8C9">
            <w:pPr>
              <w:rPr>
                <w:rFonts w:ascii="宋体" w:hAnsi="宋体" w:cs="宋体"/>
                <w:bCs/>
                <w:color w:val="000000"/>
                <w:sz w:val="24"/>
                <w:szCs w:val="24"/>
              </w:rPr>
            </w:pPr>
          </w:p>
        </w:tc>
        <w:tc>
          <w:tcPr>
            <w:tcW w:w="2281" w:type="dxa"/>
            <w:vAlign w:val="center"/>
          </w:tcPr>
          <w:p w14:paraId="3B3A0BCB">
            <w:pPr>
              <w:rPr>
                <w:rFonts w:ascii="宋体" w:hAnsi="宋体" w:cs="宋体"/>
                <w:bCs/>
                <w:color w:val="000000"/>
                <w:sz w:val="24"/>
                <w:szCs w:val="24"/>
              </w:rPr>
            </w:pPr>
          </w:p>
        </w:tc>
      </w:tr>
    </w:tbl>
    <w:p w14:paraId="3B99E1CC">
      <w:pPr>
        <w:spacing w:line="440" w:lineRule="exact"/>
        <w:ind w:firstLine="480" w:firstLineChars="200"/>
        <w:rPr>
          <w:rFonts w:ascii="宋体" w:hAnsi="宋体"/>
          <w:color w:val="000000"/>
          <w:sz w:val="24"/>
        </w:rPr>
      </w:pPr>
    </w:p>
    <w:p w14:paraId="773E7E92">
      <w:pPr>
        <w:snapToGrid w:val="0"/>
        <w:spacing w:before="50" w:after="50"/>
        <w:rPr>
          <w:rFonts w:ascii="黑体" w:eastAsia="黑体"/>
          <w:color w:val="000000"/>
          <w:sz w:val="44"/>
        </w:rPr>
      </w:pPr>
      <w:r>
        <w:rPr>
          <w:rFonts w:hint="eastAsia" w:ascii="黑体" w:eastAsia="黑体"/>
          <w:color w:val="000000"/>
          <w:sz w:val="44"/>
        </w:rPr>
        <w:t xml:space="preserve"> </w:t>
      </w:r>
    </w:p>
    <w:p w14:paraId="3A9DB9A7">
      <w:r>
        <w:br w:type="page"/>
      </w:r>
    </w:p>
    <w:p w14:paraId="3A6D829D">
      <w:pPr>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三、符合性检查响应对照表（格式）</w:t>
      </w:r>
    </w:p>
    <w:p w14:paraId="2D646B13"/>
    <w:p w14:paraId="0D4BA297">
      <w:pPr>
        <w:ind w:firstLine="309"/>
        <w:rPr>
          <w:rFonts w:ascii="宋体" w:hAnsi="宋体"/>
          <w:color w:val="000000"/>
          <w:sz w:val="24"/>
          <w:szCs w:val="24"/>
        </w:rPr>
      </w:pPr>
      <w:r>
        <w:rPr>
          <w:rFonts w:hint="eastAsia" w:ascii="宋体" w:hAnsi="宋体"/>
          <w:color w:val="000000"/>
          <w:sz w:val="24"/>
          <w:szCs w:val="24"/>
        </w:rPr>
        <w:t>投标人全称（加盖公章）：</w:t>
      </w:r>
    </w:p>
    <w:tbl>
      <w:tblPr>
        <w:tblStyle w:val="46"/>
        <w:tblW w:w="0" w:type="auto"/>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804"/>
        <w:gridCol w:w="2246"/>
        <w:gridCol w:w="2556"/>
      </w:tblGrid>
      <w:tr w14:paraId="0CFE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000" w:type="dxa"/>
            <w:vAlign w:val="center"/>
          </w:tcPr>
          <w:p w14:paraId="1B2AC362">
            <w:pPr>
              <w:snapToGrid w:val="0"/>
              <w:spacing w:line="240" w:lineRule="atLeast"/>
              <w:jc w:val="center"/>
              <w:rPr>
                <w:rFonts w:ascii="宋体" w:hAnsi="宋体" w:cs="宋体"/>
                <w:bCs/>
                <w:color w:val="000000"/>
                <w:sz w:val="24"/>
                <w:szCs w:val="24"/>
              </w:rPr>
            </w:pPr>
            <w:r>
              <w:rPr>
                <w:rFonts w:hint="eastAsia" w:ascii="宋体" w:hAnsi="宋体" w:cs="宋体"/>
                <w:bCs/>
                <w:color w:val="000000"/>
                <w:sz w:val="24"/>
                <w:szCs w:val="24"/>
              </w:rPr>
              <w:t>序号</w:t>
            </w:r>
          </w:p>
        </w:tc>
        <w:tc>
          <w:tcPr>
            <w:tcW w:w="3804" w:type="dxa"/>
            <w:vAlign w:val="center"/>
          </w:tcPr>
          <w:p w14:paraId="6BAD2E1F">
            <w:pPr>
              <w:snapToGrid w:val="0"/>
              <w:spacing w:line="240" w:lineRule="atLeast"/>
              <w:jc w:val="center"/>
              <w:rPr>
                <w:rFonts w:ascii="宋体" w:hAnsi="宋体" w:cs="宋体"/>
                <w:bCs/>
                <w:color w:val="000000"/>
                <w:sz w:val="24"/>
                <w:szCs w:val="24"/>
              </w:rPr>
            </w:pPr>
            <w:r>
              <w:rPr>
                <w:rFonts w:hint="eastAsia" w:ascii="宋体" w:hAnsi="宋体" w:cs="宋体"/>
                <w:bCs/>
                <w:color w:val="000000"/>
                <w:sz w:val="24"/>
                <w:szCs w:val="24"/>
              </w:rPr>
              <w:t>符合性检查响应内容</w:t>
            </w:r>
          </w:p>
        </w:tc>
        <w:tc>
          <w:tcPr>
            <w:tcW w:w="2246" w:type="dxa"/>
            <w:vAlign w:val="center"/>
          </w:tcPr>
          <w:p w14:paraId="41376D15">
            <w:pPr>
              <w:snapToGrid w:val="0"/>
              <w:spacing w:line="240" w:lineRule="atLeast"/>
              <w:jc w:val="center"/>
              <w:rPr>
                <w:rFonts w:ascii="宋体" w:hAnsi="宋体" w:cs="宋体"/>
                <w:bCs/>
                <w:color w:val="000000"/>
                <w:sz w:val="24"/>
                <w:szCs w:val="24"/>
              </w:rPr>
            </w:pPr>
            <w:r>
              <w:rPr>
                <w:rFonts w:hint="eastAsia" w:ascii="宋体" w:hAnsi="宋体" w:cs="宋体"/>
                <w:bCs/>
                <w:color w:val="000000"/>
                <w:sz w:val="24"/>
                <w:szCs w:val="24"/>
              </w:rPr>
              <w:t>是否响应</w:t>
            </w:r>
          </w:p>
          <w:p w14:paraId="6CDED1E7">
            <w:pPr>
              <w:snapToGrid w:val="0"/>
              <w:spacing w:line="240" w:lineRule="atLeast"/>
              <w:jc w:val="center"/>
              <w:rPr>
                <w:rFonts w:ascii="宋体" w:hAnsi="宋体" w:cs="宋体"/>
                <w:bCs/>
                <w:color w:val="000000"/>
                <w:sz w:val="24"/>
                <w:szCs w:val="24"/>
              </w:rPr>
            </w:pPr>
            <w:r>
              <w:rPr>
                <w:rFonts w:hint="eastAsia" w:ascii="宋体" w:hAnsi="宋体" w:cs="宋体"/>
                <w:bCs/>
                <w:color w:val="000000"/>
                <w:sz w:val="24"/>
                <w:szCs w:val="24"/>
              </w:rPr>
              <w:t>（填是或者否）</w:t>
            </w:r>
          </w:p>
        </w:tc>
        <w:tc>
          <w:tcPr>
            <w:tcW w:w="2556" w:type="dxa"/>
            <w:vAlign w:val="center"/>
          </w:tcPr>
          <w:p w14:paraId="6C185C02">
            <w:pPr>
              <w:snapToGrid w:val="0"/>
              <w:spacing w:line="240" w:lineRule="atLeast"/>
              <w:jc w:val="center"/>
              <w:rPr>
                <w:rFonts w:ascii="宋体" w:hAnsi="宋体" w:cs="宋体"/>
                <w:bCs/>
                <w:color w:val="000000"/>
                <w:sz w:val="24"/>
                <w:szCs w:val="24"/>
              </w:rPr>
            </w:pPr>
            <w:r>
              <w:rPr>
                <w:rFonts w:hint="eastAsia" w:ascii="宋体" w:hAnsi="宋体" w:cs="宋体"/>
                <w:bCs/>
                <w:color w:val="000000"/>
                <w:sz w:val="24"/>
                <w:szCs w:val="24"/>
              </w:rPr>
              <w:t>投标文件中的</w:t>
            </w:r>
          </w:p>
          <w:p w14:paraId="4A892FA3">
            <w:pPr>
              <w:snapToGrid w:val="0"/>
              <w:spacing w:line="240" w:lineRule="atLeast"/>
              <w:jc w:val="center"/>
              <w:rPr>
                <w:rFonts w:ascii="宋体" w:hAnsi="宋体" w:cs="宋体"/>
                <w:bCs/>
                <w:color w:val="000000"/>
                <w:sz w:val="24"/>
                <w:szCs w:val="24"/>
              </w:rPr>
            </w:pPr>
            <w:r>
              <w:rPr>
                <w:rFonts w:hint="eastAsia" w:ascii="宋体" w:hAnsi="宋体" w:cs="宋体"/>
                <w:bCs/>
                <w:color w:val="000000"/>
                <w:sz w:val="24"/>
                <w:szCs w:val="24"/>
              </w:rPr>
              <w:t>页码位置</w:t>
            </w:r>
          </w:p>
        </w:tc>
      </w:tr>
      <w:tr w14:paraId="3D6B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00" w:type="dxa"/>
            <w:vAlign w:val="center"/>
          </w:tcPr>
          <w:p w14:paraId="06A57977">
            <w:pPr>
              <w:jc w:val="center"/>
              <w:rPr>
                <w:rFonts w:ascii="宋体" w:hAnsi="宋体" w:cs="宋体"/>
                <w:bCs/>
                <w:color w:val="000000"/>
                <w:sz w:val="24"/>
                <w:szCs w:val="24"/>
              </w:rPr>
            </w:pPr>
            <w:r>
              <w:rPr>
                <w:rFonts w:hint="eastAsia" w:ascii="宋体" w:hAnsi="宋体" w:cs="宋体"/>
                <w:bCs/>
                <w:color w:val="000000"/>
                <w:sz w:val="24"/>
                <w:szCs w:val="24"/>
              </w:rPr>
              <w:t>1</w:t>
            </w:r>
          </w:p>
        </w:tc>
        <w:tc>
          <w:tcPr>
            <w:tcW w:w="3804" w:type="dxa"/>
            <w:vAlign w:val="center"/>
          </w:tcPr>
          <w:p w14:paraId="4B12FDDC">
            <w:pPr>
              <w:spacing w:line="480" w:lineRule="exact"/>
              <w:rPr>
                <w:rFonts w:ascii="宋体" w:hAnsi="宋体" w:cs="宋体"/>
                <w:bCs/>
                <w:iCs/>
                <w:color w:val="000000"/>
                <w:sz w:val="24"/>
                <w:szCs w:val="24"/>
              </w:rPr>
            </w:pPr>
          </w:p>
        </w:tc>
        <w:tc>
          <w:tcPr>
            <w:tcW w:w="2246" w:type="dxa"/>
            <w:vAlign w:val="center"/>
          </w:tcPr>
          <w:p w14:paraId="26E371F1">
            <w:pPr>
              <w:rPr>
                <w:rFonts w:ascii="宋体" w:hAnsi="宋体" w:cs="宋体"/>
                <w:bCs/>
                <w:color w:val="000000"/>
                <w:sz w:val="24"/>
                <w:szCs w:val="24"/>
              </w:rPr>
            </w:pPr>
          </w:p>
        </w:tc>
        <w:tc>
          <w:tcPr>
            <w:tcW w:w="2556" w:type="dxa"/>
            <w:vAlign w:val="center"/>
          </w:tcPr>
          <w:p w14:paraId="1A5AA2E0">
            <w:pPr>
              <w:rPr>
                <w:rFonts w:ascii="宋体" w:hAnsi="宋体" w:cs="宋体"/>
                <w:bCs/>
                <w:color w:val="000000"/>
                <w:sz w:val="24"/>
                <w:szCs w:val="24"/>
              </w:rPr>
            </w:pPr>
          </w:p>
        </w:tc>
      </w:tr>
      <w:tr w14:paraId="22A9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00" w:type="dxa"/>
            <w:vAlign w:val="center"/>
          </w:tcPr>
          <w:p w14:paraId="746C22EC">
            <w:pPr>
              <w:jc w:val="center"/>
              <w:rPr>
                <w:rFonts w:ascii="宋体" w:hAnsi="宋体" w:cs="宋体"/>
                <w:bCs/>
                <w:color w:val="000000"/>
                <w:sz w:val="24"/>
                <w:szCs w:val="24"/>
              </w:rPr>
            </w:pPr>
            <w:r>
              <w:rPr>
                <w:rFonts w:hint="eastAsia" w:ascii="宋体" w:hAnsi="宋体" w:cs="宋体"/>
                <w:bCs/>
                <w:color w:val="000000"/>
                <w:sz w:val="24"/>
                <w:szCs w:val="24"/>
              </w:rPr>
              <w:t>2</w:t>
            </w:r>
          </w:p>
        </w:tc>
        <w:tc>
          <w:tcPr>
            <w:tcW w:w="3804" w:type="dxa"/>
            <w:vAlign w:val="center"/>
          </w:tcPr>
          <w:p w14:paraId="018DAA71">
            <w:pPr>
              <w:spacing w:line="480" w:lineRule="exact"/>
              <w:rPr>
                <w:rFonts w:ascii="宋体" w:hAnsi="宋体" w:cs="宋体"/>
                <w:bCs/>
                <w:iCs/>
                <w:color w:val="000000"/>
                <w:sz w:val="24"/>
                <w:szCs w:val="24"/>
              </w:rPr>
            </w:pPr>
          </w:p>
        </w:tc>
        <w:tc>
          <w:tcPr>
            <w:tcW w:w="2246" w:type="dxa"/>
            <w:vAlign w:val="center"/>
          </w:tcPr>
          <w:p w14:paraId="0B346B0F">
            <w:pPr>
              <w:rPr>
                <w:rFonts w:ascii="宋体" w:hAnsi="宋体" w:cs="宋体"/>
                <w:bCs/>
                <w:color w:val="000000"/>
                <w:sz w:val="24"/>
                <w:szCs w:val="24"/>
              </w:rPr>
            </w:pPr>
          </w:p>
        </w:tc>
        <w:tc>
          <w:tcPr>
            <w:tcW w:w="2556" w:type="dxa"/>
            <w:vAlign w:val="center"/>
          </w:tcPr>
          <w:p w14:paraId="2B7DAF45">
            <w:pPr>
              <w:rPr>
                <w:rFonts w:ascii="宋体" w:hAnsi="宋体" w:cs="宋体"/>
                <w:bCs/>
                <w:color w:val="000000"/>
                <w:sz w:val="24"/>
                <w:szCs w:val="24"/>
              </w:rPr>
            </w:pPr>
          </w:p>
        </w:tc>
      </w:tr>
      <w:tr w14:paraId="1C65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00" w:type="dxa"/>
            <w:vAlign w:val="center"/>
          </w:tcPr>
          <w:p w14:paraId="48B2162F">
            <w:pPr>
              <w:jc w:val="center"/>
              <w:rPr>
                <w:rFonts w:ascii="宋体" w:hAnsi="宋体" w:cs="宋体"/>
                <w:bCs/>
                <w:color w:val="000000"/>
                <w:sz w:val="24"/>
                <w:szCs w:val="24"/>
              </w:rPr>
            </w:pPr>
            <w:r>
              <w:rPr>
                <w:rFonts w:hint="eastAsia" w:ascii="宋体" w:hAnsi="宋体" w:cs="宋体"/>
                <w:bCs/>
                <w:color w:val="000000"/>
                <w:sz w:val="24"/>
                <w:szCs w:val="24"/>
              </w:rPr>
              <w:t>3</w:t>
            </w:r>
          </w:p>
        </w:tc>
        <w:tc>
          <w:tcPr>
            <w:tcW w:w="3804" w:type="dxa"/>
            <w:vAlign w:val="center"/>
          </w:tcPr>
          <w:p w14:paraId="6EB43223">
            <w:pPr>
              <w:spacing w:line="480" w:lineRule="exact"/>
              <w:rPr>
                <w:rFonts w:ascii="宋体" w:hAnsi="宋体" w:cs="宋体"/>
                <w:bCs/>
                <w:iCs/>
                <w:color w:val="000000"/>
                <w:sz w:val="24"/>
                <w:szCs w:val="24"/>
              </w:rPr>
            </w:pPr>
          </w:p>
        </w:tc>
        <w:tc>
          <w:tcPr>
            <w:tcW w:w="2246" w:type="dxa"/>
            <w:vAlign w:val="center"/>
          </w:tcPr>
          <w:p w14:paraId="239FCFE7">
            <w:pPr>
              <w:rPr>
                <w:rFonts w:ascii="宋体" w:hAnsi="宋体" w:cs="宋体"/>
                <w:bCs/>
                <w:color w:val="000000"/>
                <w:sz w:val="24"/>
                <w:szCs w:val="24"/>
              </w:rPr>
            </w:pPr>
          </w:p>
        </w:tc>
        <w:tc>
          <w:tcPr>
            <w:tcW w:w="2556" w:type="dxa"/>
            <w:vAlign w:val="center"/>
          </w:tcPr>
          <w:p w14:paraId="6996431B">
            <w:pPr>
              <w:rPr>
                <w:rFonts w:ascii="宋体" w:hAnsi="宋体" w:cs="宋体"/>
                <w:bCs/>
                <w:color w:val="000000"/>
                <w:sz w:val="24"/>
                <w:szCs w:val="24"/>
              </w:rPr>
            </w:pPr>
          </w:p>
        </w:tc>
      </w:tr>
      <w:tr w14:paraId="5552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00" w:type="dxa"/>
            <w:vAlign w:val="center"/>
          </w:tcPr>
          <w:p w14:paraId="44082398">
            <w:pPr>
              <w:jc w:val="center"/>
              <w:rPr>
                <w:rFonts w:ascii="宋体" w:hAnsi="宋体" w:cs="宋体"/>
                <w:bCs/>
                <w:color w:val="000000"/>
                <w:sz w:val="24"/>
                <w:szCs w:val="24"/>
              </w:rPr>
            </w:pPr>
            <w:r>
              <w:rPr>
                <w:rFonts w:hint="eastAsia" w:ascii="宋体" w:hAnsi="宋体" w:cs="宋体"/>
                <w:bCs/>
                <w:color w:val="000000"/>
                <w:sz w:val="24"/>
                <w:szCs w:val="24"/>
              </w:rPr>
              <w:t>4</w:t>
            </w:r>
          </w:p>
        </w:tc>
        <w:tc>
          <w:tcPr>
            <w:tcW w:w="3804" w:type="dxa"/>
            <w:vAlign w:val="center"/>
          </w:tcPr>
          <w:p w14:paraId="1103D2B3">
            <w:pPr>
              <w:spacing w:line="360" w:lineRule="auto"/>
              <w:rPr>
                <w:rFonts w:ascii="宋体" w:hAnsi="宋体" w:cs="宋体"/>
                <w:bCs/>
                <w:iCs/>
                <w:color w:val="000000"/>
                <w:sz w:val="24"/>
                <w:szCs w:val="24"/>
              </w:rPr>
            </w:pPr>
          </w:p>
        </w:tc>
        <w:tc>
          <w:tcPr>
            <w:tcW w:w="2246" w:type="dxa"/>
            <w:vAlign w:val="center"/>
          </w:tcPr>
          <w:p w14:paraId="2466E292">
            <w:pPr>
              <w:rPr>
                <w:rFonts w:ascii="宋体" w:hAnsi="宋体" w:cs="宋体"/>
                <w:bCs/>
                <w:color w:val="000000"/>
                <w:sz w:val="24"/>
                <w:szCs w:val="24"/>
              </w:rPr>
            </w:pPr>
          </w:p>
        </w:tc>
        <w:tc>
          <w:tcPr>
            <w:tcW w:w="2556" w:type="dxa"/>
            <w:vAlign w:val="center"/>
          </w:tcPr>
          <w:p w14:paraId="752E7D75">
            <w:pPr>
              <w:rPr>
                <w:rFonts w:ascii="宋体" w:hAnsi="宋体" w:cs="宋体"/>
                <w:bCs/>
                <w:color w:val="000000"/>
                <w:sz w:val="24"/>
                <w:szCs w:val="24"/>
              </w:rPr>
            </w:pPr>
          </w:p>
        </w:tc>
      </w:tr>
      <w:tr w14:paraId="3F6D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00" w:type="dxa"/>
            <w:vAlign w:val="center"/>
          </w:tcPr>
          <w:p w14:paraId="094783EF">
            <w:pPr>
              <w:jc w:val="center"/>
              <w:rPr>
                <w:rFonts w:ascii="宋体" w:hAnsi="宋体" w:cs="宋体"/>
                <w:bCs/>
                <w:color w:val="000000"/>
                <w:sz w:val="24"/>
                <w:szCs w:val="24"/>
              </w:rPr>
            </w:pPr>
            <w:r>
              <w:rPr>
                <w:rFonts w:hint="eastAsia" w:ascii="宋体" w:hAnsi="宋体" w:cs="宋体"/>
                <w:bCs/>
                <w:color w:val="000000"/>
                <w:sz w:val="24"/>
                <w:szCs w:val="24"/>
              </w:rPr>
              <w:t>5</w:t>
            </w:r>
          </w:p>
        </w:tc>
        <w:tc>
          <w:tcPr>
            <w:tcW w:w="3804" w:type="dxa"/>
            <w:vAlign w:val="center"/>
          </w:tcPr>
          <w:p w14:paraId="180213F3">
            <w:pPr>
              <w:snapToGrid w:val="0"/>
              <w:spacing w:line="590" w:lineRule="atLeast"/>
              <w:rPr>
                <w:rFonts w:ascii="宋体" w:hAnsi="宋体" w:cs="宋体"/>
                <w:bCs/>
                <w:iCs/>
                <w:color w:val="000000"/>
                <w:sz w:val="24"/>
                <w:szCs w:val="24"/>
              </w:rPr>
            </w:pPr>
          </w:p>
        </w:tc>
        <w:tc>
          <w:tcPr>
            <w:tcW w:w="2246" w:type="dxa"/>
            <w:vAlign w:val="center"/>
          </w:tcPr>
          <w:p w14:paraId="41FAE230">
            <w:pPr>
              <w:rPr>
                <w:rFonts w:ascii="宋体" w:hAnsi="宋体" w:cs="宋体"/>
                <w:bCs/>
                <w:color w:val="000000"/>
                <w:sz w:val="24"/>
                <w:szCs w:val="24"/>
              </w:rPr>
            </w:pPr>
          </w:p>
        </w:tc>
        <w:tc>
          <w:tcPr>
            <w:tcW w:w="2556" w:type="dxa"/>
            <w:vAlign w:val="center"/>
          </w:tcPr>
          <w:p w14:paraId="57B2BF43">
            <w:pPr>
              <w:rPr>
                <w:rFonts w:ascii="宋体" w:hAnsi="宋体" w:cs="宋体"/>
                <w:bCs/>
                <w:color w:val="000000"/>
                <w:sz w:val="24"/>
                <w:szCs w:val="24"/>
              </w:rPr>
            </w:pPr>
          </w:p>
        </w:tc>
      </w:tr>
      <w:tr w14:paraId="70F1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00" w:type="dxa"/>
            <w:vAlign w:val="center"/>
          </w:tcPr>
          <w:p w14:paraId="2609F882">
            <w:pPr>
              <w:jc w:val="center"/>
              <w:rPr>
                <w:rFonts w:ascii="宋体" w:hAnsi="宋体" w:cs="宋体"/>
                <w:bCs/>
                <w:color w:val="000000"/>
                <w:sz w:val="24"/>
                <w:szCs w:val="24"/>
              </w:rPr>
            </w:pPr>
            <w:r>
              <w:rPr>
                <w:rFonts w:hint="eastAsia" w:ascii="宋体" w:hAnsi="宋体" w:cs="宋体"/>
                <w:bCs/>
                <w:color w:val="000000"/>
                <w:sz w:val="24"/>
                <w:szCs w:val="24"/>
              </w:rPr>
              <w:t>6</w:t>
            </w:r>
          </w:p>
        </w:tc>
        <w:tc>
          <w:tcPr>
            <w:tcW w:w="3804" w:type="dxa"/>
            <w:vAlign w:val="center"/>
          </w:tcPr>
          <w:p w14:paraId="5253A91C">
            <w:pPr>
              <w:snapToGrid w:val="0"/>
              <w:spacing w:line="590" w:lineRule="atLeast"/>
              <w:rPr>
                <w:rFonts w:ascii="宋体" w:hAnsi="宋体" w:cs="宋体"/>
                <w:bCs/>
                <w:iCs/>
                <w:color w:val="000000"/>
                <w:sz w:val="24"/>
                <w:szCs w:val="24"/>
              </w:rPr>
            </w:pPr>
          </w:p>
        </w:tc>
        <w:tc>
          <w:tcPr>
            <w:tcW w:w="2246" w:type="dxa"/>
            <w:vAlign w:val="center"/>
          </w:tcPr>
          <w:p w14:paraId="585EA52E">
            <w:pPr>
              <w:rPr>
                <w:rFonts w:ascii="宋体" w:hAnsi="宋体" w:cs="宋体"/>
                <w:bCs/>
                <w:color w:val="000000"/>
                <w:sz w:val="24"/>
                <w:szCs w:val="24"/>
              </w:rPr>
            </w:pPr>
          </w:p>
        </w:tc>
        <w:tc>
          <w:tcPr>
            <w:tcW w:w="2556" w:type="dxa"/>
            <w:vAlign w:val="center"/>
          </w:tcPr>
          <w:p w14:paraId="54DACBC2">
            <w:pPr>
              <w:rPr>
                <w:rFonts w:ascii="宋体" w:hAnsi="宋体" w:cs="宋体"/>
                <w:bCs/>
                <w:color w:val="000000"/>
                <w:sz w:val="24"/>
                <w:szCs w:val="24"/>
              </w:rPr>
            </w:pPr>
          </w:p>
        </w:tc>
      </w:tr>
      <w:tr w14:paraId="2320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00" w:type="dxa"/>
            <w:vAlign w:val="center"/>
          </w:tcPr>
          <w:p w14:paraId="45FD2A73">
            <w:pPr>
              <w:jc w:val="center"/>
              <w:rPr>
                <w:rFonts w:ascii="宋体" w:hAnsi="宋体" w:cs="宋体"/>
                <w:bCs/>
                <w:color w:val="000000"/>
                <w:sz w:val="24"/>
                <w:szCs w:val="24"/>
              </w:rPr>
            </w:pPr>
            <w:r>
              <w:rPr>
                <w:rFonts w:hint="eastAsia" w:ascii="宋体" w:hAnsi="宋体" w:cs="宋体"/>
                <w:bCs/>
                <w:color w:val="000000"/>
                <w:sz w:val="24"/>
                <w:szCs w:val="24"/>
              </w:rPr>
              <w:t>7</w:t>
            </w:r>
          </w:p>
        </w:tc>
        <w:tc>
          <w:tcPr>
            <w:tcW w:w="3804" w:type="dxa"/>
            <w:vAlign w:val="center"/>
          </w:tcPr>
          <w:p w14:paraId="573ACD29">
            <w:pPr>
              <w:snapToGrid w:val="0"/>
              <w:jc w:val="center"/>
              <w:rPr>
                <w:rFonts w:ascii="宋体" w:hAnsi="宋体" w:cs="宋体"/>
                <w:bCs/>
                <w:iCs/>
                <w:color w:val="000000"/>
                <w:sz w:val="24"/>
                <w:szCs w:val="24"/>
              </w:rPr>
            </w:pPr>
            <w:r>
              <w:rPr>
                <w:rFonts w:hint="eastAsia" w:ascii="宋体" w:hAnsi="宋体" w:cs="宋体"/>
                <w:bCs/>
                <w:iCs/>
                <w:color w:val="000000"/>
                <w:sz w:val="24"/>
                <w:szCs w:val="24"/>
              </w:rPr>
              <w:t>招标文件中的其他实质性要求</w:t>
            </w:r>
          </w:p>
        </w:tc>
        <w:tc>
          <w:tcPr>
            <w:tcW w:w="2246" w:type="dxa"/>
            <w:vAlign w:val="center"/>
          </w:tcPr>
          <w:p w14:paraId="6444191F">
            <w:pPr>
              <w:rPr>
                <w:rFonts w:ascii="宋体" w:hAnsi="宋体" w:cs="宋体"/>
                <w:bCs/>
                <w:color w:val="000000"/>
                <w:sz w:val="24"/>
                <w:szCs w:val="24"/>
              </w:rPr>
            </w:pPr>
          </w:p>
        </w:tc>
        <w:tc>
          <w:tcPr>
            <w:tcW w:w="2556" w:type="dxa"/>
            <w:vAlign w:val="center"/>
          </w:tcPr>
          <w:p w14:paraId="35D7F1E7">
            <w:pPr>
              <w:rPr>
                <w:rFonts w:ascii="宋体" w:hAnsi="宋体" w:cs="宋体"/>
                <w:bCs/>
                <w:color w:val="000000"/>
                <w:sz w:val="24"/>
                <w:szCs w:val="24"/>
              </w:rPr>
            </w:pPr>
          </w:p>
        </w:tc>
      </w:tr>
    </w:tbl>
    <w:p w14:paraId="697F9585">
      <w:pPr>
        <w:snapToGrid w:val="0"/>
        <w:spacing w:before="50" w:after="50"/>
        <w:rPr>
          <w:rFonts w:ascii="黑体" w:eastAsia="黑体"/>
          <w:color w:val="000000"/>
          <w:sz w:val="44"/>
        </w:rPr>
      </w:pPr>
    </w:p>
    <w:p w14:paraId="7BA52477">
      <w:pPr>
        <w:snapToGrid w:val="0"/>
        <w:spacing w:before="50" w:after="50"/>
        <w:rPr>
          <w:rFonts w:ascii="黑体" w:eastAsia="黑体"/>
          <w:color w:val="000000"/>
          <w:sz w:val="44"/>
        </w:rPr>
      </w:pPr>
    </w:p>
    <w:p w14:paraId="623A98D8">
      <w:pPr>
        <w:snapToGrid w:val="0"/>
        <w:spacing w:before="50" w:after="50"/>
        <w:rPr>
          <w:rFonts w:ascii="黑体" w:eastAsia="黑体"/>
          <w:color w:val="000000"/>
          <w:sz w:val="44"/>
        </w:rPr>
      </w:pPr>
    </w:p>
    <w:p w14:paraId="23AEF8AE">
      <w:pPr>
        <w:snapToGrid w:val="0"/>
        <w:spacing w:before="50" w:after="50"/>
        <w:rPr>
          <w:rFonts w:ascii="黑体" w:eastAsia="黑体"/>
          <w:color w:val="000000"/>
          <w:sz w:val="44"/>
        </w:rPr>
      </w:pPr>
    </w:p>
    <w:p w14:paraId="795BF6DC">
      <w:r>
        <w:rPr>
          <w:rFonts w:hint="eastAsia"/>
        </w:rPr>
        <w:br w:type="page"/>
      </w:r>
    </w:p>
    <w:p w14:paraId="764C40CA">
      <w:pPr>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四、投标函（格式）</w:t>
      </w:r>
    </w:p>
    <w:p w14:paraId="35F399FB"/>
    <w:p w14:paraId="75F57295">
      <w:pPr>
        <w:pStyle w:val="77"/>
        <w:spacing w:before="0" w:after="0" w:line="420" w:lineRule="exact"/>
        <w:ind w:firstLine="0"/>
        <w:rPr>
          <w:rFonts w:ascii="宋体" w:hAnsi="宋体"/>
          <w:color w:val="000000"/>
          <w:kern w:val="2"/>
          <w:szCs w:val="21"/>
        </w:rPr>
      </w:pPr>
      <w:r>
        <w:rPr>
          <w:rFonts w:hint="eastAsia" w:ascii="宋体" w:hAnsi="宋体"/>
          <w:color w:val="000000"/>
          <w:kern w:val="2"/>
          <w:szCs w:val="21"/>
        </w:rPr>
        <w:t>致：</w:t>
      </w:r>
      <w:r>
        <w:rPr>
          <w:rFonts w:hint="eastAsia" w:ascii="宋体" w:hAnsi="宋体" w:cs="宋体"/>
        </w:rPr>
        <w:t>江苏国信政府采购服务中心有限公司</w:t>
      </w:r>
    </w:p>
    <w:p w14:paraId="2520224C">
      <w:pPr>
        <w:pStyle w:val="77"/>
        <w:spacing w:before="0" w:after="0" w:line="420" w:lineRule="exact"/>
        <w:ind w:firstLineChars="200"/>
        <w:rPr>
          <w:rFonts w:ascii="宋体" w:hAnsi="宋体"/>
          <w:color w:val="000000"/>
          <w:kern w:val="2"/>
          <w:szCs w:val="21"/>
        </w:rPr>
      </w:pPr>
      <w:r>
        <w:rPr>
          <w:rFonts w:hint="eastAsia" w:ascii="宋体" w:hAnsi="宋体"/>
          <w:color w:val="000000"/>
          <w:kern w:val="2"/>
          <w:szCs w:val="21"/>
        </w:rPr>
        <w:t>根据贵方的</w:t>
      </w:r>
      <w:r>
        <w:rPr>
          <w:rFonts w:hint="eastAsia" w:ascii="宋体" w:hAnsi="宋体"/>
          <w:color w:val="000000"/>
          <w:kern w:val="2"/>
          <w:szCs w:val="21"/>
          <w:u w:val="single"/>
        </w:rPr>
        <w:t xml:space="preserve">        </w:t>
      </w:r>
      <w:r>
        <w:rPr>
          <w:rFonts w:hint="eastAsia" w:ascii="宋体" w:hAnsi="宋体"/>
          <w:color w:val="000000"/>
          <w:kern w:val="2"/>
          <w:szCs w:val="21"/>
        </w:rPr>
        <w:t>号招标文件，正式授权下述签字人_________________(姓名)代表我方______________（投标人的名称），全权处理本次项目投标的有关事宜。</w:t>
      </w:r>
    </w:p>
    <w:p w14:paraId="147BFEE3">
      <w:pPr>
        <w:pStyle w:val="77"/>
        <w:spacing w:before="0" w:after="0" w:line="420" w:lineRule="exact"/>
        <w:ind w:firstLineChars="200"/>
        <w:rPr>
          <w:rFonts w:ascii="宋体" w:hAnsi="宋体"/>
          <w:color w:val="000000"/>
          <w:kern w:val="2"/>
          <w:szCs w:val="21"/>
        </w:rPr>
      </w:pPr>
      <w:r>
        <w:rPr>
          <w:rFonts w:hint="eastAsia" w:ascii="宋体" w:hAnsi="宋体"/>
          <w:color w:val="000000"/>
          <w:kern w:val="2"/>
          <w:szCs w:val="21"/>
        </w:rPr>
        <w:t>据此函，__________签字人兹宣布同意如下：</w:t>
      </w:r>
    </w:p>
    <w:p w14:paraId="11A3D75C">
      <w:pPr>
        <w:pStyle w:val="77"/>
        <w:spacing w:before="0" w:after="0" w:line="420" w:lineRule="exact"/>
        <w:rPr>
          <w:rFonts w:ascii="宋体" w:hAnsi="宋体"/>
          <w:color w:val="000000"/>
          <w:kern w:val="2"/>
          <w:szCs w:val="21"/>
        </w:rPr>
      </w:pPr>
      <w:r>
        <w:rPr>
          <w:rFonts w:hint="eastAsia" w:ascii="宋体" w:hAnsi="宋体"/>
          <w:color w:val="000000"/>
          <w:kern w:val="2"/>
          <w:szCs w:val="21"/>
        </w:rPr>
        <w:t>1.按招标文件规定的各项要求，向买方提供所需货物与服务。</w:t>
      </w:r>
    </w:p>
    <w:p w14:paraId="62FB828A">
      <w:pPr>
        <w:pStyle w:val="77"/>
        <w:spacing w:before="0" w:after="0" w:line="420" w:lineRule="exact"/>
        <w:ind w:firstLineChars="200"/>
        <w:rPr>
          <w:rFonts w:ascii="宋体" w:hAnsi="宋体"/>
          <w:color w:val="000000"/>
          <w:kern w:val="2"/>
          <w:szCs w:val="21"/>
        </w:rPr>
      </w:pPr>
      <w:r>
        <w:rPr>
          <w:rFonts w:hint="eastAsia" w:ascii="宋体" w:hAnsi="宋体"/>
          <w:color w:val="000000"/>
          <w:kern w:val="2"/>
          <w:szCs w:val="21"/>
        </w:rPr>
        <w:t>2.我们完全理解贵方不一定将合同授予最低报价的投标人。</w:t>
      </w:r>
    </w:p>
    <w:p w14:paraId="4D8D3CCB">
      <w:pPr>
        <w:pStyle w:val="77"/>
        <w:spacing w:before="0" w:after="0" w:line="420" w:lineRule="exact"/>
        <w:ind w:firstLineChars="200"/>
        <w:rPr>
          <w:rFonts w:ascii="宋体" w:hAnsi="宋体"/>
          <w:color w:val="000000"/>
          <w:kern w:val="2"/>
          <w:szCs w:val="21"/>
        </w:rPr>
      </w:pPr>
      <w:r>
        <w:rPr>
          <w:rFonts w:hint="eastAsia" w:ascii="宋体" w:hAnsi="宋体"/>
          <w:color w:val="000000"/>
          <w:kern w:val="2"/>
          <w:szCs w:val="21"/>
        </w:rPr>
        <w:t>3.我们已详细审核全部招标文件及其有效补充文件，我们知道必须放弃提出含糊不清或误解问题的权利。</w:t>
      </w:r>
    </w:p>
    <w:p w14:paraId="7C036EF2">
      <w:pPr>
        <w:pStyle w:val="77"/>
        <w:spacing w:before="0" w:after="0" w:line="420" w:lineRule="exact"/>
        <w:rPr>
          <w:rFonts w:ascii="宋体" w:hAnsi="宋体"/>
          <w:color w:val="000000"/>
          <w:kern w:val="2"/>
          <w:szCs w:val="21"/>
        </w:rPr>
      </w:pPr>
      <w:r>
        <w:rPr>
          <w:rFonts w:hint="eastAsia" w:ascii="宋体" w:hAnsi="宋体"/>
          <w:color w:val="000000"/>
          <w:kern w:val="2"/>
          <w:szCs w:val="21"/>
        </w:rPr>
        <w:t>4.我们同意从规定的开标日期起遵循本投标文件，并在规定的投标有效期期满之前均具有约束力。</w:t>
      </w:r>
    </w:p>
    <w:p w14:paraId="33552535">
      <w:pPr>
        <w:pStyle w:val="77"/>
        <w:spacing w:before="0" w:after="0" w:line="420" w:lineRule="exact"/>
        <w:rPr>
          <w:rFonts w:ascii="宋体" w:hAnsi="宋体"/>
          <w:color w:val="000000"/>
          <w:kern w:val="2"/>
          <w:szCs w:val="21"/>
        </w:rPr>
      </w:pPr>
      <w:r>
        <w:rPr>
          <w:rFonts w:hint="eastAsia" w:ascii="宋体" w:hAnsi="宋体"/>
          <w:color w:val="000000"/>
          <w:kern w:val="2"/>
          <w:szCs w:val="21"/>
        </w:rPr>
        <w:t>5.如果在开标后规定的投标有效期内撤回投标或中标后拒绝签订合同，则按照国家相关法律法规受到相应处罚。</w:t>
      </w:r>
    </w:p>
    <w:p w14:paraId="6CDAA70B">
      <w:pPr>
        <w:pStyle w:val="77"/>
        <w:spacing w:before="0" w:after="0" w:line="420" w:lineRule="exact"/>
        <w:rPr>
          <w:rFonts w:ascii="宋体" w:hAnsi="宋体"/>
          <w:color w:val="000000"/>
          <w:kern w:val="2"/>
          <w:szCs w:val="21"/>
        </w:rPr>
      </w:pPr>
      <w:r>
        <w:rPr>
          <w:rFonts w:hint="eastAsia" w:ascii="宋体" w:hAnsi="宋体"/>
          <w:color w:val="000000"/>
          <w:kern w:val="2"/>
          <w:szCs w:val="21"/>
        </w:rPr>
        <w:t>6.同意向贵方提供贵方可能另外要求的与投标有关的任何证据或资料，并保证我方已提供和将要提供的文件是真实的、准确的。</w:t>
      </w:r>
    </w:p>
    <w:p w14:paraId="3C1ABE9D">
      <w:pPr>
        <w:pStyle w:val="77"/>
        <w:spacing w:before="0" w:after="0" w:line="420" w:lineRule="exact"/>
        <w:rPr>
          <w:rFonts w:ascii="宋体" w:hAnsi="宋体"/>
          <w:color w:val="000000"/>
          <w:kern w:val="2"/>
          <w:szCs w:val="21"/>
        </w:rPr>
      </w:pPr>
      <w:r>
        <w:rPr>
          <w:rFonts w:hint="eastAsia" w:ascii="宋体" w:hAnsi="宋体"/>
          <w:color w:val="000000"/>
          <w:kern w:val="2"/>
          <w:szCs w:val="21"/>
        </w:rPr>
        <w:t>7.一旦我方中标，我方将根据招标文件的规定，严格履行合同的责任和义务，并保证在招标文件规定的时间完成项目，交付买方验收、使用。</w:t>
      </w:r>
    </w:p>
    <w:p w14:paraId="424E21BB">
      <w:pPr>
        <w:pStyle w:val="77"/>
        <w:spacing w:before="0" w:after="0" w:line="420" w:lineRule="exact"/>
        <w:ind w:left="425" w:firstLine="0"/>
        <w:rPr>
          <w:rFonts w:ascii="宋体" w:hAnsi="宋体"/>
          <w:color w:val="000000"/>
          <w:kern w:val="2"/>
          <w:szCs w:val="21"/>
        </w:rPr>
      </w:pPr>
      <w:r>
        <w:rPr>
          <w:rFonts w:hint="eastAsia" w:ascii="宋体" w:hAnsi="宋体"/>
          <w:color w:val="000000"/>
          <w:kern w:val="2"/>
          <w:szCs w:val="21"/>
        </w:rPr>
        <w:t>8.与本投标有关的正式通讯地址为：</w:t>
      </w:r>
    </w:p>
    <w:p w14:paraId="0AF24FA8">
      <w:pPr>
        <w:pStyle w:val="77"/>
        <w:spacing w:before="0" w:after="0" w:line="420" w:lineRule="exact"/>
        <w:ind w:left="420" w:leftChars="200" w:firstLineChars="200"/>
        <w:rPr>
          <w:rFonts w:ascii="宋体" w:hAnsi="宋体"/>
          <w:color w:val="000000"/>
          <w:kern w:val="2"/>
          <w:szCs w:val="21"/>
        </w:rPr>
      </w:pPr>
      <w:r>
        <w:rPr>
          <w:rFonts w:hint="eastAsia" w:ascii="宋体" w:hAnsi="宋体"/>
          <w:color w:val="000000"/>
          <w:kern w:val="2"/>
          <w:szCs w:val="21"/>
        </w:rPr>
        <w:t>地          址：</w:t>
      </w:r>
    </w:p>
    <w:p w14:paraId="46DA1DD5">
      <w:pPr>
        <w:pStyle w:val="77"/>
        <w:spacing w:before="0" w:after="0" w:line="420" w:lineRule="exact"/>
        <w:ind w:left="420" w:leftChars="200" w:firstLineChars="200"/>
        <w:rPr>
          <w:rFonts w:ascii="宋体" w:hAnsi="宋体"/>
          <w:color w:val="000000"/>
          <w:kern w:val="2"/>
          <w:szCs w:val="21"/>
        </w:rPr>
      </w:pPr>
      <w:r>
        <w:rPr>
          <w:rFonts w:hint="eastAsia" w:ascii="宋体" w:hAnsi="宋体"/>
          <w:color w:val="000000"/>
          <w:kern w:val="2"/>
          <w:szCs w:val="21"/>
        </w:rPr>
        <w:t>邮          编：</w:t>
      </w:r>
    </w:p>
    <w:p w14:paraId="3FFECBF2">
      <w:pPr>
        <w:pStyle w:val="77"/>
        <w:spacing w:before="0" w:after="0" w:line="420" w:lineRule="exact"/>
        <w:ind w:left="420" w:leftChars="200" w:firstLineChars="200"/>
        <w:rPr>
          <w:rFonts w:ascii="宋体" w:hAnsi="宋体"/>
          <w:color w:val="000000"/>
          <w:kern w:val="2"/>
          <w:szCs w:val="21"/>
        </w:rPr>
      </w:pPr>
      <w:r>
        <w:rPr>
          <w:rFonts w:hint="eastAsia" w:ascii="宋体" w:hAnsi="宋体"/>
          <w:color w:val="000000"/>
          <w:kern w:val="2"/>
          <w:szCs w:val="21"/>
        </w:rPr>
        <w:t>电          话：</w:t>
      </w:r>
    </w:p>
    <w:p w14:paraId="1C0A5FC5">
      <w:pPr>
        <w:pStyle w:val="77"/>
        <w:spacing w:before="0" w:after="0" w:line="420" w:lineRule="exact"/>
        <w:ind w:left="420" w:leftChars="200" w:firstLineChars="200"/>
        <w:rPr>
          <w:rFonts w:ascii="宋体" w:hAnsi="宋体"/>
          <w:color w:val="000000"/>
          <w:kern w:val="2"/>
          <w:szCs w:val="21"/>
        </w:rPr>
      </w:pPr>
      <w:r>
        <w:rPr>
          <w:rFonts w:hint="eastAsia" w:ascii="宋体" w:hAnsi="宋体"/>
          <w:color w:val="000000"/>
          <w:kern w:val="2"/>
          <w:szCs w:val="21"/>
        </w:rPr>
        <w:t>传          真：</w:t>
      </w:r>
    </w:p>
    <w:p w14:paraId="46601FC0">
      <w:pPr>
        <w:pStyle w:val="77"/>
        <w:spacing w:before="0" w:after="0" w:line="420" w:lineRule="exact"/>
        <w:ind w:left="420" w:leftChars="200" w:firstLineChars="200"/>
        <w:rPr>
          <w:rFonts w:ascii="宋体" w:hAnsi="宋体"/>
          <w:color w:val="000000"/>
          <w:kern w:val="2"/>
          <w:szCs w:val="21"/>
        </w:rPr>
      </w:pPr>
      <w:r>
        <w:rPr>
          <w:rFonts w:hint="eastAsia" w:ascii="宋体" w:hAnsi="宋体"/>
          <w:color w:val="000000"/>
          <w:kern w:val="2"/>
          <w:szCs w:val="21"/>
        </w:rPr>
        <w:t>投标人开户行：</w:t>
      </w:r>
    </w:p>
    <w:p w14:paraId="0886B2C2">
      <w:pPr>
        <w:pStyle w:val="77"/>
        <w:spacing w:before="0" w:after="0" w:line="420" w:lineRule="exact"/>
        <w:ind w:left="420" w:leftChars="200" w:firstLineChars="200"/>
        <w:rPr>
          <w:rFonts w:ascii="宋体" w:hAnsi="宋体"/>
          <w:color w:val="000000"/>
          <w:kern w:val="2"/>
          <w:szCs w:val="21"/>
        </w:rPr>
      </w:pPr>
      <w:r>
        <w:rPr>
          <w:rFonts w:hint="eastAsia" w:ascii="宋体" w:hAnsi="宋体"/>
          <w:color w:val="000000"/>
          <w:kern w:val="2"/>
          <w:szCs w:val="21"/>
        </w:rPr>
        <w:t xml:space="preserve">账          户： </w:t>
      </w:r>
    </w:p>
    <w:p w14:paraId="4C2EC90A">
      <w:pPr>
        <w:pStyle w:val="77"/>
        <w:spacing w:before="0" w:after="0" w:line="420" w:lineRule="exact"/>
        <w:ind w:left="420" w:leftChars="200" w:firstLineChars="200"/>
        <w:rPr>
          <w:rFonts w:ascii="宋体" w:hAnsi="宋体"/>
          <w:color w:val="000000"/>
          <w:kern w:val="2"/>
          <w:szCs w:val="21"/>
        </w:rPr>
      </w:pPr>
      <w:r>
        <w:rPr>
          <w:rFonts w:hint="eastAsia" w:ascii="宋体" w:hAnsi="宋体"/>
          <w:color w:val="000000"/>
          <w:kern w:val="2"/>
          <w:szCs w:val="21"/>
        </w:rPr>
        <w:t xml:space="preserve">投标人授权代表姓名（签字）： </w:t>
      </w:r>
    </w:p>
    <w:p w14:paraId="610EA19F">
      <w:pPr>
        <w:pStyle w:val="77"/>
        <w:spacing w:before="0" w:after="0" w:line="420" w:lineRule="exact"/>
        <w:ind w:left="420" w:leftChars="200" w:firstLineChars="200"/>
        <w:rPr>
          <w:rFonts w:ascii="宋体" w:hAnsi="宋体"/>
          <w:color w:val="000000"/>
          <w:kern w:val="2"/>
          <w:szCs w:val="21"/>
        </w:rPr>
      </w:pPr>
      <w:r>
        <w:rPr>
          <w:rFonts w:hint="eastAsia" w:ascii="宋体" w:hAnsi="宋体"/>
          <w:color w:val="000000"/>
          <w:kern w:val="2"/>
          <w:szCs w:val="21"/>
        </w:rPr>
        <w:t xml:space="preserve">投标人名称（公章）： </w:t>
      </w:r>
    </w:p>
    <w:p w14:paraId="480EA732">
      <w:pPr>
        <w:pStyle w:val="77"/>
        <w:spacing w:before="0" w:after="0" w:line="420" w:lineRule="exact"/>
        <w:ind w:left="420" w:leftChars="200" w:firstLineChars="200"/>
        <w:rPr>
          <w:rFonts w:ascii="宋体" w:hAnsi="宋体"/>
          <w:color w:val="000000"/>
          <w:kern w:val="2"/>
          <w:szCs w:val="21"/>
        </w:rPr>
      </w:pPr>
      <w:r>
        <w:rPr>
          <w:rFonts w:hint="eastAsia" w:ascii="宋体" w:hAnsi="宋体"/>
          <w:color w:val="000000"/>
          <w:kern w:val="2"/>
          <w:szCs w:val="21"/>
        </w:rPr>
        <w:t>日           期：________年____月____日</w:t>
      </w:r>
    </w:p>
    <w:p w14:paraId="042C0410">
      <w:r>
        <w:br w:type="page"/>
      </w:r>
    </w:p>
    <w:p w14:paraId="15A6E9AB">
      <w:pPr>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五、开标一览表</w:t>
      </w:r>
    </w:p>
    <w:p w14:paraId="75D35093"/>
    <w:tbl>
      <w:tblPr>
        <w:tblStyle w:val="46"/>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4"/>
        <w:gridCol w:w="7272"/>
      </w:tblGrid>
      <w:tr w14:paraId="79D0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2384" w:type="dxa"/>
            <w:vAlign w:val="center"/>
          </w:tcPr>
          <w:p w14:paraId="1FCD59EA">
            <w:pPr>
              <w:ind w:firstLine="480" w:firstLineChars="200"/>
              <w:jc w:val="left"/>
              <w:rPr>
                <w:rFonts w:ascii="宋体" w:hAnsi="宋体" w:cs="宋体"/>
                <w:color w:val="000000"/>
                <w:sz w:val="24"/>
                <w:szCs w:val="24"/>
              </w:rPr>
            </w:pPr>
            <w:r>
              <w:rPr>
                <w:rFonts w:hint="eastAsia" w:ascii="宋体" w:hAnsi="宋体" w:cs="宋体"/>
                <w:color w:val="000000"/>
                <w:sz w:val="24"/>
                <w:szCs w:val="24"/>
              </w:rPr>
              <w:t>项 目 编 号</w:t>
            </w:r>
          </w:p>
        </w:tc>
        <w:tc>
          <w:tcPr>
            <w:tcW w:w="7272" w:type="dxa"/>
            <w:vAlign w:val="center"/>
          </w:tcPr>
          <w:p w14:paraId="71590DCF">
            <w:pPr>
              <w:rPr>
                <w:rFonts w:ascii="宋体" w:hAnsi="宋体" w:cs="宋体"/>
                <w:color w:val="000000"/>
                <w:sz w:val="24"/>
                <w:szCs w:val="24"/>
              </w:rPr>
            </w:pPr>
            <w:r>
              <w:rPr>
                <w:rFonts w:hint="eastAsia" w:ascii="宋体" w:hAnsi="宋体" w:cs="宋体"/>
                <w:color w:val="000000"/>
                <w:sz w:val="24"/>
                <w:szCs w:val="24"/>
              </w:rPr>
              <w:t xml:space="preserve">SY2024-030-FW-GK </w:t>
            </w:r>
          </w:p>
        </w:tc>
      </w:tr>
      <w:tr w14:paraId="0564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2384" w:type="dxa"/>
            <w:vAlign w:val="center"/>
          </w:tcPr>
          <w:p w14:paraId="3CDB9B58">
            <w:pPr>
              <w:ind w:firstLine="480" w:firstLineChars="200"/>
              <w:jc w:val="left"/>
              <w:rPr>
                <w:rFonts w:ascii="宋体"/>
                <w:color w:val="000000"/>
                <w:sz w:val="24"/>
                <w:szCs w:val="24"/>
              </w:rPr>
            </w:pPr>
            <w:r>
              <w:rPr>
                <w:rFonts w:hint="eastAsia" w:ascii="宋体"/>
                <w:color w:val="000000"/>
                <w:sz w:val="24"/>
                <w:szCs w:val="24"/>
              </w:rPr>
              <w:t>项 目 名 称</w:t>
            </w:r>
          </w:p>
        </w:tc>
        <w:tc>
          <w:tcPr>
            <w:tcW w:w="7272" w:type="dxa"/>
            <w:vAlign w:val="center"/>
          </w:tcPr>
          <w:p w14:paraId="04367B77">
            <w:pPr>
              <w:rPr>
                <w:color w:val="000000"/>
                <w:sz w:val="24"/>
                <w:szCs w:val="24"/>
              </w:rPr>
            </w:pPr>
            <w:r>
              <w:rPr>
                <w:rFonts w:hint="eastAsia" w:ascii="宋体" w:hAnsi="宋体" w:cs="宋体"/>
                <w:sz w:val="24"/>
                <w:szCs w:val="24"/>
              </w:rPr>
              <w:t>江苏医药职业学院网络驻场运维服务项目</w:t>
            </w:r>
          </w:p>
        </w:tc>
      </w:tr>
      <w:tr w14:paraId="5A07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7" w:hRule="atLeast"/>
        </w:trPr>
        <w:tc>
          <w:tcPr>
            <w:tcW w:w="9656" w:type="dxa"/>
            <w:gridSpan w:val="2"/>
            <w:vAlign w:val="center"/>
          </w:tcPr>
          <w:p w14:paraId="3A38D43D">
            <w:pPr>
              <w:rPr>
                <w:rFonts w:ascii="宋体" w:hAnsi="宋体" w:cs="宋体"/>
                <w:bCs/>
                <w:sz w:val="24"/>
                <w:szCs w:val="24"/>
              </w:rPr>
            </w:pPr>
            <w:r>
              <w:rPr>
                <w:rFonts w:hint="eastAsia" w:ascii="宋体"/>
                <w:color w:val="000000"/>
                <w:sz w:val="24"/>
                <w:szCs w:val="24"/>
              </w:rPr>
              <w:t>项目投标报价：（大写）</w:t>
            </w:r>
            <w:r>
              <w:rPr>
                <w:rFonts w:hint="eastAsia" w:ascii="宋体"/>
                <w:color w:val="000000"/>
                <w:sz w:val="24"/>
                <w:szCs w:val="24"/>
                <w:u w:val="single"/>
              </w:rPr>
              <w:t xml:space="preserve">                  </w:t>
            </w:r>
            <w:r>
              <w:rPr>
                <w:rFonts w:hint="eastAsia" w:ascii="宋体"/>
                <w:color w:val="000000"/>
                <w:sz w:val="24"/>
                <w:szCs w:val="24"/>
              </w:rPr>
              <w:t>，小写：</w:t>
            </w:r>
            <w:r>
              <w:rPr>
                <w:rFonts w:hint="eastAsia" w:ascii="宋体"/>
                <w:color w:val="000000"/>
                <w:sz w:val="24"/>
                <w:szCs w:val="24"/>
                <w:u w:val="single"/>
              </w:rPr>
              <w:t xml:space="preserve">                     </w:t>
            </w:r>
            <w:r>
              <w:rPr>
                <w:rFonts w:hint="eastAsia" w:ascii="宋体"/>
                <w:color w:val="000000"/>
                <w:sz w:val="24"/>
                <w:szCs w:val="24"/>
              </w:rPr>
              <w:t xml:space="preserve"> </w:t>
            </w:r>
          </w:p>
        </w:tc>
      </w:tr>
      <w:tr w14:paraId="70D7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trPr>
        <w:tc>
          <w:tcPr>
            <w:tcW w:w="9656" w:type="dxa"/>
            <w:gridSpan w:val="2"/>
            <w:vAlign w:val="center"/>
          </w:tcPr>
          <w:p w14:paraId="6C28D953">
            <w:pPr>
              <w:rPr>
                <w:rFonts w:ascii="宋体"/>
                <w:color w:val="000000"/>
                <w:sz w:val="24"/>
                <w:szCs w:val="24"/>
              </w:rPr>
            </w:pPr>
            <w:r>
              <w:rPr>
                <w:rFonts w:hint="eastAsia" w:ascii="宋体"/>
                <w:color w:val="000000"/>
                <w:sz w:val="24"/>
                <w:szCs w:val="24"/>
              </w:rPr>
              <w:t>是否提供《中小企业声明函》：</w:t>
            </w:r>
            <w:r>
              <w:rPr>
                <w:rFonts w:hint="eastAsia" w:ascii="宋体"/>
                <w:color w:val="000000"/>
                <w:sz w:val="24"/>
                <w:szCs w:val="24"/>
                <w:u w:val="single"/>
              </w:rPr>
              <w:t xml:space="preserve">  是/否   </w:t>
            </w:r>
            <w:r>
              <w:rPr>
                <w:rFonts w:hint="eastAsia" w:ascii="宋体"/>
                <w:color w:val="000000"/>
                <w:sz w:val="24"/>
                <w:szCs w:val="24"/>
              </w:rPr>
              <w:t xml:space="preserve">           见（</w:t>
            </w:r>
            <w:r>
              <w:rPr>
                <w:rFonts w:hint="eastAsia" w:ascii="宋体"/>
                <w:color w:val="000000"/>
                <w:sz w:val="24"/>
                <w:szCs w:val="24"/>
                <w:u w:val="single"/>
              </w:rPr>
              <w:t xml:space="preserve">          </w:t>
            </w:r>
            <w:r>
              <w:rPr>
                <w:rFonts w:hint="eastAsia" w:ascii="宋体"/>
                <w:color w:val="000000"/>
                <w:sz w:val="24"/>
                <w:szCs w:val="24"/>
              </w:rPr>
              <w:t>）页</w:t>
            </w:r>
          </w:p>
        </w:tc>
      </w:tr>
      <w:tr w14:paraId="3714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trPr>
        <w:tc>
          <w:tcPr>
            <w:tcW w:w="9656" w:type="dxa"/>
            <w:gridSpan w:val="2"/>
            <w:vAlign w:val="center"/>
          </w:tcPr>
          <w:p w14:paraId="0AAC02C6">
            <w:pPr>
              <w:rPr>
                <w:rFonts w:ascii="宋体"/>
                <w:color w:val="000000"/>
                <w:sz w:val="24"/>
                <w:szCs w:val="24"/>
              </w:rPr>
            </w:pPr>
            <w:r>
              <w:rPr>
                <w:rFonts w:hint="eastAsia" w:ascii="宋体"/>
                <w:color w:val="000000"/>
                <w:sz w:val="24"/>
                <w:szCs w:val="24"/>
              </w:rPr>
              <w:t xml:space="preserve">项目实施时间（供期或工期）： </w:t>
            </w:r>
          </w:p>
        </w:tc>
      </w:tr>
    </w:tbl>
    <w:p w14:paraId="5C6A0565">
      <w:pPr>
        <w:spacing w:line="180" w:lineRule="atLeast"/>
        <w:rPr>
          <w:rFonts w:ascii="宋体" w:hAnsi="宋体"/>
          <w:color w:val="000000"/>
          <w:sz w:val="24"/>
          <w:szCs w:val="24"/>
        </w:rPr>
      </w:pPr>
      <w:r>
        <w:rPr>
          <w:rFonts w:hint="eastAsia" w:ascii="宋体" w:hAnsi="宋体"/>
          <w:color w:val="000000"/>
          <w:sz w:val="24"/>
          <w:szCs w:val="24"/>
        </w:rPr>
        <w:t>填写说明：</w:t>
      </w:r>
    </w:p>
    <w:p w14:paraId="34AEEF5D">
      <w:pPr>
        <w:rPr>
          <w:rFonts w:ascii="宋体" w:hAnsi="宋体"/>
          <w:color w:val="000000"/>
          <w:sz w:val="24"/>
          <w:szCs w:val="24"/>
        </w:rPr>
      </w:pPr>
      <w:r>
        <w:rPr>
          <w:rFonts w:hint="eastAsia" w:ascii="宋体" w:hAnsi="宋体"/>
          <w:color w:val="000000"/>
          <w:sz w:val="24"/>
          <w:szCs w:val="24"/>
        </w:rPr>
        <w:t>1、开标一览表不得填报选择性报价，否则将作为无效投标；</w:t>
      </w:r>
    </w:p>
    <w:p w14:paraId="3B292C20">
      <w:pPr>
        <w:rPr>
          <w:rFonts w:ascii="宋体" w:hAnsi="宋体"/>
          <w:color w:val="000000"/>
          <w:sz w:val="24"/>
          <w:szCs w:val="24"/>
        </w:rPr>
      </w:pPr>
      <w:r>
        <w:rPr>
          <w:rFonts w:hint="eastAsia" w:ascii="宋体" w:hAnsi="宋体"/>
          <w:color w:val="000000"/>
          <w:sz w:val="24"/>
          <w:szCs w:val="24"/>
        </w:rPr>
        <w:t>2、开标一览表中报价与投标分项明细报价表中不符时，以开标一览表为准；</w:t>
      </w:r>
    </w:p>
    <w:p w14:paraId="2845DA2B">
      <w:pPr>
        <w:ind w:firstLine="480"/>
        <w:jc w:val="right"/>
        <w:rPr>
          <w:rFonts w:ascii="宋体" w:hAnsi="宋体"/>
          <w:bCs/>
          <w:sz w:val="24"/>
          <w:szCs w:val="24"/>
        </w:rPr>
      </w:pPr>
    </w:p>
    <w:p w14:paraId="64502A29">
      <w:pPr>
        <w:ind w:firstLine="4678"/>
        <w:rPr>
          <w:rFonts w:ascii="宋体" w:hAnsi="宋体"/>
          <w:bCs/>
          <w:sz w:val="24"/>
          <w:szCs w:val="24"/>
        </w:rPr>
      </w:pPr>
      <w:r>
        <w:rPr>
          <w:rFonts w:hint="eastAsia" w:ascii="宋体" w:hAnsi="宋体"/>
          <w:bCs/>
          <w:sz w:val="24"/>
          <w:szCs w:val="24"/>
        </w:rPr>
        <w:t>供应商名称（公章）：</w:t>
      </w:r>
    </w:p>
    <w:p w14:paraId="48720BD8">
      <w:pPr>
        <w:ind w:firstLine="3998" w:firstLineChars="1666"/>
        <w:rPr>
          <w:rStyle w:val="68"/>
          <w:rFonts w:ascii="宋体" w:hAnsi="宋体"/>
          <w:color w:val="000000"/>
          <w:sz w:val="24"/>
          <w:szCs w:val="24"/>
        </w:rPr>
      </w:pPr>
      <w:r>
        <w:rPr>
          <w:rStyle w:val="68"/>
          <w:rFonts w:ascii="宋体" w:hAnsi="宋体"/>
          <w:color w:val="000000"/>
          <w:sz w:val="24"/>
          <w:szCs w:val="24"/>
        </w:rPr>
        <w:t>法定代表人或授权代表签字：</w:t>
      </w:r>
    </w:p>
    <w:p w14:paraId="7475214F">
      <w:pPr>
        <w:ind w:firstLine="4678"/>
        <w:rPr>
          <w:rFonts w:ascii="宋体" w:hAnsi="宋体"/>
          <w:b/>
          <w:sz w:val="32"/>
          <w:szCs w:val="32"/>
        </w:rPr>
      </w:pPr>
      <w:r>
        <w:rPr>
          <w:rFonts w:hint="eastAsia" w:ascii="宋体" w:hAnsi="宋体"/>
          <w:sz w:val="24"/>
          <w:szCs w:val="24"/>
        </w:rPr>
        <w:t xml:space="preserve">日期：  </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4D91E315">
      <w:pPr>
        <w:rPr>
          <w:rFonts w:ascii="宋体" w:hAnsi="宋体"/>
          <w:b/>
          <w:bCs/>
          <w:color w:val="000000"/>
          <w:sz w:val="24"/>
          <w:szCs w:val="24"/>
        </w:rPr>
      </w:pPr>
      <w:r>
        <w:rPr>
          <w:rFonts w:hint="eastAsia"/>
        </w:rPr>
        <w:br w:type="page"/>
      </w:r>
      <w:r>
        <w:rPr>
          <w:rFonts w:hint="eastAsia" w:ascii="宋体" w:hAnsi="宋体"/>
          <w:color w:val="000000"/>
          <w:sz w:val="24"/>
          <w:szCs w:val="24"/>
        </w:rPr>
        <w:t>附件1</w:t>
      </w:r>
    </w:p>
    <w:p w14:paraId="744315B5">
      <w:pPr>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中小企业声明</w:t>
      </w:r>
    </w:p>
    <w:p w14:paraId="6E5B4801">
      <w:pPr>
        <w:spacing w:line="560" w:lineRule="exact"/>
        <w:rPr>
          <w:rFonts w:ascii="宋体" w:hAnsi="宋体"/>
          <w:b/>
          <w:bCs/>
          <w:color w:val="000000"/>
          <w:sz w:val="28"/>
          <w:szCs w:val="28"/>
        </w:rPr>
      </w:pPr>
    </w:p>
    <w:p w14:paraId="2273C19A">
      <w:pPr>
        <w:widowControl/>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307D1474">
      <w:pPr>
        <w:widowControl/>
        <w:numPr>
          <w:ilvl w:val="0"/>
          <w:numId w:val="2"/>
        </w:numPr>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行业；承接企业为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14:paraId="1B295EDE">
      <w:pPr>
        <w:widowControl/>
        <w:numPr>
          <w:ilvl w:val="0"/>
          <w:numId w:val="2"/>
        </w:numPr>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行业；承接企业为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14:paraId="4BE65212">
      <w:pPr>
        <w:widowControl/>
        <w:ind w:firstLine="480" w:firstLineChars="200"/>
        <w:jc w:val="left"/>
        <w:rPr>
          <w:rFonts w:ascii="宋体" w:hAnsi="宋体" w:cs="宋体"/>
          <w:sz w:val="24"/>
        </w:rPr>
      </w:pPr>
      <w:r>
        <w:rPr>
          <w:rFonts w:hint="eastAsia" w:ascii="宋体" w:hAnsi="宋体" w:cs="宋体"/>
          <w:sz w:val="24"/>
        </w:rPr>
        <w:t>……</w:t>
      </w:r>
    </w:p>
    <w:p w14:paraId="02896D04">
      <w:pPr>
        <w:widowControl/>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57B42DAC">
      <w:pPr>
        <w:widowControl/>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14:paraId="5A0594C0">
      <w:pPr>
        <w:pStyle w:val="61"/>
      </w:pPr>
    </w:p>
    <w:p w14:paraId="75DD9AB3">
      <w:pPr>
        <w:widowControl/>
        <w:ind w:firstLine="4080" w:firstLineChars="1700"/>
        <w:jc w:val="left"/>
        <w:rPr>
          <w:rFonts w:ascii="宋体" w:hAnsi="宋体" w:cs="宋体"/>
          <w:sz w:val="24"/>
        </w:rPr>
      </w:pPr>
      <w:r>
        <w:rPr>
          <w:rFonts w:hint="eastAsia" w:ascii="宋体" w:hAnsi="宋体" w:cs="宋体"/>
          <w:sz w:val="24"/>
        </w:rPr>
        <w:t>企业名称（盖章）：</w:t>
      </w:r>
    </w:p>
    <w:p w14:paraId="2905F90B">
      <w:pPr>
        <w:widowControl/>
        <w:ind w:firstLine="4080" w:firstLineChars="1700"/>
        <w:jc w:val="left"/>
        <w:rPr>
          <w:rFonts w:ascii="宋体" w:hAnsi="宋体" w:cs="宋体"/>
          <w:sz w:val="24"/>
        </w:rPr>
      </w:pPr>
      <w:r>
        <w:rPr>
          <w:rFonts w:hint="eastAsia" w:ascii="宋体" w:hAnsi="宋体" w:cs="宋体"/>
          <w:sz w:val="24"/>
        </w:rPr>
        <w:t>日期：</w:t>
      </w:r>
    </w:p>
    <w:p w14:paraId="1F6E8D24">
      <w:pPr>
        <w:spacing w:line="560" w:lineRule="exact"/>
        <w:jc w:val="center"/>
        <w:rPr>
          <w:rFonts w:ascii="宋体" w:hAnsi="宋体"/>
          <w:b/>
          <w:bCs/>
          <w:color w:val="000000"/>
          <w:sz w:val="22"/>
          <w:szCs w:val="22"/>
        </w:rPr>
      </w:pPr>
      <w:r>
        <w:rPr>
          <w:rFonts w:hint="eastAsia" w:ascii="宋体" w:hAnsi="宋体"/>
          <w:b/>
          <w:bCs/>
          <w:color w:val="000000"/>
          <w:sz w:val="22"/>
          <w:szCs w:val="22"/>
        </w:rPr>
        <w:t>从业人员、营业收入、资产总额填报上一年度数据，无上一年度数据的新成立企业可不填报。</w:t>
      </w:r>
    </w:p>
    <w:p w14:paraId="6F77C922">
      <w:pPr>
        <w:spacing w:line="500" w:lineRule="exact"/>
        <w:rPr>
          <w:rFonts w:ascii="宋体" w:hAnsi="宋体"/>
          <w:color w:val="000000"/>
          <w:sz w:val="24"/>
          <w:szCs w:val="24"/>
        </w:rPr>
      </w:pPr>
    </w:p>
    <w:p w14:paraId="608F37FA">
      <w:pPr>
        <w:spacing w:line="500" w:lineRule="exact"/>
        <w:rPr>
          <w:rFonts w:ascii="宋体" w:hAnsi="宋体"/>
          <w:color w:val="000000"/>
          <w:sz w:val="24"/>
          <w:szCs w:val="24"/>
        </w:rPr>
      </w:pPr>
    </w:p>
    <w:p w14:paraId="394E08C0">
      <w:pPr>
        <w:spacing w:line="500" w:lineRule="exact"/>
        <w:rPr>
          <w:rFonts w:ascii="宋体" w:hAnsi="宋体"/>
          <w:color w:val="000000"/>
          <w:sz w:val="24"/>
          <w:szCs w:val="24"/>
        </w:rPr>
      </w:pPr>
    </w:p>
    <w:p w14:paraId="78489927">
      <w:pPr>
        <w:spacing w:line="500" w:lineRule="exact"/>
        <w:rPr>
          <w:rFonts w:ascii="宋体" w:hAnsi="宋体"/>
          <w:color w:val="000000"/>
          <w:sz w:val="24"/>
          <w:szCs w:val="24"/>
        </w:rPr>
      </w:pPr>
    </w:p>
    <w:p w14:paraId="0199C01C">
      <w:pPr>
        <w:spacing w:line="500" w:lineRule="exact"/>
        <w:rPr>
          <w:rFonts w:ascii="宋体" w:hAnsi="宋体"/>
          <w:b/>
          <w:bCs/>
          <w:color w:val="000000"/>
          <w:sz w:val="24"/>
          <w:szCs w:val="24"/>
        </w:rPr>
      </w:pPr>
      <w:r>
        <w:rPr>
          <w:rFonts w:hint="eastAsia" w:ascii="宋体" w:hAnsi="宋体"/>
          <w:color w:val="000000"/>
          <w:sz w:val="24"/>
          <w:szCs w:val="24"/>
        </w:rPr>
        <w:t>附件2</w:t>
      </w:r>
    </w:p>
    <w:p w14:paraId="6C6413E8">
      <w:pPr>
        <w:widowControl/>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残疾人福利性单位声明函（如有）</w:t>
      </w:r>
    </w:p>
    <w:p w14:paraId="6D957ADE"/>
    <w:p w14:paraId="68E2AC00">
      <w:pPr>
        <w:spacing w:line="500" w:lineRule="exact"/>
        <w:ind w:firstLine="480" w:firstLineChars="200"/>
        <w:rPr>
          <w:rFonts w:ascii="宋体" w:hAnsi="宋体" w:cs="宋体"/>
          <w:sz w:val="24"/>
          <w:szCs w:val="24"/>
        </w:rPr>
      </w:pPr>
      <w:r>
        <w:rPr>
          <w:rFonts w:hint="eastAsia" w:ascii="宋体" w:hAnsi="宋体" w:cs="宋体"/>
          <w:sz w:val="24"/>
          <w:szCs w:val="24"/>
        </w:rPr>
        <w:t xml:space="preserve">本公司郑重声明，根据《财政部 民政部 中国残疾人联合会关于促进残疾人就业政府采购政策的通知》（财库〔2017〕141号）的规定，本公司为符合条件的残疾人福利性单位，且本单位参加 </w:t>
      </w:r>
      <w:r>
        <w:rPr>
          <w:rFonts w:hint="eastAsia" w:ascii="宋体" w:hAnsi="宋体" w:cs="宋体"/>
          <w:sz w:val="24"/>
          <w:szCs w:val="24"/>
          <w:u w:val="single"/>
        </w:rPr>
        <w:t xml:space="preserve">         </w:t>
      </w:r>
      <w:r>
        <w:rPr>
          <w:rFonts w:hint="eastAsia" w:ascii="宋体" w:hAnsi="宋体" w:cs="宋体"/>
          <w:sz w:val="24"/>
          <w:szCs w:val="24"/>
        </w:rPr>
        <w:t>单位的</w:t>
      </w:r>
      <w:r>
        <w:rPr>
          <w:rFonts w:hint="eastAsia" w:ascii="宋体" w:hAnsi="宋体" w:cs="宋体"/>
          <w:sz w:val="24"/>
          <w:szCs w:val="24"/>
          <w:u w:val="single"/>
        </w:rPr>
        <w:t xml:space="preserve">          </w:t>
      </w:r>
      <w:r>
        <w:rPr>
          <w:rFonts w:hint="eastAsia" w:ascii="宋体" w:hAnsi="宋体" w:cs="宋体"/>
          <w:sz w:val="24"/>
          <w:szCs w:val="24"/>
        </w:rPr>
        <w:t>项目采购活动提供本单位制造的货物（由本单位承担工程/提供服务），或者提供其他残疾人福利性单位制造的货物（不包括使用非残疾人福利性单位注册商标的货物）。</w:t>
      </w:r>
    </w:p>
    <w:p w14:paraId="2BD3C6EC">
      <w:pPr>
        <w:widowControl/>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14:paraId="12D352A4">
      <w:pPr>
        <w:pStyle w:val="62"/>
        <w:spacing w:line="500" w:lineRule="exact"/>
        <w:ind w:firstLine="420"/>
      </w:pPr>
    </w:p>
    <w:p w14:paraId="1AF85C67">
      <w:pPr>
        <w:widowControl/>
        <w:spacing w:line="500" w:lineRule="exact"/>
        <w:ind w:firstLine="5040" w:firstLineChars="2100"/>
        <w:jc w:val="left"/>
        <w:rPr>
          <w:rFonts w:ascii="宋体" w:hAnsi="宋体" w:cs="宋体"/>
          <w:sz w:val="24"/>
          <w:szCs w:val="24"/>
        </w:rPr>
      </w:pPr>
      <w:r>
        <w:rPr>
          <w:rFonts w:hint="eastAsia" w:ascii="宋体" w:hAnsi="宋体" w:cs="宋体"/>
          <w:sz w:val="24"/>
          <w:szCs w:val="24"/>
        </w:rPr>
        <w:t>企业名称（盖章）：</w:t>
      </w:r>
    </w:p>
    <w:p w14:paraId="49D2F78D">
      <w:pPr>
        <w:widowControl/>
        <w:spacing w:line="500" w:lineRule="exact"/>
        <w:ind w:firstLine="5040" w:firstLineChars="2100"/>
        <w:jc w:val="left"/>
        <w:rPr>
          <w:rFonts w:ascii="宋体" w:hAnsi="宋体" w:cs="宋体"/>
          <w:sz w:val="24"/>
          <w:szCs w:val="24"/>
        </w:rPr>
      </w:pPr>
      <w:r>
        <w:rPr>
          <w:rFonts w:hint="eastAsia" w:ascii="宋体" w:hAnsi="宋体" w:cs="宋体"/>
          <w:sz w:val="24"/>
          <w:szCs w:val="24"/>
        </w:rPr>
        <w:t>日期：</w:t>
      </w:r>
      <w:r>
        <w:rPr>
          <w:rStyle w:val="68"/>
          <w:rFonts w:hint="eastAsia" w:ascii="宋体" w:hAnsi="宋体"/>
          <w:sz w:val="24"/>
          <w:szCs w:val="24"/>
        </w:rPr>
        <w:t xml:space="preserve">     </w:t>
      </w:r>
      <w:r>
        <w:rPr>
          <w:rFonts w:hint="eastAsia" w:ascii="宋体" w:hAnsi="宋体" w:cs="宋体"/>
          <w:sz w:val="24"/>
          <w:szCs w:val="24"/>
        </w:rPr>
        <w:t>年    月     日</w:t>
      </w:r>
    </w:p>
    <w:p w14:paraId="45FF9E64">
      <w:pPr>
        <w:pStyle w:val="62"/>
        <w:spacing w:line="360" w:lineRule="auto"/>
        <w:ind w:firstLine="3570" w:firstLineChars="1700"/>
      </w:pPr>
    </w:p>
    <w:p w14:paraId="4CA6BC08">
      <w:pPr>
        <w:spacing w:line="360" w:lineRule="auto"/>
      </w:pPr>
    </w:p>
    <w:p w14:paraId="190FB79F">
      <w:pPr>
        <w:spacing w:line="560" w:lineRule="exact"/>
        <w:ind w:firstLine="602" w:firstLineChars="250"/>
        <w:jc w:val="left"/>
        <w:rPr>
          <w:rFonts w:ascii="宋体" w:hAnsi="宋体"/>
          <w:b/>
          <w:bCs/>
          <w:color w:val="000000"/>
          <w:sz w:val="24"/>
          <w:szCs w:val="24"/>
        </w:rPr>
      </w:pPr>
      <w:r>
        <w:rPr>
          <w:rFonts w:hint="eastAsia" w:ascii="宋体" w:hAnsi="宋体"/>
          <w:b/>
          <w:bCs/>
          <w:color w:val="000000"/>
          <w:sz w:val="24"/>
          <w:szCs w:val="24"/>
        </w:rPr>
        <w:t>注：投标人非残疾人福利性单位可不提供。</w:t>
      </w:r>
    </w:p>
    <w:p w14:paraId="14450D0C"/>
    <w:p w14:paraId="18BC1529">
      <w:pPr>
        <w:spacing w:line="500" w:lineRule="exact"/>
        <w:rPr>
          <w:rFonts w:ascii="宋体" w:hAnsi="宋体"/>
          <w:b/>
          <w:bCs/>
          <w:color w:val="000000"/>
          <w:sz w:val="24"/>
          <w:szCs w:val="24"/>
        </w:rPr>
      </w:pPr>
      <w:r>
        <w:rPr>
          <w:rFonts w:hint="eastAsia" w:ascii="宋体" w:hAnsi="宋体"/>
          <w:color w:val="000000"/>
          <w:sz w:val="24"/>
          <w:szCs w:val="24"/>
        </w:rPr>
        <w:br w:type="page"/>
      </w:r>
      <w:r>
        <w:rPr>
          <w:rFonts w:hint="eastAsia" w:ascii="宋体" w:hAnsi="宋体"/>
          <w:color w:val="000000"/>
          <w:sz w:val="24"/>
          <w:szCs w:val="24"/>
        </w:rPr>
        <w:t>附件3</w:t>
      </w:r>
    </w:p>
    <w:p w14:paraId="0C135C63">
      <w:pPr>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监狱企业声明函（如有）</w:t>
      </w:r>
    </w:p>
    <w:p w14:paraId="7D0B68E4"/>
    <w:p w14:paraId="4ABA8487">
      <w:pPr>
        <w:spacing w:line="500" w:lineRule="exact"/>
        <w:ind w:firstLine="540" w:firstLineChars="225"/>
        <w:rPr>
          <w:rFonts w:ascii="宋体" w:hAnsi="宋体" w:cs="宋体"/>
          <w:sz w:val="24"/>
          <w:szCs w:val="24"/>
        </w:rPr>
      </w:pPr>
      <w:r>
        <w:rPr>
          <w:rFonts w:hint="eastAsia" w:ascii="宋体" w:hAnsi="宋体" w:cs="宋体"/>
          <w:sz w:val="24"/>
          <w:szCs w:val="24"/>
        </w:rPr>
        <w:t>本公司郑重声明，根据《关于政府采购支持监狱企业发展有关问题的通知》（财库[2014]68号）的规定，本公司为监狱企业。</w:t>
      </w:r>
    </w:p>
    <w:p w14:paraId="00E3E1F5">
      <w:pPr>
        <w:spacing w:line="500" w:lineRule="exact"/>
        <w:ind w:firstLine="540" w:firstLineChars="225"/>
        <w:rPr>
          <w:rFonts w:ascii="宋体" w:hAnsi="宋体" w:cs="宋体"/>
          <w:sz w:val="24"/>
          <w:szCs w:val="24"/>
        </w:rPr>
      </w:pPr>
      <w:r>
        <w:rPr>
          <w:rFonts w:hint="eastAsia" w:ascii="宋体" w:hAnsi="宋体" w:cs="宋体"/>
          <w:sz w:val="24"/>
          <w:szCs w:val="24"/>
        </w:rPr>
        <w:t>根据上述标准，我公司属于监狱企业的理由为：</w:t>
      </w:r>
      <w:r>
        <w:rPr>
          <w:rFonts w:hint="eastAsia" w:ascii="宋体" w:hAnsi="宋体" w:cs="宋体"/>
          <w:sz w:val="24"/>
          <w:szCs w:val="24"/>
          <w:u w:val="single"/>
        </w:rPr>
        <w:t xml:space="preserve">         </w:t>
      </w:r>
      <w:r>
        <w:rPr>
          <w:rFonts w:hint="eastAsia" w:ascii="宋体" w:hAnsi="宋体" w:cs="宋体"/>
          <w:sz w:val="24"/>
          <w:szCs w:val="24"/>
        </w:rPr>
        <w:t xml:space="preserve"> 。</w:t>
      </w:r>
    </w:p>
    <w:p w14:paraId="6CE268CD">
      <w:pPr>
        <w:spacing w:line="500" w:lineRule="exact"/>
        <w:ind w:firstLine="540" w:firstLineChars="225"/>
        <w:rPr>
          <w:rFonts w:ascii="宋体" w:hAnsi="宋体" w:cs="宋体"/>
          <w:sz w:val="24"/>
          <w:szCs w:val="24"/>
        </w:rPr>
      </w:pPr>
      <w:r>
        <w:rPr>
          <w:rFonts w:hint="eastAsia" w:ascii="宋体" w:hAnsi="宋体" w:cs="宋体"/>
          <w:sz w:val="24"/>
          <w:szCs w:val="24"/>
        </w:rPr>
        <w:t xml:space="preserve">本公司为参加（ </w:t>
      </w:r>
      <w:r>
        <w:rPr>
          <w:rFonts w:hint="eastAsia" w:ascii="宋体" w:hAnsi="宋体" w:cs="宋体"/>
          <w:sz w:val="24"/>
          <w:szCs w:val="24"/>
          <w:u w:val="single"/>
        </w:rPr>
        <w:t xml:space="preserve">项目名称 </w:t>
      </w:r>
      <w:r>
        <w:rPr>
          <w:rFonts w:hint="eastAsia" w:ascii="宋体" w:hAnsi="宋体" w:cs="宋体"/>
          <w:sz w:val="24"/>
          <w:szCs w:val="24"/>
        </w:rPr>
        <w:t xml:space="preserve"> ） （项目编号：</w:t>
      </w:r>
      <w:r>
        <w:rPr>
          <w:rFonts w:hint="eastAsia" w:ascii="宋体" w:hAnsi="宋体" w:cs="宋体"/>
          <w:sz w:val="24"/>
          <w:szCs w:val="24"/>
          <w:u w:val="single"/>
        </w:rPr>
        <w:t xml:space="preserve">         </w:t>
      </w:r>
      <w:r>
        <w:rPr>
          <w:rFonts w:hint="eastAsia" w:ascii="宋体" w:hAnsi="宋体" w:cs="宋体"/>
          <w:sz w:val="24"/>
          <w:szCs w:val="24"/>
        </w:rPr>
        <w:t>），采购活动提供</w:t>
      </w:r>
    </w:p>
    <w:p w14:paraId="0D0DBCDB">
      <w:pPr>
        <w:spacing w:line="500" w:lineRule="exact"/>
        <w:rPr>
          <w:rFonts w:ascii="宋体" w:hAnsi="宋体" w:cs="宋体"/>
          <w:sz w:val="24"/>
          <w:szCs w:val="24"/>
        </w:rPr>
      </w:pPr>
      <w:r>
        <w:rPr>
          <w:rFonts w:hint="eastAsia" w:ascii="宋体" w:hAnsi="宋体" w:cs="宋体"/>
          <w:sz w:val="24"/>
          <w:szCs w:val="24"/>
        </w:rPr>
        <w:t>本企业提供服务。</w:t>
      </w:r>
    </w:p>
    <w:p w14:paraId="4C14C394">
      <w:p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14:paraId="35B5B0A1">
      <w:pPr>
        <w:pStyle w:val="62"/>
        <w:spacing w:line="500" w:lineRule="exact"/>
        <w:ind w:firstLine="420"/>
      </w:pPr>
    </w:p>
    <w:p w14:paraId="463C4175">
      <w:pPr>
        <w:widowControl/>
        <w:spacing w:line="500" w:lineRule="exact"/>
        <w:ind w:firstLine="5040" w:firstLineChars="2100"/>
        <w:jc w:val="left"/>
        <w:rPr>
          <w:rFonts w:ascii="宋体" w:hAnsi="宋体" w:cs="宋体"/>
          <w:sz w:val="24"/>
          <w:szCs w:val="24"/>
        </w:rPr>
      </w:pPr>
      <w:r>
        <w:rPr>
          <w:rFonts w:hint="eastAsia" w:ascii="宋体" w:hAnsi="宋体" w:cs="宋体"/>
          <w:sz w:val="24"/>
          <w:szCs w:val="24"/>
        </w:rPr>
        <w:t>企业名称（盖章）：</w:t>
      </w:r>
    </w:p>
    <w:p w14:paraId="2D6A14EE">
      <w:pPr>
        <w:widowControl/>
        <w:spacing w:line="500" w:lineRule="exact"/>
        <w:ind w:firstLine="5040" w:firstLineChars="2100"/>
        <w:jc w:val="left"/>
        <w:rPr>
          <w:rFonts w:ascii="宋体" w:hAnsi="宋体" w:cs="宋体"/>
          <w:sz w:val="24"/>
          <w:szCs w:val="24"/>
        </w:rPr>
      </w:pPr>
      <w:r>
        <w:rPr>
          <w:rFonts w:hint="eastAsia" w:ascii="宋体" w:hAnsi="宋体" w:cs="宋体"/>
          <w:sz w:val="24"/>
          <w:szCs w:val="24"/>
        </w:rPr>
        <w:t>日期：</w:t>
      </w:r>
      <w:r>
        <w:rPr>
          <w:rStyle w:val="68"/>
          <w:rFonts w:hint="eastAsia" w:ascii="宋体" w:hAnsi="宋体"/>
          <w:sz w:val="24"/>
          <w:szCs w:val="24"/>
        </w:rPr>
        <w:t xml:space="preserve">     </w:t>
      </w:r>
      <w:r>
        <w:rPr>
          <w:rFonts w:hint="eastAsia" w:ascii="宋体" w:hAnsi="宋体" w:cs="宋体"/>
          <w:sz w:val="24"/>
          <w:szCs w:val="24"/>
        </w:rPr>
        <w:t>年    月     日</w:t>
      </w:r>
    </w:p>
    <w:p w14:paraId="0CDDA687">
      <w:pPr>
        <w:spacing w:line="500" w:lineRule="exact"/>
        <w:jc w:val="center"/>
        <w:rPr>
          <w:rFonts w:ascii="微软雅黑" w:hAnsi="微软雅黑" w:eastAsia="微软雅黑" w:cs="微软雅黑"/>
          <w:color w:val="000000"/>
          <w:sz w:val="32"/>
          <w:szCs w:val="32"/>
        </w:rPr>
      </w:pPr>
    </w:p>
    <w:p w14:paraId="51AC1C9D">
      <w:pPr>
        <w:pStyle w:val="62"/>
        <w:ind w:firstLine="420"/>
      </w:pPr>
    </w:p>
    <w:p w14:paraId="607EC4FF">
      <w:pPr>
        <w:pStyle w:val="62"/>
        <w:ind w:firstLine="420"/>
      </w:pPr>
    </w:p>
    <w:p w14:paraId="14BC2A26">
      <w:pPr>
        <w:pStyle w:val="62"/>
        <w:ind w:firstLine="420"/>
      </w:pPr>
    </w:p>
    <w:p w14:paraId="46B9B995">
      <w:pPr>
        <w:pStyle w:val="62"/>
        <w:ind w:firstLine="420"/>
      </w:pPr>
    </w:p>
    <w:p w14:paraId="538D8742">
      <w:pPr>
        <w:spacing w:line="500" w:lineRule="exact"/>
        <w:ind w:firstLine="482" w:firstLineChars="200"/>
        <w:jc w:val="left"/>
        <w:rPr>
          <w:rFonts w:ascii="微软雅黑" w:hAnsi="微软雅黑" w:eastAsia="微软雅黑" w:cs="微软雅黑"/>
          <w:color w:val="000000"/>
          <w:sz w:val="32"/>
          <w:szCs w:val="32"/>
        </w:rPr>
      </w:pPr>
      <w:r>
        <w:rPr>
          <w:rFonts w:hint="eastAsia" w:ascii="宋体" w:hAnsi="宋体" w:cs="宋体"/>
          <w:b/>
          <w:bCs/>
          <w:color w:val="000000"/>
          <w:sz w:val="24"/>
          <w:szCs w:val="24"/>
        </w:rPr>
        <w:t>说明：监狱企业参加政府采购活动时,应当提供由省级以上监狱管理局、戒毒管理局（含新疆生产建设兵团）出具的属于监狱企业的证明文件。</w:t>
      </w:r>
    </w:p>
    <w:p w14:paraId="7BEC23F8">
      <w:pPr>
        <w:spacing w:line="500" w:lineRule="exact"/>
        <w:jc w:val="left"/>
        <w:rPr>
          <w:rFonts w:ascii="微软雅黑" w:hAnsi="微软雅黑" w:eastAsia="微软雅黑" w:cs="微软雅黑"/>
          <w:color w:val="000000"/>
          <w:sz w:val="32"/>
          <w:szCs w:val="32"/>
        </w:rPr>
      </w:pPr>
    </w:p>
    <w:p w14:paraId="3D7AA455">
      <w:pPr>
        <w:spacing w:line="500" w:lineRule="exact"/>
        <w:jc w:val="left"/>
        <w:rPr>
          <w:rFonts w:ascii="微软雅黑" w:hAnsi="微软雅黑" w:eastAsia="微软雅黑" w:cs="微软雅黑"/>
          <w:color w:val="000000"/>
          <w:sz w:val="32"/>
          <w:szCs w:val="32"/>
        </w:rPr>
      </w:pPr>
    </w:p>
    <w:p w14:paraId="6DF7BE9E">
      <w:pPr>
        <w:rPr>
          <w:rFonts w:ascii="微软雅黑" w:hAnsi="微软雅黑" w:eastAsia="微软雅黑" w:cs="微软雅黑"/>
          <w:color w:val="000000"/>
          <w:sz w:val="32"/>
          <w:szCs w:val="32"/>
        </w:rPr>
      </w:pPr>
    </w:p>
    <w:p w14:paraId="5EDF0E29">
      <w:pPr>
        <w:rPr>
          <w:rFonts w:ascii="微软雅黑" w:hAnsi="微软雅黑" w:eastAsia="微软雅黑" w:cs="微软雅黑"/>
          <w:color w:val="000000"/>
          <w:sz w:val="32"/>
          <w:szCs w:val="32"/>
        </w:rPr>
      </w:pPr>
    </w:p>
    <w:p w14:paraId="6D65F991">
      <w:pPr>
        <w:spacing w:line="500" w:lineRule="exact"/>
        <w:jc w:val="left"/>
        <w:rPr>
          <w:rFonts w:ascii="微软雅黑" w:hAnsi="微软雅黑" w:eastAsia="微软雅黑" w:cs="微软雅黑"/>
          <w:color w:val="000000"/>
          <w:sz w:val="15"/>
          <w:szCs w:val="15"/>
        </w:rPr>
      </w:pPr>
    </w:p>
    <w:p w14:paraId="1C6AF80F">
      <w:r>
        <w:rPr>
          <w:rFonts w:hint="eastAsia" w:ascii="方正小标宋_GBK" w:hAnsi="方正小标宋_GBK" w:eastAsia="方正小标宋_GBK" w:cs="方正小标宋_GBK"/>
          <w:color w:val="000000"/>
          <w:sz w:val="32"/>
          <w:szCs w:val="32"/>
        </w:rPr>
        <w:br w:type="page"/>
      </w:r>
    </w:p>
    <w:p w14:paraId="68E874A4">
      <w:pPr>
        <w:spacing w:line="500" w:lineRule="exact"/>
        <w:jc w:val="center"/>
        <w:outlineLvl w:val="1"/>
        <w:rPr>
          <w:rFonts w:ascii="微软雅黑" w:hAnsi="微软雅黑" w:eastAsia="微软雅黑" w:cs="微软雅黑"/>
          <w:color w:val="000000"/>
          <w:sz w:val="32"/>
          <w:szCs w:val="32"/>
        </w:rPr>
      </w:pPr>
      <w:r>
        <w:rPr>
          <w:rFonts w:hint="eastAsia" w:ascii="方正小标宋_GBK" w:hAnsi="方正小标宋_GBK" w:eastAsia="方正小标宋_GBK" w:cs="方正小标宋_GBK"/>
          <w:color w:val="000000"/>
          <w:sz w:val="32"/>
          <w:szCs w:val="32"/>
        </w:rPr>
        <w:t>六、商务条款响应及偏离表（如有）</w:t>
      </w:r>
    </w:p>
    <w:p w14:paraId="4237D616"/>
    <w:p w14:paraId="395DBC38">
      <w:pPr>
        <w:rPr>
          <w:rFonts w:ascii="宋体" w:hAnsi="宋体"/>
          <w:color w:val="000000"/>
          <w:sz w:val="24"/>
          <w:szCs w:val="24"/>
        </w:rPr>
      </w:pPr>
      <w:r>
        <w:rPr>
          <w:rFonts w:hint="eastAsia" w:ascii="宋体" w:hAnsi="宋体"/>
          <w:color w:val="000000"/>
          <w:sz w:val="24"/>
          <w:szCs w:val="24"/>
        </w:rPr>
        <w:t xml:space="preserve">投标人全称（加盖公章）：        </w:t>
      </w:r>
    </w:p>
    <w:tbl>
      <w:tblPr>
        <w:tblStyle w:val="46"/>
        <w:tblW w:w="0" w:type="auto"/>
        <w:tblInd w:w="16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00"/>
        <w:gridCol w:w="2413"/>
        <w:gridCol w:w="2238"/>
        <w:gridCol w:w="2853"/>
      </w:tblGrid>
      <w:tr w14:paraId="5FB4C5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00" w:type="dxa"/>
            <w:tcBorders>
              <w:top w:val="single" w:color="auto" w:sz="4" w:space="0"/>
              <w:left w:val="single" w:color="auto" w:sz="4" w:space="0"/>
              <w:bottom w:val="single" w:color="auto" w:sz="4" w:space="0"/>
              <w:right w:val="single" w:color="auto" w:sz="4" w:space="0"/>
            </w:tcBorders>
            <w:vAlign w:val="center"/>
          </w:tcPr>
          <w:p w14:paraId="3BE8B158">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14:paraId="7031704B">
            <w:pPr>
              <w:snapToGrid w:val="0"/>
              <w:jc w:val="center"/>
              <w:rPr>
                <w:rFonts w:ascii="仿宋_GB2312" w:hAnsi="宋体" w:eastAsia="仿宋_GB2312"/>
                <w:color w:val="000000"/>
                <w:sz w:val="24"/>
                <w:szCs w:val="20"/>
              </w:rPr>
            </w:pPr>
            <w:r>
              <w:rPr>
                <w:rFonts w:hint="eastAsia" w:ascii="仿宋_GB2312" w:hAnsi="宋体"/>
                <w:color w:val="000000"/>
                <w:sz w:val="24"/>
              </w:rPr>
              <w:t>招标文件要求</w:t>
            </w:r>
          </w:p>
        </w:tc>
        <w:tc>
          <w:tcPr>
            <w:tcW w:w="2238" w:type="dxa"/>
            <w:tcBorders>
              <w:top w:val="single" w:color="auto" w:sz="4" w:space="0"/>
              <w:left w:val="single" w:color="auto" w:sz="4" w:space="0"/>
              <w:bottom w:val="single" w:color="auto" w:sz="4" w:space="0"/>
              <w:right w:val="single" w:color="auto" w:sz="4" w:space="0"/>
            </w:tcBorders>
            <w:vAlign w:val="center"/>
          </w:tcPr>
          <w:p w14:paraId="4BBA17D6">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53" w:type="dxa"/>
            <w:tcBorders>
              <w:top w:val="single" w:color="auto" w:sz="4" w:space="0"/>
              <w:left w:val="single" w:color="auto" w:sz="4" w:space="0"/>
              <w:bottom w:val="single" w:color="auto" w:sz="4" w:space="0"/>
              <w:right w:val="single" w:color="auto" w:sz="4" w:space="0"/>
            </w:tcBorders>
            <w:vAlign w:val="center"/>
          </w:tcPr>
          <w:p w14:paraId="1839D4C2">
            <w:pPr>
              <w:snapToGrid w:val="0"/>
              <w:jc w:val="center"/>
              <w:rPr>
                <w:rFonts w:ascii="仿宋_GB2312" w:hAnsi="宋体" w:eastAsia="仿宋_GB2312"/>
                <w:color w:val="000000"/>
                <w:sz w:val="24"/>
                <w:szCs w:val="20"/>
              </w:rPr>
            </w:pPr>
            <w:r>
              <w:rPr>
                <w:rFonts w:hint="eastAsia" w:ascii="仿宋_GB2312" w:hAnsi="宋体"/>
                <w:color w:val="000000"/>
                <w:sz w:val="24"/>
              </w:rPr>
              <w:t>投标人的承诺或说明</w:t>
            </w:r>
          </w:p>
        </w:tc>
      </w:tr>
      <w:tr w14:paraId="3BC8A5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00" w:type="dxa"/>
            <w:tcBorders>
              <w:top w:val="single" w:color="auto" w:sz="4" w:space="0"/>
              <w:left w:val="single" w:color="auto" w:sz="4" w:space="0"/>
              <w:bottom w:val="single" w:color="auto" w:sz="4" w:space="0"/>
              <w:right w:val="single" w:color="auto" w:sz="4" w:space="0"/>
            </w:tcBorders>
            <w:vAlign w:val="center"/>
          </w:tcPr>
          <w:p w14:paraId="4F5A6354">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14:paraId="2E74839B">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14:paraId="1F4B62E7">
            <w:pPr>
              <w:snapToGrid w:val="0"/>
              <w:jc w:val="center"/>
              <w:rPr>
                <w:rFonts w:ascii="仿宋_GB2312" w:hAnsi="宋体" w:eastAsia="仿宋_GB2312"/>
                <w:color w:val="000000"/>
                <w:sz w:val="24"/>
                <w:szCs w:val="20"/>
              </w:rPr>
            </w:pPr>
          </w:p>
        </w:tc>
        <w:tc>
          <w:tcPr>
            <w:tcW w:w="2853" w:type="dxa"/>
            <w:tcBorders>
              <w:top w:val="single" w:color="auto" w:sz="4" w:space="0"/>
              <w:left w:val="single" w:color="auto" w:sz="4" w:space="0"/>
              <w:bottom w:val="single" w:color="auto" w:sz="4" w:space="0"/>
              <w:right w:val="single" w:color="auto" w:sz="4" w:space="0"/>
            </w:tcBorders>
            <w:vAlign w:val="center"/>
          </w:tcPr>
          <w:p w14:paraId="55CF954C">
            <w:pPr>
              <w:snapToGrid w:val="0"/>
              <w:jc w:val="center"/>
              <w:rPr>
                <w:rFonts w:ascii="仿宋_GB2312" w:hAnsi="宋体" w:eastAsia="仿宋_GB2312"/>
                <w:color w:val="000000"/>
                <w:sz w:val="24"/>
                <w:szCs w:val="20"/>
              </w:rPr>
            </w:pPr>
          </w:p>
        </w:tc>
      </w:tr>
      <w:tr w14:paraId="3FB60F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00" w:type="dxa"/>
            <w:tcBorders>
              <w:top w:val="single" w:color="auto" w:sz="4" w:space="0"/>
              <w:left w:val="single" w:color="auto" w:sz="4" w:space="0"/>
              <w:bottom w:val="single" w:color="auto" w:sz="4" w:space="0"/>
              <w:right w:val="single" w:color="auto" w:sz="4" w:space="0"/>
            </w:tcBorders>
            <w:vAlign w:val="center"/>
          </w:tcPr>
          <w:p w14:paraId="305F1924">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14:paraId="6601DC52">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14:paraId="7E931917">
            <w:pPr>
              <w:snapToGrid w:val="0"/>
              <w:jc w:val="center"/>
              <w:rPr>
                <w:rFonts w:ascii="仿宋_GB2312" w:hAnsi="宋体" w:eastAsia="仿宋_GB2312"/>
                <w:color w:val="000000"/>
                <w:sz w:val="24"/>
                <w:szCs w:val="20"/>
              </w:rPr>
            </w:pPr>
          </w:p>
        </w:tc>
        <w:tc>
          <w:tcPr>
            <w:tcW w:w="2853" w:type="dxa"/>
            <w:tcBorders>
              <w:top w:val="single" w:color="auto" w:sz="4" w:space="0"/>
              <w:left w:val="single" w:color="auto" w:sz="4" w:space="0"/>
              <w:bottom w:val="single" w:color="auto" w:sz="4" w:space="0"/>
              <w:right w:val="single" w:color="auto" w:sz="4" w:space="0"/>
            </w:tcBorders>
            <w:vAlign w:val="center"/>
          </w:tcPr>
          <w:p w14:paraId="53051905">
            <w:pPr>
              <w:snapToGrid w:val="0"/>
              <w:jc w:val="center"/>
              <w:rPr>
                <w:rFonts w:ascii="仿宋_GB2312" w:hAnsi="宋体" w:eastAsia="仿宋_GB2312"/>
                <w:color w:val="000000"/>
                <w:sz w:val="24"/>
                <w:szCs w:val="20"/>
              </w:rPr>
            </w:pPr>
          </w:p>
        </w:tc>
      </w:tr>
      <w:tr w14:paraId="5774D8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00" w:type="dxa"/>
            <w:tcBorders>
              <w:top w:val="single" w:color="auto" w:sz="4" w:space="0"/>
              <w:left w:val="single" w:color="auto" w:sz="4" w:space="0"/>
              <w:bottom w:val="single" w:color="auto" w:sz="4" w:space="0"/>
              <w:right w:val="single" w:color="auto" w:sz="4" w:space="0"/>
            </w:tcBorders>
            <w:vAlign w:val="center"/>
          </w:tcPr>
          <w:p w14:paraId="4270AE57">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14:paraId="181A119B">
            <w:pPr>
              <w:snapToGrid w:val="0"/>
              <w:jc w:val="center"/>
              <w:rPr>
                <w:rFonts w:ascii="仿宋_GB2312" w:hAnsi="宋体" w:eastAsia="仿宋_GB2312"/>
                <w:color w:val="000000"/>
                <w:sz w:val="24"/>
                <w:szCs w:val="20"/>
              </w:rPr>
            </w:pPr>
            <w:r>
              <w:rPr>
                <w:rFonts w:hint="eastAsia" w:ascii="仿宋_GB2312" w:hAnsi="宋体"/>
                <w:color w:val="000000"/>
                <w:sz w:val="24"/>
              </w:rPr>
              <w:t>合同签订后</w:t>
            </w:r>
            <w:r>
              <w:rPr>
                <w:rFonts w:hint="eastAsia" w:ascii="仿宋_GB2312" w:hAnsi="宋体"/>
                <w:color w:val="000000"/>
                <w:sz w:val="24"/>
                <w:u w:val="single"/>
              </w:rPr>
              <w:t xml:space="preserve">     </w:t>
            </w:r>
            <w:r>
              <w:rPr>
                <w:rFonts w:ascii="仿宋_GB2312" w:hAnsi="宋体"/>
                <w:color w:val="000000"/>
                <w:sz w:val="24"/>
              </w:rPr>
              <w:t>天内</w:t>
            </w:r>
          </w:p>
        </w:tc>
        <w:tc>
          <w:tcPr>
            <w:tcW w:w="2238" w:type="dxa"/>
            <w:tcBorders>
              <w:top w:val="single" w:color="auto" w:sz="4" w:space="0"/>
              <w:left w:val="single" w:color="auto" w:sz="4" w:space="0"/>
              <w:bottom w:val="single" w:color="auto" w:sz="4" w:space="0"/>
              <w:right w:val="single" w:color="auto" w:sz="4" w:space="0"/>
            </w:tcBorders>
            <w:vAlign w:val="center"/>
          </w:tcPr>
          <w:p w14:paraId="34142C1A">
            <w:pPr>
              <w:snapToGrid w:val="0"/>
              <w:ind w:left="43"/>
              <w:jc w:val="center"/>
              <w:rPr>
                <w:rFonts w:ascii="仿宋_GB2312" w:hAnsi="宋体" w:eastAsia="仿宋_GB2312"/>
                <w:color w:val="000000"/>
                <w:sz w:val="24"/>
                <w:szCs w:val="20"/>
              </w:rPr>
            </w:pPr>
          </w:p>
        </w:tc>
        <w:tc>
          <w:tcPr>
            <w:tcW w:w="2853" w:type="dxa"/>
            <w:tcBorders>
              <w:top w:val="single" w:color="auto" w:sz="4" w:space="0"/>
              <w:left w:val="single" w:color="auto" w:sz="4" w:space="0"/>
              <w:bottom w:val="single" w:color="auto" w:sz="4" w:space="0"/>
              <w:right w:val="single" w:color="auto" w:sz="4" w:space="0"/>
            </w:tcBorders>
            <w:vAlign w:val="center"/>
          </w:tcPr>
          <w:p w14:paraId="6702974F">
            <w:pPr>
              <w:snapToGrid w:val="0"/>
              <w:ind w:left="43"/>
              <w:jc w:val="center"/>
              <w:rPr>
                <w:rFonts w:ascii="仿宋_GB2312" w:hAnsi="宋体" w:eastAsia="仿宋_GB2312"/>
                <w:color w:val="000000"/>
                <w:sz w:val="24"/>
                <w:szCs w:val="20"/>
              </w:rPr>
            </w:pPr>
          </w:p>
        </w:tc>
      </w:tr>
      <w:tr w14:paraId="15622B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00" w:type="dxa"/>
            <w:tcBorders>
              <w:top w:val="single" w:color="auto" w:sz="4" w:space="0"/>
              <w:left w:val="single" w:color="auto" w:sz="4" w:space="0"/>
              <w:bottom w:val="single" w:color="auto" w:sz="4" w:space="0"/>
              <w:right w:val="single" w:color="auto" w:sz="4" w:space="0"/>
            </w:tcBorders>
            <w:vAlign w:val="center"/>
          </w:tcPr>
          <w:p w14:paraId="445686B6">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14:paraId="0FE9A69F">
            <w:pPr>
              <w:snapToGrid w:val="0"/>
              <w:jc w:val="center"/>
              <w:rPr>
                <w:rFonts w:ascii="仿宋_GB2312" w:hAnsi="宋体"/>
                <w:color w:val="000000"/>
                <w:sz w:val="24"/>
              </w:rPr>
            </w:pPr>
          </w:p>
          <w:p w14:paraId="57C6640B">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14:paraId="5F948714">
            <w:pPr>
              <w:snapToGrid w:val="0"/>
              <w:ind w:left="43"/>
              <w:jc w:val="center"/>
              <w:rPr>
                <w:rFonts w:ascii="仿宋_GB2312" w:hAnsi="宋体" w:eastAsia="仿宋_GB2312"/>
                <w:color w:val="000000"/>
                <w:sz w:val="24"/>
                <w:szCs w:val="20"/>
              </w:rPr>
            </w:pPr>
          </w:p>
        </w:tc>
        <w:tc>
          <w:tcPr>
            <w:tcW w:w="2853" w:type="dxa"/>
            <w:tcBorders>
              <w:top w:val="single" w:color="auto" w:sz="4" w:space="0"/>
              <w:left w:val="single" w:color="auto" w:sz="4" w:space="0"/>
              <w:bottom w:val="single" w:color="auto" w:sz="4" w:space="0"/>
              <w:right w:val="single" w:color="auto" w:sz="4" w:space="0"/>
            </w:tcBorders>
            <w:vAlign w:val="center"/>
          </w:tcPr>
          <w:p w14:paraId="67AE1919">
            <w:pPr>
              <w:snapToGrid w:val="0"/>
              <w:ind w:left="43"/>
              <w:jc w:val="center"/>
              <w:rPr>
                <w:rFonts w:ascii="仿宋_GB2312" w:hAnsi="宋体" w:eastAsia="仿宋_GB2312"/>
                <w:color w:val="000000"/>
                <w:sz w:val="24"/>
                <w:szCs w:val="20"/>
              </w:rPr>
            </w:pPr>
          </w:p>
        </w:tc>
      </w:tr>
      <w:tr w14:paraId="315BEB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00" w:type="dxa"/>
            <w:tcBorders>
              <w:top w:val="single" w:color="auto" w:sz="4" w:space="0"/>
              <w:left w:val="single" w:color="auto" w:sz="4" w:space="0"/>
              <w:bottom w:val="single" w:color="auto" w:sz="4" w:space="0"/>
              <w:right w:val="single" w:color="auto" w:sz="4" w:space="0"/>
            </w:tcBorders>
            <w:vAlign w:val="center"/>
          </w:tcPr>
          <w:p w14:paraId="53BF3E05">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14:paraId="0C32471F">
            <w:pPr>
              <w:snapToGrid w:val="0"/>
              <w:jc w:val="center"/>
              <w:rPr>
                <w:rFonts w:ascii="仿宋_GB2312" w:hAnsi="宋体"/>
                <w:color w:val="000000"/>
                <w:sz w:val="24"/>
              </w:rPr>
            </w:pPr>
          </w:p>
          <w:p w14:paraId="5E1F9ABA">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14:paraId="6322732D">
            <w:pPr>
              <w:snapToGrid w:val="0"/>
              <w:ind w:left="43"/>
              <w:jc w:val="center"/>
              <w:rPr>
                <w:rFonts w:ascii="仿宋_GB2312" w:hAnsi="宋体" w:eastAsia="仿宋_GB2312"/>
                <w:color w:val="000000"/>
                <w:sz w:val="24"/>
                <w:szCs w:val="20"/>
              </w:rPr>
            </w:pPr>
          </w:p>
        </w:tc>
        <w:tc>
          <w:tcPr>
            <w:tcW w:w="2853" w:type="dxa"/>
            <w:tcBorders>
              <w:top w:val="single" w:color="auto" w:sz="4" w:space="0"/>
              <w:left w:val="single" w:color="auto" w:sz="4" w:space="0"/>
              <w:bottom w:val="single" w:color="auto" w:sz="4" w:space="0"/>
              <w:right w:val="single" w:color="auto" w:sz="4" w:space="0"/>
            </w:tcBorders>
            <w:vAlign w:val="center"/>
          </w:tcPr>
          <w:p w14:paraId="29E45588">
            <w:pPr>
              <w:snapToGrid w:val="0"/>
              <w:ind w:left="43"/>
              <w:jc w:val="center"/>
              <w:rPr>
                <w:rFonts w:ascii="仿宋_GB2312" w:hAnsi="宋体" w:eastAsia="仿宋_GB2312"/>
                <w:color w:val="000000"/>
                <w:sz w:val="24"/>
                <w:szCs w:val="20"/>
              </w:rPr>
            </w:pPr>
          </w:p>
        </w:tc>
      </w:tr>
      <w:tr w14:paraId="5FC258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00" w:type="dxa"/>
            <w:tcBorders>
              <w:top w:val="single" w:color="auto" w:sz="4" w:space="0"/>
              <w:left w:val="single" w:color="auto" w:sz="4" w:space="0"/>
              <w:bottom w:val="single" w:color="auto" w:sz="4" w:space="0"/>
              <w:right w:val="single" w:color="auto" w:sz="4" w:space="0"/>
            </w:tcBorders>
            <w:vAlign w:val="center"/>
          </w:tcPr>
          <w:p w14:paraId="6BBB6198">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14:paraId="3558C938">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14:paraId="3B75F868">
            <w:pPr>
              <w:snapToGrid w:val="0"/>
              <w:jc w:val="center"/>
              <w:rPr>
                <w:rFonts w:ascii="仿宋_GB2312" w:hAnsi="宋体" w:eastAsia="仿宋_GB2312"/>
                <w:color w:val="000000"/>
                <w:sz w:val="24"/>
                <w:szCs w:val="20"/>
              </w:rPr>
            </w:pPr>
          </w:p>
        </w:tc>
        <w:tc>
          <w:tcPr>
            <w:tcW w:w="2853" w:type="dxa"/>
            <w:tcBorders>
              <w:top w:val="single" w:color="auto" w:sz="4" w:space="0"/>
              <w:left w:val="single" w:color="auto" w:sz="4" w:space="0"/>
              <w:bottom w:val="single" w:color="auto" w:sz="4" w:space="0"/>
              <w:right w:val="single" w:color="auto" w:sz="4" w:space="0"/>
            </w:tcBorders>
            <w:vAlign w:val="center"/>
          </w:tcPr>
          <w:p w14:paraId="467754F6">
            <w:pPr>
              <w:snapToGrid w:val="0"/>
              <w:jc w:val="center"/>
              <w:rPr>
                <w:rFonts w:ascii="仿宋_GB2312" w:hAnsi="宋体" w:eastAsia="仿宋_GB2312"/>
                <w:color w:val="000000"/>
                <w:sz w:val="24"/>
                <w:szCs w:val="20"/>
              </w:rPr>
            </w:pPr>
          </w:p>
        </w:tc>
      </w:tr>
      <w:tr w14:paraId="6FF145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00" w:type="dxa"/>
            <w:tcBorders>
              <w:top w:val="single" w:color="auto" w:sz="4" w:space="0"/>
              <w:left w:val="single" w:color="auto" w:sz="4" w:space="0"/>
              <w:bottom w:val="single" w:color="auto" w:sz="4" w:space="0"/>
              <w:right w:val="single" w:color="auto" w:sz="4" w:space="0"/>
            </w:tcBorders>
            <w:vAlign w:val="center"/>
          </w:tcPr>
          <w:p w14:paraId="2C84FE2E">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14:paraId="0FD04B3E">
            <w:pPr>
              <w:snapToGrid w:val="0"/>
              <w:jc w:val="center"/>
              <w:rPr>
                <w:rFonts w:ascii="仿宋_GB2312" w:hAnsi="宋体" w:eastAsia="仿宋_GB2312"/>
                <w:color w:val="000000"/>
                <w:sz w:val="24"/>
                <w:szCs w:val="20"/>
              </w:rPr>
            </w:pPr>
          </w:p>
          <w:p w14:paraId="3D9D89D1">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14:paraId="4E177CC5">
            <w:pPr>
              <w:snapToGrid w:val="0"/>
              <w:jc w:val="center"/>
              <w:rPr>
                <w:rFonts w:ascii="仿宋_GB2312" w:hAnsi="宋体" w:eastAsia="仿宋_GB2312"/>
                <w:color w:val="000000"/>
                <w:sz w:val="24"/>
                <w:szCs w:val="20"/>
              </w:rPr>
            </w:pPr>
          </w:p>
        </w:tc>
        <w:tc>
          <w:tcPr>
            <w:tcW w:w="2853" w:type="dxa"/>
            <w:tcBorders>
              <w:top w:val="single" w:color="auto" w:sz="4" w:space="0"/>
              <w:left w:val="single" w:color="auto" w:sz="4" w:space="0"/>
              <w:bottom w:val="single" w:color="auto" w:sz="4" w:space="0"/>
              <w:right w:val="single" w:color="auto" w:sz="4" w:space="0"/>
            </w:tcBorders>
            <w:vAlign w:val="center"/>
          </w:tcPr>
          <w:p w14:paraId="7795E19F">
            <w:pPr>
              <w:snapToGrid w:val="0"/>
              <w:jc w:val="center"/>
              <w:rPr>
                <w:rFonts w:ascii="仿宋_GB2312" w:hAnsi="宋体" w:eastAsia="仿宋_GB2312"/>
                <w:color w:val="000000"/>
                <w:sz w:val="24"/>
                <w:szCs w:val="20"/>
              </w:rPr>
            </w:pPr>
          </w:p>
        </w:tc>
      </w:tr>
      <w:tr w14:paraId="0F937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00" w:type="dxa"/>
            <w:tcBorders>
              <w:top w:val="single" w:color="auto" w:sz="4" w:space="0"/>
              <w:left w:val="single" w:color="auto" w:sz="4" w:space="0"/>
              <w:bottom w:val="single" w:color="auto" w:sz="4" w:space="0"/>
              <w:right w:val="single" w:color="auto" w:sz="4" w:space="0"/>
            </w:tcBorders>
            <w:vAlign w:val="center"/>
          </w:tcPr>
          <w:p w14:paraId="245AE43A">
            <w:pPr>
              <w:snapToGrid w:val="0"/>
              <w:jc w:val="center"/>
              <w:rPr>
                <w:rFonts w:ascii="仿宋_GB2312"/>
                <w:color w:val="000000"/>
                <w:sz w:val="24"/>
              </w:rPr>
            </w:pPr>
            <w:r>
              <w:rPr>
                <w:rFonts w:hint="eastAsia" w:ascii="仿宋_GB2312"/>
                <w:color w:val="000000"/>
                <w:sz w:val="24"/>
              </w:rPr>
              <w:t>备品备件及耗材等要求</w:t>
            </w:r>
          </w:p>
        </w:tc>
        <w:tc>
          <w:tcPr>
            <w:tcW w:w="2413" w:type="dxa"/>
            <w:tcBorders>
              <w:top w:val="single" w:color="auto" w:sz="4" w:space="0"/>
              <w:left w:val="single" w:color="auto" w:sz="4" w:space="0"/>
              <w:bottom w:val="single" w:color="auto" w:sz="4" w:space="0"/>
              <w:right w:val="single" w:color="auto" w:sz="4" w:space="0"/>
            </w:tcBorders>
            <w:vAlign w:val="center"/>
          </w:tcPr>
          <w:p w14:paraId="693098DB">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14:paraId="5DC24AB0">
            <w:pPr>
              <w:snapToGrid w:val="0"/>
              <w:jc w:val="center"/>
              <w:rPr>
                <w:rFonts w:ascii="仿宋_GB2312" w:hAnsi="宋体" w:eastAsia="仿宋_GB2312"/>
                <w:color w:val="000000"/>
                <w:sz w:val="24"/>
                <w:szCs w:val="20"/>
              </w:rPr>
            </w:pPr>
          </w:p>
        </w:tc>
        <w:tc>
          <w:tcPr>
            <w:tcW w:w="2853" w:type="dxa"/>
            <w:tcBorders>
              <w:top w:val="single" w:color="auto" w:sz="4" w:space="0"/>
              <w:left w:val="single" w:color="auto" w:sz="4" w:space="0"/>
              <w:bottom w:val="single" w:color="auto" w:sz="4" w:space="0"/>
              <w:right w:val="single" w:color="auto" w:sz="4" w:space="0"/>
            </w:tcBorders>
            <w:vAlign w:val="center"/>
          </w:tcPr>
          <w:p w14:paraId="18F0BE20">
            <w:pPr>
              <w:snapToGrid w:val="0"/>
              <w:jc w:val="center"/>
              <w:rPr>
                <w:rFonts w:ascii="仿宋_GB2312" w:hAnsi="宋体" w:eastAsia="仿宋_GB2312"/>
                <w:color w:val="000000"/>
                <w:sz w:val="24"/>
                <w:szCs w:val="20"/>
              </w:rPr>
            </w:pPr>
          </w:p>
        </w:tc>
      </w:tr>
      <w:tr w14:paraId="3C29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00" w:type="dxa"/>
            <w:tcBorders>
              <w:top w:val="single" w:color="auto" w:sz="4" w:space="0"/>
              <w:left w:val="single" w:color="auto" w:sz="4" w:space="0"/>
              <w:bottom w:val="single" w:color="auto" w:sz="4" w:space="0"/>
              <w:right w:val="single" w:color="auto" w:sz="4" w:space="0"/>
            </w:tcBorders>
            <w:vAlign w:val="center"/>
          </w:tcPr>
          <w:p w14:paraId="509DE1B9">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14:paraId="7F550D9B">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14:paraId="0E9F6F48">
            <w:pPr>
              <w:snapToGrid w:val="0"/>
              <w:jc w:val="center"/>
              <w:rPr>
                <w:rFonts w:ascii="仿宋_GB2312" w:hAnsi="宋体" w:eastAsia="仿宋_GB2312"/>
                <w:color w:val="000000"/>
                <w:sz w:val="24"/>
                <w:szCs w:val="20"/>
              </w:rPr>
            </w:pPr>
          </w:p>
        </w:tc>
        <w:tc>
          <w:tcPr>
            <w:tcW w:w="2853" w:type="dxa"/>
            <w:tcBorders>
              <w:top w:val="single" w:color="auto" w:sz="4" w:space="0"/>
              <w:left w:val="single" w:color="auto" w:sz="4" w:space="0"/>
              <w:bottom w:val="single" w:color="auto" w:sz="4" w:space="0"/>
              <w:right w:val="single" w:color="auto" w:sz="4" w:space="0"/>
            </w:tcBorders>
            <w:vAlign w:val="center"/>
          </w:tcPr>
          <w:p w14:paraId="79234F0A">
            <w:pPr>
              <w:snapToGrid w:val="0"/>
              <w:jc w:val="center"/>
              <w:rPr>
                <w:rFonts w:ascii="仿宋_GB2312" w:hAnsi="宋体" w:eastAsia="仿宋_GB2312"/>
                <w:color w:val="000000"/>
                <w:sz w:val="24"/>
                <w:szCs w:val="20"/>
              </w:rPr>
            </w:pPr>
          </w:p>
        </w:tc>
      </w:tr>
    </w:tbl>
    <w:p w14:paraId="467AF701">
      <w:pPr>
        <w:rPr>
          <w:rFonts w:ascii="宋体" w:hAnsi="宋体"/>
          <w:color w:val="000000"/>
          <w:sz w:val="24"/>
          <w:szCs w:val="24"/>
        </w:rPr>
      </w:pPr>
    </w:p>
    <w:p w14:paraId="71893670">
      <w:pPr>
        <w:rPr>
          <w:rFonts w:ascii="宋体" w:hAnsi="宋体"/>
          <w:color w:val="000000"/>
          <w:sz w:val="24"/>
          <w:szCs w:val="24"/>
        </w:rPr>
      </w:pPr>
    </w:p>
    <w:p w14:paraId="5F2837D4">
      <w:pPr>
        <w:rPr>
          <w:rFonts w:ascii="宋体" w:hAnsi="宋体"/>
          <w:color w:val="000000"/>
          <w:sz w:val="24"/>
          <w:szCs w:val="24"/>
        </w:rPr>
      </w:pPr>
      <w:r>
        <w:rPr>
          <w:rFonts w:hint="eastAsia" w:ascii="宋体" w:hAnsi="宋体"/>
          <w:color w:val="000000"/>
          <w:sz w:val="24"/>
          <w:szCs w:val="24"/>
        </w:rPr>
        <w:t>法定代表人或授权代表签字：</w:t>
      </w:r>
    </w:p>
    <w:p w14:paraId="5C3CBCEF">
      <w:pPr>
        <w:pStyle w:val="5"/>
        <w:rPr>
          <w:color w:val="000000"/>
        </w:rPr>
      </w:pPr>
    </w:p>
    <w:p w14:paraId="3E935363">
      <w:pPr>
        <w:widowControl/>
        <w:spacing w:line="500" w:lineRule="exact"/>
        <w:ind w:firstLine="5040" w:firstLineChars="2100"/>
        <w:jc w:val="left"/>
        <w:rPr>
          <w:rFonts w:ascii="宋体" w:hAnsi="宋体" w:cs="宋体"/>
          <w:sz w:val="24"/>
          <w:szCs w:val="24"/>
        </w:rPr>
      </w:pPr>
      <w:r>
        <w:rPr>
          <w:rFonts w:hint="eastAsia" w:ascii="宋体" w:hAnsi="宋体" w:cs="宋体"/>
          <w:sz w:val="24"/>
          <w:szCs w:val="24"/>
        </w:rPr>
        <w:t>日期：</w:t>
      </w:r>
      <w:r>
        <w:rPr>
          <w:rStyle w:val="68"/>
          <w:rFonts w:hint="eastAsia" w:ascii="宋体" w:hAnsi="宋体"/>
          <w:sz w:val="24"/>
          <w:szCs w:val="24"/>
        </w:rPr>
        <w:t xml:space="preserve">     </w:t>
      </w:r>
      <w:r>
        <w:rPr>
          <w:rFonts w:hint="eastAsia" w:ascii="宋体" w:hAnsi="宋体" w:cs="宋体"/>
          <w:sz w:val="24"/>
          <w:szCs w:val="24"/>
        </w:rPr>
        <w:t>年    月     日</w:t>
      </w:r>
    </w:p>
    <w:p w14:paraId="5B8DB088">
      <w:pPr>
        <w:pStyle w:val="5"/>
        <w:rPr>
          <w:color w:val="000000"/>
        </w:rPr>
      </w:pPr>
    </w:p>
    <w:p w14:paraId="53D49FCD">
      <w:pPr>
        <w:spacing w:line="480" w:lineRule="auto"/>
        <w:rPr>
          <w:rFonts w:ascii="仿宋_GB2312" w:hAnsi="Arial"/>
          <w:color w:val="000000"/>
          <w:sz w:val="30"/>
        </w:rPr>
      </w:pPr>
      <w:r>
        <w:rPr>
          <w:rFonts w:hint="eastAsia" w:ascii="仿宋_GB2312" w:hAnsi="Arial"/>
          <w:color w:val="000000"/>
          <w:sz w:val="30"/>
        </w:rPr>
        <w:t xml:space="preserve">    </w:t>
      </w:r>
    </w:p>
    <w:p w14:paraId="102961DB"/>
    <w:p w14:paraId="62C81B47"/>
    <w:p w14:paraId="6B06E373"/>
    <w:p w14:paraId="12727AE3">
      <w:pPr>
        <w:pStyle w:val="99"/>
        <w:ind w:firstLine="2530" w:firstLineChars="700"/>
        <w:outlineLvl w:val="1"/>
        <w:rPr>
          <w:rFonts w:ascii="方正小标宋_GBK" w:hAnsi="方正小标宋_GBK" w:eastAsia="方正小标宋_GBK" w:cs="方正小标宋_GBK"/>
          <w:bCs/>
          <w:color w:val="000000"/>
          <w:sz w:val="32"/>
          <w:szCs w:val="32"/>
        </w:rPr>
      </w:pPr>
      <w:r>
        <w:rPr>
          <w:rFonts w:hint="eastAsia" w:ascii="宋体" w:hAnsi="宋体"/>
          <w:b/>
          <w:bCs/>
          <w:color w:val="000000"/>
          <w:sz w:val="36"/>
          <w:szCs w:val="36"/>
        </w:rPr>
        <w:t>七、</w:t>
      </w:r>
      <w:r>
        <w:rPr>
          <w:rFonts w:hint="eastAsia" w:ascii="方正小标宋_GBK" w:hAnsi="方正小标宋_GBK" w:eastAsia="方正小标宋_GBK" w:cs="方正小标宋_GBK"/>
          <w:bCs/>
          <w:color w:val="000000"/>
          <w:sz w:val="32"/>
          <w:szCs w:val="32"/>
        </w:rPr>
        <w:t>分项报价表响应报价表</w:t>
      </w:r>
    </w:p>
    <w:p w14:paraId="037FC65D">
      <w:pPr>
        <w:spacing w:line="500" w:lineRule="exact"/>
        <w:rPr>
          <w:rFonts w:ascii="宋体" w:hAnsi="宋体" w:cs="宋体"/>
          <w:sz w:val="24"/>
          <w:szCs w:val="24"/>
        </w:rPr>
      </w:pPr>
      <w:r>
        <w:rPr>
          <w:rFonts w:hint="eastAsia" w:ascii="宋体" w:hAnsi="宋体"/>
          <w:color w:val="000000"/>
          <w:sz w:val="24"/>
          <w:szCs w:val="24"/>
        </w:rPr>
        <w:t>项目名称：</w:t>
      </w:r>
      <w:r>
        <w:rPr>
          <w:rFonts w:hint="eastAsia" w:ascii="宋体" w:hAnsi="宋体" w:cs="宋体"/>
          <w:sz w:val="24"/>
          <w:szCs w:val="24"/>
        </w:rPr>
        <w:t>江苏医药职业学院网络驻场运维服务项目</w:t>
      </w:r>
    </w:p>
    <w:p w14:paraId="3FA08D06">
      <w:pPr>
        <w:spacing w:line="500" w:lineRule="exact"/>
        <w:rPr>
          <w:rFonts w:ascii="宋体" w:hAnsi="宋体" w:cs="宋体"/>
          <w:sz w:val="24"/>
          <w:szCs w:val="24"/>
        </w:rPr>
      </w:pPr>
      <w:r>
        <w:rPr>
          <w:rFonts w:hint="eastAsia" w:ascii="宋体" w:hAnsi="宋体"/>
          <w:color w:val="000000"/>
          <w:sz w:val="24"/>
          <w:szCs w:val="24"/>
        </w:rPr>
        <w:t>项目编号：</w:t>
      </w:r>
      <w:r>
        <w:rPr>
          <w:rFonts w:hint="eastAsia" w:ascii="宋体" w:hAnsi="宋体" w:cs="宋体"/>
          <w:color w:val="000000"/>
          <w:spacing w:val="40"/>
          <w:sz w:val="24"/>
          <w:szCs w:val="22"/>
        </w:rPr>
        <w:t>SY2024-030-FW-GK</w:t>
      </w:r>
    </w:p>
    <w:tbl>
      <w:tblPr>
        <w:tblStyle w:val="46"/>
        <w:tblW w:w="9223"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863"/>
        <w:gridCol w:w="964"/>
        <w:gridCol w:w="1134"/>
        <w:gridCol w:w="1276"/>
        <w:gridCol w:w="1134"/>
        <w:gridCol w:w="1134"/>
      </w:tblGrid>
      <w:tr w14:paraId="0D31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14:paraId="645B2F85">
            <w:pPr>
              <w:spacing w:line="500" w:lineRule="exact"/>
              <w:jc w:val="center"/>
              <w:rPr>
                <w:rFonts w:ascii="宋体"/>
                <w:color w:val="000000"/>
                <w:sz w:val="24"/>
                <w:szCs w:val="24"/>
              </w:rPr>
            </w:pPr>
            <w:r>
              <w:rPr>
                <w:rFonts w:hint="eastAsia" w:ascii="宋体" w:hAnsi="宋体"/>
                <w:color w:val="000000"/>
                <w:sz w:val="24"/>
                <w:szCs w:val="24"/>
              </w:rPr>
              <w:t>序号</w:t>
            </w:r>
          </w:p>
        </w:tc>
        <w:tc>
          <w:tcPr>
            <w:tcW w:w="2863" w:type="dxa"/>
            <w:vAlign w:val="center"/>
          </w:tcPr>
          <w:p w14:paraId="31ABBC2B">
            <w:pPr>
              <w:spacing w:line="500" w:lineRule="exact"/>
              <w:jc w:val="center"/>
              <w:rPr>
                <w:rFonts w:ascii="宋体"/>
                <w:color w:val="000000"/>
                <w:sz w:val="24"/>
                <w:szCs w:val="24"/>
              </w:rPr>
            </w:pPr>
            <w:r>
              <w:rPr>
                <w:rFonts w:hint="eastAsia" w:ascii="宋体" w:hAnsi="宋体"/>
                <w:color w:val="000000"/>
                <w:sz w:val="24"/>
                <w:szCs w:val="24"/>
              </w:rPr>
              <w:t>货物名称</w:t>
            </w:r>
          </w:p>
        </w:tc>
        <w:tc>
          <w:tcPr>
            <w:tcW w:w="964" w:type="dxa"/>
            <w:vAlign w:val="center"/>
          </w:tcPr>
          <w:p w14:paraId="082CD219">
            <w:pPr>
              <w:spacing w:line="500" w:lineRule="exact"/>
              <w:jc w:val="center"/>
              <w:rPr>
                <w:rFonts w:ascii="宋体"/>
                <w:color w:val="000000"/>
                <w:sz w:val="24"/>
                <w:szCs w:val="24"/>
              </w:rPr>
            </w:pPr>
            <w:r>
              <w:rPr>
                <w:rFonts w:hint="eastAsia" w:ascii="宋体" w:hAnsi="宋体"/>
                <w:color w:val="000000"/>
                <w:sz w:val="24"/>
                <w:szCs w:val="24"/>
              </w:rPr>
              <w:t>数量</w:t>
            </w:r>
          </w:p>
        </w:tc>
        <w:tc>
          <w:tcPr>
            <w:tcW w:w="1134" w:type="dxa"/>
            <w:vAlign w:val="center"/>
          </w:tcPr>
          <w:p w14:paraId="2E3FFF70">
            <w:pPr>
              <w:spacing w:line="500" w:lineRule="exact"/>
              <w:jc w:val="center"/>
              <w:rPr>
                <w:rFonts w:ascii="宋体"/>
                <w:color w:val="000000"/>
                <w:sz w:val="24"/>
                <w:szCs w:val="24"/>
              </w:rPr>
            </w:pPr>
            <w:r>
              <w:rPr>
                <w:rFonts w:hint="eastAsia" w:ascii="宋体" w:hAnsi="宋体"/>
                <w:color w:val="000000"/>
                <w:sz w:val="24"/>
                <w:szCs w:val="24"/>
              </w:rPr>
              <w:t>品牌</w:t>
            </w:r>
          </w:p>
        </w:tc>
        <w:tc>
          <w:tcPr>
            <w:tcW w:w="1276" w:type="dxa"/>
            <w:vAlign w:val="center"/>
          </w:tcPr>
          <w:p w14:paraId="4BB74821">
            <w:pPr>
              <w:spacing w:line="500" w:lineRule="exact"/>
              <w:jc w:val="center"/>
              <w:rPr>
                <w:rFonts w:ascii="宋体"/>
                <w:color w:val="000000"/>
                <w:sz w:val="24"/>
                <w:szCs w:val="24"/>
              </w:rPr>
            </w:pPr>
            <w:r>
              <w:rPr>
                <w:rFonts w:hint="eastAsia" w:ascii="宋体" w:hAnsi="宋体"/>
                <w:color w:val="000000"/>
                <w:sz w:val="24"/>
                <w:szCs w:val="24"/>
              </w:rPr>
              <w:t>产地</w:t>
            </w:r>
          </w:p>
        </w:tc>
        <w:tc>
          <w:tcPr>
            <w:tcW w:w="1134" w:type="dxa"/>
            <w:vAlign w:val="center"/>
          </w:tcPr>
          <w:p w14:paraId="44C28924">
            <w:pPr>
              <w:spacing w:line="500" w:lineRule="exact"/>
              <w:jc w:val="center"/>
              <w:rPr>
                <w:rFonts w:ascii="宋体"/>
                <w:color w:val="000000"/>
                <w:sz w:val="24"/>
                <w:szCs w:val="24"/>
              </w:rPr>
            </w:pPr>
            <w:r>
              <w:rPr>
                <w:rFonts w:hint="eastAsia" w:ascii="宋体" w:hAnsi="宋体"/>
                <w:color w:val="000000"/>
                <w:sz w:val="24"/>
                <w:szCs w:val="24"/>
              </w:rPr>
              <w:t>单价</w:t>
            </w:r>
          </w:p>
          <w:p w14:paraId="2CFC6A4C">
            <w:pPr>
              <w:spacing w:line="500" w:lineRule="exact"/>
              <w:jc w:val="center"/>
              <w:rPr>
                <w:rFonts w:ascii="宋体"/>
                <w:color w:val="000000"/>
                <w:sz w:val="24"/>
                <w:szCs w:val="24"/>
              </w:rPr>
            </w:pPr>
            <w:r>
              <w:rPr>
                <w:rFonts w:hint="eastAsia" w:ascii="宋体" w:hAnsi="宋体"/>
                <w:color w:val="000000"/>
                <w:sz w:val="24"/>
                <w:szCs w:val="24"/>
              </w:rPr>
              <w:t>（元）</w:t>
            </w:r>
          </w:p>
        </w:tc>
        <w:tc>
          <w:tcPr>
            <w:tcW w:w="1134" w:type="dxa"/>
            <w:vAlign w:val="center"/>
          </w:tcPr>
          <w:p w14:paraId="6DBB86F4">
            <w:pPr>
              <w:spacing w:line="500" w:lineRule="exact"/>
              <w:jc w:val="center"/>
              <w:rPr>
                <w:rFonts w:ascii="宋体"/>
                <w:color w:val="000000"/>
                <w:sz w:val="24"/>
                <w:szCs w:val="24"/>
              </w:rPr>
            </w:pPr>
            <w:r>
              <w:rPr>
                <w:rFonts w:hint="eastAsia" w:ascii="宋体" w:hAnsi="宋体"/>
                <w:color w:val="000000"/>
                <w:sz w:val="24"/>
                <w:szCs w:val="24"/>
              </w:rPr>
              <w:t>总价</w:t>
            </w:r>
          </w:p>
          <w:p w14:paraId="13AB078E">
            <w:pPr>
              <w:spacing w:line="500" w:lineRule="exact"/>
              <w:jc w:val="center"/>
              <w:rPr>
                <w:rFonts w:ascii="宋体"/>
                <w:color w:val="000000"/>
                <w:sz w:val="24"/>
                <w:szCs w:val="24"/>
              </w:rPr>
            </w:pPr>
            <w:r>
              <w:rPr>
                <w:rFonts w:hint="eastAsia" w:ascii="宋体" w:hAnsi="宋体"/>
                <w:color w:val="000000"/>
                <w:sz w:val="24"/>
                <w:szCs w:val="24"/>
              </w:rPr>
              <w:t>（元）</w:t>
            </w:r>
          </w:p>
        </w:tc>
      </w:tr>
      <w:tr w14:paraId="41B0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14:paraId="38DE9E96">
            <w:pPr>
              <w:spacing w:line="500" w:lineRule="exact"/>
              <w:jc w:val="center"/>
              <w:rPr>
                <w:rFonts w:ascii="宋体"/>
                <w:color w:val="000000"/>
                <w:sz w:val="24"/>
                <w:szCs w:val="24"/>
              </w:rPr>
            </w:pPr>
            <w:r>
              <w:rPr>
                <w:rFonts w:hint="eastAsia" w:ascii="宋体"/>
                <w:color w:val="000000"/>
                <w:sz w:val="24"/>
                <w:szCs w:val="24"/>
              </w:rPr>
              <w:t>1</w:t>
            </w:r>
          </w:p>
        </w:tc>
        <w:tc>
          <w:tcPr>
            <w:tcW w:w="2863" w:type="dxa"/>
            <w:vAlign w:val="center"/>
          </w:tcPr>
          <w:p w14:paraId="5A1AA266">
            <w:pPr>
              <w:spacing w:line="500" w:lineRule="exact"/>
              <w:jc w:val="center"/>
              <w:rPr>
                <w:rFonts w:ascii="宋体"/>
                <w:color w:val="000000"/>
                <w:sz w:val="24"/>
                <w:szCs w:val="24"/>
              </w:rPr>
            </w:pPr>
          </w:p>
        </w:tc>
        <w:tc>
          <w:tcPr>
            <w:tcW w:w="964" w:type="dxa"/>
            <w:vAlign w:val="center"/>
          </w:tcPr>
          <w:p w14:paraId="40770B93">
            <w:pPr>
              <w:spacing w:line="500" w:lineRule="exact"/>
              <w:jc w:val="center"/>
              <w:rPr>
                <w:rFonts w:ascii="宋体"/>
                <w:color w:val="000000"/>
                <w:sz w:val="24"/>
                <w:szCs w:val="24"/>
              </w:rPr>
            </w:pPr>
          </w:p>
        </w:tc>
        <w:tc>
          <w:tcPr>
            <w:tcW w:w="1134" w:type="dxa"/>
            <w:vAlign w:val="center"/>
          </w:tcPr>
          <w:p w14:paraId="719C5530">
            <w:pPr>
              <w:spacing w:line="500" w:lineRule="exact"/>
              <w:jc w:val="center"/>
              <w:rPr>
                <w:rFonts w:ascii="宋体"/>
                <w:color w:val="000000"/>
                <w:sz w:val="24"/>
                <w:szCs w:val="24"/>
              </w:rPr>
            </w:pPr>
          </w:p>
        </w:tc>
        <w:tc>
          <w:tcPr>
            <w:tcW w:w="1276" w:type="dxa"/>
            <w:vAlign w:val="center"/>
          </w:tcPr>
          <w:p w14:paraId="1AA80E39">
            <w:pPr>
              <w:spacing w:line="500" w:lineRule="exact"/>
              <w:jc w:val="center"/>
              <w:rPr>
                <w:rFonts w:ascii="宋体"/>
                <w:color w:val="000000"/>
                <w:sz w:val="24"/>
                <w:szCs w:val="24"/>
              </w:rPr>
            </w:pPr>
          </w:p>
        </w:tc>
        <w:tc>
          <w:tcPr>
            <w:tcW w:w="1134" w:type="dxa"/>
          </w:tcPr>
          <w:p w14:paraId="33DE9381">
            <w:pPr>
              <w:spacing w:line="500" w:lineRule="exact"/>
              <w:jc w:val="center"/>
              <w:rPr>
                <w:rFonts w:ascii="宋体"/>
                <w:color w:val="000000"/>
                <w:sz w:val="24"/>
                <w:szCs w:val="24"/>
              </w:rPr>
            </w:pPr>
          </w:p>
        </w:tc>
        <w:tc>
          <w:tcPr>
            <w:tcW w:w="1134" w:type="dxa"/>
          </w:tcPr>
          <w:p w14:paraId="4C804845">
            <w:pPr>
              <w:spacing w:line="500" w:lineRule="exact"/>
              <w:jc w:val="center"/>
              <w:rPr>
                <w:rFonts w:ascii="宋体"/>
                <w:color w:val="000000"/>
                <w:sz w:val="24"/>
                <w:szCs w:val="24"/>
              </w:rPr>
            </w:pPr>
          </w:p>
        </w:tc>
      </w:tr>
      <w:tr w14:paraId="1A35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14:paraId="00B19210">
            <w:pPr>
              <w:spacing w:line="500" w:lineRule="exact"/>
              <w:jc w:val="center"/>
              <w:rPr>
                <w:rFonts w:ascii="宋体"/>
                <w:color w:val="000000"/>
                <w:sz w:val="24"/>
                <w:szCs w:val="24"/>
              </w:rPr>
            </w:pPr>
            <w:r>
              <w:rPr>
                <w:rFonts w:hint="eastAsia" w:ascii="宋体"/>
                <w:color w:val="000000"/>
                <w:sz w:val="24"/>
                <w:szCs w:val="24"/>
              </w:rPr>
              <w:t>2</w:t>
            </w:r>
          </w:p>
        </w:tc>
        <w:tc>
          <w:tcPr>
            <w:tcW w:w="2863" w:type="dxa"/>
            <w:vAlign w:val="center"/>
          </w:tcPr>
          <w:p w14:paraId="7A2F7165">
            <w:pPr>
              <w:spacing w:line="500" w:lineRule="exact"/>
              <w:jc w:val="center"/>
              <w:rPr>
                <w:rFonts w:ascii="宋体"/>
                <w:color w:val="000000"/>
                <w:sz w:val="24"/>
                <w:szCs w:val="24"/>
              </w:rPr>
            </w:pPr>
          </w:p>
        </w:tc>
        <w:tc>
          <w:tcPr>
            <w:tcW w:w="964" w:type="dxa"/>
            <w:vAlign w:val="center"/>
          </w:tcPr>
          <w:p w14:paraId="5318AEA4">
            <w:pPr>
              <w:spacing w:line="500" w:lineRule="exact"/>
              <w:jc w:val="center"/>
              <w:rPr>
                <w:rFonts w:ascii="宋体"/>
                <w:color w:val="000000"/>
                <w:sz w:val="24"/>
                <w:szCs w:val="24"/>
              </w:rPr>
            </w:pPr>
          </w:p>
        </w:tc>
        <w:tc>
          <w:tcPr>
            <w:tcW w:w="1134" w:type="dxa"/>
            <w:vAlign w:val="center"/>
          </w:tcPr>
          <w:p w14:paraId="5634F9B2">
            <w:pPr>
              <w:spacing w:line="500" w:lineRule="exact"/>
              <w:jc w:val="center"/>
              <w:rPr>
                <w:rFonts w:ascii="宋体"/>
                <w:color w:val="000000"/>
                <w:sz w:val="24"/>
                <w:szCs w:val="24"/>
              </w:rPr>
            </w:pPr>
          </w:p>
        </w:tc>
        <w:tc>
          <w:tcPr>
            <w:tcW w:w="1276" w:type="dxa"/>
            <w:vAlign w:val="center"/>
          </w:tcPr>
          <w:p w14:paraId="4CF86984">
            <w:pPr>
              <w:spacing w:line="500" w:lineRule="exact"/>
              <w:jc w:val="center"/>
              <w:rPr>
                <w:rFonts w:ascii="宋体"/>
                <w:color w:val="000000"/>
                <w:sz w:val="24"/>
                <w:szCs w:val="24"/>
              </w:rPr>
            </w:pPr>
          </w:p>
        </w:tc>
        <w:tc>
          <w:tcPr>
            <w:tcW w:w="1134" w:type="dxa"/>
          </w:tcPr>
          <w:p w14:paraId="409E7C4D">
            <w:pPr>
              <w:spacing w:line="500" w:lineRule="exact"/>
              <w:jc w:val="center"/>
              <w:rPr>
                <w:rFonts w:ascii="宋体"/>
                <w:color w:val="000000"/>
                <w:sz w:val="24"/>
                <w:szCs w:val="24"/>
              </w:rPr>
            </w:pPr>
          </w:p>
        </w:tc>
        <w:tc>
          <w:tcPr>
            <w:tcW w:w="1134" w:type="dxa"/>
          </w:tcPr>
          <w:p w14:paraId="676B8A89">
            <w:pPr>
              <w:spacing w:line="500" w:lineRule="exact"/>
              <w:jc w:val="center"/>
              <w:rPr>
                <w:rFonts w:ascii="宋体"/>
                <w:color w:val="000000"/>
                <w:sz w:val="24"/>
                <w:szCs w:val="24"/>
              </w:rPr>
            </w:pPr>
          </w:p>
        </w:tc>
      </w:tr>
      <w:tr w14:paraId="5488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14:paraId="49D2A03E">
            <w:pPr>
              <w:spacing w:line="500" w:lineRule="exact"/>
              <w:jc w:val="center"/>
              <w:rPr>
                <w:rFonts w:ascii="宋体"/>
                <w:color w:val="000000"/>
                <w:sz w:val="24"/>
                <w:szCs w:val="24"/>
              </w:rPr>
            </w:pPr>
          </w:p>
        </w:tc>
        <w:tc>
          <w:tcPr>
            <w:tcW w:w="2863" w:type="dxa"/>
            <w:vAlign w:val="center"/>
          </w:tcPr>
          <w:p w14:paraId="6AED9C69">
            <w:pPr>
              <w:spacing w:line="500" w:lineRule="exact"/>
              <w:jc w:val="center"/>
              <w:rPr>
                <w:rFonts w:ascii="宋体"/>
                <w:color w:val="000000"/>
                <w:sz w:val="24"/>
                <w:szCs w:val="24"/>
              </w:rPr>
            </w:pPr>
          </w:p>
        </w:tc>
        <w:tc>
          <w:tcPr>
            <w:tcW w:w="964" w:type="dxa"/>
            <w:vAlign w:val="center"/>
          </w:tcPr>
          <w:p w14:paraId="2A63681F">
            <w:pPr>
              <w:spacing w:line="500" w:lineRule="exact"/>
              <w:jc w:val="center"/>
              <w:rPr>
                <w:rFonts w:ascii="宋体"/>
                <w:color w:val="000000"/>
                <w:sz w:val="24"/>
                <w:szCs w:val="24"/>
              </w:rPr>
            </w:pPr>
          </w:p>
        </w:tc>
        <w:tc>
          <w:tcPr>
            <w:tcW w:w="1134" w:type="dxa"/>
            <w:vAlign w:val="center"/>
          </w:tcPr>
          <w:p w14:paraId="10B4ED6B">
            <w:pPr>
              <w:spacing w:line="500" w:lineRule="exact"/>
              <w:jc w:val="center"/>
              <w:rPr>
                <w:rFonts w:ascii="宋体"/>
                <w:color w:val="000000"/>
                <w:sz w:val="24"/>
                <w:szCs w:val="24"/>
              </w:rPr>
            </w:pPr>
          </w:p>
        </w:tc>
        <w:tc>
          <w:tcPr>
            <w:tcW w:w="1276" w:type="dxa"/>
            <w:vAlign w:val="center"/>
          </w:tcPr>
          <w:p w14:paraId="328054C1">
            <w:pPr>
              <w:spacing w:line="500" w:lineRule="exact"/>
              <w:jc w:val="center"/>
              <w:rPr>
                <w:rFonts w:ascii="宋体"/>
                <w:color w:val="000000"/>
                <w:sz w:val="24"/>
                <w:szCs w:val="24"/>
              </w:rPr>
            </w:pPr>
          </w:p>
        </w:tc>
        <w:tc>
          <w:tcPr>
            <w:tcW w:w="1134" w:type="dxa"/>
          </w:tcPr>
          <w:p w14:paraId="67FC6720">
            <w:pPr>
              <w:spacing w:line="500" w:lineRule="exact"/>
              <w:jc w:val="center"/>
              <w:rPr>
                <w:rFonts w:ascii="宋体"/>
                <w:color w:val="000000"/>
                <w:sz w:val="24"/>
                <w:szCs w:val="24"/>
              </w:rPr>
            </w:pPr>
          </w:p>
        </w:tc>
        <w:tc>
          <w:tcPr>
            <w:tcW w:w="1134" w:type="dxa"/>
          </w:tcPr>
          <w:p w14:paraId="3BFAC403">
            <w:pPr>
              <w:spacing w:line="500" w:lineRule="exact"/>
              <w:jc w:val="center"/>
              <w:rPr>
                <w:rFonts w:ascii="宋体"/>
                <w:color w:val="000000"/>
                <w:sz w:val="24"/>
                <w:szCs w:val="24"/>
              </w:rPr>
            </w:pPr>
          </w:p>
        </w:tc>
      </w:tr>
      <w:tr w14:paraId="058B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14:paraId="534F4EBC">
            <w:pPr>
              <w:spacing w:line="500" w:lineRule="exact"/>
              <w:jc w:val="center"/>
              <w:rPr>
                <w:rFonts w:ascii="宋体"/>
                <w:color w:val="000000"/>
                <w:sz w:val="24"/>
                <w:szCs w:val="24"/>
              </w:rPr>
            </w:pPr>
          </w:p>
        </w:tc>
        <w:tc>
          <w:tcPr>
            <w:tcW w:w="2863" w:type="dxa"/>
            <w:vAlign w:val="center"/>
          </w:tcPr>
          <w:p w14:paraId="772B763E">
            <w:pPr>
              <w:spacing w:line="500" w:lineRule="exact"/>
              <w:jc w:val="center"/>
              <w:rPr>
                <w:rFonts w:ascii="宋体"/>
                <w:color w:val="000000"/>
                <w:sz w:val="24"/>
                <w:szCs w:val="24"/>
              </w:rPr>
            </w:pPr>
          </w:p>
        </w:tc>
        <w:tc>
          <w:tcPr>
            <w:tcW w:w="964" w:type="dxa"/>
            <w:vAlign w:val="center"/>
          </w:tcPr>
          <w:p w14:paraId="7C578CD1">
            <w:pPr>
              <w:spacing w:line="500" w:lineRule="exact"/>
              <w:jc w:val="center"/>
              <w:rPr>
                <w:rFonts w:ascii="宋体"/>
                <w:color w:val="000000"/>
                <w:sz w:val="24"/>
                <w:szCs w:val="24"/>
              </w:rPr>
            </w:pPr>
          </w:p>
        </w:tc>
        <w:tc>
          <w:tcPr>
            <w:tcW w:w="1134" w:type="dxa"/>
            <w:vAlign w:val="center"/>
          </w:tcPr>
          <w:p w14:paraId="3B33940F">
            <w:pPr>
              <w:spacing w:line="500" w:lineRule="exact"/>
              <w:jc w:val="center"/>
              <w:rPr>
                <w:rFonts w:ascii="宋体"/>
                <w:color w:val="000000"/>
                <w:sz w:val="24"/>
                <w:szCs w:val="24"/>
              </w:rPr>
            </w:pPr>
          </w:p>
        </w:tc>
        <w:tc>
          <w:tcPr>
            <w:tcW w:w="1276" w:type="dxa"/>
            <w:vAlign w:val="center"/>
          </w:tcPr>
          <w:p w14:paraId="52B5D7D0">
            <w:pPr>
              <w:spacing w:line="500" w:lineRule="exact"/>
              <w:jc w:val="center"/>
              <w:rPr>
                <w:rFonts w:ascii="宋体"/>
                <w:color w:val="000000"/>
                <w:sz w:val="24"/>
                <w:szCs w:val="24"/>
              </w:rPr>
            </w:pPr>
          </w:p>
        </w:tc>
        <w:tc>
          <w:tcPr>
            <w:tcW w:w="1134" w:type="dxa"/>
          </w:tcPr>
          <w:p w14:paraId="6C52FCE6">
            <w:pPr>
              <w:spacing w:line="500" w:lineRule="exact"/>
              <w:jc w:val="center"/>
              <w:rPr>
                <w:rFonts w:ascii="宋体"/>
                <w:color w:val="000000"/>
                <w:sz w:val="24"/>
                <w:szCs w:val="24"/>
              </w:rPr>
            </w:pPr>
          </w:p>
        </w:tc>
        <w:tc>
          <w:tcPr>
            <w:tcW w:w="1134" w:type="dxa"/>
          </w:tcPr>
          <w:p w14:paraId="64AF0B04">
            <w:pPr>
              <w:spacing w:line="500" w:lineRule="exact"/>
              <w:jc w:val="center"/>
              <w:rPr>
                <w:rFonts w:ascii="宋体"/>
                <w:color w:val="000000"/>
                <w:sz w:val="24"/>
                <w:szCs w:val="24"/>
              </w:rPr>
            </w:pPr>
          </w:p>
        </w:tc>
      </w:tr>
      <w:tr w14:paraId="6A09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14:paraId="4A3EF9BF">
            <w:pPr>
              <w:spacing w:line="500" w:lineRule="exact"/>
              <w:jc w:val="center"/>
              <w:rPr>
                <w:rFonts w:ascii="宋体"/>
                <w:color w:val="000000"/>
                <w:sz w:val="24"/>
                <w:szCs w:val="24"/>
              </w:rPr>
            </w:pPr>
          </w:p>
        </w:tc>
        <w:tc>
          <w:tcPr>
            <w:tcW w:w="2863" w:type="dxa"/>
            <w:vAlign w:val="center"/>
          </w:tcPr>
          <w:p w14:paraId="08EADAC5">
            <w:pPr>
              <w:spacing w:line="500" w:lineRule="exact"/>
              <w:jc w:val="center"/>
              <w:rPr>
                <w:rFonts w:ascii="宋体"/>
                <w:color w:val="000000"/>
                <w:sz w:val="24"/>
                <w:szCs w:val="24"/>
              </w:rPr>
            </w:pPr>
          </w:p>
        </w:tc>
        <w:tc>
          <w:tcPr>
            <w:tcW w:w="964" w:type="dxa"/>
            <w:vAlign w:val="center"/>
          </w:tcPr>
          <w:p w14:paraId="4BD06E6B">
            <w:pPr>
              <w:spacing w:line="500" w:lineRule="exact"/>
              <w:jc w:val="center"/>
              <w:rPr>
                <w:rFonts w:ascii="宋体"/>
                <w:color w:val="000000"/>
                <w:sz w:val="24"/>
                <w:szCs w:val="24"/>
              </w:rPr>
            </w:pPr>
          </w:p>
        </w:tc>
        <w:tc>
          <w:tcPr>
            <w:tcW w:w="1134" w:type="dxa"/>
            <w:vAlign w:val="center"/>
          </w:tcPr>
          <w:p w14:paraId="69AB4F00">
            <w:pPr>
              <w:spacing w:line="500" w:lineRule="exact"/>
              <w:jc w:val="center"/>
              <w:rPr>
                <w:rFonts w:ascii="宋体"/>
                <w:color w:val="000000"/>
                <w:sz w:val="24"/>
                <w:szCs w:val="24"/>
              </w:rPr>
            </w:pPr>
          </w:p>
        </w:tc>
        <w:tc>
          <w:tcPr>
            <w:tcW w:w="1276" w:type="dxa"/>
            <w:vAlign w:val="center"/>
          </w:tcPr>
          <w:p w14:paraId="0222DA71">
            <w:pPr>
              <w:spacing w:line="500" w:lineRule="exact"/>
              <w:jc w:val="center"/>
              <w:rPr>
                <w:rFonts w:ascii="宋体"/>
                <w:color w:val="000000"/>
                <w:sz w:val="24"/>
                <w:szCs w:val="24"/>
              </w:rPr>
            </w:pPr>
          </w:p>
        </w:tc>
        <w:tc>
          <w:tcPr>
            <w:tcW w:w="1134" w:type="dxa"/>
          </w:tcPr>
          <w:p w14:paraId="448CFA0A">
            <w:pPr>
              <w:spacing w:line="500" w:lineRule="exact"/>
              <w:jc w:val="center"/>
              <w:rPr>
                <w:rFonts w:ascii="宋体"/>
                <w:color w:val="000000"/>
                <w:sz w:val="24"/>
                <w:szCs w:val="24"/>
              </w:rPr>
            </w:pPr>
          </w:p>
        </w:tc>
        <w:tc>
          <w:tcPr>
            <w:tcW w:w="1134" w:type="dxa"/>
          </w:tcPr>
          <w:p w14:paraId="5B21A439">
            <w:pPr>
              <w:spacing w:line="500" w:lineRule="exact"/>
              <w:jc w:val="center"/>
              <w:rPr>
                <w:rFonts w:ascii="宋体"/>
                <w:color w:val="000000"/>
                <w:sz w:val="24"/>
                <w:szCs w:val="24"/>
              </w:rPr>
            </w:pPr>
          </w:p>
        </w:tc>
      </w:tr>
      <w:tr w14:paraId="4F70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14:paraId="3AB13C34">
            <w:pPr>
              <w:spacing w:line="500" w:lineRule="exact"/>
              <w:jc w:val="center"/>
              <w:rPr>
                <w:rFonts w:ascii="宋体"/>
                <w:color w:val="000000"/>
                <w:sz w:val="24"/>
                <w:szCs w:val="24"/>
              </w:rPr>
            </w:pPr>
          </w:p>
        </w:tc>
        <w:tc>
          <w:tcPr>
            <w:tcW w:w="2863" w:type="dxa"/>
            <w:vAlign w:val="center"/>
          </w:tcPr>
          <w:p w14:paraId="027FD00B">
            <w:pPr>
              <w:spacing w:line="500" w:lineRule="exact"/>
              <w:jc w:val="center"/>
              <w:rPr>
                <w:rFonts w:ascii="宋体"/>
                <w:color w:val="000000"/>
                <w:sz w:val="24"/>
                <w:szCs w:val="24"/>
              </w:rPr>
            </w:pPr>
          </w:p>
        </w:tc>
        <w:tc>
          <w:tcPr>
            <w:tcW w:w="964" w:type="dxa"/>
            <w:vAlign w:val="center"/>
          </w:tcPr>
          <w:p w14:paraId="5BE1BE94">
            <w:pPr>
              <w:spacing w:line="500" w:lineRule="exact"/>
              <w:jc w:val="center"/>
              <w:rPr>
                <w:rFonts w:ascii="宋体"/>
                <w:color w:val="000000"/>
                <w:sz w:val="24"/>
                <w:szCs w:val="24"/>
              </w:rPr>
            </w:pPr>
          </w:p>
        </w:tc>
        <w:tc>
          <w:tcPr>
            <w:tcW w:w="1134" w:type="dxa"/>
            <w:vAlign w:val="center"/>
          </w:tcPr>
          <w:p w14:paraId="00F6D955">
            <w:pPr>
              <w:spacing w:line="500" w:lineRule="exact"/>
              <w:jc w:val="center"/>
              <w:rPr>
                <w:rFonts w:ascii="宋体"/>
                <w:color w:val="000000"/>
                <w:sz w:val="24"/>
                <w:szCs w:val="24"/>
              </w:rPr>
            </w:pPr>
          </w:p>
        </w:tc>
        <w:tc>
          <w:tcPr>
            <w:tcW w:w="1276" w:type="dxa"/>
            <w:vAlign w:val="center"/>
          </w:tcPr>
          <w:p w14:paraId="124047C3">
            <w:pPr>
              <w:spacing w:line="500" w:lineRule="exact"/>
              <w:jc w:val="center"/>
              <w:rPr>
                <w:rFonts w:ascii="宋体"/>
                <w:color w:val="000000"/>
                <w:sz w:val="24"/>
                <w:szCs w:val="24"/>
              </w:rPr>
            </w:pPr>
          </w:p>
        </w:tc>
        <w:tc>
          <w:tcPr>
            <w:tcW w:w="1134" w:type="dxa"/>
          </w:tcPr>
          <w:p w14:paraId="1F1E7F39">
            <w:pPr>
              <w:spacing w:line="500" w:lineRule="exact"/>
              <w:jc w:val="center"/>
              <w:rPr>
                <w:rFonts w:ascii="宋体"/>
                <w:color w:val="000000"/>
                <w:sz w:val="24"/>
                <w:szCs w:val="24"/>
              </w:rPr>
            </w:pPr>
          </w:p>
        </w:tc>
        <w:tc>
          <w:tcPr>
            <w:tcW w:w="1134" w:type="dxa"/>
          </w:tcPr>
          <w:p w14:paraId="28F97605">
            <w:pPr>
              <w:spacing w:line="500" w:lineRule="exact"/>
              <w:jc w:val="center"/>
              <w:rPr>
                <w:rFonts w:ascii="宋体"/>
                <w:color w:val="000000"/>
                <w:sz w:val="24"/>
                <w:szCs w:val="24"/>
              </w:rPr>
            </w:pPr>
          </w:p>
        </w:tc>
      </w:tr>
      <w:tr w14:paraId="314C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trPr>
        <w:tc>
          <w:tcPr>
            <w:tcW w:w="9223" w:type="dxa"/>
            <w:gridSpan w:val="7"/>
            <w:vAlign w:val="center"/>
          </w:tcPr>
          <w:p w14:paraId="5F971B3F">
            <w:pPr>
              <w:spacing w:line="500" w:lineRule="exact"/>
              <w:jc w:val="center"/>
              <w:rPr>
                <w:rFonts w:ascii="宋体" w:hAnsi="宋体"/>
                <w:color w:val="000000"/>
                <w:sz w:val="24"/>
                <w:szCs w:val="24"/>
              </w:rPr>
            </w:pPr>
            <w:r>
              <w:rPr>
                <w:rFonts w:hint="eastAsia" w:ascii="宋体" w:hAnsi="宋体"/>
                <w:color w:val="000000"/>
                <w:sz w:val="24"/>
                <w:szCs w:val="24"/>
              </w:rPr>
              <w:t xml:space="preserve">报价： ￥：              人民币（大写）：   </w:t>
            </w:r>
            <w:r>
              <w:rPr>
                <w:rFonts w:ascii="宋体" w:hAnsi="宋体"/>
                <w:color w:val="000000"/>
                <w:sz w:val="24"/>
                <w:szCs w:val="24"/>
              </w:rPr>
              <w:t xml:space="preserve"> </w:t>
            </w:r>
            <w:r>
              <w:rPr>
                <w:rFonts w:hint="eastAsia" w:ascii="宋体" w:hAnsi="宋体"/>
                <w:color w:val="000000"/>
                <w:sz w:val="24"/>
                <w:szCs w:val="24"/>
              </w:rPr>
              <w:t>圆整</w:t>
            </w:r>
          </w:p>
        </w:tc>
      </w:tr>
    </w:tbl>
    <w:p w14:paraId="490A50E5">
      <w:pPr>
        <w:spacing w:line="500" w:lineRule="exact"/>
        <w:rPr>
          <w:rFonts w:ascii="宋体"/>
          <w:b/>
          <w:color w:val="000000"/>
          <w:sz w:val="24"/>
          <w:szCs w:val="24"/>
        </w:rPr>
      </w:pPr>
      <w:r>
        <w:rPr>
          <w:rFonts w:hint="eastAsia" w:ascii="宋体" w:hAnsi="宋体"/>
          <w:b/>
          <w:color w:val="000000"/>
          <w:sz w:val="24"/>
          <w:szCs w:val="24"/>
        </w:rPr>
        <w:t>价格构成或报价要求：</w:t>
      </w:r>
    </w:p>
    <w:p w14:paraId="0D1FE5A8">
      <w:pPr>
        <w:spacing w:line="500" w:lineRule="exact"/>
        <w:jc w:val="center"/>
        <w:rPr>
          <w:rFonts w:ascii="宋体" w:hAnsi="宋体"/>
          <w:color w:val="000000"/>
          <w:sz w:val="24"/>
          <w:szCs w:val="24"/>
        </w:rPr>
      </w:pPr>
      <w:r>
        <w:rPr>
          <w:rFonts w:hint="eastAsia" w:ascii="宋体" w:hAnsi="宋体"/>
          <w:color w:val="000000"/>
          <w:sz w:val="24"/>
          <w:szCs w:val="24"/>
        </w:rPr>
        <w:t xml:space="preserve">    1.所有报价均用人民币表示。运输、设备、安装、培训、税金和保险等费用以及采购文</w:t>
      </w:r>
    </w:p>
    <w:p w14:paraId="2C5B43E1">
      <w:pPr>
        <w:spacing w:line="500" w:lineRule="exact"/>
        <w:rPr>
          <w:rFonts w:ascii="宋体" w:hAnsi="宋体"/>
          <w:color w:val="000000"/>
          <w:sz w:val="24"/>
          <w:szCs w:val="24"/>
        </w:rPr>
      </w:pPr>
      <w:r>
        <w:rPr>
          <w:rFonts w:hint="eastAsia" w:ascii="宋体" w:hAnsi="宋体"/>
          <w:color w:val="000000"/>
          <w:sz w:val="24"/>
          <w:szCs w:val="24"/>
        </w:rPr>
        <w:t>件规定的其他费用均应包含在报价中。</w:t>
      </w:r>
    </w:p>
    <w:p w14:paraId="23F9B600">
      <w:pPr>
        <w:spacing w:line="500" w:lineRule="exact"/>
        <w:ind w:firstLine="480" w:firstLineChars="200"/>
        <w:rPr>
          <w:rFonts w:ascii="宋体" w:hAnsi="宋体"/>
          <w:color w:val="000000"/>
          <w:sz w:val="24"/>
          <w:szCs w:val="24"/>
        </w:rPr>
      </w:pPr>
      <w:r>
        <w:rPr>
          <w:rFonts w:hint="eastAsia" w:ascii="宋体" w:hAnsi="宋体"/>
          <w:color w:val="000000"/>
          <w:sz w:val="24"/>
          <w:szCs w:val="24"/>
        </w:rPr>
        <w:t>2.此表可以根据需要自行增减行数，且该表报价为最后报价。</w:t>
      </w:r>
    </w:p>
    <w:p w14:paraId="5FF4036D">
      <w:pPr>
        <w:spacing w:line="500" w:lineRule="exact"/>
        <w:jc w:val="center"/>
        <w:rPr>
          <w:rFonts w:ascii="宋体" w:hAnsi="宋体"/>
          <w:color w:val="000000"/>
          <w:sz w:val="24"/>
          <w:szCs w:val="24"/>
        </w:rPr>
      </w:pPr>
    </w:p>
    <w:p w14:paraId="7C6E2750">
      <w:pPr>
        <w:spacing w:line="500" w:lineRule="exact"/>
        <w:jc w:val="center"/>
        <w:rPr>
          <w:rFonts w:ascii="宋体" w:hAnsi="宋体"/>
          <w:color w:val="000000"/>
          <w:sz w:val="24"/>
          <w:szCs w:val="24"/>
        </w:rPr>
      </w:pPr>
    </w:p>
    <w:p w14:paraId="45A9519D">
      <w:pPr>
        <w:spacing w:line="500" w:lineRule="exact"/>
        <w:jc w:val="center"/>
        <w:rPr>
          <w:rFonts w:ascii="宋体"/>
          <w:color w:val="000000"/>
          <w:sz w:val="24"/>
          <w:szCs w:val="24"/>
        </w:rPr>
      </w:pPr>
      <w:r>
        <w:rPr>
          <w:rFonts w:hint="eastAsia" w:ascii="宋体" w:hAnsi="宋体"/>
          <w:color w:val="000000"/>
          <w:sz w:val="24"/>
          <w:szCs w:val="24"/>
        </w:rPr>
        <w:t xml:space="preserve">                   法定代表人或者授权代表（签字或盖章）：</w:t>
      </w:r>
      <w:r>
        <w:rPr>
          <w:rFonts w:ascii="宋体" w:hAnsi="宋体"/>
          <w:color w:val="000000"/>
          <w:sz w:val="24"/>
          <w:szCs w:val="24"/>
        </w:rPr>
        <w:t xml:space="preserve">     </w:t>
      </w:r>
    </w:p>
    <w:p w14:paraId="756E66E3">
      <w:pPr>
        <w:spacing w:line="500" w:lineRule="exact"/>
        <w:jc w:val="center"/>
        <w:rPr>
          <w:rFonts w:ascii="宋体"/>
          <w:color w:val="000000"/>
          <w:sz w:val="24"/>
          <w:szCs w:val="24"/>
          <w:u w:val="single"/>
        </w:rPr>
      </w:pPr>
      <w:r>
        <w:rPr>
          <w:rFonts w:hint="eastAsia" w:ascii="宋体" w:hAnsi="宋体"/>
          <w:color w:val="000000"/>
          <w:sz w:val="24"/>
          <w:szCs w:val="24"/>
        </w:rPr>
        <w:t xml:space="preserve">                                 供应商全称（盖章）：</w:t>
      </w:r>
    </w:p>
    <w:p w14:paraId="757536DB">
      <w:pPr>
        <w:spacing w:line="500" w:lineRule="exact"/>
        <w:ind w:firstLine="5400" w:firstLineChars="225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3BCB8CCB">
      <w:pPr>
        <w:spacing w:line="500" w:lineRule="exact"/>
        <w:jc w:val="center"/>
      </w:pPr>
      <w:r>
        <w:rPr>
          <w:rFonts w:hint="eastAsia" w:ascii="宋体" w:hAnsi="宋体" w:cs="宋体"/>
          <w:color w:val="000000"/>
        </w:rPr>
        <w:t>备注：1.投标报价采用总承包方式，“投标总报价”应包括采购人需求的服务（包含与服务相关的货物）价格、质量保证费用、培训费用等，项目在指定地点、环境交付、安装、调试、验收所需费用和所有相关税金费用及为完成整个项目所产生的其它所有费用，招标文件另有规定的除外。2.“投标分项报价表”中“投标总报价”数额应当与“开标一览表”中“投标总报价”数额一致。</w:t>
      </w:r>
    </w:p>
    <w:p w14:paraId="29563925">
      <w:pPr>
        <w:spacing w:line="460" w:lineRule="exact"/>
        <w:jc w:val="center"/>
        <w:rPr>
          <w:rFonts w:ascii="宋体" w:hAnsi="宋体" w:cs="宋体"/>
          <w:color w:val="000000"/>
          <w:kern w:val="0"/>
          <w:sz w:val="24"/>
          <w:szCs w:val="24"/>
          <w:u w:val="single" w:color="FFFFFF"/>
        </w:rPr>
      </w:pPr>
    </w:p>
    <w:p w14:paraId="2862AF20">
      <w:pPr>
        <w:widowControl/>
        <w:spacing w:before="100" w:beforeAutospacing="1" w:after="100" w:afterAutospacing="1" w:line="360" w:lineRule="auto"/>
        <w:ind w:firstLine="3120" w:firstLineChars="1300"/>
        <w:jc w:val="left"/>
        <w:rPr>
          <w:rFonts w:ascii="宋体" w:hAnsi="宋体" w:cs="宋体"/>
          <w:color w:val="000000"/>
          <w:kern w:val="0"/>
          <w:sz w:val="24"/>
          <w:szCs w:val="24"/>
          <w:u w:val="single" w:color="FFFFFF"/>
        </w:rPr>
      </w:pPr>
    </w:p>
    <w:p w14:paraId="450E35E3"/>
    <w:p w14:paraId="323FFC97">
      <w:pPr>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八、</w:t>
      </w:r>
      <w:r>
        <w:rPr>
          <w:rStyle w:val="68"/>
          <w:rFonts w:hint="eastAsia" w:ascii="方正小标宋_GBK" w:hAnsi="方正小标宋_GBK" w:eastAsia="方正小标宋_GBK" w:cs="方正小标宋_GBK"/>
          <w:color w:val="000000"/>
          <w:sz w:val="32"/>
        </w:rPr>
        <w:t>服务承诺、培训承诺等</w:t>
      </w:r>
    </w:p>
    <w:p w14:paraId="015C977D">
      <w:pPr>
        <w:spacing w:line="500" w:lineRule="exact"/>
        <w:jc w:val="center"/>
        <w:rPr>
          <w:rFonts w:ascii="方正小标宋_GBK" w:hAnsi="方正小标宋_GBK" w:eastAsia="方正小标宋_GBK" w:cs="方正小标宋_GBK"/>
          <w:color w:val="000000"/>
          <w:sz w:val="32"/>
          <w:szCs w:val="32"/>
        </w:rPr>
      </w:pPr>
    </w:p>
    <w:p w14:paraId="5228279A">
      <w:pPr>
        <w:snapToGrid w:val="0"/>
        <w:spacing w:before="50" w:after="50"/>
        <w:jc w:val="center"/>
        <w:rPr>
          <w:rFonts w:ascii="黑体" w:eastAsia="黑体"/>
          <w:color w:val="000000"/>
          <w:sz w:val="32"/>
          <w:szCs w:val="32"/>
        </w:rPr>
      </w:pPr>
    </w:p>
    <w:p w14:paraId="69936911">
      <w:pPr>
        <w:snapToGrid w:val="0"/>
        <w:spacing w:before="50" w:after="50"/>
        <w:jc w:val="center"/>
        <w:rPr>
          <w:rFonts w:ascii="黑体" w:eastAsia="黑体"/>
          <w:color w:val="000000"/>
          <w:sz w:val="32"/>
          <w:szCs w:val="32"/>
        </w:rPr>
      </w:pPr>
    </w:p>
    <w:p w14:paraId="7094168A">
      <w:pPr>
        <w:snapToGrid w:val="0"/>
        <w:spacing w:before="50" w:after="50"/>
        <w:jc w:val="center"/>
        <w:rPr>
          <w:rFonts w:ascii="黑体" w:eastAsia="黑体"/>
          <w:color w:val="000000"/>
          <w:sz w:val="32"/>
          <w:szCs w:val="32"/>
        </w:rPr>
      </w:pPr>
    </w:p>
    <w:p w14:paraId="42BA1E8A">
      <w:pPr>
        <w:snapToGrid w:val="0"/>
        <w:spacing w:before="50" w:after="50"/>
        <w:jc w:val="center"/>
        <w:rPr>
          <w:rFonts w:ascii="黑体" w:eastAsia="黑体"/>
          <w:color w:val="000000"/>
          <w:sz w:val="32"/>
          <w:szCs w:val="32"/>
        </w:rPr>
      </w:pPr>
    </w:p>
    <w:p w14:paraId="04FC369A">
      <w:pPr>
        <w:snapToGrid w:val="0"/>
        <w:spacing w:before="50" w:after="50"/>
        <w:jc w:val="center"/>
        <w:rPr>
          <w:rFonts w:ascii="黑体" w:eastAsia="黑体"/>
          <w:color w:val="000000"/>
          <w:sz w:val="32"/>
          <w:szCs w:val="32"/>
        </w:rPr>
      </w:pPr>
    </w:p>
    <w:p w14:paraId="4905BCAC">
      <w:pPr>
        <w:snapToGrid w:val="0"/>
        <w:spacing w:before="50" w:after="50"/>
        <w:jc w:val="center"/>
        <w:rPr>
          <w:rFonts w:ascii="黑体" w:eastAsia="黑体"/>
          <w:color w:val="000000"/>
          <w:sz w:val="32"/>
          <w:szCs w:val="32"/>
        </w:rPr>
      </w:pPr>
    </w:p>
    <w:p w14:paraId="4665B84C">
      <w:pPr>
        <w:snapToGrid w:val="0"/>
        <w:spacing w:before="50" w:after="50"/>
        <w:jc w:val="center"/>
        <w:rPr>
          <w:rFonts w:ascii="黑体" w:eastAsia="黑体"/>
          <w:color w:val="000000"/>
          <w:sz w:val="32"/>
          <w:szCs w:val="32"/>
        </w:rPr>
      </w:pPr>
    </w:p>
    <w:p w14:paraId="7BCFEA32">
      <w:pPr>
        <w:snapToGrid w:val="0"/>
        <w:spacing w:before="50" w:after="50"/>
        <w:jc w:val="center"/>
        <w:rPr>
          <w:rFonts w:ascii="黑体" w:eastAsia="黑体"/>
          <w:color w:val="000000"/>
          <w:sz w:val="32"/>
          <w:szCs w:val="32"/>
        </w:rPr>
      </w:pPr>
    </w:p>
    <w:p w14:paraId="43EB7930">
      <w:pPr>
        <w:snapToGrid w:val="0"/>
        <w:spacing w:before="50" w:after="50"/>
        <w:jc w:val="center"/>
        <w:rPr>
          <w:rFonts w:ascii="黑体" w:eastAsia="黑体"/>
          <w:color w:val="000000"/>
          <w:sz w:val="32"/>
          <w:szCs w:val="32"/>
        </w:rPr>
      </w:pPr>
    </w:p>
    <w:p w14:paraId="563985BE">
      <w:pPr>
        <w:snapToGrid w:val="0"/>
        <w:spacing w:before="50" w:after="50"/>
        <w:jc w:val="center"/>
        <w:rPr>
          <w:rFonts w:ascii="黑体" w:eastAsia="黑体"/>
          <w:color w:val="000000"/>
          <w:sz w:val="32"/>
          <w:szCs w:val="32"/>
        </w:rPr>
      </w:pPr>
    </w:p>
    <w:p w14:paraId="2C4A3393">
      <w:pPr>
        <w:snapToGrid w:val="0"/>
        <w:spacing w:before="50" w:after="50"/>
        <w:jc w:val="center"/>
        <w:rPr>
          <w:rFonts w:ascii="黑体" w:eastAsia="黑体"/>
          <w:color w:val="000000"/>
          <w:sz w:val="32"/>
          <w:szCs w:val="32"/>
        </w:rPr>
      </w:pPr>
    </w:p>
    <w:p w14:paraId="6A69F676">
      <w:pPr>
        <w:snapToGrid w:val="0"/>
        <w:spacing w:before="50" w:after="50"/>
        <w:jc w:val="center"/>
        <w:rPr>
          <w:rFonts w:ascii="黑体" w:eastAsia="黑体"/>
          <w:color w:val="000000"/>
          <w:sz w:val="32"/>
          <w:szCs w:val="32"/>
        </w:rPr>
      </w:pPr>
    </w:p>
    <w:p w14:paraId="04EAEE1A">
      <w:pPr>
        <w:snapToGrid w:val="0"/>
        <w:spacing w:before="50" w:after="50"/>
        <w:jc w:val="center"/>
        <w:rPr>
          <w:rFonts w:ascii="黑体" w:eastAsia="黑体"/>
          <w:color w:val="000000"/>
          <w:sz w:val="32"/>
          <w:szCs w:val="32"/>
        </w:rPr>
      </w:pPr>
    </w:p>
    <w:p w14:paraId="3DB5D176">
      <w:pPr>
        <w:snapToGrid w:val="0"/>
        <w:spacing w:before="50" w:after="50"/>
        <w:jc w:val="center"/>
        <w:rPr>
          <w:rFonts w:ascii="黑体" w:eastAsia="黑体"/>
          <w:color w:val="000000"/>
          <w:sz w:val="32"/>
          <w:szCs w:val="32"/>
        </w:rPr>
      </w:pPr>
    </w:p>
    <w:p w14:paraId="4A482BB4">
      <w:pPr>
        <w:snapToGrid w:val="0"/>
        <w:spacing w:before="50" w:after="50"/>
        <w:jc w:val="center"/>
        <w:rPr>
          <w:rFonts w:ascii="黑体" w:eastAsia="黑体"/>
          <w:color w:val="000000"/>
          <w:sz w:val="32"/>
          <w:szCs w:val="32"/>
        </w:rPr>
      </w:pPr>
    </w:p>
    <w:p w14:paraId="509BD8EA">
      <w:pPr>
        <w:snapToGrid w:val="0"/>
        <w:spacing w:before="50" w:after="50"/>
        <w:jc w:val="center"/>
        <w:rPr>
          <w:rFonts w:ascii="黑体" w:eastAsia="黑体"/>
          <w:color w:val="000000"/>
          <w:sz w:val="32"/>
          <w:szCs w:val="32"/>
        </w:rPr>
      </w:pPr>
    </w:p>
    <w:p w14:paraId="285984E9">
      <w:pPr>
        <w:snapToGrid w:val="0"/>
        <w:spacing w:before="50" w:after="50"/>
        <w:jc w:val="center"/>
        <w:rPr>
          <w:rFonts w:ascii="黑体" w:eastAsia="黑体"/>
          <w:color w:val="000000"/>
          <w:sz w:val="32"/>
          <w:szCs w:val="32"/>
        </w:rPr>
      </w:pPr>
    </w:p>
    <w:p w14:paraId="656F7B2E">
      <w:pPr>
        <w:snapToGrid w:val="0"/>
        <w:spacing w:before="50" w:after="50"/>
        <w:jc w:val="center"/>
        <w:rPr>
          <w:rFonts w:ascii="黑体" w:eastAsia="黑体"/>
          <w:color w:val="000000"/>
          <w:sz w:val="32"/>
          <w:szCs w:val="32"/>
        </w:rPr>
      </w:pPr>
    </w:p>
    <w:p w14:paraId="7AB32D57">
      <w:pPr>
        <w:snapToGrid w:val="0"/>
        <w:spacing w:before="50" w:after="50"/>
        <w:jc w:val="center"/>
        <w:rPr>
          <w:rFonts w:ascii="黑体" w:eastAsia="黑体"/>
          <w:color w:val="000000"/>
          <w:sz w:val="32"/>
          <w:szCs w:val="32"/>
        </w:rPr>
      </w:pPr>
    </w:p>
    <w:p w14:paraId="70491EC1">
      <w:pPr>
        <w:snapToGrid w:val="0"/>
        <w:spacing w:before="50" w:after="50"/>
        <w:jc w:val="center"/>
        <w:rPr>
          <w:rFonts w:ascii="黑体" w:eastAsia="黑体"/>
          <w:color w:val="000000"/>
          <w:sz w:val="32"/>
          <w:szCs w:val="32"/>
        </w:rPr>
      </w:pPr>
    </w:p>
    <w:p w14:paraId="797C1429">
      <w:pPr>
        <w:snapToGrid w:val="0"/>
        <w:spacing w:before="50" w:after="50"/>
        <w:jc w:val="center"/>
        <w:rPr>
          <w:rFonts w:ascii="黑体" w:eastAsia="黑体"/>
          <w:color w:val="000000"/>
          <w:sz w:val="32"/>
          <w:szCs w:val="32"/>
        </w:rPr>
      </w:pPr>
    </w:p>
    <w:p w14:paraId="44D48D1D">
      <w:r>
        <w:br w:type="page"/>
      </w:r>
    </w:p>
    <w:p w14:paraId="4CDCDDE9">
      <w:pPr>
        <w:spacing w:line="500" w:lineRule="exact"/>
        <w:jc w:val="center"/>
        <w:outlineLvl w:val="1"/>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九、盐城市政府采购事前信用承诺书</w:t>
      </w:r>
    </w:p>
    <w:p w14:paraId="3CFC6FB1">
      <w:pPr>
        <w:jc w:val="left"/>
        <w:rPr>
          <w:color w:val="000000"/>
        </w:rPr>
      </w:pPr>
    </w:p>
    <w:p w14:paraId="2C187A0D">
      <w:pPr>
        <w:widowControl/>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为营造我市公开、公平、公正、诚实守信的政府采购交易环境，树立诚信守法的投标人形象，本人代表本单位作出以下承诺：</w:t>
      </w:r>
    </w:p>
    <w:p w14:paraId="009FA68A">
      <w:pPr>
        <w:widowControl/>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14:paraId="65540287">
      <w:pPr>
        <w:widowControl/>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14:paraId="03FBB18E">
      <w:pPr>
        <w:widowControl/>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 xml:space="preserve">（三）严格依照国家和省、市关于政府采购的法律、法规、规章、规范性文件，参加政府采购投标活动；积极履行社会责任，促进廉政建设； </w:t>
      </w:r>
    </w:p>
    <w:p w14:paraId="69EEC266">
      <w:pPr>
        <w:widowControl/>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（四）严格遵守即时信息公示规定，及时维护和更新</w:t>
      </w:r>
      <w:r>
        <w:rPr>
          <w:rFonts w:hint="eastAsia" w:ascii="宋体" w:hAnsi="宋体" w:cs="宋体"/>
          <w:sz w:val="24"/>
          <w:szCs w:val="24"/>
        </w:rPr>
        <w:t>“江苏医药职业学院网”</w:t>
      </w:r>
      <w:r>
        <w:rPr>
          <w:rFonts w:hint="eastAsia" w:ascii="宋体" w:hAnsi="宋体"/>
          <w:color w:val="000000"/>
          <w:sz w:val="24"/>
          <w:szCs w:val="24"/>
        </w:rPr>
        <w:t>中与本单位相关的信息；</w:t>
      </w:r>
    </w:p>
    <w:p w14:paraId="28B30832">
      <w:pPr>
        <w:widowControl/>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14:paraId="066E6E5C">
      <w:pPr>
        <w:widowControl/>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（六）自觉接受政府、行业组织、社会公众、新闻舆论的监督；</w:t>
      </w:r>
    </w:p>
    <w:p w14:paraId="2305E917">
      <w:pPr>
        <w:widowControl/>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14:paraId="6DDC95F8">
      <w:pPr>
        <w:widowControl/>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（八）本人已认真阅读了上述承诺，并向本单位员工作了宣传教育。</w:t>
      </w:r>
    </w:p>
    <w:p w14:paraId="15EC6A83">
      <w:pPr>
        <w:widowControl/>
        <w:spacing w:line="500" w:lineRule="exact"/>
        <w:jc w:val="left"/>
        <w:rPr>
          <w:rFonts w:ascii="宋体" w:hAnsi="宋体"/>
          <w:color w:val="000000"/>
          <w:sz w:val="24"/>
          <w:szCs w:val="24"/>
        </w:rPr>
      </w:pPr>
    </w:p>
    <w:p w14:paraId="2718A171">
      <w:pPr>
        <w:widowControl/>
        <w:spacing w:line="500" w:lineRule="exact"/>
        <w:jc w:val="center"/>
        <w:rPr>
          <w:rFonts w:ascii="宋体" w:hAnsi="宋体"/>
          <w:color w:val="000000"/>
          <w:sz w:val="24"/>
          <w:szCs w:val="24"/>
        </w:rPr>
      </w:pPr>
      <w:r>
        <w:rPr>
          <w:rFonts w:hint="eastAsia" w:ascii="宋体" w:hAnsi="宋体"/>
          <w:color w:val="000000"/>
          <w:sz w:val="24"/>
          <w:szCs w:val="24"/>
        </w:rPr>
        <w:t xml:space="preserve">                 法定代表人签名：</w:t>
      </w:r>
    </w:p>
    <w:p w14:paraId="49834F98">
      <w:pPr>
        <w:widowControl/>
        <w:spacing w:line="500" w:lineRule="exact"/>
        <w:jc w:val="center"/>
        <w:rPr>
          <w:rFonts w:ascii="宋体" w:hAnsi="宋体"/>
          <w:color w:val="000000"/>
          <w:sz w:val="24"/>
          <w:szCs w:val="24"/>
        </w:rPr>
      </w:pPr>
      <w:r>
        <w:rPr>
          <w:rFonts w:hint="eastAsia" w:ascii="宋体" w:hAnsi="宋体"/>
          <w:color w:val="000000"/>
          <w:sz w:val="24"/>
          <w:szCs w:val="24"/>
        </w:rPr>
        <w:t xml:space="preserve">                   单位名称（盖章）：</w:t>
      </w:r>
    </w:p>
    <w:p w14:paraId="464C0518">
      <w:pPr>
        <w:widowControl/>
        <w:spacing w:line="500" w:lineRule="exact"/>
        <w:jc w:val="center"/>
        <w:rPr>
          <w:rFonts w:ascii="宋体" w:hAnsi="宋体"/>
          <w:color w:val="000000"/>
          <w:sz w:val="24"/>
          <w:szCs w:val="24"/>
        </w:rPr>
      </w:pPr>
      <w:r>
        <w:rPr>
          <w:rFonts w:hint="eastAsia" w:ascii="宋体" w:hAnsi="宋体"/>
          <w:color w:val="000000"/>
          <w:sz w:val="24"/>
          <w:szCs w:val="24"/>
        </w:rPr>
        <w:t xml:space="preserve">                      年    月    日</w:t>
      </w:r>
    </w:p>
    <w:bookmarkEnd w:id="100"/>
    <w:bookmarkEnd w:id="101"/>
    <w:bookmarkEnd w:id="102"/>
    <w:p w14:paraId="5B8D4498">
      <w:pPr>
        <w:jc w:val="left"/>
      </w:pPr>
    </w:p>
    <w:sectPr>
      <w:footerReference r:id="rId7" w:type="first"/>
      <w:footerReference r:id="rId6" w:type="default"/>
      <w:pgSz w:w="11906" w:h="16838"/>
      <w:pgMar w:top="1134" w:right="1134" w:bottom="1134" w:left="1134" w:header="794" w:footer="907" w:gutter="0"/>
      <w:pgNumType w:start="1"/>
      <w:cols w:space="720" w:num="1"/>
      <w:titlePg/>
      <w:docGrid w:type="lines" w:linePitch="2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1DD8AE9-5CFF-407E-ACC9-5E7E7913A9DD}"/>
  </w:font>
  <w:font w:name="Arial">
    <w:panose1 w:val="020B0604020202020204"/>
    <w:charset w:val="01"/>
    <w:family w:val="swiss"/>
    <w:pitch w:val="default"/>
    <w:sig w:usb0="E0002EFF" w:usb1="C000785B" w:usb2="00000009" w:usb3="00000000" w:csb0="400001FF" w:csb1="FFFF0000"/>
    <w:embedRegular r:id="rId2" w:fontKey="{A588275E-F339-4BD0-B234-8A8BC5535915}"/>
  </w:font>
  <w:font w:name="黑体">
    <w:panose1 w:val="02010609060101010101"/>
    <w:charset w:val="86"/>
    <w:family w:val="auto"/>
    <w:pitch w:val="default"/>
    <w:sig w:usb0="800002BF" w:usb1="38CF7CFA" w:usb2="00000016" w:usb3="00000000" w:csb0="00040001" w:csb1="00000000"/>
    <w:embedRegular r:id="rId3" w:fontKey="{B379CA8D-2F1A-4E69-A600-D03E12CBD25F}"/>
  </w:font>
  <w:font w:name="Courier New">
    <w:panose1 w:val="02070309020205020404"/>
    <w:charset w:val="01"/>
    <w:family w:val="modern"/>
    <w:pitch w:val="default"/>
    <w:sig w:usb0="E0002EFF" w:usb1="C0007843" w:usb2="00000009" w:usb3="00000000" w:csb0="400001FF" w:csb1="FFFF0000"/>
    <w:embedRegular r:id="rId4" w:fontKey="{82C481A3-7A81-458F-9BF1-04E81788DEF2}"/>
  </w:font>
  <w:font w:name="Symbol">
    <w:panose1 w:val="05050102010706020507"/>
    <w:charset w:val="02"/>
    <w:family w:val="roman"/>
    <w:pitch w:val="default"/>
    <w:sig w:usb0="00000000" w:usb1="00000000" w:usb2="00000000" w:usb3="00000000" w:csb0="80000000" w:csb1="00000000"/>
    <w:embedRegular r:id="rId5" w:fontKey="{1392947C-F96E-4A60-BADF-6B93EF9C2E86}"/>
  </w:font>
  <w:font w:name="Calibri">
    <w:panose1 w:val="020F0502020204030204"/>
    <w:charset w:val="00"/>
    <w:family w:val="swiss"/>
    <w:pitch w:val="default"/>
    <w:sig w:usb0="E4002EFF" w:usb1="C000247B" w:usb2="00000009" w:usb3="00000000" w:csb0="200001FF" w:csb1="00000000"/>
    <w:embedRegular r:id="rId6" w:fontKey="{9E1E9753-6820-42F8-8E1A-74BF2B67A337}"/>
  </w:font>
  <w:font w:name="楷体_GB2312">
    <w:altName w:val="楷体"/>
    <w:panose1 w:val="00000000000000000000"/>
    <w:charset w:val="86"/>
    <w:family w:val="moder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23154B34-5CCA-4293-93BE-7FABEFFF973A}"/>
  </w:font>
  <w:font w:name="Tahoma">
    <w:panose1 w:val="020B0604030504040204"/>
    <w:charset w:val="00"/>
    <w:family w:val="swiss"/>
    <w:pitch w:val="default"/>
    <w:sig w:usb0="E1002EFF" w:usb1="C000605B" w:usb2="00000029" w:usb3="00000000" w:csb0="200101FF" w:csb1="20280000"/>
    <w:embedRegular r:id="rId8" w:fontKey="{17D99E65-EE4E-4ECA-9058-F54652E73D32}"/>
  </w:font>
  <w:font w:name="方正小标宋_GBK">
    <w:panose1 w:val="03000509000000000000"/>
    <w:charset w:val="86"/>
    <w:family w:val="script"/>
    <w:pitch w:val="default"/>
    <w:sig w:usb0="00000001" w:usb1="080E0000" w:usb2="00000000" w:usb3="00000000" w:csb0="00040000" w:csb1="00000000"/>
    <w:embedRegular r:id="rId9" w:fontKey="{9B27B933-5DD3-4E7E-821C-B9F301DC6EC3}"/>
  </w:font>
  <w:font w:name="Verdana">
    <w:panose1 w:val="020B0604030504040204"/>
    <w:charset w:val="00"/>
    <w:family w:val="swiss"/>
    <w:pitch w:val="default"/>
    <w:sig w:usb0="A00006FF" w:usb1="4000205B" w:usb2="00000010" w:usb3="00000000" w:csb0="2000019F" w:csb1="00000000"/>
    <w:embedRegular r:id="rId10" w:fontKey="{7CDB2A0D-AD7A-4D2D-9386-24C4E3E76548}"/>
  </w:font>
  <w:font w:name="Arial Unicode MS">
    <w:panose1 w:val="020B0604020202020204"/>
    <w:charset w:val="86"/>
    <w:family w:val="swiss"/>
    <w:pitch w:val="default"/>
    <w:sig w:usb0="FFFFFFFF" w:usb1="E9FFFFFF" w:usb2="0000003F" w:usb3="00000000" w:csb0="603F01FF" w:csb1="FFFF0000"/>
    <w:embedRegular r:id="rId11" w:fontKey="{6A02AE68-4C58-4DD1-B685-03957811E802}"/>
  </w:font>
  <w:font w:name="方正仿宋简体">
    <w:altName w:val="微软雅黑"/>
    <w:panose1 w:val="00000000000000000000"/>
    <w:charset w:val="86"/>
    <w:family w:val="auto"/>
    <w:pitch w:val="default"/>
    <w:sig w:usb0="00000000" w:usb1="00000000" w:usb2="00000000" w:usb3="00000000" w:csb0="00040000" w:csb1="00000000"/>
  </w:font>
  <w:font w:name="方正黑体_GBK">
    <w:altName w:val="Arial Unicode MS"/>
    <w:panose1 w:val="03000509000000000000"/>
    <w:charset w:val="86"/>
    <w:family w:val="script"/>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embedRegular r:id="rId12" w:fontKey="{354265A7-C9AE-4D7D-B998-0E1813AFD57F}"/>
  </w:font>
  <w:font w:name="方正小标宋简体">
    <w:altName w:val="仿宋_GB2312"/>
    <w:panose1 w:val="00000000000000000000"/>
    <w:charset w:val="86"/>
    <w:family w:val="script"/>
    <w:pitch w:val="default"/>
    <w:sig w:usb0="00000000" w:usb1="00000000" w:usb2="00000010" w:usb3="00000000" w:csb0="00040000" w:csb1="00000000"/>
    <w:embedRegular r:id="rId13" w:fontKey="{CE4B10E5-2A44-4DE7-BF62-A8E6B8D38682}"/>
  </w:font>
  <w:font w:name="仿宋">
    <w:panose1 w:val="02010609060101010101"/>
    <w:charset w:val="86"/>
    <w:family w:val="modern"/>
    <w:pitch w:val="default"/>
    <w:sig w:usb0="800002BF" w:usb1="38CF7CFA" w:usb2="00000016" w:usb3="00000000" w:csb0="00040001" w:csb1="00000000"/>
    <w:embedRegular r:id="rId14" w:fontKey="{26CDC3AB-5D1F-49A7-BCB6-81B62E1D2607}"/>
  </w:font>
  <w:font w:name="微软雅黑">
    <w:panose1 w:val="020B0503020204020204"/>
    <w:charset w:val="86"/>
    <w:family w:val="swiss"/>
    <w:pitch w:val="default"/>
    <w:sig w:usb0="80000287" w:usb1="2ACF3C50" w:usb2="00000016" w:usb3="00000000" w:csb0="0004001F" w:csb1="00000000"/>
    <w:embedRegular r:id="rId15" w:fontKey="{A26F6E8F-1DAE-4089-B16E-813AEB6B3AB4}"/>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8D0D1">
    <w:pPr>
      <w:pStyle w:val="29"/>
      <w:jc w:val="center"/>
      <w:rPr>
        <w:b/>
        <w:i/>
      </w:rPr>
    </w:pPr>
    <w:r>
      <w:rPr>
        <w:b/>
        <w:i/>
        <w:kern w:val="0"/>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80E90">
    <w:pPr>
      <w:pStyle w:val="29"/>
      <w:jc w:val="center"/>
      <w:rPr>
        <w:b/>
        <w:i/>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1068E794">
                          <w:pPr>
                            <w:pStyle w:val="29"/>
                          </w:pPr>
                          <w:r>
                            <w:fldChar w:fldCharType="begin"/>
                          </w:r>
                          <w:r>
                            <w:instrText xml:space="preserve"> PAGE  \* MERGEFORMAT </w:instrText>
                          </w:r>
                          <w:r>
                            <w:fldChar w:fldCharType="separate"/>
                          </w:r>
                          <w:r>
                            <w:t>27</w:t>
                          </w:r>
                          <w:r>
                            <w:fldChar w:fldCharType="end"/>
                          </w:r>
                        </w:p>
                      </w:txbxContent>
                    </wps:txbx>
                    <wps:bodyPr rot="0" vert="horz" wrap="none" lIns="0" tIns="0" rIns="0" bIns="0" anchor="t" anchorCtr="0" upright="1">
                      <a:spAutoFit/>
                    </wps:bodyPr>
                  </wps:wsp>
                </a:graphicData>
              </a:graphic>
            </wp:anchor>
          </w:drawing>
        </mc:Choice>
        <mc:Fallback>
          <w:pict>
            <v:shape id="文本框 14"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9she8KAgAAAwQAAA4AAABkcnMvZTJvRG9jLnhtbK1TS27bMBDdF+gd&#10;CO5rWYlTtILlII3hokD6AZIegKYoi6jIIYa0JfcA7Q266qb7nsvnyJCy3DTdZNENMSSHb957M5xf&#10;9qZlO4Vegy15PplypqyESttNyT/frV684swHYSvRglUl3yvPLxfPn807V6gzaKCtFDICsb7oXMmb&#10;EFyRZV42ygg/AacsXdaARgTa4iarUHSEbtrsbDp9mXWAlUOQyns6XQ6X/IiITwGEutZSLUFujbJh&#10;QEXVikCSfKOd54vEtq6VDB/r2qvA2pKT0pBWKkLxOq7ZYi6KDQrXaHmkIJ5C4ZEmI7SloieopQiC&#10;bVH/A2W0RPBQh4kEkw1CkiOkIp8+8ua2EU4lLWS1dyfT/f+DlR92n5DpiiaBMysMNfzw4/vh5+/D&#10;r28sn0V/OucLSrt1lBj6N9DH3KjVuxuQXzyzcN0Iu1FXiNA1SlTEL48vswdPBxwfQdbde6iokNgG&#10;SEB9jSYCkh2M0Kk3+1NvVB+YjCXz2evzC84kXeXn+Wx2kSqIYnzs0Ie3CgyLQcmRWp/Axe7Gh0hG&#10;FGNKrGVhpds2tb+1fx1QYjxJ5CPfgXno1/3RjDVUe5KBMEwT/SUKGsCvnHU0SSW39HE4a99ZMiIO&#10;3RjgGKzHQFhJD0seOBvC6zAM59ah3jSEO1p9RWatdBISXR04HFnSbCR9xzmOw/dwn7L+/N3F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AfbIXvCgIAAAMEAAAOAAAAAAAAAAEAIAAAAB8BAABk&#10;cnMvZTJvRG9jLnhtbFBLBQYAAAAABgAGAFkBAACbBQAAAAA=&#10;">
              <v:fill on="f" focussize="0,0"/>
              <v:stroke on="f"/>
              <v:imagedata o:title=""/>
              <o:lock v:ext="edit" aspectratio="f"/>
              <v:textbox inset="0mm,0mm,0mm,0mm" style="mso-fit-shape-to-text:t;">
                <w:txbxContent>
                  <w:p w14:paraId="1068E794">
                    <w:pPr>
                      <w:pStyle w:val="29"/>
                    </w:pPr>
                    <w:r>
                      <w:fldChar w:fldCharType="begin"/>
                    </w:r>
                    <w:r>
                      <w:instrText xml:space="preserve"> PAGE  \* MERGEFORMAT </w:instrText>
                    </w:r>
                    <w:r>
                      <w:fldChar w:fldCharType="separate"/>
                    </w:r>
                    <w:r>
                      <w:t>27</w:t>
                    </w:r>
                    <w:r>
                      <w:fldChar w:fldCharType="end"/>
                    </w:r>
                  </w:p>
                </w:txbxContent>
              </v:textbox>
            </v:shape>
          </w:pict>
        </mc:Fallback>
      </mc:AlternateContent>
    </w:r>
    <w:r>
      <w:rPr>
        <w:b/>
        <w:i/>
        <w:kern w:val="0"/>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0778814"/>
    </w:sdtPr>
    <w:sdtContent>
      <w:p w14:paraId="0716828F">
        <w:pPr>
          <w:pStyle w:val="29"/>
          <w:ind w:left="420" w:hanging="420"/>
          <w:jc w:val="center"/>
        </w:pPr>
        <w:r>
          <w:fldChar w:fldCharType="begin"/>
        </w:r>
        <w:r>
          <w:instrText xml:space="preserve">PAGE   \* MERGEFORMAT</w:instrText>
        </w:r>
        <w:r>
          <w:fldChar w:fldCharType="separate"/>
        </w:r>
        <w:r>
          <w:rPr>
            <w:lang w:val="zh-CN"/>
          </w:rPr>
          <w:t>1</w:t>
        </w:r>
        <w:r>
          <w:fldChar w:fldCharType="end"/>
        </w:r>
      </w:p>
    </w:sdtContent>
  </w:sdt>
  <w:p w14:paraId="0F82DA37">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48691">
    <w:pPr>
      <w:pStyle w:val="30"/>
      <w:tabs>
        <w:tab w:val="left" w:pos="422"/>
        <w:tab w:val="center" w:pos="4469"/>
      </w:tabs>
      <w:ind w:right="-88" w:rightChars="-42"/>
      <w:rPr>
        <w:szCs w:val="16"/>
      </w:rPr>
    </w:pPr>
    <w:r>
      <w:rPr>
        <w:rFonts w:hint="eastAsia" w:ascii="宋体" w:hAnsi="宋体" w:cs="宋体"/>
        <w:color w:val="000000"/>
        <w:spacing w:val="40"/>
        <w:sz w:val="24"/>
        <w:szCs w:val="22"/>
      </w:rPr>
      <w:t>江苏医药职业学院SY2024-030-FW-GK招标文件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3FD3D">
    <w:pPr>
      <w:pStyle w:val="30"/>
      <w:tabs>
        <w:tab w:val="left" w:pos="422"/>
        <w:tab w:val="center" w:pos="4469"/>
      </w:tabs>
      <w:ind w:right="-88" w:rightChars="-42"/>
      <w:rPr>
        <w:szCs w:val="16"/>
      </w:rPr>
    </w:pPr>
    <w:r>
      <w:rPr>
        <w:rFonts w:hint="eastAsia" w:ascii="宋体" w:hAnsi="宋体" w:cs="宋体"/>
        <w:color w:val="000000"/>
        <w:spacing w:val="40"/>
        <w:sz w:val="24"/>
        <w:szCs w:val="22"/>
      </w:rPr>
      <w:t>江苏医药职业学院SY2024-030-FW-GK招标文件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749FF"/>
    <w:multiLevelType w:val="singleLevel"/>
    <w:tmpl w:val="830749FF"/>
    <w:lvl w:ilvl="0" w:tentative="0">
      <w:start w:val="1"/>
      <w:numFmt w:val="decimal"/>
      <w:suff w:val="nothing"/>
      <w:lvlText w:val="%1、"/>
      <w:lvlJc w:val="left"/>
    </w:lvl>
  </w:abstractNum>
  <w:abstractNum w:abstractNumId="1">
    <w:nsid w:val="1DB1085F"/>
    <w:multiLevelType w:val="singleLevel"/>
    <w:tmpl w:val="1DB1085F"/>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mirrorMargin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readOnly" w:enforcement="0"/>
  <w:defaultTabStop w:val="425"/>
  <w:drawingGridHorizontalSpacing w:val="105"/>
  <w:drawingGridVerticalSpacing w:val="145"/>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lZjc3ZmM0ZDZhYTJjZDcyYmM4N2QxZjk0ZDViYjQifQ=="/>
    <w:docVar w:name="KGWebUrl" w:val="http://jszfcg.jscz.gov.cn/jszc/gateWay/joffice/office?access_token=cbd23dc8-657d-4cc6-8aa7-efe6f7087be7"/>
  </w:docVars>
  <w:rsids>
    <w:rsidRoot w:val="00822AF1"/>
    <w:rsid w:val="000021F1"/>
    <w:rsid w:val="00003DC7"/>
    <w:rsid w:val="00005139"/>
    <w:rsid w:val="000060F7"/>
    <w:rsid w:val="000065F6"/>
    <w:rsid w:val="00006B61"/>
    <w:rsid w:val="00006BCB"/>
    <w:rsid w:val="00006F00"/>
    <w:rsid w:val="00012B1C"/>
    <w:rsid w:val="0001415B"/>
    <w:rsid w:val="00014F7E"/>
    <w:rsid w:val="0001609A"/>
    <w:rsid w:val="00016776"/>
    <w:rsid w:val="000177E7"/>
    <w:rsid w:val="00017ECF"/>
    <w:rsid w:val="00020C65"/>
    <w:rsid w:val="00021067"/>
    <w:rsid w:val="00021523"/>
    <w:rsid w:val="00021BC0"/>
    <w:rsid w:val="00023FC6"/>
    <w:rsid w:val="000242A5"/>
    <w:rsid w:val="00024E29"/>
    <w:rsid w:val="00025F21"/>
    <w:rsid w:val="00026BBB"/>
    <w:rsid w:val="000270C3"/>
    <w:rsid w:val="000276E8"/>
    <w:rsid w:val="00027F43"/>
    <w:rsid w:val="00031E43"/>
    <w:rsid w:val="000333D7"/>
    <w:rsid w:val="00033D8D"/>
    <w:rsid w:val="00034AA1"/>
    <w:rsid w:val="0003652C"/>
    <w:rsid w:val="00036863"/>
    <w:rsid w:val="000430C9"/>
    <w:rsid w:val="000440A4"/>
    <w:rsid w:val="00045D22"/>
    <w:rsid w:val="00046B9E"/>
    <w:rsid w:val="00046D3D"/>
    <w:rsid w:val="0005153E"/>
    <w:rsid w:val="000544A7"/>
    <w:rsid w:val="0005513D"/>
    <w:rsid w:val="00055BC4"/>
    <w:rsid w:val="00056AE9"/>
    <w:rsid w:val="00056E34"/>
    <w:rsid w:val="00057ADA"/>
    <w:rsid w:val="000605BB"/>
    <w:rsid w:val="0006121F"/>
    <w:rsid w:val="00062851"/>
    <w:rsid w:val="00062C51"/>
    <w:rsid w:val="0006579C"/>
    <w:rsid w:val="0006657E"/>
    <w:rsid w:val="00066E0B"/>
    <w:rsid w:val="000708DF"/>
    <w:rsid w:val="00071631"/>
    <w:rsid w:val="00071829"/>
    <w:rsid w:val="00072A72"/>
    <w:rsid w:val="00073884"/>
    <w:rsid w:val="00073CD4"/>
    <w:rsid w:val="000742E4"/>
    <w:rsid w:val="00076A17"/>
    <w:rsid w:val="00076A86"/>
    <w:rsid w:val="000824BA"/>
    <w:rsid w:val="00082C5C"/>
    <w:rsid w:val="00082F11"/>
    <w:rsid w:val="0008366C"/>
    <w:rsid w:val="000837A2"/>
    <w:rsid w:val="00083F08"/>
    <w:rsid w:val="00084B83"/>
    <w:rsid w:val="0008584D"/>
    <w:rsid w:val="00085AAC"/>
    <w:rsid w:val="00085C02"/>
    <w:rsid w:val="00086BF3"/>
    <w:rsid w:val="00090BB5"/>
    <w:rsid w:val="000939A7"/>
    <w:rsid w:val="00094CD5"/>
    <w:rsid w:val="000956B3"/>
    <w:rsid w:val="000967A7"/>
    <w:rsid w:val="00096A17"/>
    <w:rsid w:val="00096BDF"/>
    <w:rsid w:val="0009760F"/>
    <w:rsid w:val="000A10A6"/>
    <w:rsid w:val="000A11CE"/>
    <w:rsid w:val="000A140D"/>
    <w:rsid w:val="000A2FC6"/>
    <w:rsid w:val="000A41F7"/>
    <w:rsid w:val="000A535D"/>
    <w:rsid w:val="000A5684"/>
    <w:rsid w:val="000A72EE"/>
    <w:rsid w:val="000B1517"/>
    <w:rsid w:val="000B7669"/>
    <w:rsid w:val="000B7D56"/>
    <w:rsid w:val="000C0376"/>
    <w:rsid w:val="000C0CA5"/>
    <w:rsid w:val="000C1440"/>
    <w:rsid w:val="000C3447"/>
    <w:rsid w:val="000C3B7F"/>
    <w:rsid w:val="000C4A8C"/>
    <w:rsid w:val="000C6DBE"/>
    <w:rsid w:val="000C7D2E"/>
    <w:rsid w:val="000D004D"/>
    <w:rsid w:val="000D12F6"/>
    <w:rsid w:val="000D24A9"/>
    <w:rsid w:val="000D5CD6"/>
    <w:rsid w:val="000D6090"/>
    <w:rsid w:val="000D640F"/>
    <w:rsid w:val="000D6779"/>
    <w:rsid w:val="000D7844"/>
    <w:rsid w:val="000E0296"/>
    <w:rsid w:val="000E1348"/>
    <w:rsid w:val="000E381D"/>
    <w:rsid w:val="000E4679"/>
    <w:rsid w:val="000E5FE2"/>
    <w:rsid w:val="000E6362"/>
    <w:rsid w:val="000F17DF"/>
    <w:rsid w:val="000F1C96"/>
    <w:rsid w:val="000F299B"/>
    <w:rsid w:val="000F2FA5"/>
    <w:rsid w:val="000F3196"/>
    <w:rsid w:val="000F3822"/>
    <w:rsid w:val="000F3C65"/>
    <w:rsid w:val="000F5749"/>
    <w:rsid w:val="000F5A4F"/>
    <w:rsid w:val="000F7AE6"/>
    <w:rsid w:val="00101213"/>
    <w:rsid w:val="00103710"/>
    <w:rsid w:val="0010432D"/>
    <w:rsid w:val="00104A0C"/>
    <w:rsid w:val="00105366"/>
    <w:rsid w:val="00105C21"/>
    <w:rsid w:val="001062AB"/>
    <w:rsid w:val="001065A0"/>
    <w:rsid w:val="00106600"/>
    <w:rsid w:val="00106A54"/>
    <w:rsid w:val="00110186"/>
    <w:rsid w:val="00110803"/>
    <w:rsid w:val="00113C44"/>
    <w:rsid w:val="00115161"/>
    <w:rsid w:val="00115439"/>
    <w:rsid w:val="00116CC8"/>
    <w:rsid w:val="001209A8"/>
    <w:rsid w:val="00120B27"/>
    <w:rsid w:val="001216F8"/>
    <w:rsid w:val="0012335D"/>
    <w:rsid w:val="00124296"/>
    <w:rsid w:val="00126079"/>
    <w:rsid w:val="00127CC7"/>
    <w:rsid w:val="00130A9A"/>
    <w:rsid w:val="001319A2"/>
    <w:rsid w:val="001320A5"/>
    <w:rsid w:val="00132552"/>
    <w:rsid w:val="001331C3"/>
    <w:rsid w:val="00133CFB"/>
    <w:rsid w:val="00134C5A"/>
    <w:rsid w:val="00135483"/>
    <w:rsid w:val="00136201"/>
    <w:rsid w:val="00136B2C"/>
    <w:rsid w:val="00137CF4"/>
    <w:rsid w:val="00141DD2"/>
    <w:rsid w:val="00142276"/>
    <w:rsid w:val="0014296F"/>
    <w:rsid w:val="0014305A"/>
    <w:rsid w:val="00143AE7"/>
    <w:rsid w:val="0014483C"/>
    <w:rsid w:val="00144EDF"/>
    <w:rsid w:val="001462D7"/>
    <w:rsid w:val="00146ADE"/>
    <w:rsid w:val="00146BB1"/>
    <w:rsid w:val="001471B3"/>
    <w:rsid w:val="001474D5"/>
    <w:rsid w:val="00147B72"/>
    <w:rsid w:val="001501E4"/>
    <w:rsid w:val="001503E1"/>
    <w:rsid w:val="00151950"/>
    <w:rsid w:val="00151BCA"/>
    <w:rsid w:val="0015339B"/>
    <w:rsid w:val="0015366A"/>
    <w:rsid w:val="001539B3"/>
    <w:rsid w:val="001542EE"/>
    <w:rsid w:val="00154675"/>
    <w:rsid w:val="00155193"/>
    <w:rsid w:val="001553EC"/>
    <w:rsid w:val="00155CB8"/>
    <w:rsid w:val="001569DC"/>
    <w:rsid w:val="00157308"/>
    <w:rsid w:val="00157965"/>
    <w:rsid w:val="00161885"/>
    <w:rsid w:val="00161A6A"/>
    <w:rsid w:val="00162263"/>
    <w:rsid w:val="001639BC"/>
    <w:rsid w:val="00163DB6"/>
    <w:rsid w:val="00163ED5"/>
    <w:rsid w:val="00164ABA"/>
    <w:rsid w:val="0016506B"/>
    <w:rsid w:val="00167B47"/>
    <w:rsid w:val="001705EF"/>
    <w:rsid w:val="0017062E"/>
    <w:rsid w:val="00170855"/>
    <w:rsid w:val="00173EEF"/>
    <w:rsid w:val="001752DD"/>
    <w:rsid w:val="00176DDF"/>
    <w:rsid w:val="00180009"/>
    <w:rsid w:val="0018080C"/>
    <w:rsid w:val="00181408"/>
    <w:rsid w:val="00181970"/>
    <w:rsid w:val="0018252E"/>
    <w:rsid w:val="00185B7D"/>
    <w:rsid w:val="001860E5"/>
    <w:rsid w:val="0018667B"/>
    <w:rsid w:val="00190064"/>
    <w:rsid w:val="0019048A"/>
    <w:rsid w:val="001909F8"/>
    <w:rsid w:val="001915F3"/>
    <w:rsid w:val="001916EA"/>
    <w:rsid w:val="0019175E"/>
    <w:rsid w:val="00192491"/>
    <w:rsid w:val="0019270C"/>
    <w:rsid w:val="001943E8"/>
    <w:rsid w:val="00197156"/>
    <w:rsid w:val="001972B4"/>
    <w:rsid w:val="00197325"/>
    <w:rsid w:val="00197B96"/>
    <w:rsid w:val="001A0F57"/>
    <w:rsid w:val="001A121B"/>
    <w:rsid w:val="001A16F7"/>
    <w:rsid w:val="001A1E4F"/>
    <w:rsid w:val="001A2217"/>
    <w:rsid w:val="001A2797"/>
    <w:rsid w:val="001A4B12"/>
    <w:rsid w:val="001A5BDF"/>
    <w:rsid w:val="001A5DAB"/>
    <w:rsid w:val="001A610B"/>
    <w:rsid w:val="001A6680"/>
    <w:rsid w:val="001A6895"/>
    <w:rsid w:val="001B2DEF"/>
    <w:rsid w:val="001B5050"/>
    <w:rsid w:val="001B73A0"/>
    <w:rsid w:val="001B7E61"/>
    <w:rsid w:val="001C14B1"/>
    <w:rsid w:val="001C2A8E"/>
    <w:rsid w:val="001C373D"/>
    <w:rsid w:val="001C3E05"/>
    <w:rsid w:val="001C5C56"/>
    <w:rsid w:val="001C5F27"/>
    <w:rsid w:val="001C6109"/>
    <w:rsid w:val="001C6C04"/>
    <w:rsid w:val="001D01DB"/>
    <w:rsid w:val="001D1657"/>
    <w:rsid w:val="001D3FDD"/>
    <w:rsid w:val="001D4A32"/>
    <w:rsid w:val="001D6773"/>
    <w:rsid w:val="001D6B89"/>
    <w:rsid w:val="001D6E74"/>
    <w:rsid w:val="001D702A"/>
    <w:rsid w:val="001D7ACF"/>
    <w:rsid w:val="001E13DE"/>
    <w:rsid w:val="001E1981"/>
    <w:rsid w:val="001E1BED"/>
    <w:rsid w:val="001E2637"/>
    <w:rsid w:val="001E279B"/>
    <w:rsid w:val="001E308F"/>
    <w:rsid w:val="001E3E21"/>
    <w:rsid w:val="001E61A6"/>
    <w:rsid w:val="001E6901"/>
    <w:rsid w:val="001E7A14"/>
    <w:rsid w:val="001F0EA9"/>
    <w:rsid w:val="001F110F"/>
    <w:rsid w:val="001F15A6"/>
    <w:rsid w:val="001F1B38"/>
    <w:rsid w:val="001F2972"/>
    <w:rsid w:val="001F3E1F"/>
    <w:rsid w:val="002015B0"/>
    <w:rsid w:val="00201E97"/>
    <w:rsid w:val="00203A07"/>
    <w:rsid w:val="00204F04"/>
    <w:rsid w:val="00210ECA"/>
    <w:rsid w:val="00211A2F"/>
    <w:rsid w:val="002135BF"/>
    <w:rsid w:val="00213857"/>
    <w:rsid w:val="00213E9A"/>
    <w:rsid w:val="002142E2"/>
    <w:rsid w:val="00215AA9"/>
    <w:rsid w:val="00215C57"/>
    <w:rsid w:val="002173E8"/>
    <w:rsid w:val="00217582"/>
    <w:rsid w:val="002178D7"/>
    <w:rsid w:val="00217A24"/>
    <w:rsid w:val="00220546"/>
    <w:rsid w:val="002206A2"/>
    <w:rsid w:val="00223AEA"/>
    <w:rsid w:val="00223B19"/>
    <w:rsid w:val="00224864"/>
    <w:rsid w:val="002248B3"/>
    <w:rsid w:val="00225A44"/>
    <w:rsid w:val="00225AFD"/>
    <w:rsid w:val="00226D97"/>
    <w:rsid w:val="0023092E"/>
    <w:rsid w:val="00230D01"/>
    <w:rsid w:val="00231963"/>
    <w:rsid w:val="00233012"/>
    <w:rsid w:val="002330E9"/>
    <w:rsid w:val="00234032"/>
    <w:rsid w:val="00236135"/>
    <w:rsid w:val="0023666B"/>
    <w:rsid w:val="00243056"/>
    <w:rsid w:val="0024324A"/>
    <w:rsid w:val="002440FD"/>
    <w:rsid w:val="00244357"/>
    <w:rsid w:val="00244C9A"/>
    <w:rsid w:val="00244FFE"/>
    <w:rsid w:val="00247653"/>
    <w:rsid w:val="002476CB"/>
    <w:rsid w:val="002540F1"/>
    <w:rsid w:val="00254FD3"/>
    <w:rsid w:val="002561D3"/>
    <w:rsid w:val="00256269"/>
    <w:rsid w:val="00260723"/>
    <w:rsid w:val="002607A3"/>
    <w:rsid w:val="00260BB7"/>
    <w:rsid w:val="00260EEA"/>
    <w:rsid w:val="00262FF0"/>
    <w:rsid w:val="002636B3"/>
    <w:rsid w:val="00263DEA"/>
    <w:rsid w:val="00263F80"/>
    <w:rsid w:val="00264F91"/>
    <w:rsid w:val="002664E2"/>
    <w:rsid w:val="0027038C"/>
    <w:rsid w:val="002716FB"/>
    <w:rsid w:val="0027505D"/>
    <w:rsid w:val="002751D4"/>
    <w:rsid w:val="002774B9"/>
    <w:rsid w:val="00280A99"/>
    <w:rsid w:val="00281581"/>
    <w:rsid w:val="00281895"/>
    <w:rsid w:val="002819C3"/>
    <w:rsid w:val="00283724"/>
    <w:rsid w:val="00285AE3"/>
    <w:rsid w:val="00286A2A"/>
    <w:rsid w:val="00287E9A"/>
    <w:rsid w:val="002910ED"/>
    <w:rsid w:val="00291D3C"/>
    <w:rsid w:val="0029219F"/>
    <w:rsid w:val="00293E8A"/>
    <w:rsid w:val="00293F75"/>
    <w:rsid w:val="00294281"/>
    <w:rsid w:val="00295CA4"/>
    <w:rsid w:val="00296EE3"/>
    <w:rsid w:val="00296F36"/>
    <w:rsid w:val="00297496"/>
    <w:rsid w:val="002975F4"/>
    <w:rsid w:val="002976E3"/>
    <w:rsid w:val="002A1D98"/>
    <w:rsid w:val="002A1E43"/>
    <w:rsid w:val="002A257F"/>
    <w:rsid w:val="002A2FE1"/>
    <w:rsid w:val="002A31C4"/>
    <w:rsid w:val="002A4548"/>
    <w:rsid w:val="002A5012"/>
    <w:rsid w:val="002A5497"/>
    <w:rsid w:val="002A5EB4"/>
    <w:rsid w:val="002A628D"/>
    <w:rsid w:val="002A7EBA"/>
    <w:rsid w:val="002B340B"/>
    <w:rsid w:val="002B3493"/>
    <w:rsid w:val="002B3A14"/>
    <w:rsid w:val="002B3F6A"/>
    <w:rsid w:val="002B49AD"/>
    <w:rsid w:val="002B4F37"/>
    <w:rsid w:val="002B5887"/>
    <w:rsid w:val="002B6F65"/>
    <w:rsid w:val="002B758B"/>
    <w:rsid w:val="002B7C5D"/>
    <w:rsid w:val="002C06DD"/>
    <w:rsid w:val="002C14F9"/>
    <w:rsid w:val="002C4601"/>
    <w:rsid w:val="002C57E1"/>
    <w:rsid w:val="002C5A53"/>
    <w:rsid w:val="002C5DC3"/>
    <w:rsid w:val="002C639D"/>
    <w:rsid w:val="002D0051"/>
    <w:rsid w:val="002D0440"/>
    <w:rsid w:val="002D2BA8"/>
    <w:rsid w:val="002D2D7E"/>
    <w:rsid w:val="002D2EC2"/>
    <w:rsid w:val="002D337A"/>
    <w:rsid w:val="002D337E"/>
    <w:rsid w:val="002D49D4"/>
    <w:rsid w:val="002D5A0E"/>
    <w:rsid w:val="002D6427"/>
    <w:rsid w:val="002D683D"/>
    <w:rsid w:val="002D7C63"/>
    <w:rsid w:val="002E075D"/>
    <w:rsid w:val="002E0D36"/>
    <w:rsid w:val="002E1BAA"/>
    <w:rsid w:val="002E206A"/>
    <w:rsid w:val="002E32E7"/>
    <w:rsid w:val="002E4ECA"/>
    <w:rsid w:val="002E4F80"/>
    <w:rsid w:val="002E7D17"/>
    <w:rsid w:val="002F160B"/>
    <w:rsid w:val="002F39C9"/>
    <w:rsid w:val="002F41EF"/>
    <w:rsid w:val="002F54DA"/>
    <w:rsid w:val="002F5991"/>
    <w:rsid w:val="002F6543"/>
    <w:rsid w:val="002F7432"/>
    <w:rsid w:val="002F78C7"/>
    <w:rsid w:val="0030004D"/>
    <w:rsid w:val="003007AD"/>
    <w:rsid w:val="0030300C"/>
    <w:rsid w:val="00303B22"/>
    <w:rsid w:val="00305902"/>
    <w:rsid w:val="0030792E"/>
    <w:rsid w:val="00307D8B"/>
    <w:rsid w:val="003100C5"/>
    <w:rsid w:val="003102E4"/>
    <w:rsid w:val="00311404"/>
    <w:rsid w:val="0031174D"/>
    <w:rsid w:val="00311F7A"/>
    <w:rsid w:val="00314872"/>
    <w:rsid w:val="00314A50"/>
    <w:rsid w:val="00314CE0"/>
    <w:rsid w:val="00315162"/>
    <w:rsid w:val="003161E0"/>
    <w:rsid w:val="00316ED7"/>
    <w:rsid w:val="0031718B"/>
    <w:rsid w:val="00320AF9"/>
    <w:rsid w:val="00321768"/>
    <w:rsid w:val="0032284B"/>
    <w:rsid w:val="00322C31"/>
    <w:rsid w:val="003234D0"/>
    <w:rsid w:val="0032383B"/>
    <w:rsid w:val="00323E67"/>
    <w:rsid w:val="00324629"/>
    <w:rsid w:val="00324942"/>
    <w:rsid w:val="00325A2B"/>
    <w:rsid w:val="00325F10"/>
    <w:rsid w:val="00326A3D"/>
    <w:rsid w:val="00327E26"/>
    <w:rsid w:val="00330830"/>
    <w:rsid w:val="00331738"/>
    <w:rsid w:val="0033180A"/>
    <w:rsid w:val="00332BD1"/>
    <w:rsid w:val="00340404"/>
    <w:rsid w:val="00341B1F"/>
    <w:rsid w:val="00342232"/>
    <w:rsid w:val="00342F58"/>
    <w:rsid w:val="003438F6"/>
    <w:rsid w:val="00344A42"/>
    <w:rsid w:val="00345172"/>
    <w:rsid w:val="00345847"/>
    <w:rsid w:val="00345904"/>
    <w:rsid w:val="00346DB2"/>
    <w:rsid w:val="00346DBE"/>
    <w:rsid w:val="00351E99"/>
    <w:rsid w:val="00352805"/>
    <w:rsid w:val="00352E10"/>
    <w:rsid w:val="00361414"/>
    <w:rsid w:val="0036323C"/>
    <w:rsid w:val="003637A9"/>
    <w:rsid w:val="00364C10"/>
    <w:rsid w:val="00364D92"/>
    <w:rsid w:val="003651A8"/>
    <w:rsid w:val="0036697F"/>
    <w:rsid w:val="00366A7D"/>
    <w:rsid w:val="00370538"/>
    <w:rsid w:val="00370EE3"/>
    <w:rsid w:val="00371669"/>
    <w:rsid w:val="003723DE"/>
    <w:rsid w:val="0037390C"/>
    <w:rsid w:val="0037409D"/>
    <w:rsid w:val="00374A1A"/>
    <w:rsid w:val="0037542D"/>
    <w:rsid w:val="003757DC"/>
    <w:rsid w:val="003757FE"/>
    <w:rsid w:val="0037639C"/>
    <w:rsid w:val="00376BFC"/>
    <w:rsid w:val="00380344"/>
    <w:rsid w:val="003805A7"/>
    <w:rsid w:val="003809A9"/>
    <w:rsid w:val="00380E1F"/>
    <w:rsid w:val="003813A4"/>
    <w:rsid w:val="0038206F"/>
    <w:rsid w:val="00382C45"/>
    <w:rsid w:val="00382C6A"/>
    <w:rsid w:val="00382E67"/>
    <w:rsid w:val="003837A1"/>
    <w:rsid w:val="003837C7"/>
    <w:rsid w:val="00383877"/>
    <w:rsid w:val="00384669"/>
    <w:rsid w:val="00384843"/>
    <w:rsid w:val="00384B1E"/>
    <w:rsid w:val="00385E49"/>
    <w:rsid w:val="00386BE7"/>
    <w:rsid w:val="00386DF4"/>
    <w:rsid w:val="00387E7E"/>
    <w:rsid w:val="00391A1F"/>
    <w:rsid w:val="00391B30"/>
    <w:rsid w:val="00391F59"/>
    <w:rsid w:val="003951C2"/>
    <w:rsid w:val="003955A2"/>
    <w:rsid w:val="0039707F"/>
    <w:rsid w:val="00397211"/>
    <w:rsid w:val="003A09F4"/>
    <w:rsid w:val="003A10F5"/>
    <w:rsid w:val="003A1A6E"/>
    <w:rsid w:val="003A454B"/>
    <w:rsid w:val="003A463C"/>
    <w:rsid w:val="003A4E67"/>
    <w:rsid w:val="003A4F98"/>
    <w:rsid w:val="003A5ED9"/>
    <w:rsid w:val="003A72E5"/>
    <w:rsid w:val="003B0237"/>
    <w:rsid w:val="003B1BB2"/>
    <w:rsid w:val="003B367D"/>
    <w:rsid w:val="003B3E7D"/>
    <w:rsid w:val="003B42AD"/>
    <w:rsid w:val="003B559E"/>
    <w:rsid w:val="003B59D9"/>
    <w:rsid w:val="003B5D45"/>
    <w:rsid w:val="003B6952"/>
    <w:rsid w:val="003B6DB5"/>
    <w:rsid w:val="003C10DD"/>
    <w:rsid w:val="003C1190"/>
    <w:rsid w:val="003C11E7"/>
    <w:rsid w:val="003C1289"/>
    <w:rsid w:val="003C3300"/>
    <w:rsid w:val="003C3386"/>
    <w:rsid w:val="003C3481"/>
    <w:rsid w:val="003C3791"/>
    <w:rsid w:val="003C422D"/>
    <w:rsid w:val="003C5ABF"/>
    <w:rsid w:val="003C69D7"/>
    <w:rsid w:val="003C7AE5"/>
    <w:rsid w:val="003D10D2"/>
    <w:rsid w:val="003D137A"/>
    <w:rsid w:val="003D1E45"/>
    <w:rsid w:val="003D2006"/>
    <w:rsid w:val="003D2D05"/>
    <w:rsid w:val="003D300E"/>
    <w:rsid w:val="003D430B"/>
    <w:rsid w:val="003D647D"/>
    <w:rsid w:val="003D66EE"/>
    <w:rsid w:val="003D7B1B"/>
    <w:rsid w:val="003E01CB"/>
    <w:rsid w:val="003E01D7"/>
    <w:rsid w:val="003E11C1"/>
    <w:rsid w:val="003E13FE"/>
    <w:rsid w:val="003E15AA"/>
    <w:rsid w:val="003E19BE"/>
    <w:rsid w:val="003E246B"/>
    <w:rsid w:val="003E2BFA"/>
    <w:rsid w:val="003E3C34"/>
    <w:rsid w:val="003E3D82"/>
    <w:rsid w:val="003E46E0"/>
    <w:rsid w:val="003E4AB6"/>
    <w:rsid w:val="003E5F8D"/>
    <w:rsid w:val="003E744E"/>
    <w:rsid w:val="003E7467"/>
    <w:rsid w:val="003F0E5A"/>
    <w:rsid w:val="003F2F87"/>
    <w:rsid w:val="003F37ED"/>
    <w:rsid w:val="003F3C18"/>
    <w:rsid w:val="003F3D20"/>
    <w:rsid w:val="003F3D3D"/>
    <w:rsid w:val="003F4477"/>
    <w:rsid w:val="003F4A55"/>
    <w:rsid w:val="003F4FAB"/>
    <w:rsid w:val="003F57FB"/>
    <w:rsid w:val="003F5A9B"/>
    <w:rsid w:val="003F5CA7"/>
    <w:rsid w:val="003F7AE0"/>
    <w:rsid w:val="004007DB"/>
    <w:rsid w:val="00400C8B"/>
    <w:rsid w:val="004010AF"/>
    <w:rsid w:val="004024F1"/>
    <w:rsid w:val="00403EE9"/>
    <w:rsid w:val="004043A2"/>
    <w:rsid w:val="00405121"/>
    <w:rsid w:val="004053D9"/>
    <w:rsid w:val="00410540"/>
    <w:rsid w:val="0041079B"/>
    <w:rsid w:val="00410D40"/>
    <w:rsid w:val="00411141"/>
    <w:rsid w:val="00412922"/>
    <w:rsid w:val="00412A51"/>
    <w:rsid w:val="00414707"/>
    <w:rsid w:val="00414E62"/>
    <w:rsid w:val="0041583E"/>
    <w:rsid w:val="00416102"/>
    <w:rsid w:val="0041786D"/>
    <w:rsid w:val="0042033E"/>
    <w:rsid w:val="00420952"/>
    <w:rsid w:val="00420E48"/>
    <w:rsid w:val="00420ECB"/>
    <w:rsid w:val="0042200D"/>
    <w:rsid w:val="00422355"/>
    <w:rsid w:val="00423691"/>
    <w:rsid w:val="00423AF5"/>
    <w:rsid w:val="004248EB"/>
    <w:rsid w:val="00426DC2"/>
    <w:rsid w:val="004271BC"/>
    <w:rsid w:val="00427452"/>
    <w:rsid w:val="004278D2"/>
    <w:rsid w:val="00427D01"/>
    <w:rsid w:val="00430BC1"/>
    <w:rsid w:val="00431297"/>
    <w:rsid w:val="00433227"/>
    <w:rsid w:val="00434521"/>
    <w:rsid w:val="00435338"/>
    <w:rsid w:val="00435471"/>
    <w:rsid w:val="00435C59"/>
    <w:rsid w:val="0043640B"/>
    <w:rsid w:val="00436A23"/>
    <w:rsid w:val="00437943"/>
    <w:rsid w:val="00437A7F"/>
    <w:rsid w:val="00440879"/>
    <w:rsid w:val="00440C79"/>
    <w:rsid w:val="00441801"/>
    <w:rsid w:val="00441A24"/>
    <w:rsid w:val="00442C53"/>
    <w:rsid w:val="0044338F"/>
    <w:rsid w:val="00443946"/>
    <w:rsid w:val="00444085"/>
    <w:rsid w:val="00444134"/>
    <w:rsid w:val="0044450E"/>
    <w:rsid w:val="00444AAB"/>
    <w:rsid w:val="00445268"/>
    <w:rsid w:val="00445A89"/>
    <w:rsid w:val="00446354"/>
    <w:rsid w:val="004467D3"/>
    <w:rsid w:val="00446D2B"/>
    <w:rsid w:val="00451B96"/>
    <w:rsid w:val="004541C8"/>
    <w:rsid w:val="004544E3"/>
    <w:rsid w:val="0045494F"/>
    <w:rsid w:val="00455782"/>
    <w:rsid w:val="004602B2"/>
    <w:rsid w:val="00460A75"/>
    <w:rsid w:val="00461C33"/>
    <w:rsid w:val="0046208D"/>
    <w:rsid w:val="00462769"/>
    <w:rsid w:val="004635F0"/>
    <w:rsid w:val="0046569F"/>
    <w:rsid w:val="004706C0"/>
    <w:rsid w:val="0047140D"/>
    <w:rsid w:val="004717D9"/>
    <w:rsid w:val="00472192"/>
    <w:rsid w:val="00472FDE"/>
    <w:rsid w:val="00474521"/>
    <w:rsid w:val="00474B80"/>
    <w:rsid w:val="00475C95"/>
    <w:rsid w:val="004765B6"/>
    <w:rsid w:val="00477688"/>
    <w:rsid w:val="00481BCD"/>
    <w:rsid w:val="0048224C"/>
    <w:rsid w:val="00482715"/>
    <w:rsid w:val="004837DF"/>
    <w:rsid w:val="00484CB3"/>
    <w:rsid w:val="00486487"/>
    <w:rsid w:val="004874B1"/>
    <w:rsid w:val="004903BB"/>
    <w:rsid w:val="0049146C"/>
    <w:rsid w:val="00491A79"/>
    <w:rsid w:val="0049301E"/>
    <w:rsid w:val="004939DA"/>
    <w:rsid w:val="004943A2"/>
    <w:rsid w:val="00494B59"/>
    <w:rsid w:val="00494C4F"/>
    <w:rsid w:val="004957EF"/>
    <w:rsid w:val="00496126"/>
    <w:rsid w:val="004A099A"/>
    <w:rsid w:val="004A4374"/>
    <w:rsid w:val="004A4C5B"/>
    <w:rsid w:val="004A5947"/>
    <w:rsid w:val="004A5A84"/>
    <w:rsid w:val="004A5B1A"/>
    <w:rsid w:val="004A7991"/>
    <w:rsid w:val="004A7C68"/>
    <w:rsid w:val="004B0612"/>
    <w:rsid w:val="004B0715"/>
    <w:rsid w:val="004B23E3"/>
    <w:rsid w:val="004B2C74"/>
    <w:rsid w:val="004B3CDA"/>
    <w:rsid w:val="004B4BBB"/>
    <w:rsid w:val="004B4EFA"/>
    <w:rsid w:val="004B57E2"/>
    <w:rsid w:val="004B5E0A"/>
    <w:rsid w:val="004B5EA2"/>
    <w:rsid w:val="004B642D"/>
    <w:rsid w:val="004B6BE7"/>
    <w:rsid w:val="004B6F4D"/>
    <w:rsid w:val="004C1A8F"/>
    <w:rsid w:val="004C1F43"/>
    <w:rsid w:val="004C351C"/>
    <w:rsid w:val="004C37E9"/>
    <w:rsid w:val="004C4882"/>
    <w:rsid w:val="004C51B3"/>
    <w:rsid w:val="004C598D"/>
    <w:rsid w:val="004C6273"/>
    <w:rsid w:val="004C6730"/>
    <w:rsid w:val="004D139B"/>
    <w:rsid w:val="004D13A1"/>
    <w:rsid w:val="004D1559"/>
    <w:rsid w:val="004D21EC"/>
    <w:rsid w:val="004D2366"/>
    <w:rsid w:val="004D36A3"/>
    <w:rsid w:val="004D510B"/>
    <w:rsid w:val="004D6107"/>
    <w:rsid w:val="004D6335"/>
    <w:rsid w:val="004D749B"/>
    <w:rsid w:val="004E0ECA"/>
    <w:rsid w:val="004E29B9"/>
    <w:rsid w:val="004E4130"/>
    <w:rsid w:val="004E4607"/>
    <w:rsid w:val="004E5152"/>
    <w:rsid w:val="004E6338"/>
    <w:rsid w:val="004E6D99"/>
    <w:rsid w:val="004E6F8D"/>
    <w:rsid w:val="004F05B3"/>
    <w:rsid w:val="004F05C3"/>
    <w:rsid w:val="004F0D38"/>
    <w:rsid w:val="004F2C95"/>
    <w:rsid w:val="004F3446"/>
    <w:rsid w:val="004F34A8"/>
    <w:rsid w:val="004F4AE0"/>
    <w:rsid w:val="004F526C"/>
    <w:rsid w:val="004F54BA"/>
    <w:rsid w:val="005000FE"/>
    <w:rsid w:val="00500D41"/>
    <w:rsid w:val="00502660"/>
    <w:rsid w:val="00503685"/>
    <w:rsid w:val="00504FB2"/>
    <w:rsid w:val="00505733"/>
    <w:rsid w:val="00506B42"/>
    <w:rsid w:val="005118AB"/>
    <w:rsid w:val="00512034"/>
    <w:rsid w:val="00513970"/>
    <w:rsid w:val="005142D5"/>
    <w:rsid w:val="00514D3A"/>
    <w:rsid w:val="00514F73"/>
    <w:rsid w:val="00516549"/>
    <w:rsid w:val="005260EF"/>
    <w:rsid w:val="00526ED1"/>
    <w:rsid w:val="00527C3A"/>
    <w:rsid w:val="00532ED5"/>
    <w:rsid w:val="00532FB1"/>
    <w:rsid w:val="0053369F"/>
    <w:rsid w:val="00533AE1"/>
    <w:rsid w:val="00533FB8"/>
    <w:rsid w:val="005340AF"/>
    <w:rsid w:val="00535FA1"/>
    <w:rsid w:val="005361E9"/>
    <w:rsid w:val="0053628F"/>
    <w:rsid w:val="00540388"/>
    <w:rsid w:val="0054082E"/>
    <w:rsid w:val="0054132B"/>
    <w:rsid w:val="00541D5A"/>
    <w:rsid w:val="00542A4C"/>
    <w:rsid w:val="005448F9"/>
    <w:rsid w:val="0054519D"/>
    <w:rsid w:val="00545C97"/>
    <w:rsid w:val="00546111"/>
    <w:rsid w:val="0054631A"/>
    <w:rsid w:val="00546ADE"/>
    <w:rsid w:val="005474A7"/>
    <w:rsid w:val="00547F1A"/>
    <w:rsid w:val="00551078"/>
    <w:rsid w:val="005528D7"/>
    <w:rsid w:val="0055319A"/>
    <w:rsid w:val="00553284"/>
    <w:rsid w:val="00553A93"/>
    <w:rsid w:val="00553E41"/>
    <w:rsid w:val="0055574E"/>
    <w:rsid w:val="00555CE6"/>
    <w:rsid w:val="00556ACF"/>
    <w:rsid w:val="00557A2E"/>
    <w:rsid w:val="00560E55"/>
    <w:rsid w:val="005619A4"/>
    <w:rsid w:val="00563148"/>
    <w:rsid w:val="00563EA6"/>
    <w:rsid w:val="00564925"/>
    <w:rsid w:val="00565404"/>
    <w:rsid w:val="005700F5"/>
    <w:rsid w:val="005704A3"/>
    <w:rsid w:val="00570DA0"/>
    <w:rsid w:val="00572AAC"/>
    <w:rsid w:val="00572DBF"/>
    <w:rsid w:val="005747B5"/>
    <w:rsid w:val="00576136"/>
    <w:rsid w:val="005764D5"/>
    <w:rsid w:val="005765A1"/>
    <w:rsid w:val="00576A34"/>
    <w:rsid w:val="005777E1"/>
    <w:rsid w:val="0058049C"/>
    <w:rsid w:val="00580792"/>
    <w:rsid w:val="0058113B"/>
    <w:rsid w:val="00581334"/>
    <w:rsid w:val="00581514"/>
    <w:rsid w:val="00582386"/>
    <w:rsid w:val="00582A77"/>
    <w:rsid w:val="00582F7C"/>
    <w:rsid w:val="00583B02"/>
    <w:rsid w:val="00585B72"/>
    <w:rsid w:val="00585E2F"/>
    <w:rsid w:val="0058622C"/>
    <w:rsid w:val="00587079"/>
    <w:rsid w:val="0059257E"/>
    <w:rsid w:val="00592963"/>
    <w:rsid w:val="005930B9"/>
    <w:rsid w:val="00594530"/>
    <w:rsid w:val="00595052"/>
    <w:rsid w:val="005966F6"/>
    <w:rsid w:val="00597A56"/>
    <w:rsid w:val="005A054B"/>
    <w:rsid w:val="005A0E90"/>
    <w:rsid w:val="005A1B17"/>
    <w:rsid w:val="005A26D5"/>
    <w:rsid w:val="005A39FB"/>
    <w:rsid w:val="005A5060"/>
    <w:rsid w:val="005A71B8"/>
    <w:rsid w:val="005B0841"/>
    <w:rsid w:val="005B220B"/>
    <w:rsid w:val="005B296B"/>
    <w:rsid w:val="005B2A20"/>
    <w:rsid w:val="005B317C"/>
    <w:rsid w:val="005B36F2"/>
    <w:rsid w:val="005B5728"/>
    <w:rsid w:val="005B6249"/>
    <w:rsid w:val="005B6660"/>
    <w:rsid w:val="005B666F"/>
    <w:rsid w:val="005B6B04"/>
    <w:rsid w:val="005B6B13"/>
    <w:rsid w:val="005B713F"/>
    <w:rsid w:val="005C1AC2"/>
    <w:rsid w:val="005C226F"/>
    <w:rsid w:val="005C31A5"/>
    <w:rsid w:val="005C49BC"/>
    <w:rsid w:val="005C54A5"/>
    <w:rsid w:val="005C5E1B"/>
    <w:rsid w:val="005C7F76"/>
    <w:rsid w:val="005D0ADE"/>
    <w:rsid w:val="005D0E31"/>
    <w:rsid w:val="005D0FF6"/>
    <w:rsid w:val="005D1814"/>
    <w:rsid w:val="005D1985"/>
    <w:rsid w:val="005D2582"/>
    <w:rsid w:val="005D2F4F"/>
    <w:rsid w:val="005D45E2"/>
    <w:rsid w:val="005D4F77"/>
    <w:rsid w:val="005D50E5"/>
    <w:rsid w:val="005D622B"/>
    <w:rsid w:val="005D6EAC"/>
    <w:rsid w:val="005D7231"/>
    <w:rsid w:val="005D74B4"/>
    <w:rsid w:val="005E041E"/>
    <w:rsid w:val="005E066A"/>
    <w:rsid w:val="005E07F3"/>
    <w:rsid w:val="005E08F0"/>
    <w:rsid w:val="005E0D27"/>
    <w:rsid w:val="005E209B"/>
    <w:rsid w:val="005E2853"/>
    <w:rsid w:val="005E3525"/>
    <w:rsid w:val="005E4DA5"/>
    <w:rsid w:val="005E6190"/>
    <w:rsid w:val="005E6D04"/>
    <w:rsid w:val="005E711C"/>
    <w:rsid w:val="005E74E2"/>
    <w:rsid w:val="005E78FF"/>
    <w:rsid w:val="005E797D"/>
    <w:rsid w:val="005E7ED5"/>
    <w:rsid w:val="005F18B9"/>
    <w:rsid w:val="005F18DA"/>
    <w:rsid w:val="005F1F14"/>
    <w:rsid w:val="005F2D59"/>
    <w:rsid w:val="005F37C7"/>
    <w:rsid w:val="005F4260"/>
    <w:rsid w:val="005F4702"/>
    <w:rsid w:val="005F4B12"/>
    <w:rsid w:val="005F518B"/>
    <w:rsid w:val="005F5F5F"/>
    <w:rsid w:val="005F5FE5"/>
    <w:rsid w:val="005F6011"/>
    <w:rsid w:val="005F688B"/>
    <w:rsid w:val="00600EF7"/>
    <w:rsid w:val="006013D6"/>
    <w:rsid w:val="0060313A"/>
    <w:rsid w:val="00604E3E"/>
    <w:rsid w:val="00605458"/>
    <w:rsid w:val="0060612E"/>
    <w:rsid w:val="00606422"/>
    <w:rsid w:val="00610966"/>
    <w:rsid w:val="00611A6B"/>
    <w:rsid w:val="00611B75"/>
    <w:rsid w:val="00612785"/>
    <w:rsid w:val="00614D1D"/>
    <w:rsid w:val="00614ECE"/>
    <w:rsid w:val="00615124"/>
    <w:rsid w:val="00616879"/>
    <w:rsid w:val="00617A49"/>
    <w:rsid w:val="00617E8B"/>
    <w:rsid w:val="006204F2"/>
    <w:rsid w:val="006210DE"/>
    <w:rsid w:val="006233EB"/>
    <w:rsid w:val="00623707"/>
    <w:rsid w:val="00623AFD"/>
    <w:rsid w:val="00624406"/>
    <w:rsid w:val="0062494A"/>
    <w:rsid w:val="006253F1"/>
    <w:rsid w:val="00625443"/>
    <w:rsid w:val="00625C85"/>
    <w:rsid w:val="006264B1"/>
    <w:rsid w:val="00627036"/>
    <w:rsid w:val="006302F5"/>
    <w:rsid w:val="00630DAC"/>
    <w:rsid w:val="00630E1C"/>
    <w:rsid w:val="006319BA"/>
    <w:rsid w:val="0063487B"/>
    <w:rsid w:val="00635498"/>
    <w:rsid w:val="00635980"/>
    <w:rsid w:val="00635F47"/>
    <w:rsid w:val="006377D7"/>
    <w:rsid w:val="00640359"/>
    <w:rsid w:val="0064259B"/>
    <w:rsid w:val="00642CF4"/>
    <w:rsid w:val="00643300"/>
    <w:rsid w:val="00643436"/>
    <w:rsid w:val="006435C5"/>
    <w:rsid w:val="006439B3"/>
    <w:rsid w:val="00643CB6"/>
    <w:rsid w:val="0064411E"/>
    <w:rsid w:val="00644909"/>
    <w:rsid w:val="00646034"/>
    <w:rsid w:val="006464F8"/>
    <w:rsid w:val="006466E3"/>
    <w:rsid w:val="006475A3"/>
    <w:rsid w:val="006502FA"/>
    <w:rsid w:val="00650C43"/>
    <w:rsid w:val="00651685"/>
    <w:rsid w:val="00651A7D"/>
    <w:rsid w:val="00651B78"/>
    <w:rsid w:val="00651D3F"/>
    <w:rsid w:val="00651EDB"/>
    <w:rsid w:val="0065276D"/>
    <w:rsid w:val="00653120"/>
    <w:rsid w:val="00653342"/>
    <w:rsid w:val="00653D99"/>
    <w:rsid w:val="00654444"/>
    <w:rsid w:val="00654E03"/>
    <w:rsid w:val="00655FB0"/>
    <w:rsid w:val="006605C3"/>
    <w:rsid w:val="00661197"/>
    <w:rsid w:val="00663932"/>
    <w:rsid w:val="006646FE"/>
    <w:rsid w:val="00664F5A"/>
    <w:rsid w:val="006653B1"/>
    <w:rsid w:val="0066550E"/>
    <w:rsid w:val="006655F4"/>
    <w:rsid w:val="0066645E"/>
    <w:rsid w:val="00667DF2"/>
    <w:rsid w:val="00671016"/>
    <w:rsid w:val="00671C9E"/>
    <w:rsid w:val="006721A6"/>
    <w:rsid w:val="00672F92"/>
    <w:rsid w:val="006730DF"/>
    <w:rsid w:val="00673969"/>
    <w:rsid w:val="00674DA6"/>
    <w:rsid w:val="00674E96"/>
    <w:rsid w:val="00675047"/>
    <w:rsid w:val="006757A0"/>
    <w:rsid w:val="00677195"/>
    <w:rsid w:val="006772C8"/>
    <w:rsid w:val="0068010E"/>
    <w:rsid w:val="006809A1"/>
    <w:rsid w:val="00681716"/>
    <w:rsid w:val="00681E38"/>
    <w:rsid w:val="00682057"/>
    <w:rsid w:val="0068254A"/>
    <w:rsid w:val="00682B2A"/>
    <w:rsid w:val="00682E14"/>
    <w:rsid w:val="0068394A"/>
    <w:rsid w:val="00684434"/>
    <w:rsid w:val="006852A3"/>
    <w:rsid w:val="006861EC"/>
    <w:rsid w:val="00686340"/>
    <w:rsid w:val="0068645D"/>
    <w:rsid w:val="006865A6"/>
    <w:rsid w:val="006926C2"/>
    <w:rsid w:val="0069312F"/>
    <w:rsid w:val="0069416E"/>
    <w:rsid w:val="00694BB8"/>
    <w:rsid w:val="0069583C"/>
    <w:rsid w:val="006958E0"/>
    <w:rsid w:val="00696443"/>
    <w:rsid w:val="00696940"/>
    <w:rsid w:val="00696DA2"/>
    <w:rsid w:val="00696E3C"/>
    <w:rsid w:val="00697A44"/>
    <w:rsid w:val="006A0505"/>
    <w:rsid w:val="006A0521"/>
    <w:rsid w:val="006A05CD"/>
    <w:rsid w:val="006A1919"/>
    <w:rsid w:val="006A1AFC"/>
    <w:rsid w:val="006A40D6"/>
    <w:rsid w:val="006A46FB"/>
    <w:rsid w:val="006A6A8C"/>
    <w:rsid w:val="006B04BB"/>
    <w:rsid w:val="006B0BFF"/>
    <w:rsid w:val="006B1417"/>
    <w:rsid w:val="006B1F13"/>
    <w:rsid w:val="006B21C1"/>
    <w:rsid w:val="006B31B9"/>
    <w:rsid w:val="006B60FB"/>
    <w:rsid w:val="006C2552"/>
    <w:rsid w:val="006C2E51"/>
    <w:rsid w:val="006C3AAD"/>
    <w:rsid w:val="006C4024"/>
    <w:rsid w:val="006C4BEC"/>
    <w:rsid w:val="006C6A72"/>
    <w:rsid w:val="006C73CE"/>
    <w:rsid w:val="006D253D"/>
    <w:rsid w:val="006D3461"/>
    <w:rsid w:val="006D3599"/>
    <w:rsid w:val="006D4BF1"/>
    <w:rsid w:val="006E04C0"/>
    <w:rsid w:val="006E1F31"/>
    <w:rsid w:val="006E288A"/>
    <w:rsid w:val="006E4B96"/>
    <w:rsid w:val="006E4D62"/>
    <w:rsid w:val="006F11BC"/>
    <w:rsid w:val="006F2513"/>
    <w:rsid w:val="006F2C72"/>
    <w:rsid w:val="006F39A6"/>
    <w:rsid w:val="006F3A2A"/>
    <w:rsid w:val="006F3C25"/>
    <w:rsid w:val="006F3F3A"/>
    <w:rsid w:val="006F531B"/>
    <w:rsid w:val="006F603C"/>
    <w:rsid w:val="006F693C"/>
    <w:rsid w:val="006F7164"/>
    <w:rsid w:val="007003F6"/>
    <w:rsid w:val="00700977"/>
    <w:rsid w:val="00700AB7"/>
    <w:rsid w:val="007018A5"/>
    <w:rsid w:val="007019DA"/>
    <w:rsid w:val="007027BB"/>
    <w:rsid w:val="00702825"/>
    <w:rsid w:val="007031C0"/>
    <w:rsid w:val="00703613"/>
    <w:rsid w:val="00703B69"/>
    <w:rsid w:val="0070457E"/>
    <w:rsid w:val="00705F12"/>
    <w:rsid w:val="00707F7E"/>
    <w:rsid w:val="0071001E"/>
    <w:rsid w:val="00711682"/>
    <w:rsid w:val="00712F07"/>
    <w:rsid w:val="00713650"/>
    <w:rsid w:val="007146F1"/>
    <w:rsid w:val="007150B2"/>
    <w:rsid w:val="00717537"/>
    <w:rsid w:val="00717F7C"/>
    <w:rsid w:val="00720AAE"/>
    <w:rsid w:val="00723AD7"/>
    <w:rsid w:val="00724BA4"/>
    <w:rsid w:val="00730623"/>
    <w:rsid w:val="00730A5B"/>
    <w:rsid w:val="00733995"/>
    <w:rsid w:val="00734AAC"/>
    <w:rsid w:val="00735C94"/>
    <w:rsid w:val="0073782C"/>
    <w:rsid w:val="00737840"/>
    <w:rsid w:val="00740D6F"/>
    <w:rsid w:val="00740F5D"/>
    <w:rsid w:val="00741C57"/>
    <w:rsid w:val="0074243F"/>
    <w:rsid w:val="00742A78"/>
    <w:rsid w:val="00744352"/>
    <w:rsid w:val="0074612B"/>
    <w:rsid w:val="00747EEB"/>
    <w:rsid w:val="007526D9"/>
    <w:rsid w:val="007544E5"/>
    <w:rsid w:val="0075607C"/>
    <w:rsid w:val="007565CD"/>
    <w:rsid w:val="00756DD4"/>
    <w:rsid w:val="0075770E"/>
    <w:rsid w:val="00761B03"/>
    <w:rsid w:val="0076238F"/>
    <w:rsid w:val="00762D54"/>
    <w:rsid w:val="00762E7D"/>
    <w:rsid w:val="0076555A"/>
    <w:rsid w:val="007656B3"/>
    <w:rsid w:val="00766122"/>
    <w:rsid w:val="00766753"/>
    <w:rsid w:val="00766F33"/>
    <w:rsid w:val="00767D1A"/>
    <w:rsid w:val="0077182E"/>
    <w:rsid w:val="0077195B"/>
    <w:rsid w:val="007729B6"/>
    <w:rsid w:val="00772AF3"/>
    <w:rsid w:val="0077516D"/>
    <w:rsid w:val="0077576F"/>
    <w:rsid w:val="00775AB0"/>
    <w:rsid w:val="0077632D"/>
    <w:rsid w:val="0078081B"/>
    <w:rsid w:val="00783A8D"/>
    <w:rsid w:val="00784C9B"/>
    <w:rsid w:val="007854A7"/>
    <w:rsid w:val="00785824"/>
    <w:rsid w:val="00785C62"/>
    <w:rsid w:val="00785CA4"/>
    <w:rsid w:val="00785E00"/>
    <w:rsid w:val="0078648A"/>
    <w:rsid w:val="0078681D"/>
    <w:rsid w:val="007875A2"/>
    <w:rsid w:val="00790456"/>
    <w:rsid w:val="0079106B"/>
    <w:rsid w:val="00791200"/>
    <w:rsid w:val="007920C7"/>
    <w:rsid w:val="00792334"/>
    <w:rsid w:val="007926F2"/>
    <w:rsid w:val="0079286E"/>
    <w:rsid w:val="0079372E"/>
    <w:rsid w:val="007953BC"/>
    <w:rsid w:val="00795BCB"/>
    <w:rsid w:val="00796140"/>
    <w:rsid w:val="007970B0"/>
    <w:rsid w:val="00797E53"/>
    <w:rsid w:val="007A07AA"/>
    <w:rsid w:val="007A0C69"/>
    <w:rsid w:val="007A166D"/>
    <w:rsid w:val="007A399C"/>
    <w:rsid w:val="007A6074"/>
    <w:rsid w:val="007A66DE"/>
    <w:rsid w:val="007A6C95"/>
    <w:rsid w:val="007A724A"/>
    <w:rsid w:val="007B0C84"/>
    <w:rsid w:val="007B0EFF"/>
    <w:rsid w:val="007B1101"/>
    <w:rsid w:val="007B139D"/>
    <w:rsid w:val="007B24F5"/>
    <w:rsid w:val="007B2D3C"/>
    <w:rsid w:val="007B330A"/>
    <w:rsid w:val="007B3392"/>
    <w:rsid w:val="007B5192"/>
    <w:rsid w:val="007B5B98"/>
    <w:rsid w:val="007B5CFB"/>
    <w:rsid w:val="007B613E"/>
    <w:rsid w:val="007B7166"/>
    <w:rsid w:val="007B772A"/>
    <w:rsid w:val="007B792E"/>
    <w:rsid w:val="007C1147"/>
    <w:rsid w:val="007C2B22"/>
    <w:rsid w:val="007C2FF3"/>
    <w:rsid w:val="007C375B"/>
    <w:rsid w:val="007C6419"/>
    <w:rsid w:val="007C675B"/>
    <w:rsid w:val="007C68C3"/>
    <w:rsid w:val="007D0549"/>
    <w:rsid w:val="007D1019"/>
    <w:rsid w:val="007D2B49"/>
    <w:rsid w:val="007D57D4"/>
    <w:rsid w:val="007D6990"/>
    <w:rsid w:val="007D768D"/>
    <w:rsid w:val="007D7B4A"/>
    <w:rsid w:val="007D7F35"/>
    <w:rsid w:val="007E086A"/>
    <w:rsid w:val="007E0DC0"/>
    <w:rsid w:val="007E13A4"/>
    <w:rsid w:val="007E15B4"/>
    <w:rsid w:val="007E4057"/>
    <w:rsid w:val="007E493C"/>
    <w:rsid w:val="007E4FD4"/>
    <w:rsid w:val="007E5F65"/>
    <w:rsid w:val="007E795B"/>
    <w:rsid w:val="007F015D"/>
    <w:rsid w:val="007F0A0A"/>
    <w:rsid w:val="007F0EF3"/>
    <w:rsid w:val="007F1DFB"/>
    <w:rsid w:val="007F2F27"/>
    <w:rsid w:val="007F3CBF"/>
    <w:rsid w:val="007F3FF3"/>
    <w:rsid w:val="007F5B3A"/>
    <w:rsid w:val="007F5CE5"/>
    <w:rsid w:val="007F5E90"/>
    <w:rsid w:val="007F61D0"/>
    <w:rsid w:val="007F7178"/>
    <w:rsid w:val="007F762F"/>
    <w:rsid w:val="008006D8"/>
    <w:rsid w:val="00800B53"/>
    <w:rsid w:val="00801A93"/>
    <w:rsid w:val="008025A2"/>
    <w:rsid w:val="00804038"/>
    <w:rsid w:val="00804FD1"/>
    <w:rsid w:val="00805308"/>
    <w:rsid w:val="00805348"/>
    <w:rsid w:val="00805771"/>
    <w:rsid w:val="00806934"/>
    <w:rsid w:val="00806E4E"/>
    <w:rsid w:val="00807832"/>
    <w:rsid w:val="008100F5"/>
    <w:rsid w:val="008106A3"/>
    <w:rsid w:val="00810A8D"/>
    <w:rsid w:val="00810F19"/>
    <w:rsid w:val="0081211E"/>
    <w:rsid w:val="008140CE"/>
    <w:rsid w:val="00814218"/>
    <w:rsid w:val="00817230"/>
    <w:rsid w:val="008179F9"/>
    <w:rsid w:val="00817EC4"/>
    <w:rsid w:val="008206A8"/>
    <w:rsid w:val="00821B77"/>
    <w:rsid w:val="008220F7"/>
    <w:rsid w:val="00822AF1"/>
    <w:rsid w:val="008249BE"/>
    <w:rsid w:val="00824A0D"/>
    <w:rsid w:val="00824BC4"/>
    <w:rsid w:val="00824F16"/>
    <w:rsid w:val="00825E64"/>
    <w:rsid w:val="00825E88"/>
    <w:rsid w:val="00826376"/>
    <w:rsid w:val="00830B78"/>
    <w:rsid w:val="00831C73"/>
    <w:rsid w:val="00831ED5"/>
    <w:rsid w:val="0083559D"/>
    <w:rsid w:val="00836173"/>
    <w:rsid w:val="00836F4D"/>
    <w:rsid w:val="00837842"/>
    <w:rsid w:val="00841AB6"/>
    <w:rsid w:val="00842828"/>
    <w:rsid w:val="008441DE"/>
    <w:rsid w:val="00844726"/>
    <w:rsid w:val="00844D3B"/>
    <w:rsid w:val="00845390"/>
    <w:rsid w:val="0084657D"/>
    <w:rsid w:val="008473C8"/>
    <w:rsid w:val="00850471"/>
    <w:rsid w:val="00850887"/>
    <w:rsid w:val="00851962"/>
    <w:rsid w:val="00852DCA"/>
    <w:rsid w:val="008547CB"/>
    <w:rsid w:val="00854CD7"/>
    <w:rsid w:val="00856B7C"/>
    <w:rsid w:val="008571C5"/>
    <w:rsid w:val="00860414"/>
    <w:rsid w:val="0086053A"/>
    <w:rsid w:val="008618CB"/>
    <w:rsid w:val="0086198D"/>
    <w:rsid w:val="00864C4D"/>
    <w:rsid w:val="00866542"/>
    <w:rsid w:val="00867902"/>
    <w:rsid w:val="00867C09"/>
    <w:rsid w:val="00871945"/>
    <w:rsid w:val="00871A21"/>
    <w:rsid w:val="00871E98"/>
    <w:rsid w:val="00873558"/>
    <w:rsid w:val="00873C3E"/>
    <w:rsid w:val="008746B5"/>
    <w:rsid w:val="008753E1"/>
    <w:rsid w:val="00875942"/>
    <w:rsid w:val="00875A98"/>
    <w:rsid w:val="0087735A"/>
    <w:rsid w:val="00881711"/>
    <w:rsid w:val="008832F8"/>
    <w:rsid w:val="008858D1"/>
    <w:rsid w:val="00885EA5"/>
    <w:rsid w:val="00886D62"/>
    <w:rsid w:val="008871FD"/>
    <w:rsid w:val="0088737B"/>
    <w:rsid w:val="0088773B"/>
    <w:rsid w:val="00887A46"/>
    <w:rsid w:val="008925CC"/>
    <w:rsid w:val="00892845"/>
    <w:rsid w:val="00892AFD"/>
    <w:rsid w:val="008931CC"/>
    <w:rsid w:val="0089490E"/>
    <w:rsid w:val="008974BA"/>
    <w:rsid w:val="00897744"/>
    <w:rsid w:val="008A26E2"/>
    <w:rsid w:val="008A397D"/>
    <w:rsid w:val="008A51F4"/>
    <w:rsid w:val="008A63E4"/>
    <w:rsid w:val="008A65F1"/>
    <w:rsid w:val="008B1D69"/>
    <w:rsid w:val="008B3D5C"/>
    <w:rsid w:val="008B4A59"/>
    <w:rsid w:val="008B4B6E"/>
    <w:rsid w:val="008B5535"/>
    <w:rsid w:val="008B7BC9"/>
    <w:rsid w:val="008C16CA"/>
    <w:rsid w:val="008C1804"/>
    <w:rsid w:val="008C207B"/>
    <w:rsid w:val="008C25BC"/>
    <w:rsid w:val="008C25C6"/>
    <w:rsid w:val="008C2B1C"/>
    <w:rsid w:val="008C3DE4"/>
    <w:rsid w:val="008C4D0D"/>
    <w:rsid w:val="008C6625"/>
    <w:rsid w:val="008C7B2D"/>
    <w:rsid w:val="008D1585"/>
    <w:rsid w:val="008D2978"/>
    <w:rsid w:val="008D3D31"/>
    <w:rsid w:val="008D5635"/>
    <w:rsid w:val="008D789D"/>
    <w:rsid w:val="008D7EF0"/>
    <w:rsid w:val="008E0215"/>
    <w:rsid w:val="008E0A1C"/>
    <w:rsid w:val="008E0E05"/>
    <w:rsid w:val="008E1AC0"/>
    <w:rsid w:val="008E1C95"/>
    <w:rsid w:val="008E1D72"/>
    <w:rsid w:val="008E22C7"/>
    <w:rsid w:val="008E32DB"/>
    <w:rsid w:val="008E369E"/>
    <w:rsid w:val="008E4A45"/>
    <w:rsid w:val="008E4C10"/>
    <w:rsid w:val="008E4CA2"/>
    <w:rsid w:val="008E5AF8"/>
    <w:rsid w:val="008E6062"/>
    <w:rsid w:val="008E675D"/>
    <w:rsid w:val="008E74FF"/>
    <w:rsid w:val="008E7CEA"/>
    <w:rsid w:val="008E7E66"/>
    <w:rsid w:val="008F044F"/>
    <w:rsid w:val="008F0698"/>
    <w:rsid w:val="008F10B8"/>
    <w:rsid w:val="008F2A5D"/>
    <w:rsid w:val="008F593E"/>
    <w:rsid w:val="008F682E"/>
    <w:rsid w:val="008F6BD2"/>
    <w:rsid w:val="008F7179"/>
    <w:rsid w:val="008F7B07"/>
    <w:rsid w:val="008F7B43"/>
    <w:rsid w:val="008F7FEB"/>
    <w:rsid w:val="00900246"/>
    <w:rsid w:val="00900D97"/>
    <w:rsid w:val="00901C9E"/>
    <w:rsid w:val="00902060"/>
    <w:rsid w:val="00902773"/>
    <w:rsid w:val="00902A5B"/>
    <w:rsid w:val="00902D64"/>
    <w:rsid w:val="00903CFF"/>
    <w:rsid w:val="00904BE6"/>
    <w:rsid w:val="009076A7"/>
    <w:rsid w:val="0091369E"/>
    <w:rsid w:val="00914E35"/>
    <w:rsid w:val="009170C0"/>
    <w:rsid w:val="00917CFF"/>
    <w:rsid w:val="009205DA"/>
    <w:rsid w:val="00921367"/>
    <w:rsid w:val="00922D59"/>
    <w:rsid w:val="009231B3"/>
    <w:rsid w:val="0092395E"/>
    <w:rsid w:val="00924023"/>
    <w:rsid w:val="009245F6"/>
    <w:rsid w:val="0092566F"/>
    <w:rsid w:val="00926B02"/>
    <w:rsid w:val="009307C6"/>
    <w:rsid w:val="00931D77"/>
    <w:rsid w:val="0093330F"/>
    <w:rsid w:val="009336C7"/>
    <w:rsid w:val="009336D5"/>
    <w:rsid w:val="00934992"/>
    <w:rsid w:val="009357E0"/>
    <w:rsid w:val="00937973"/>
    <w:rsid w:val="0094153D"/>
    <w:rsid w:val="00942200"/>
    <w:rsid w:val="00943F3F"/>
    <w:rsid w:val="009450F7"/>
    <w:rsid w:val="00945966"/>
    <w:rsid w:val="009476B7"/>
    <w:rsid w:val="0095001E"/>
    <w:rsid w:val="00950791"/>
    <w:rsid w:val="00950F1C"/>
    <w:rsid w:val="0095143E"/>
    <w:rsid w:val="00952F16"/>
    <w:rsid w:val="0095318A"/>
    <w:rsid w:val="00953603"/>
    <w:rsid w:val="00953D4F"/>
    <w:rsid w:val="00953D99"/>
    <w:rsid w:val="009540B3"/>
    <w:rsid w:val="009611DC"/>
    <w:rsid w:val="009614B9"/>
    <w:rsid w:val="00961B5B"/>
    <w:rsid w:val="00961C6D"/>
    <w:rsid w:val="009625BD"/>
    <w:rsid w:val="00962750"/>
    <w:rsid w:val="0096536B"/>
    <w:rsid w:val="009657AC"/>
    <w:rsid w:val="00965AB4"/>
    <w:rsid w:val="009675F1"/>
    <w:rsid w:val="009678EF"/>
    <w:rsid w:val="00967E3C"/>
    <w:rsid w:val="00967E82"/>
    <w:rsid w:val="00970D68"/>
    <w:rsid w:val="00970DDE"/>
    <w:rsid w:val="00972B53"/>
    <w:rsid w:val="00972BBD"/>
    <w:rsid w:val="00973CD7"/>
    <w:rsid w:val="00975967"/>
    <w:rsid w:val="009759EB"/>
    <w:rsid w:val="00976444"/>
    <w:rsid w:val="00977021"/>
    <w:rsid w:val="009802B4"/>
    <w:rsid w:val="00982A67"/>
    <w:rsid w:val="00982EB7"/>
    <w:rsid w:val="00985049"/>
    <w:rsid w:val="00985097"/>
    <w:rsid w:val="0098525D"/>
    <w:rsid w:val="00990942"/>
    <w:rsid w:val="009911AA"/>
    <w:rsid w:val="00991B8D"/>
    <w:rsid w:val="00991B92"/>
    <w:rsid w:val="00992091"/>
    <w:rsid w:val="009922DE"/>
    <w:rsid w:val="00992537"/>
    <w:rsid w:val="00994401"/>
    <w:rsid w:val="00994BD6"/>
    <w:rsid w:val="00997100"/>
    <w:rsid w:val="0099727E"/>
    <w:rsid w:val="009A0AC1"/>
    <w:rsid w:val="009A12C4"/>
    <w:rsid w:val="009A36A4"/>
    <w:rsid w:val="009A4019"/>
    <w:rsid w:val="009A4BB3"/>
    <w:rsid w:val="009A530D"/>
    <w:rsid w:val="009A6363"/>
    <w:rsid w:val="009B04BD"/>
    <w:rsid w:val="009B0B41"/>
    <w:rsid w:val="009B1E73"/>
    <w:rsid w:val="009B2DCD"/>
    <w:rsid w:val="009B3F29"/>
    <w:rsid w:val="009B44D9"/>
    <w:rsid w:val="009B7A54"/>
    <w:rsid w:val="009C0036"/>
    <w:rsid w:val="009C0E3E"/>
    <w:rsid w:val="009C1580"/>
    <w:rsid w:val="009C2EB5"/>
    <w:rsid w:val="009C383E"/>
    <w:rsid w:val="009C39CF"/>
    <w:rsid w:val="009C47EB"/>
    <w:rsid w:val="009C4A2D"/>
    <w:rsid w:val="009C5274"/>
    <w:rsid w:val="009C6772"/>
    <w:rsid w:val="009C79C1"/>
    <w:rsid w:val="009D07CE"/>
    <w:rsid w:val="009D2762"/>
    <w:rsid w:val="009D75AF"/>
    <w:rsid w:val="009E040B"/>
    <w:rsid w:val="009E108F"/>
    <w:rsid w:val="009E12F9"/>
    <w:rsid w:val="009E181A"/>
    <w:rsid w:val="009E25FD"/>
    <w:rsid w:val="009E459D"/>
    <w:rsid w:val="009E5265"/>
    <w:rsid w:val="009E60CC"/>
    <w:rsid w:val="009E61D7"/>
    <w:rsid w:val="009E719F"/>
    <w:rsid w:val="009E7215"/>
    <w:rsid w:val="009F143B"/>
    <w:rsid w:val="009F1664"/>
    <w:rsid w:val="009F276C"/>
    <w:rsid w:val="009F2F70"/>
    <w:rsid w:val="009F3771"/>
    <w:rsid w:val="009F42A9"/>
    <w:rsid w:val="009F530F"/>
    <w:rsid w:val="00A004E1"/>
    <w:rsid w:val="00A0267C"/>
    <w:rsid w:val="00A02D07"/>
    <w:rsid w:val="00A02F10"/>
    <w:rsid w:val="00A052A2"/>
    <w:rsid w:val="00A05A8F"/>
    <w:rsid w:val="00A069F9"/>
    <w:rsid w:val="00A07233"/>
    <w:rsid w:val="00A0798A"/>
    <w:rsid w:val="00A07AE0"/>
    <w:rsid w:val="00A10063"/>
    <w:rsid w:val="00A116C5"/>
    <w:rsid w:val="00A1185A"/>
    <w:rsid w:val="00A13395"/>
    <w:rsid w:val="00A133A6"/>
    <w:rsid w:val="00A13AED"/>
    <w:rsid w:val="00A13D69"/>
    <w:rsid w:val="00A1670B"/>
    <w:rsid w:val="00A169B5"/>
    <w:rsid w:val="00A16F24"/>
    <w:rsid w:val="00A174FC"/>
    <w:rsid w:val="00A17718"/>
    <w:rsid w:val="00A177AD"/>
    <w:rsid w:val="00A17B4F"/>
    <w:rsid w:val="00A17EE9"/>
    <w:rsid w:val="00A218CC"/>
    <w:rsid w:val="00A21B14"/>
    <w:rsid w:val="00A22030"/>
    <w:rsid w:val="00A2253E"/>
    <w:rsid w:val="00A22644"/>
    <w:rsid w:val="00A22A94"/>
    <w:rsid w:val="00A23EB4"/>
    <w:rsid w:val="00A24A7F"/>
    <w:rsid w:val="00A254CF"/>
    <w:rsid w:val="00A25B0A"/>
    <w:rsid w:val="00A26588"/>
    <w:rsid w:val="00A317F5"/>
    <w:rsid w:val="00A326E4"/>
    <w:rsid w:val="00A32D44"/>
    <w:rsid w:val="00A32E24"/>
    <w:rsid w:val="00A32E33"/>
    <w:rsid w:val="00A33040"/>
    <w:rsid w:val="00A33C12"/>
    <w:rsid w:val="00A340AC"/>
    <w:rsid w:val="00A35638"/>
    <w:rsid w:val="00A37614"/>
    <w:rsid w:val="00A41DE5"/>
    <w:rsid w:val="00A42456"/>
    <w:rsid w:val="00A436CC"/>
    <w:rsid w:val="00A438FE"/>
    <w:rsid w:val="00A4415C"/>
    <w:rsid w:val="00A46EE5"/>
    <w:rsid w:val="00A515A5"/>
    <w:rsid w:val="00A51940"/>
    <w:rsid w:val="00A5420C"/>
    <w:rsid w:val="00A545B6"/>
    <w:rsid w:val="00A559E2"/>
    <w:rsid w:val="00A55C42"/>
    <w:rsid w:val="00A55DAE"/>
    <w:rsid w:val="00A5773C"/>
    <w:rsid w:val="00A57A14"/>
    <w:rsid w:val="00A57FDB"/>
    <w:rsid w:val="00A60B81"/>
    <w:rsid w:val="00A620A8"/>
    <w:rsid w:val="00A630D8"/>
    <w:rsid w:val="00A63510"/>
    <w:rsid w:val="00A63CF0"/>
    <w:rsid w:val="00A64979"/>
    <w:rsid w:val="00A65037"/>
    <w:rsid w:val="00A67213"/>
    <w:rsid w:val="00A672C9"/>
    <w:rsid w:val="00A6780D"/>
    <w:rsid w:val="00A67E3A"/>
    <w:rsid w:val="00A70254"/>
    <w:rsid w:val="00A719CB"/>
    <w:rsid w:val="00A71D22"/>
    <w:rsid w:val="00A73159"/>
    <w:rsid w:val="00A74FAB"/>
    <w:rsid w:val="00A751FA"/>
    <w:rsid w:val="00A75954"/>
    <w:rsid w:val="00A802C0"/>
    <w:rsid w:val="00A80887"/>
    <w:rsid w:val="00A8123C"/>
    <w:rsid w:val="00A813A5"/>
    <w:rsid w:val="00A81744"/>
    <w:rsid w:val="00A8483F"/>
    <w:rsid w:val="00A85BFF"/>
    <w:rsid w:val="00A90378"/>
    <w:rsid w:val="00A911C5"/>
    <w:rsid w:val="00A92DAF"/>
    <w:rsid w:val="00A932DB"/>
    <w:rsid w:val="00A97664"/>
    <w:rsid w:val="00AA1E45"/>
    <w:rsid w:val="00AA4443"/>
    <w:rsid w:val="00AA5269"/>
    <w:rsid w:val="00AA5558"/>
    <w:rsid w:val="00AA5B1A"/>
    <w:rsid w:val="00AA7EA9"/>
    <w:rsid w:val="00AB0801"/>
    <w:rsid w:val="00AB274F"/>
    <w:rsid w:val="00AB4886"/>
    <w:rsid w:val="00AB4E74"/>
    <w:rsid w:val="00AB4F39"/>
    <w:rsid w:val="00AB5204"/>
    <w:rsid w:val="00AB5F26"/>
    <w:rsid w:val="00AB6270"/>
    <w:rsid w:val="00AB71D2"/>
    <w:rsid w:val="00AC0B8E"/>
    <w:rsid w:val="00AC198A"/>
    <w:rsid w:val="00AC1C1B"/>
    <w:rsid w:val="00AC39FB"/>
    <w:rsid w:val="00AC6AA0"/>
    <w:rsid w:val="00AC6F7A"/>
    <w:rsid w:val="00AC6FC4"/>
    <w:rsid w:val="00AC779B"/>
    <w:rsid w:val="00AD0C62"/>
    <w:rsid w:val="00AD1A04"/>
    <w:rsid w:val="00AD4439"/>
    <w:rsid w:val="00AD5379"/>
    <w:rsid w:val="00AD5B78"/>
    <w:rsid w:val="00AD6BBC"/>
    <w:rsid w:val="00AD7E7D"/>
    <w:rsid w:val="00AE1523"/>
    <w:rsid w:val="00AE17D6"/>
    <w:rsid w:val="00AE2971"/>
    <w:rsid w:val="00AE2AF0"/>
    <w:rsid w:val="00AE3657"/>
    <w:rsid w:val="00AE3DE8"/>
    <w:rsid w:val="00AE5977"/>
    <w:rsid w:val="00AE5C2B"/>
    <w:rsid w:val="00AE6164"/>
    <w:rsid w:val="00AE6616"/>
    <w:rsid w:val="00AE6F19"/>
    <w:rsid w:val="00AE7310"/>
    <w:rsid w:val="00AE7655"/>
    <w:rsid w:val="00AF399B"/>
    <w:rsid w:val="00AF3C23"/>
    <w:rsid w:val="00AF5109"/>
    <w:rsid w:val="00AF65D7"/>
    <w:rsid w:val="00AF68BD"/>
    <w:rsid w:val="00B01B10"/>
    <w:rsid w:val="00B04E8A"/>
    <w:rsid w:val="00B103F0"/>
    <w:rsid w:val="00B10B2B"/>
    <w:rsid w:val="00B120FA"/>
    <w:rsid w:val="00B13BD8"/>
    <w:rsid w:val="00B14392"/>
    <w:rsid w:val="00B14E3E"/>
    <w:rsid w:val="00B16832"/>
    <w:rsid w:val="00B17262"/>
    <w:rsid w:val="00B20587"/>
    <w:rsid w:val="00B21E77"/>
    <w:rsid w:val="00B22C38"/>
    <w:rsid w:val="00B22DE7"/>
    <w:rsid w:val="00B245AB"/>
    <w:rsid w:val="00B2536D"/>
    <w:rsid w:val="00B2583C"/>
    <w:rsid w:val="00B25AA0"/>
    <w:rsid w:val="00B25BAB"/>
    <w:rsid w:val="00B260BA"/>
    <w:rsid w:val="00B26136"/>
    <w:rsid w:val="00B26BE5"/>
    <w:rsid w:val="00B26E17"/>
    <w:rsid w:val="00B275CC"/>
    <w:rsid w:val="00B2769E"/>
    <w:rsid w:val="00B301A6"/>
    <w:rsid w:val="00B31AC0"/>
    <w:rsid w:val="00B31CB8"/>
    <w:rsid w:val="00B31F85"/>
    <w:rsid w:val="00B321B6"/>
    <w:rsid w:val="00B328E1"/>
    <w:rsid w:val="00B32F68"/>
    <w:rsid w:val="00B3408E"/>
    <w:rsid w:val="00B34EB2"/>
    <w:rsid w:val="00B35352"/>
    <w:rsid w:val="00B35C25"/>
    <w:rsid w:val="00B35DF2"/>
    <w:rsid w:val="00B35EE6"/>
    <w:rsid w:val="00B36C3A"/>
    <w:rsid w:val="00B36FE3"/>
    <w:rsid w:val="00B37C3B"/>
    <w:rsid w:val="00B37F12"/>
    <w:rsid w:val="00B41308"/>
    <w:rsid w:val="00B417B3"/>
    <w:rsid w:val="00B423E7"/>
    <w:rsid w:val="00B4252D"/>
    <w:rsid w:val="00B42595"/>
    <w:rsid w:val="00B4386D"/>
    <w:rsid w:val="00B43B1C"/>
    <w:rsid w:val="00B446F3"/>
    <w:rsid w:val="00B47951"/>
    <w:rsid w:val="00B5166F"/>
    <w:rsid w:val="00B52810"/>
    <w:rsid w:val="00B5287C"/>
    <w:rsid w:val="00B52F51"/>
    <w:rsid w:val="00B53B58"/>
    <w:rsid w:val="00B53FDA"/>
    <w:rsid w:val="00B54AF8"/>
    <w:rsid w:val="00B552BB"/>
    <w:rsid w:val="00B55C65"/>
    <w:rsid w:val="00B57615"/>
    <w:rsid w:val="00B57715"/>
    <w:rsid w:val="00B62C7E"/>
    <w:rsid w:val="00B6330B"/>
    <w:rsid w:val="00B63F50"/>
    <w:rsid w:val="00B64EB6"/>
    <w:rsid w:val="00B65159"/>
    <w:rsid w:val="00B6582C"/>
    <w:rsid w:val="00B66178"/>
    <w:rsid w:val="00B66B46"/>
    <w:rsid w:val="00B66D0E"/>
    <w:rsid w:val="00B67007"/>
    <w:rsid w:val="00B67442"/>
    <w:rsid w:val="00B701C5"/>
    <w:rsid w:val="00B70E9C"/>
    <w:rsid w:val="00B7127A"/>
    <w:rsid w:val="00B718AC"/>
    <w:rsid w:val="00B71DD3"/>
    <w:rsid w:val="00B73363"/>
    <w:rsid w:val="00B73643"/>
    <w:rsid w:val="00B74376"/>
    <w:rsid w:val="00B7640D"/>
    <w:rsid w:val="00B76482"/>
    <w:rsid w:val="00B76CF1"/>
    <w:rsid w:val="00B7713A"/>
    <w:rsid w:val="00B8030E"/>
    <w:rsid w:val="00B80FF2"/>
    <w:rsid w:val="00B813F6"/>
    <w:rsid w:val="00B82B22"/>
    <w:rsid w:val="00B82ED6"/>
    <w:rsid w:val="00B83205"/>
    <w:rsid w:val="00B83744"/>
    <w:rsid w:val="00B849FF"/>
    <w:rsid w:val="00B86017"/>
    <w:rsid w:val="00B86B36"/>
    <w:rsid w:val="00B9051A"/>
    <w:rsid w:val="00B908E8"/>
    <w:rsid w:val="00B90992"/>
    <w:rsid w:val="00B9156A"/>
    <w:rsid w:val="00B92207"/>
    <w:rsid w:val="00B9270D"/>
    <w:rsid w:val="00B928F9"/>
    <w:rsid w:val="00B937C3"/>
    <w:rsid w:val="00B938DC"/>
    <w:rsid w:val="00B93F55"/>
    <w:rsid w:val="00B95B1F"/>
    <w:rsid w:val="00B968AA"/>
    <w:rsid w:val="00BA23A6"/>
    <w:rsid w:val="00BA23E5"/>
    <w:rsid w:val="00BA2857"/>
    <w:rsid w:val="00BA3A6A"/>
    <w:rsid w:val="00BA3CBD"/>
    <w:rsid w:val="00BA4130"/>
    <w:rsid w:val="00BA42CD"/>
    <w:rsid w:val="00BA6FB5"/>
    <w:rsid w:val="00BB0693"/>
    <w:rsid w:val="00BB0753"/>
    <w:rsid w:val="00BB18F2"/>
    <w:rsid w:val="00BB2955"/>
    <w:rsid w:val="00BB2C25"/>
    <w:rsid w:val="00BB3CAB"/>
    <w:rsid w:val="00BB3DBA"/>
    <w:rsid w:val="00BB43C6"/>
    <w:rsid w:val="00BB5A25"/>
    <w:rsid w:val="00BB7602"/>
    <w:rsid w:val="00BC2661"/>
    <w:rsid w:val="00BC3ACB"/>
    <w:rsid w:val="00BC4133"/>
    <w:rsid w:val="00BC576C"/>
    <w:rsid w:val="00BD2CDD"/>
    <w:rsid w:val="00BD4B00"/>
    <w:rsid w:val="00BD6526"/>
    <w:rsid w:val="00BD7047"/>
    <w:rsid w:val="00BD79DD"/>
    <w:rsid w:val="00BD7F3E"/>
    <w:rsid w:val="00BE1DA4"/>
    <w:rsid w:val="00BE2D74"/>
    <w:rsid w:val="00BE343C"/>
    <w:rsid w:val="00BE42EE"/>
    <w:rsid w:val="00BE4440"/>
    <w:rsid w:val="00BE459E"/>
    <w:rsid w:val="00BE6114"/>
    <w:rsid w:val="00BE721E"/>
    <w:rsid w:val="00BF0152"/>
    <w:rsid w:val="00BF03A6"/>
    <w:rsid w:val="00BF13F1"/>
    <w:rsid w:val="00BF27A8"/>
    <w:rsid w:val="00BF30A9"/>
    <w:rsid w:val="00BF33A3"/>
    <w:rsid w:val="00BF3B89"/>
    <w:rsid w:val="00BF3CF9"/>
    <w:rsid w:val="00BF3FCB"/>
    <w:rsid w:val="00BF6622"/>
    <w:rsid w:val="00BF7806"/>
    <w:rsid w:val="00BF7F23"/>
    <w:rsid w:val="00C0056A"/>
    <w:rsid w:val="00C00A71"/>
    <w:rsid w:val="00C0164B"/>
    <w:rsid w:val="00C038A6"/>
    <w:rsid w:val="00C06DEB"/>
    <w:rsid w:val="00C07E2C"/>
    <w:rsid w:val="00C102E5"/>
    <w:rsid w:val="00C107C5"/>
    <w:rsid w:val="00C110AA"/>
    <w:rsid w:val="00C116E6"/>
    <w:rsid w:val="00C11B62"/>
    <w:rsid w:val="00C13432"/>
    <w:rsid w:val="00C1372B"/>
    <w:rsid w:val="00C13B01"/>
    <w:rsid w:val="00C14773"/>
    <w:rsid w:val="00C15253"/>
    <w:rsid w:val="00C163C2"/>
    <w:rsid w:val="00C170B7"/>
    <w:rsid w:val="00C17500"/>
    <w:rsid w:val="00C209FA"/>
    <w:rsid w:val="00C21933"/>
    <w:rsid w:val="00C2244B"/>
    <w:rsid w:val="00C22760"/>
    <w:rsid w:val="00C22796"/>
    <w:rsid w:val="00C22CFD"/>
    <w:rsid w:val="00C233A4"/>
    <w:rsid w:val="00C26371"/>
    <w:rsid w:val="00C26AE9"/>
    <w:rsid w:val="00C26D1F"/>
    <w:rsid w:val="00C302D0"/>
    <w:rsid w:val="00C30F62"/>
    <w:rsid w:val="00C319A5"/>
    <w:rsid w:val="00C336FD"/>
    <w:rsid w:val="00C33F4C"/>
    <w:rsid w:val="00C34AAA"/>
    <w:rsid w:val="00C36A49"/>
    <w:rsid w:val="00C42A82"/>
    <w:rsid w:val="00C42B1B"/>
    <w:rsid w:val="00C439B6"/>
    <w:rsid w:val="00C4528A"/>
    <w:rsid w:val="00C45595"/>
    <w:rsid w:val="00C46772"/>
    <w:rsid w:val="00C47053"/>
    <w:rsid w:val="00C47119"/>
    <w:rsid w:val="00C51D91"/>
    <w:rsid w:val="00C5319A"/>
    <w:rsid w:val="00C532C9"/>
    <w:rsid w:val="00C53413"/>
    <w:rsid w:val="00C539E6"/>
    <w:rsid w:val="00C57D5C"/>
    <w:rsid w:val="00C57DB4"/>
    <w:rsid w:val="00C60B35"/>
    <w:rsid w:val="00C60ECA"/>
    <w:rsid w:val="00C62165"/>
    <w:rsid w:val="00C6304B"/>
    <w:rsid w:val="00C64BAD"/>
    <w:rsid w:val="00C65365"/>
    <w:rsid w:val="00C654D4"/>
    <w:rsid w:val="00C654F7"/>
    <w:rsid w:val="00C65D18"/>
    <w:rsid w:val="00C72294"/>
    <w:rsid w:val="00C722C8"/>
    <w:rsid w:val="00C73A3A"/>
    <w:rsid w:val="00C74005"/>
    <w:rsid w:val="00C74501"/>
    <w:rsid w:val="00C74939"/>
    <w:rsid w:val="00C7629C"/>
    <w:rsid w:val="00C777BF"/>
    <w:rsid w:val="00C8169D"/>
    <w:rsid w:val="00C82D03"/>
    <w:rsid w:val="00C83570"/>
    <w:rsid w:val="00C845C2"/>
    <w:rsid w:val="00C8483D"/>
    <w:rsid w:val="00C86775"/>
    <w:rsid w:val="00C86C62"/>
    <w:rsid w:val="00C877E8"/>
    <w:rsid w:val="00C90398"/>
    <w:rsid w:val="00C9051A"/>
    <w:rsid w:val="00C9055C"/>
    <w:rsid w:val="00C91CD2"/>
    <w:rsid w:val="00C92D92"/>
    <w:rsid w:val="00C93017"/>
    <w:rsid w:val="00C9394D"/>
    <w:rsid w:val="00C95A0B"/>
    <w:rsid w:val="00C97226"/>
    <w:rsid w:val="00C97BF9"/>
    <w:rsid w:val="00C97D58"/>
    <w:rsid w:val="00CA03BA"/>
    <w:rsid w:val="00CA0DCF"/>
    <w:rsid w:val="00CA1014"/>
    <w:rsid w:val="00CA1138"/>
    <w:rsid w:val="00CA1878"/>
    <w:rsid w:val="00CA2A3F"/>
    <w:rsid w:val="00CA365B"/>
    <w:rsid w:val="00CA46F9"/>
    <w:rsid w:val="00CA572A"/>
    <w:rsid w:val="00CA5F9D"/>
    <w:rsid w:val="00CA6819"/>
    <w:rsid w:val="00CA6FCC"/>
    <w:rsid w:val="00CA7540"/>
    <w:rsid w:val="00CA7B59"/>
    <w:rsid w:val="00CB0854"/>
    <w:rsid w:val="00CB1FD2"/>
    <w:rsid w:val="00CB2283"/>
    <w:rsid w:val="00CB23DB"/>
    <w:rsid w:val="00CB295A"/>
    <w:rsid w:val="00CB341F"/>
    <w:rsid w:val="00CB39AB"/>
    <w:rsid w:val="00CB52BA"/>
    <w:rsid w:val="00CB5813"/>
    <w:rsid w:val="00CB64CE"/>
    <w:rsid w:val="00CB65FA"/>
    <w:rsid w:val="00CC0A9A"/>
    <w:rsid w:val="00CC2FC4"/>
    <w:rsid w:val="00CC38D7"/>
    <w:rsid w:val="00CC4110"/>
    <w:rsid w:val="00CC47DA"/>
    <w:rsid w:val="00CC4E32"/>
    <w:rsid w:val="00CC592F"/>
    <w:rsid w:val="00CC5C60"/>
    <w:rsid w:val="00CC7768"/>
    <w:rsid w:val="00CC7A4E"/>
    <w:rsid w:val="00CD03F6"/>
    <w:rsid w:val="00CD04E6"/>
    <w:rsid w:val="00CD0808"/>
    <w:rsid w:val="00CD0B4A"/>
    <w:rsid w:val="00CD0BAF"/>
    <w:rsid w:val="00CD10EC"/>
    <w:rsid w:val="00CD3A22"/>
    <w:rsid w:val="00CD4DF5"/>
    <w:rsid w:val="00CD4ED4"/>
    <w:rsid w:val="00CE0001"/>
    <w:rsid w:val="00CE036D"/>
    <w:rsid w:val="00CE1E37"/>
    <w:rsid w:val="00CE22B8"/>
    <w:rsid w:val="00CE2A88"/>
    <w:rsid w:val="00CE2F45"/>
    <w:rsid w:val="00CE3068"/>
    <w:rsid w:val="00CE3199"/>
    <w:rsid w:val="00CE3A72"/>
    <w:rsid w:val="00CE4C3F"/>
    <w:rsid w:val="00CE54C2"/>
    <w:rsid w:val="00CE6435"/>
    <w:rsid w:val="00CE7B0F"/>
    <w:rsid w:val="00CF21D5"/>
    <w:rsid w:val="00CF2417"/>
    <w:rsid w:val="00CF2829"/>
    <w:rsid w:val="00CF3162"/>
    <w:rsid w:val="00CF3D91"/>
    <w:rsid w:val="00CF48BB"/>
    <w:rsid w:val="00D006A5"/>
    <w:rsid w:val="00D00AF5"/>
    <w:rsid w:val="00D0129A"/>
    <w:rsid w:val="00D021FC"/>
    <w:rsid w:val="00D05012"/>
    <w:rsid w:val="00D05A5E"/>
    <w:rsid w:val="00D0618F"/>
    <w:rsid w:val="00D0629A"/>
    <w:rsid w:val="00D07080"/>
    <w:rsid w:val="00D07106"/>
    <w:rsid w:val="00D07F84"/>
    <w:rsid w:val="00D1087C"/>
    <w:rsid w:val="00D1407B"/>
    <w:rsid w:val="00D17568"/>
    <w:rsid w:val="00D17E5D"/>
    <w:rsid w:val="00D20E60"/>
    <w:rsid w:val="00D2100A"/>
    <w:rsid w:val="00D217D0"/>
    <w:rsid w:val="00D23157"/>
    <w:rsid w:val="00D23991"/>
    <w:rsid w:val="00D23ADD"/>
    <w:rsid w:val="00D24774"/>
    <w:rsid w:val="00D25267"/>
    <w:rsid w:val="00D25334"/>
    <w:rsid w:val="00D26601"/>
    <w:rsid w:val="00D27B74"/>
    <w:rsid w:val="00D31598"/>
    <w:rsid w:val="00D32C72"/>
    <w:rsid w:val="00D33264"/>
    <w:rsid w:val="00D33B81"/>
    <w:rsid w:val="00D360E8"/>
    <w:rsid w:val="00D365D9"/>
    <w:rsid w:val="00D3742E"/>
    <w:rsid w:val="00D37752"/>
    <w:rsid w:val="00D40ED6"/>
    <w:rsid w:val="00D42716"/>
    <w:rsid w:val="00D44E89"/>
    <w:rsid w:val="00D45970"/>
    <w:rsid w:val="00D45B4E"/>
    <w:rsid w:val="00D45E1D"/>
    <w:rsid w:val="00D46EA2"/>
    <w:rsid w:val="00D4716D"/>
    <w:rsid w:val="00D5063D"/>
    <w:rsid w:val="00D52909"/>
    <w:rsid w:val="00D5292D"/>
    <w:rsid w:val="00D529F8"/>
    <w:rsid w:val="00D54745"/>
    <w:rsid w:val="00D555A5"/>
    <w:rsid w:val="00D5567B"/>
    <w:rsid w:val="00D55B3E"/>
    <w:rsid w:val="00D5645B"/>
    <w:rsid w:val="00D61D9A"/>
    <w:rsid w:val="00D66C13"/>
    <w:rsid w:val="00D66E21"/>
    <w:rsid w:val="00D679B9"/>
    <w:rsid w:val="00D679E6"/>
    <w:rsid w:val="00D67C8B"/>
    <w:rsid w:val="00D724E9"/>
    <w:rsid w:val="00D7361B"/>
    <w:rsid w:val="00D73C7E"/>
    <w:rsid w:val="00D7454B"/>
    <w:rsid w:val="00D7485D"/>
    <w:rsid w:val="00D74CC2"/>
    <w:rsid w:val="00D753F6"/>
    <w:rsid w:val="00D7540F"/>
    <w:rsid w:val="00D76F78"/>
    <w:rsid w:val="00D77F56"/>
    <w:rsid w:val="00D804A6"/>
    <w:rsid w:val="00D816E0"/>
    <w:rsid w:val="00D81A5D"/>
    <w:rsid w:val="00D83E03"/>
    <w:rsid w:val="00D8437D"/>
    <w:rsid w:val="00D853EA"/>
    <w:rsid w:val="00D85F31"/>
    <w:rsid w:val="00D8631C"/>
    <w:rsid w:val="00D86C36"/>
    <w:rsid w:val="00D86F2D"/>
    <w:rsid w:val="00D878E1"/>
    <w:rsid w:val="00D92B15"/>
    <w:rsid w:val="00D92BAF"/>
    <w:rsid w:val="00D932F2"/>
    <w:rsid w:val="00D94997"/>
    <w:rsid w:val="00D96127"/>
    <w:rsid w:val="00D969FC"/>
    <w:rsid w:val="00D975D9"/>
    <w:rsid w:val="00DA217B"/>
    <w:rsid w:val="00DA30DA"/>
    <w:rsid w:val="00DA3414"/>
    <w:rsid w:val="00DA4484"/>
    <w:rsid w:val="00DA4861"/>
    <w:rsid w:val="00DA600B"/>
    <w:rsid w:val="00DA6158"/>
    <w:rsid w:val="00DA6A64"/>
    <w:rsid w:val="00DB1505"/>
    <w:rsid w:val="00DB2D21"/>
    <w:rsid w:val="00DB34C7"/>
    <w:rsid w:val="00DB708C"/>
    <w:rsid w:val="00DC0D67"/>
    <w:rsid w:val="00DC1868"/>
    <w:rsid w:val="00DC1C60"/>
    <w:rsid w:val="00DC2CF7"/>
    <w:rsid w:val="00DC3032"/>
    <w:rsid w:val="00DC387B"/>
    <w:rsid w:val="00DC5456"/>
    <w:rsid w:val="00DC62C5"/>
    <w:rsid w:val="00DC6884"/>
    <w:rsid w:val="00DC71B4"/>
    <w:rsid w:val="00DD02EC"/>
    <w:rsid w:val="00DD0AD0"/>
    <w:rsid w:val="00DD13F8"/>
    <w:rsid w:val="00DD2841"/>
    <w:rsid w:val="00DD2F31"/>
    <w:rsid w:val="00DD3208"/>
    <w:rsid w:val="00DD3248"/>
    <w:rsid w:val="00DD38BA"/>
    <w:rsid w:val="00DD4A02"/>
    <w:rsid w:val="00DD5363"/>
    <w:rsid w:val="00DD5B0C"/>
    <w:rsid w:val="00DD6776"/>
    <w:rsid w:val="00DD6998"/>
    <w:rsid w:val="00DE0372"/>
    <w:rsid w:val="00DE152E"/>
    <w:rsid w:val="00DE1B47"/>
    <w:rsid w:val="00DE1CA0"/>
    <w:rsid w:val="00DE1D38"/>
    <w:rsid w:val="00DE2652"/>
    <w:rsid w:val="00DE2C65"/>
    <w:rsid w:val="00DE3A42"/>
    <w:rsid w:val="00DE4E0E"/>
    <w:rsid w:val="00DE4E4D"/>
    <w:rsid w:val="00DE53A7"/>
    <w:rsid w:val="00DE56E4"/>
    <w:rsid w:val="00DE626E"/>
    <w:rsid w:val="00DE62F8"/>
    <w:rsid w:val="00DF1AF8"/>
    <w:rsid w:val="00DF1F97"/>
    <w:rsid w:val="00DF208C"/>
    <w:rsid w:val="00DF237D"/>
    <w:rsid w:val="00DF260A"/>
    <w:rsid w:val="00DF2D03"/>
    <w:rsid w:val="00DF3A76"/>
    <w:rsid w:val="00DF59AD"/>
    <w:rsid w:val="00DF62FA"/>
    <w:rsid w:val="00DF6B30"/>
    <w:rsid w:val="00DF76C7"/>
    <w:rsid w:val="00E00769"/>
    <w:rsid w:val="00E00B14"/>
    <w:rsid w:val="00E012D5"/>
    <w:rsid w:val="00E01383"/>
    <w:rsid w:val="00E016D7"/>
    <w:rsid w:val="00E01E85"/>
    <w:rsid w:val="00E020F6"/>
    <w:rsid w:val="00E03A36"/>
    <w:rsid w:val="00E04178"/>
    <w:rsid w:val="00E045E8"/>
    <w:rsid w:val="00E046E7"/>
    <w:rsid w:val="00E0586F"/>
    <w:rsid w:val="00E05C4C"/>
    <w:rsid w:val="00E06CA9"/>
    <w:rsid w:val="00E06F34"/>
    <w:rsid w:val="00E07FCD"/>
    <w:rsid w:val="00E10EC6"/>
    <w:rsid w:val="00E12F79"/>
    <w:rsid w:val="00E15484"/>
    <w:rsid w:val="00E1552E"/>
    <w:rsid w:val="00E1579A"/>
    <w:rsid w:val="00E15EEB"/>
    <w:rsid w:val="00E167C1"/>
    <w:rsid w:val="00E20F22"/>
    <w:rsid w:val="00E216DE"/>
    <w:rsid w:val="00E22142"/>
    <w:rsid w:val="00E227A3"/>
    <w:rsid w:val="00E22A22"/>
    <w:rsid w:val="00E23180"/>
    <w:rsid w:val="00E241AF"/>
    <w:rsid w:val="00E25CEE"/>
    <w:rsid w:val="00E2632E"/>
    <w:rsid w:val="00E26579"/>
    <w:rsid w:val="00E30739"/>
    <w:rsid w:val="00E32A02"/>
    <w:rsid w:val="00E32A85"/>
    <w:rsid w:val="00E32EBE"/>
    <w:rsid w:val="00E33151"/>
    <w:rsid w:val="00E3491B"/>
    <w:rsid w:val="00E36DBF"/>
    <w:rsid w:val="00E37549"/>
    <w:rsid w:val="00E40AEB"/>
    <w:rsid w:val="00E41C7E"/>
    <w:rsid w:val="00E42F35"/>
    <w:rsid w:val="00E4480C"/>
    <w:rsid w:val="00E4542F"/>
    <w:rsid w:val="00E45622"/>
    <w:rsid w:val="00E51BC3"/>
    <w:rsid w:val="00E55D96"/>
    <w:rsid w:val="00E56672"/>
    <w:rsid w:val="00E568F2"/>
    <w:rsid w:val="00E56C20"/>
    <w:rsid w:val="00E608D4"/>
    <w:rsid w:val="00E616DC"/>
    <w:rsid w:val="00E61ECC"/>
    <w:rsid w:val="00E6218F"/>
    <w:rsid w:val="00E63B43"/>
    <w:rsid w:val="00E644DA"/>
    <w:rsid w:val="00E64F4B"/>
    <w:rsid w:val="00E6792B"/>
    <w:rsid w:val="00E71425"/>
    <w:rsid w:val="00E71D5B"/>
    <w:rsid w:val="00E71F88"/>
    <w:rsid w:val="00E729DC"/>
    <w:rsid w:val="00E73BFD"/>
    <w:rsid w:val="00E74C0D"/>
    <w:rsid w:val="00E75FA0"/>
    <w:rsid w:val="00E76A09"/>
    <w:rsid w:val="00E772E6"/>
    <w:rsid w:val="00E802EC"/>
    <w:rsid w:val="00E81490"/>
    <w:rsid w:val="00E816BF"/>
    <w:rsid w:val="00E82551"/>
    <w:rsid w:val="00E847CA"/>
    <w:rsid w:val="00E84A4E"/>
    <w:rsid w:val="00E8533E"/>
    <w:rsid w:val="00E87E93"/>
    <w:rsid w:val="00E87F9C"/>
    <w:rsid w:val="00E90FDD"/>
    <w:rsid w:val="00E911A8"/>
    <w:rsid w:val="00E91295"/>
    <w:rsid w:val="00E91AD5"/>
    <w:rsid w:val="00E93252"/>
    <w:rsid w:val="00E95320"/>
    <w:rsid w:val="00E9538C"/>
    <w:rsid w:val="00E96297"/>
    <w:rsid w:val="00E97E24"/>
    <w:rsid w:val="00EA08D7"/>
    <w:rsid w:val="00EA2217"/>
    <w:rsid w:val="00EA2767"/>
    <w:rsid w:val="00EA4DFA"/>
    <w:rsid w:val="00EA56B7"/>
    <w:rsid w:val="00EA5D39"/>
    <w:rsid w:val="00EA768F"/>
    <w:rsid w:val="00EB1143"/>
    <w:rsid w:val="00EB4180"/>
    <w:rsid w:val="00EB52B6"/>
    <w:rsid w:val="00EB58D1"/>
    <w:rsid w:val="00EB721A"/>
    <w:rsid w:val="00EC1B66"/>
    <w:rsid w:val="00EC22D8"/>
    <w:rsid w:val="00EC36D2"/>
    <w:rsid w:val="00EC563C"/>
    <w:rsid w:val="00EC5930"/>
    <w:rsid w:val="00EC6508"/>
    <w:rsid w:val="00EC689A"/>
    <w:rsid w:val="00EC77F3"/>
    <w:rsid w:val="00ED0855"/>
    <w:rsid w:val="00ED10BC"/>
    <w:rsid w:val="00ED1115"/>
    <w:rsid w:val="00ED1166"/>
    <w:rsid w:val="00ED1EA3"/>
    <w:rsid w:val="00ED2B34"/>
    <w:rsid w:val="00ED45F2"/>
    <w:rsid w:val="00ED5F16"/>
    <w:rsid w:val="00ED64F6"/>
    <w:rsid w:val="00ED6691"/>
    <w:rsid w:val="00ED687F"/>
    <w:rsid w:val="00EE2979"/>
    <w:rsid w:val="00EE2A56"/>
    <w:rsid w:val="00EE2F55"/>
    <w:rsid w:val="00EE37A5"/>
    <w:rsid w:val="00EE4908"/>
    <w:rsid w:val="00EE533C"/>
    <w:rsid w:val="00EE55FB"/>
    <w:rsid w:val="00EE61AB"/>
    <w:rsid w:val="00EF1390"/>
    <w:rsid w:val="00EF205B"/>
    <w:rsid w:val="00EF2926"/>
    <w:rsid w:val="00EF3F43"/>
    <w:rsid w:val="00EF5CEE"/>
    <w:rsid w:val="00F004BE"/>
    <w:rsid w:val="00F00797"/>
    <w:rsid w:val="00F01B9A"/>
    <w:rsid w:val="00F020C5"/>
    <w:rsid w:val="00F02D71"/>
    <w:rsid w:val="00F02DA0"/>
    <w:rsid w:val="00F037A1"/>
    <w:rsid w:val="00F03D0B"/>
    <w:rsid w:val="00F04417"/>
    <w:rsid w:val="00F053AC"/>
    <w:rsid w:val="00F062E8"/>
    <w:rsid w:val="00F07DBB"/>
    <w:rsid w:val="00F110C3"/>
    <w:rsid w:val="00F12C7A"/>
    <w:rsid w:val="00F12F80"/>
    <w:rsid w:val="00F12FCD"/>
    <w:rsid w:val="00F1323F"/>
    <w:rsid w:val="00F14FC9"/>
    <w:rsid w:val="00F1586B"/>
    <w:rsid w:val="00F161E6"/>
    <w:rsid w:val="00F167F2"/>
    <w:rsid w:val="00F17771"/>
    <w:rsid w:val="00F178C1"/>
    <w:rsid w:val="00F20956"/>
    <w:rsid w:val="00F20D5E"/>
    <w:rsid w:val="00F23819"/>
    <w:rsid w:val="00F23A7D"/>
    <w:rsid w:val="00F240C3"/>
    <w:rsid w:val="00F24B7E"/>
    <w:rsid w:val="00F259E4"/>
    <w:rsid w:val="00F260D1"/>
    <w:rsid w:val="00F300EA"/>
    <w:rsid w:val="00F31145"/>
    <w:rsid w:val="00F31508"/>
    <w:rsid w:val="00F31A21"/>
    <w:rsid w:val="00F32044"/>
    <w:rsid w:val="00F320BC"/>
    <w:rsid w:val="00F3303E"/>
    <w:rsid w:val="00F33253"/>
    <w:rsid w:val="00F34705"/>
    <w:rsid w:val="00F36186"/>
    <w:rsid w:val="00F367E9"/>
    <w:rsid w:val="00F3734B"/>
    <w:rsid w:val="00F41B26"/>
    <w:rsid w:val="00F42EEA"/>
    <w:rsid w:val="00F451DA"/>
    <w:rsid w:val="00F46660"/>
    <w:rsid w:val="00F46855"/>
    <w:rsid w:val="00F470FE"/>
    <w:rsid w:val="00F50636"/>
    <w:rsid w:val="00F52024"/>
    <w:rsid w:val="00F525D9"/>
    <w:rsid w:val="00F545FC"/>
    <w:rsid w:val="00F54AB2"/>
    <w:rsid w:val="00F55753"/>
    <w:rsid w:val="00F55A0C"/>
    <w:rsid w:val="00F562E1"/>
    <w:rsid w:val="00F56DF8"/>
    <w:rsid w:val="00F57B89"/>
    <w:rsid w:val="00F57D77"/>
    <w:rsid w:val="00F602A2"/>
    <w:rsid w:val="00F60482"/>
    <w:rsid w:val="00F624D8"/>
    <w:rsid w:val="00F64E04"/>
    <w:rsid w:val="00F67483"/>
    <w:rsid w:val="00F7258A"/>
    <w:rsid w:val="00F72D18"/>
    <w:rsid w:val="00F73CAC"/>
    <w:rsid w:val="00F73F6F"/>
    <w:rsid w:val="00F7451A"/>
    <w:rsid w:val="00F74655"/>
    <w:rsid w:val="00F75623"/>
    <w:rsid w:val="00F75891"/>
    <w:rsid w:val="00F76C25"/>
    <w:rsid w:val="00F810CE"/>
    <w:rsid w:val="00F82653"/>
    <w:rsid w:val="00F82A92"/>
    <w:rsid w:val="00F82B31"/>
    <w:rsid w:val="00F84762"/>
    <w:rsid w:val="00F85996"/>
    <w:rsid w:val="00F859EF"/>
    <w:rsid w:val="00F85C3B"/>
    <w:rsid w:val="00F8692A"/>
    <w:rsid w:val="00F86B8E"/>
    <w:rsid w:val="00F86BE7"/>
    <w:rsid w:val="00F87BF8"/>
    <w:rsid w:val="00F87FF1"/>
    <w:rsid w:val="00F909D7"/>
    <w:rsid w:val="00F90AC9"/>
    <w:rsid w:val="00F91684"/>
    <w:rsid w:val="00F92B92"/>
    <w:rsid w:val="00F941DB"/>
    <w:rsid w:val="00F94A69"/>
    <w:rsid w:val="00F959A1"/>
    <w:rsid w:val="00F95A88"/>
    <w:rsid w:val="00F95EA9"/>
    <w:rsid w:val="00F96A51"/>
    <w:rsid w:val="00F97BC7"/>
    <w:rsid w:val="00F97BD9"/>
    <w:rsid w:val="00FA07C2"/>
    <w:rsid w:val="00FA0C7A"/>
    <w:rsid w:val="00FA13C6"/>
    <w:rsid w:val="00FA2A37"/>
    <w:rsid w:val="00FA34F4"/>
    <w:rsid w:val="00FA4460"/>
    <w:rsid w:val="00FA4EB4"/>
    <w:rsid w:val="00FA5E38"/>
    <w:rsid w:val="00FA6239"/>
    <w:rsid w:val="00FA6763"/>
    <w:rsid w:val="00FA6A26"/>
    <w:rsid w:val="00FA7DEC"/>
    <w:rsid w:val="00FB0532"/>
    <w:rsid w:val="00FB1BFB"/>
    <w:rsid w:val="00FB3749"/>
    <w:rsid w:val="00FB3D8D"/>
    <w:rsid w:val="00FB41A1"/>
    <w:rsid w:val="00FB5C3D"/>
    <w:rsid w:val="00FB606A"/>
    <w:rsid w:val="00FB682E"/>
    <w:rsid w:val="00FC05DB"/>
    <w:rsid w:val="00FC20E0"/>
    <w:rsid w:val="00FC227D"/>
    <w:rsid w:val="00FC2BE0"/>
    <w:rsid w:val="00FC3B65"/>
    <w:rsid w:val="00FC3FC5"/>
    <w:rsid w:val="00FC43D6"/>
    <w:rsid w:val="00FC4755"/>
    <w:rsid w:val="00FC50CD"/>
    <w:rsid w:val="00FC5F64"/>
    <w:rsid w:val="00FC692A"/>
    <w:rsid w:val="00FC77CD"/>
    <w:rsid w:val="00FD0875"/>
    <w:rsid w:val="00FD23FC"/>
    <w:rsid w:val="00FD28C4"/>
    <w:rsid w:val="00FD4524"/>
    <w:rsid w:val="00FD5B41"/>
    <w:rsid w:val="00FD5F29"/>
    <w:rsid w:val="00FD6025"/>
    <w:rsid w:val="00FD6A38"/>
    <w:rsid w:val="00FD70E7"/>
    <w:rsid w:val="00FD79C4"/>
    <w:rsid w:val="00FE0364"/>
    <w:rsid w:val="00FE0B76"/>
    <w:rsid w:val="00FE15C7"/>
    <w:rsid w:val="00FE2596"/>
    <w:rsid w:val="00FE363F"/>
    <w:rsid w:val="00FE4CD7"/>
    <w:rsid w:val="00FE4E51"/>
    <w:rsid w:val="00FE543B"/>
    <w:rsid w:val="00FE5ACE"/>
    <w:rsid w:val="00FF15C6"/>
    <w:rsid w:val="00FF1E4F"/>
    <w:rsid w:val="00FF2264"/>
    <w:rsid w:val="00FF2980"/>
    <w:rsid w:val="00FF5306"/>
    <w:rsid w:val="00FF62C8"/>
    <w:rsid w:val="00FF6EF0"/>
    <w:rsid w:val="00FF7537"/>
    <w:rsid w:val="01055CBC"/>
    <w:rsid w:val="01125A24"/>
    <w:rsid w:val="012B5E59"/>
    <w:rsid w:val="0135485B"/>
    <w:rsid w:val="013B4A49"/>
    <w:rsid w:val="015103DE"/>
    <w:rsid w:val="0191121D"/>
    <w:rsid w:val="020C62F6"/>
    <w:rsid w:val="02280549"/>
    <w:rsid w:val="023D7F23"/>
    <w:rsid w:val="025F742B"/>
    <w:rsid w:val="02B20C36"/>
    <w:rsid w:val="02CD7A33"/>
    <w:rsid w:val="02D8793F"/>
    <w:rsid w:val="02E66B31"/>
    <w:rsid w:val="03117643"/>
    <w:rsid w:val="031B04D4"/>
    <w:rsid w:val="033C3733"/>
    <w:rsid w:val="03437ABE"/>
    <w:rsid w:val="035A264D"/>
    <w:rsid w:val="03672C32"/>
    <w:rsid w:val="03757D95"/>
    <w:rsid w:val="037B34AD"/>
    <w:rsid w:val="03DA2BEC"/>
    <w:rsid w:val="03FD22A2"/>
    <w:rsid w:val="04216DD6"/>
    <w:rsid w:val="043471DC"/>
    <w:rsid w:val="04702B56"/>
    <w:rsid w:val="048330FC"/>
    <w:rsid w:val="049A5E25"/>
    <w:rsid w:val="04EE7F1F"/>
    <w:rsid w:val="051E58ED"/>
    <w:rsid w:val="052A1781"/>
    <w:rsid w:val="05396B39"/>
    <w:rsid w:val="05623E6F"/>
    <w:rsid w:val="0567526C"/>
    <w:rsid w:val="05744176"/>
    <w:rsid w:val="0588449F"/>
    <w:rsid w:val="05B4066A"/>
    <w:rsid w:val="05CB5D8B"/>
    <w:rsid w:val="05F504EE"/>
    <w:rsid w:val="0613185B"/>
    <w:rsid w:val="062D19A3"/>
    <w:rsid w:val="06390580"/>
    <w:rsid w:val="06615988"/>
    <w:rsid w:val="06EF493A"/>
    <w:rsid w:val="06EF7EEF"/>
    <w:rsid w:val="07105934"/>
    <w:rsid w:val="073374CA"/>
    <w:rsid w:val="074C7C5A"/>
    <w:rsid w:val="077B6CBE"/>
    <w:rsid w:val="07C41877"/>
    <w:rsid w:val="08431340"/>
    <w:rsid w:val="084321C6"/>
    <w:rsid w:val="08852948"/>
    <w:rsid w:val="08B547BF"/>
    <w:rsid w:val="08BF5C5F"/>
    <w:rsid w:val="08C96CD9"/>
    <w:rsid w:val="08E4668C"/>
    <w:rsid w:val="08E74F43"/>
    <w:rsid w:val="08F25E02"/>
    <w:rsid w:val="09A81783"/>
    <w:rsid w:val="09B7482E"/>
    <w:rsid w:val="09D86A10"/>
    <w:rsid w:val="0A274AB6"/>
    <w:rsid w:val="0A984461"/>
    <w:rsid w:val="0AB529B0"/>
    <w:rsid w:val="0AD548F8"/>
    <w:rsid w:val="0B05675A"/>
    <w:rsid w:val="0B46153E"/>
    <w:rsid w:val="0B5C4DE7"/>
    <w:rsid w:val="0B702D7E"/>
    <w:rsid w:val="0BD07A36"/>
    <w:rsid w:val="0BDF7E06"/>
    <w:rsid w:val="0BEC4E21"/>
    <w:rsid w:val="0BEF6709"/>
    <w:rsid w:val="0C1313E4"/>
    <w:rsid w:val="0C151F06"/>
    <w:rsid w:val="0C1C6936"/>
    <w:rsid w:val="0C647C0F"/>
    <w:rsid w:val="0C746EAB"/>
    <w:rsid w:val="0C9666A8"/>
    <w:rsid w:val="0CAE5E20"/>
    <w:rsid w:val="0CB307FC"/>
    <w:rsid w:val="0D0A4EDE"/>
    <w:rsid w:val="0D104045"/>
    <w:rsid w:val="0D1D2B78"/>
    <w:rsid w:val="0D2B7F62"/>
    <w:rsid w:val="0D600F38"/>
    <w:rsid w:val="0D790FAA"/>
    <w:rsid w:val="0D9F4D10"/>
    <w:rsid w:val="0DD3727E"/>
    <w:rsid w:val="0E062E40"/>
    <w:rsid w:val="0E0D0641"/>
    <w:rsid w:val="0E6873DA"/>
    <w:rsid w:val="0E78487F"/>
    <w:rsid w:val="0E8716EC"/>
    <w:rsid w:val="0E982177"/>
    <w:rsid w:val="0EA66070"/>
    <w:rsid w:val="0EF1021F"/>
    <w:rsid w:val="0F136F00"/>
    <w:rsid w:val="0F1A3DA9"/>
    <w:rsid w:val="0F6F2899"/>
    <w:rsid w:val="0F8C5DD4"/>
    <w:rsid w:val="0FB16501"/>
    <w:rsid w:val="0FD4367D"/>
    <w:rsid w:val="0FE00C4A"/>
    <w:rsid w:val="0FFC63EF"/>
    <w:rsid w:val="106F66CB"/>
    <w:rsid w:val="108E7FE9"/>
    <w:rsid w:val="109E5626"/>
    <w:rsid w:val="10A3136B"/>
    <w:rsid w:val="10A83678"/>
    <w:rsid w:val="10B264E6"/>
    <w:rsid w:val="1106502B"/>
    <w:rsid w:val="11667685"/>
    <w:rsid w:val="118F4D2D"/>
    <w:rsid w:val="11AA6977"/>
    <w:rsid w:val="11B6010F"/>
    <w:rsid w:val="11EA1A5C"/>
    <w:rsid w:val="11F41527"/>
    <w:rsid w:val="11F54681"/>
    <w:rsid w:val="11F904C1"/>
    <w:rsid w:val="12574C59"/>
    <w:rsid w:val="1257764D"/>
    <w:rsid w:val="12825026"/>
    <w:rsid w:val="12CC45FA"/>
    <w:rsid w:val="132B0FAA"/>
    <w:rsid w:val="13520D72"/>
    <w:rsid w:val="136E0BA9"/>
    <w:rsid w:val="1407765A"/>
    <w:rsid w:val="140C34CC"/>
    <w:rsid w:val="14187E5E"/>
    <w:rsid w:val="143218E2"/>
    <w:rsid w:val="143D1BCF"/>
    <w:rsid w:val="146357BE"/>
    <w:rsid w:val="14917DE8"/>
    <w:rsid w:val="149E00C9"/>
    <w:rsid w:val="14B20421"/>
    <w:rsid w:val="152615A5"/>
    <w:rsid w:val="153F0804"/>
    <w:rsid w:val="15501332"/>
    <w:rsid w:val="15772D8F"/>
    <w:rsid w:val="1597620B"/>
    <w:rsid w:val="15A66A9D"/>
    <w:rsid w:val="15C36C46"/>
    <w:rsid w:val="161350A1"/>
    <w:rsid w:val="161A3A7F"/>
    <w:rsid w:val="16896DC9"/>
    <w:rsid w:val="1713106D"/>
    <w:rsid w:val="173D3665"/>
    <w:rsid w:val="17474F4F"/>
    <w:rsid w:val="175C191C"/>
    <w:rsid w:val="177F4C10"/>
    <w:rsid w:val="17810625"/>
    <w:rsid w:val="17830EE6"/>
    <w:rsid w:val="179F2F31"/>
    <w:rsid w:val="17AE12B2"/>
    <w:rsid w:val="17B4043C"/>
    <w:rsid w:val="17B53355"/>
    <w:rsid w:val="17BB79E7"/>
    <w:rsid w:val="17D94020"/>
    <w:rsid w:val="17DA74A5"/>
    <w:rsid w:val="17E6029A"/>
    <w:rsid w:val="17E8449D"/>
    <w:rsid w:val="17FE7C6D"/>
    <w:rsid w:val="180B2558"/>
    <w:rsid w:val="1815331D"/>
    <w:rsid w:val="184021EB"/>
    <w:rsid w:val="18453AD7"/>
    <w:rsid w:val="184E3123"/>
    <w:rsid w:val="185F6771"/>
    <w:rsid w:val="186315B6"/>
    <w:rsid w:val="187B507A"/>
    <w:rsid w:val="188B60A0"/>
    <w:rsid w:val="18A73D6A"/>
    <w:rsid w:val="18EC42CF"/>
    <w:rsid w:val="192A65AE"/>
    <w:rsid w:val="19901955"/>
    <w:rsid w:val="19C84D8B"/>
    <w:rsid w:val="19D5255D"/>
    <w:rsid w:val="1A0C2DD8"/>
    <w:rsid w:val="1A260D4B"/>
    <w:rsid w:val="1AF92C1A"/>
    <w:rsid w:val="1B005594"/>
    <w:rsid w:val="1B121EAD"/>
    <w:rsid w:val="1B125320"/>
    <w:rsid w:val="1B995E75"/>
    <w:rsid w:val="1BB36163"/>
    <w:rsid w:val="1BD7025C"/>
    <w:rsid w:val="1BE0016A"/>
    <w:rsid w:val="1BE85270"/>
    <w:rsid w:val="1BF10315"/>
    <w:rsid w:val="1C264259"/>
    <w:rsid w:val="1C321257"/>
    <w:rsid w:val="1C4932CC"/>
    <w:rsid w:val="1C7654F3"/>
    <w:rsid w:val="1C7A3572"/>
    <w:rsid w:val="1C7F16E6"/>
    <w:rsid w:val="1CB359BA"/>
    <w:rsid w:val="1CBD50A8"/>
    <w:rsid w:val="1CDA7699"/>
    <w:rsid w:val="1CE15E4F"/>
    <w:rsid w:val="1CEE71FA"/>
    <w:rsid w:val="1D054F6F"/>
    <w:rsid w:val="1D3A69D1"/>
    <w:rsid w:val="1D4E7D3A"/>
    <w:rsid w:val="1D616A4F"/>
    <w:rsid w:val="1DD471D5"/>
    <w:rsid w:val="1DDE6101"/>
    <w:rsid w:val="1DE30DF6"/>
    <w:rsid w:val="1DF7094B"/>
    <w:rsid w:val="1E09177B"/>
    <w:rsid w:val="1E0E39F3"/>
    <w:rsid w:val="1E1109CB"/>
    <w:rsid w:val="1E7056A4"/>
    <w:rsid w:val="1EA74F27"/>
    <w:rsid w:val="1EE737A0"/>
    <w:rsid w:val="1F0077FF"/>
    <w:rsid w:val="1F357F44"/>
    <w:rsid w:val="1F3B1F52"/>
    <w:rsid w:val="1F8C592A"/>
    <w:rsid w:val="1FA00B20"/>
    <w:rsid w:val="1FEC314D"/>
    <w:rsid w:val="20173AAF"/>
    <w:rsid w:val="201D11FF"/>
    <w:rsid w:val="203E62B0"/>
    <w:rsid w:val="20711836"/>
    <w:rsid w:val="208A4FEE"/>
    <w:rsid w:val="209F7CBA"/>
    <w:rsid w:val="20A818C3"/>
    <w:rsid w:val="20B3326B"/>
    <w:rsid w:val="20EE04FD"/>
    <w:rsid w:val="211D776A"/>
    <w:rsid w:val="21524B2A"/>
    <w:rsid w:val="21746FC1"/>
    <w:rsid w:val="21AA5770"/>
    <w:rsid w:val="21B601DA"/>
    <w:rsid w:val="21E57EA6"/>
    <w:rsid w:val="221D1024"/>
    <w:rsid w:val="22285DE6"/>
    <w:rsid w:val="224F6E37"/>
    <w:rsid w:val="22573BD8"/>
    <w:rsid w:val="22617B2B"/>
    <w:rsid w:val="227E07B0"/>
    <w:rsid w:val="22D47188"/>
    <w:rsid w:val="23052CF5"/>
    <w:rsid w:val="236B0A9A"/>
    <w:rsid w:val="236D06A4"/>
    <w:rsid w:val="23703278"/>
    <w:rsid w:val="239B1036"/>
    <w:rsid w:val="23AB1EA3"/>
    <w:rsid w:val="23B304E4"/>
    <w:rsid w:val="23B7751B"/>
    <w:rsid w:val="23C80962"/>
    <w:rsid w:val="242D7B1A"/>
    <w:rsid w:val="243F3E9B"/>
    <w:rsid w:val="24506934"/>
    <w:rsid w:val="24697796"/>
    <w:rsid w:val="246A54D8"/>
    <w:rsid w:val="248D4C07"/>
    <w:rsid w:val="249523B8"/>
    <w:rsid w:val="24E0567E"/>
    <w:rsid w:val="250B038D"/>
    <w:rsid w:val="2518050F"/>
    <w:rsid w:val="25195630"/>
    <w:rsid w:val="25454695"/>
    <w:rsid w:val="25473342"/>
    <w:rsid w:val="258204E4"/>
    <w:rsid w:val="25A641D2"/>
    <w:rsid w:val="261875F0"/>
    <w:rsid w:val="262512E6"/>
    <w:rsid w:val="264C6511"/>
    <w:rsid w:val="264E48D0"/>
    <w:rsid w:val="268900EE"/>
    <w:rsid w:val="268E3B95"/>
    <w:rsid w:val="26C07516"/>
    <w:rsid w:val="26E22B39"/>
    <w:rsid w:val="26EA07AE"/>
    <w:rsid w:val="2713342D"/>
    <w:rsid w:val="27D74B17"/>
    <w:rsid w:val="27DE5FD5"/>
    <w:rsid w:val="27F64173"/>
    <w:rsid w:val="27F86A80"/>
    <w:rsid w:val="281C45D6"/>
    <w:rsid w:val="282402C1"/>
    <w:rsid w:val="28312491"/>
    <w:rsid w:val="283C45D7"/>
    <w:rsid w:val="289D0904"/>
    <w:rsid w:val="28CB7A18"/>
    <w:rsid w:val="28D36A1B"/>
    <w:rsid w:val="28D85BE4"/>
    <w:rsid w:val="28E76140"/>
    <w:rsid w:val="2913382A"/>
    <w:rsid w:val="29414954"/>
    <w:rsid w:val="29671ECA"/>
    <w:rsid w:val="299A448D"/>
    <w:rsid w:val="299C34E4"/>
    <w:rsid w:val="29A63135"/>
    <w:rsid w:val="29A6425E"/>
    <w:rsid w:val="29A97B01"/>
    <w:rsid w:val="2A187BE8"/>
    <w:rsid w:val="2A740393"/>
    <w:rsid w:val="2ABE3495"/>
    <w:rsid w:val="2AC420DD"/>
    <w:rsid w:val="2AE15CAC"/>
    <w:rsid w:val="2B116704"/>
    <w:rsid w:val="2B1E1946"/>
    <w:rsid w:val="2B243CA4"/>
    <w:rsid w:val="2B4F59AE"/>
    <w:rsid w:val="2B6240C1"/>
    <w:rsid w:val="2B744292"/>
    <w:rsid w:val="2BA0401E"/>
    <w:rsid w:val="2BB72A15"/>
    <w:rsid w:val="2C235B33"/>
    <w:rsid w:val="2C324A69"/>
    <w:rsid w:val="2C4F2F51"/>
    <w:rsid w:val="2CC30D55"/>
    <w:rsid w:val="2CCF5908"/>
    <w:rsid w:val="2CDC4391"/>
    <w:rsid w:val="2D140868"/>
    <w:rsid w:val="2D1C54AC"/>
    <w:rsid w:val="2D3751F2"/>
    <w:rsid w:val="2D44101A"/>
    <w:rsid w:val="2D7C1CBC"/>
    <w:rsid w:val="2D823D7F"/>
    <w:rsid w:val="2D9805DE"/>
    <w:rsid w:val="2DBF6F29"/>
    <w:rsid w:val="2DD613CD"/>
    <w:rsid w:val="2E322713"/>
    <w:rsid w:val="2E415EA9"/>
    <w:rsid w:val="2E79522D"/>
    <w:rsid w:val="2EB127F3"/>
    <w:rsid w:val="2ECA2F33"/>
    <w:rsid w:val="2ECE02F6"/>
    <w:rsid w:val="2EED1001"/>
    <w:rsid w:val="2F0800EE"/>
    <w:rsid w:val="2F3B1E2F"/>
    <w:rsid w:val="2F7E27DB"/>
    <w:rsid w:val="2FD65BF2"/>
    <w:rsid w:val="303139D6"/>
    <w:rsid w:val="304250B9"/>
    <w:rsid w:val="30472BF3"/>
    <w:rsid w:val="30472EDD"/>
    <w:rsid w:val="3051491A"/>
    <w:rsid w:val="30A55F1F"/>
    <w:rsid w:val="30C7367C"/>
    <w:rsid w:val="30DD232B"/>
    <w:rsid w:val="31052DF3"/>
    <w:rsid w:val="312B572B"/>
    <w:rsid w:val="3143618A"/>
    <w:rsid w:val="314F32E0"/>
    <w:rsid w:val="31734BE9"/>
    <w:rsid w:val="31843509"/>
    <w:rsid w:val="318A7584"/>
    <w:rsid w:val="3223238A"/>
    <w:rsid w:val="3234691D"/>
    <w:rsid w:val="323C12C3"/>
    <w:rsid w:val="32515C05"/>
    <w:rsid w:val="325C2008"/>
    <w:rsid w:val="32613B57"/>
    <w:rsid w:val="326C4682"/>
    <w:rsid w:val="3287634C"/>
    <w:rsid w:val="329D695D"/>
    <w:rsid w:val="32A63242"/>
    <w:rsid w:val="32AF2D4E"/>
    <w:rsid w:val="32AF3996"/>
    <w:rsid w:val="32EE499F"/>
    <w:rsid w:val="3323557A"/>
    <w:rsid w:val="33380434"/>
    <w:rsid w:val="33413D4E"/>
    <w:rsid w:val="334211AF"/>
    <w:rsid w:val="336074D2"/>
    <w:rsid w:val="33E777C8"/>
    <w:rsid w:val="33EE5D3E"/>
    <w:rsid w:val="34207846"/>
    <w:rsid w:val="34813A56"/>
    <w:rsid w:val="34861D0B"/>
    <w:rsid w:val="348E67B1"/>
    <w:rsid w:val="34AB6B38"/>
    <w:rsid w:val="34B11081"/>
    <w:rsid w:val="34BD32E6"/>
    <w:rsid w:val="34D71F65"/>
    <w:rsid w:val="35386299"/>
    <w:rsid w:val="35824AE7"/>
    <w:rsid w:val="35825046"/>
    <w:rsid w:val="359E2AAB"/>
    <w:rsid w:val="35C17DF9"/>
    <w:rsid w:val="35C93BC8"/>
    <w:rsid w:val="35D42EFF"/>
    <w:rsid w:val="35DC5FD0"/>
    <w:rsid w:val="35F21A9C"/>
    <w:rsid w:val="36063C3F"/>
    <w:rsid w:val="360D7723"/>
    <w:rsid w:val="36116DAA"/>
    <w:rsid w:val="362F2502"/>
    <w:rsid w:val="364827E6"/>
    <w:rsid w:val="365410C7"/>
    <w:rsid w:val="367321F1"/>
    <w:rsid w:val="367E0853"/>
    <w:rsid w:val="36800F9E"/>
    <w:rsid w:val="36943D17"/>
    <w:rsid w:val="36A017BC"/>
    <w:rsid w:val="36C124AB"/>
    <w:rsid w:val="36CA4E88"/>
    <w:rsid w:val="36CC7811"/>
    <w:rsid w:val="372642AF"/>
    <w:rsid w:val="372A63BF"/>
    <w:rsid w:val="37433AA2"/>
    <w:rsid w:val="37566D45"/>
    <w:rsid w:val="377A1DCD"/>
    <w:rsid w:val="37E62A0B"/>
    <w:rsid w:val="381B0974"/>
    <w:rsid w:val="385A6C48"/>
    <w:rsid w:val="389C00A3"/>
    <w:rsid w:val="38D6253D"/>
    <w:rsid w:val="38E07C36"/>
    <w:rsid w:val="38EA0422"/>
    <w:rsid w:val="39224840"/>
    <w:rsid w:val="393A3157"/>
    <w:rsid w:val="393F1557"/>
    <w:rsid w:val="398D6AD8"/>
    <w:rsid w:val="39942909"/>
    <w:rsid w:val="39A17BEE"/>
    <w:rsid w:val="39C42895"/>
    <w:rsid w:val="39D709A6"/>
    <w:rsid w:val="39DB79E3"/>
    <w:rsid w:val="39E6345B"/>
    <w:rsid w:val="39EB7719"/>
    <w:rsid w:val="3A2D6DE6"/>
    <w:rsid w:val="3A5573AC"/>
    <w:rsid w:val="3A8F71F9"/>
    <w:rsid w:val="3AA22EBA"/>
    <w:rsid w:val="3AD63E1E"/>
    <w:rsid w:val="3AF42F5C"/>
    <w:rsid w:val="3AFC5299"/>
    <w:rsid w:val="3B2D013E"/>
    <w:rsid w:val="3BB7642C"/>
    <w:rsid w:val="3BBA0DD0"/>
    <w:rsid w:val="3BD45AF6"/>
    <w:rsid w:val="3BD827B4"/>
    <w:rsid w:val="3C2C00A1"/>
    <w:rsid w:val="3C3D1616"/>
    <w:rsid w:val="3C4C1D1A"/>
    <w:rsid w:val="3C930555"/>
    <w:rsid w:val="3CBE7045"/>
    <w:rsid w:val="3CD53D8E"/>
    <w:rsid w:val="3CFB7C3F"/>
    <w:rsid w:val="3D0C6BB9"/>
    <w:rsid w:val="3D26592F"/>
    <w:rsid w:val="3D6D3CCA"/>
    <w:rsid w:val="3DA25F23"/>
    <w:rsid w:val="3DCC00F6"/>
    <w:rsid w:val="3DE15271"/>
    <w:rsid w:val="3DEE4A51"/>
    <w:rsid w:val="3DFA5F1B"/>
    <w:rsid w:val="3E045357"/>
    <w:rsid w:val="3E106985"/>
    <w:rsid w:val="3E40113A"/>
    <w:rsid w:val="3E6F12E7"/>
    <w:rsid w:val="3E8B5874"/>
    <w:rsid w:val="3EA6025D"/>
    <w:rsid w:val="3EEA59D4"/>
    <w:rsid w:val="3F1525E6"/>
    <w:rsid w:val="3F9A6F6B"/>
    <w:rsid w:val="3FD540D6"/>
    <w:rsid w:val="3FFA7485"/>
    <w:rsid w:val="400E58E3"/>
    <w:rsid w:val="40185DB5"/>
    <w:rsid w:val="40307144"/>
    <w:rsid w:val="40363505"/>
    <w:rsid w:val="40497A08"/>
    <w:rsid w:val="405C4978"/>
    <w:rsid w:val="40B95721"/>
    <w:rsid w:val="40C84DB8"/>
    <w:rsid w:val="41132B94"/>
    <w:rsid w:val="41210759"/>
    <w:rsid w:val="414D3274"/>
    <w:rsid w:val="414F176A"/>
    <w:rsid w:val="4150700B"/>
    <w:rsid w:val="41A12A31"/>
    <w:rsid w:val="41B90171"/>
    <w:rsid w:val="41C63F6B"/>
    <w:rsid w:val="41DF2AEE"/>
    <w:rsid w:val="426E6ABF"/>
    <w:rsid w:val="42704AEE"/>
    <w:rsid w:val="427A2817"/>
    <w:rsid w:val="429306DD"/>
    <w:rsid w:val="42B316C5"/>
    <w:rsid w:val="42CD6200"/>
    <w:rsid w:val="43045E56"/>
    <w:rsid w:val="43091828"/>
    <w:rsid w:val="431F2FDA"/>
    <w:rsid w:val="432D33A4"/>
    <w:rsid w:val="43477237"/>
    <w:rsid w:val="43884ABF"/>
    <w:rsid w:val="43BF5418"/>
    <w:rsid w:val="44005926"/>
    <w:rsid w:val="441D7B27"/>
    <w:rsid w:val="442C7F42"/>
    <w:rsid w:val="443D0ABD"/>
    <w:rsid w:val="445C44CC"/>
    <w:rsid w:val="4466108E"/>
    <w:rsid w:val="44753C37"/>
    <w:rsid w:val="44E66194"/>
    <w:rsid w:val="44FA6197"/>
    <w:rsid w:val="450B3DAD"/>
    <w:rsid w:val="453F2512"/>
    <w:rsid w:val="45474D29"/>
    <w:rsid w:val="45517918"/>
    <w:rsid w:val="45A12107"/>
    <w:rsid w:val="45A840FA"/>
    <w:rsid w:val="45B96BEB"/>
    <w:rsid w:val="45DA67B5"/>
    <w:rsid w:val="45F04615"/>
    <w:rsid w:val="46067B06"/>
    <w:rsid w:val="46285972"/>
    <w:rsid w:val="46410709"/>
    <w:rsid w:val="464F49F5"/>
    <w:rsid w:val="4662784A"/>
    <w:rsid w:val="468E0F74"/>
    <w:rsid w:val="469A00FD"/>
    <w:rsid w:val="473E37A9"/>
    <w:rsid w:val="47493E4B"/>
    <w:rsid w:val="477737C9"/>
    <w:rsid w:val="478F05AF"/>
    <w:rsid w:val="47955FA7"/>
    <w:rsid w:val="479C1F1E"/>
    <w:rsid w:val="47E56FD0"/>
    <w:rsid w:val="48165829"/>
    <w:rsid w:val="482433CF"/>
    <w:rsid w:val="483A1F1A"/>
    <w:rsid w:val="487C163D"/>
    <w:rsid w:val="489E37B2"/>
    <w:rsid w:val="48B63E7D"/>
    <w:rsid w:val="491061FC"/>
    <w:rsid w:val="492E2CE0"/>
    <w:rsid w:val="493B00BF"/>
    <w:rsid w:val="494541AA"/>
    <w:rsid w:val="49725018"/>
    <w:rsid w:val="49783B53"/>
    <w:rsid w:val="497B2B95"/>
    <w:rsid w:val="49A81A17"/>
    <w:rsid w:val="49AA0C4A"/>
    <w:rsid w:val="49B36880"/>
    <w:rsid w:val="4A250E5E"/>
    <w:rsid w:val="4A282BAC"/>
    <w:rsid w:val="4A396B13"/>
    <w:rsid w:val="4A841389"/>
    <w:rsid w:val="4AA43EA7"/>
    <w:rsid w:val="4AAC46B1"/>
    <w:rsid w:val="4AF82A06"/>
    <w:rsid w:val="4B2C7335"/>
    <w:rsid w:val="4B3223A6"/>
    <w:rsid w:val="4B4E3301"/>
    <w:rsid w:val="4B53242F"/>
    <w:rsid w:val="4B5C19CD"/>
    <w:rsid w:val="4B5D4A84"/>
    <w:rsid w:val="4BBB22A8"/>
    <w:rsid w:val="4BD17C96"/>
    <w:rsid w:val="4BD53198"/>
    <w:rsid w:val="4C147466"/>
    <w:rsid w:val="4C9F2DD3"/>
    <w:rsid w:val="4CAF1BD2"/>
    <w:rsid w:val="4CB46094"/>
    <w:rsid w:val="4CB922EF"/>
    <w:rsid w:val="4CCE1D7B"/>
    <w:rsid w:val="4CD506F4"/>
    <w:rsid w:val="4CF353CD"/>
    <w:rsid w:val="4D005303"/>
    <w:rsid w:val="4D237311"/>
    <w:rsid w:val="4D2E552C"/>
    <w:rsid w:val="4D461041"/>
    <w:rsid w:val="4D4A53B5"/>
    <w:rsid w:val="4D764DA7"/>
    <w:rsid w:val="4D8D29DC"/>
    <w:rsid w:val="4DCC6979"/>
    <w:rsid w:val="4DD82E9B"/>
    <w:rsid w:val="4E12748E"/>
    <w:rsid w:val="4E200716"/>
    <w:rsid w:val="4E385260"/>
    <w:rsid w:val="4E4122CE"/>
    <w:rsid w:val="4E482C33"/>
    <w:rsid w:val="4E5412DC"/>
    <w:rsid w:val="4E571C5E"/>
    <w:rsid w:val="4E572709"/>
    <w:rsid w:val="4E724571"/>
    <w:rsid w:val="4EA34A47"/>
    <w:rsid w:val="4EBF1408"/>
    <w:rsid w:val="4EC8649F"/>
    <w:rsid w:val="4ECF324C"/>
    <w:rsid w:val="4F6C2BDB"/>
    <w:rsid w:val="4FC13B7A"/>
    <w:rsid w:val="4FDB165C"/>
    <w:rsid w:val="4FE677F9"/>
    <w:rsid w:val="4FFD1B88"/>
    <w:rsid w:val="503D16E8"/>
    <w:rsid w:val="50540BF3"/>
    <w:rsid w:val="50843985"/>
    <w:rsid w:val="50E53BFC"/>
    <w:rsid w:val="50E83041"/>
    <w:rsid w:val="512F0887"/>
    <w:rsid w:val="513B1442"/>
    <w:rsid w:val="51704950"/>
    <w:rsid w:val="51887148"/>
    <w:rsid w:val="51A64669"/>
    <w:rsid w:val="51B21812"/>
    <w:rsid w:val="51BA37C6"/>
    <w:rsid w:val="51F25C7B"/>
    <w:rsid w:val="51F31C9E"/>
    <w:rsid w:val="520E63F4"/>
    <w:rsid w:val="522B50AA"/>
    <w:rsid w:val="522C6E8A"/>
    <w:rsid w:val="523A1C1D"/>
    <w:rsid w:val="524E07F3"/>
    <w:rsid w:val="52AD7FC7"/>
    <w:rsid w:val="52BA6F13"/>
    <w:rsid w:val="52D93A4F"/>
    <w:rsid w:val="52F71531"/>
    <w:rsid w:val="532A1EB1"/>
    <w:rsid w:val="534C4C67"/>
    <w:rsid w:val="53887461"/>
    <w:rsid w:val="54045244"/>
    <w:rsid w:val="54212AF2"/>
    <w:rsid w:val="54330636"/>
    <w:rsid w:val="547C0A2E"/>
    <w:rsid w:val="54901A26"/>
    <w:rsid w:val="549253D2"/>
    <w:rsid w:val="54D14294"/>
    <w:rsid w:val="54D61DED"/>
    <w:rsid w:val="54F15D8C"/>
    <w:rsid w:val="55245F6D"/>
    <w:rsid w:val="555668E9"/>
    <w:rsid w:val="555B2A70"/>
    <w:rsid w:val="55656160"/>
    <w:rsid w:val="55764BD9"/>
    <w:rsid w:val="55B91769"/>
    <w:rsid w:val="561D553B"/>
    <w:rsid w:val="56995D14"/>
    <w:rsid w:val="56A94908"/>
    <w:rsid w:val="56F52014"/>
    <w:rsid w:val="56FC57AE"/>
    <w:rsid w:val="570F7BEF"/>
    <w:rsid w:val="572679FD"/>
    <w:rsid w:val="573F20CC"/>
    <w:rsid w:val="57522AB5"/>
    <w:rsid w:val="57814D4C"/>
    <w:rsid w:val="57A31178"/>
    <w:rsid w:val="57BA5057"/>
    <w:rsid w:val="57C42641"/>
    <w:rsid w:val="57C97B40"/>
    <w:rsid w:val="57D94B2E"/>
    <w:rsid w:val="58005114"/>
    <w:rsid w:val="58175E52"/>
    <w:rsid w:val="582A6C58"/>
    <w:rsid w:val="5840676D"/>
    <w:rsid w:val="58612629"/>
    <w:rsid w:val="588B39DB"/>
    <w:rsid w:val="58C85C32"/>
    <w:rsid w:val="58DE596D"/>
    <w:rsid w:val="594E733A"/>
    <w:rsid w:val="59A30FBD"/>
    <w:rsid w:val="59B00ECB"/>
    <w:rsid w:val="59B069CA"/>
    <w:rsid w:val="59CD1026"/>
    <w:rsid w:val="5A455F9C"/>
    <w:rsid w:val="5A4F0BF6"/>
    <w:rsid w:val="5A6D20A8"/>
    <w:rsid w:val="5A702EC7"/>
    <w:rsid w:val="5A865864"/>
    <w:rsid w:val="5AC80FCC"/>
    <w:rsid w:val="5B0931A4"/>
    <w:rsid w:val="5B0B3659"/>
    <w:rsid w:val="5B177049"/>
    <w:rsid w:val="5B2624B3"/>
    <w:rsid w:val="5B615779"/>
    <w:rsid w:val="5B9B691E"/>
    <w:rsid w:val="5BCB5CCA"/>
    <w:rsid w:val="5C0A6B94"/>
    <w:rsid w:val="5C2C7E07"/>
    <w:rsid w:val="5C8A31FF"/>
    <w:rsid w:val="5C90641D"/>
    <w:rsid w:val="5CEF6B07"/>
    <w:rsid w:val="5D0574E1"/>
    <w:rsid w:val="5D404544"/>
    <w:rsid w:val="5D4D56AF"/>
    <w:rsid w:val="5D4F6922"/>
    <w:rsid w:val="5D652D68"/>
    <w:rsid w:val="5D667E7E"/>
    <w:rsid w:val="5D6B1D6F"/>
    <w:rsid w:val="5D8F35AF"/>
    <w:rsid w:val="5DB8393B"/>
    <w:rsid w:val="5DD8269A"/>
    <w:rsid w:val="5DFC012C"/>
    <w:rsid w:val="5DFC4F91"/>
    <w:rsid w:val="5E4D218B"/>
    <w:rsid w:val="5E53456D"/>
    <w:rsid w:val="5E672112"/>
    <w:rsid w:val="5E8D7185"/>
    <w:rsid w:val="5EC77806"/>
    <w:rsid w:val="5EF136FF"/>
    <w:rsid w:val="5EFA0B0F"/>
    <w:rsid w:val="5F0F74DD"/>
    <w:rsid w:val="5F820FCF"/>
    <w:rsid w:val="5FB2227E"/>
    <w:rsid w:val="5FE95D29"/>
    <w:rsid w:val="602940D7"/>
    <w:rsid w:val="602E04CD"/>
    <w:rsid w:val="60367925"/>
    <w:rsid w:val="605A3E4B"/>
    <w:rsid w:val="605F39D1"/>
    <w:rsid w:val="606C78A4"/>
    <w:rsid w:val="60D0203E"/>
    <w:rsid w:val="60FF240D"/>
    <w:rsid w:val="61123937"/>
    <w:rsid w:val="6117214C"/>
    <w:rsid w:val="611B16B9"/>
    <w:rsid w:val="615C1A9C"/>
    <w:rsid w:val="615D2060"/>
    <w:rsid w:val="619C4173"/>
    <w:rsid w:val="61A30D28"/>
    <w:rsid w:val="61DD1D3B"/>
    <w:rsid w:val="623761C0"/>
    <w:rsid w:val="623E23B2"/>
    <w:rsid w:val="62774285"/>
    <w:rsid w:val="62977E4A"/>
    <w:rsid w:val="62A34233"/>
    <w:rsid w:val="62DA4988"/>
    <w:rsid w:val="62F54A0B"/>
    <w:rsid w:val="63046A6B"/>
    <w:rsid w:val="630F176F"/>
    <w:rsid w:val="631D4225"/>
    <w:rsid w:val="63200280"/>
    <w:rsid w:val="63267919"/>
    <w:rsid w:val="633E7F92"/>
    <w:rsid w:val="6340755A"/>
    <w:rsid w:val="63535C18"/>
    <w:rsid w:val="63CB1039"/>
    <w:rsid w:val="63F64E12"/>
    <w:rsid w:val="63FA3C4C"/>
    <w:rsid w:val="6412054D"/>
    <w:rsid w:val="642C4E5C"/>
    <w:rsid w:val="64694002"/>
    <w:rsid w:val="64987C44"/>
    <w:rsid w:val="64D4595F"/>
    <w:rsid w:val="64E35B54"/>
    <w:rsid w:val="64F30154"/>
    <w:rsid w:val="64F920B9"/>
    <w:rsid w:val="64FB6A64"/>
    <w:rsid w:val="652341F0"/>
    <w:rsid w:val="6535199B"/>
    <w:rsid w:val="655B15E4"/>
    <w:rsid w:val="655E7FA8"/>
    <w:rsid w:val="655F3D49"/>
    <w:rsid w:val="658B50AB"/>
    <w:rsid w:val="659037C7"/>
    <w:rsid w:val="659C34C4"/>
    <w:rsid w:val="65AC259A"/>
    <w:rsid w:val="65D21249"/>
    <w:rsid w:val="65DF6369"/>
    <w:rsid w:val="65E2536E"/>
    <w:rsid w:val="66024D56"/>
    <w:rsid w:val="663C7B16"/>
    <w:rsid w:val="66525A1D"/>
    <w:rsid w:val="66585826"/>
    <w:rsid w:val="665F4ADA"/>
    <w:rsid w:val="666D1B84"/>
    <w:rsid w:val="66D6196A"/>
    <w:rsid w:val="66EF62ED"/>
    <w:rsid w:val="676E1E59"/>
    <w:rsid w:val="678E6A33"/>
    <w:rsid w:val="67996841"/>
    <w:rsid w:val="680069AA"/>
    <w:rsid w:val="680C698D"/>
    <w:rsid w:val="68147564"/>
    <w:rsid w:val="683E5A1D"/>
    <w:rsid w:val="684F2DB8"/>
    <w:rsid w:val="689C316D"/>
    <w:rsid w:val="68D709E9"/>
    <w:rsid w:val="68F30455"/>
    <w:rsid w:val="69132BF5"/>
    <w:rsid w:val="69633BD8"/>
    <w:rsid w:val="696A0423"/>
    <w:rsid w:val="6976101A"/>
    <w:rsid w:val="697E40EB"/>
    <w:rsid w:val="698E0C2B"/>
    <w:rsid w:val="69FA09EA"/>
    <w:rsid w:val="69FC6529"/>
    <w:rsid w:val="6A0D2836"/>
    <w:rsid w:val="6A5007A3"/>
    <w:rsid w:val="6A671C34"/>
    <w:rsid w:val="6A6D7B3C"/>
    <w:rsid w:val="6A9063B9"/>
    <w:rsid w:val="6AB57EB0"/>
    <w:rsid w:val="6ADA7EE3"/>
    <w:rsid w:val="6AF5329B"/>
    <w:rsid w:val="6B0D7BD5"/>
    <w:rsid w:val="6B146AB5"/>
    <w:rsid w:val="6B394CDB"/>
    <w:rsid w:val="6B5C7119"/>
    <w:rsid w:val="6B621356"/>
    <w:rsid w:val="6B855B2A"/>
    <w:rsid w:val="6B8C528B"/>
    <w:rsid w:val="6B9056CD"/>
    <w:rsid w:val="6BA3594A"/>
    <w:rsid w:val="6BA97BB6"/>
    <w:rsid w:val="6BB306BC"/>
    <w:rsid w:val="6BCA79B7"/>
    <w:rsid w:val="6BFC5DD8"/>
    <w:rsid w:val="6C3311BD"/>
    <w:rsid w:val="6C3A1CF3"/>
    <w:rsid w:val="6C590C00"/>
    <w:rsid w:val="6C631B2C"/>
    <w:rsid w:val="6C761CC5"/>
    <w:rsid w:val="6CAE6A95"/>
    <w:rsid w:val="6CBF0BA6"/>
    <w:rsid w:val="6CFC2672"/>
    <w:rsid w:val="6D836FC6"/>
    <w:rsid w:val="6DC74F04"/>
    <w:rsid w:val="6DFF083B"/>
    <w:rsid w:val="6E173565"/>
    <w:rsid w:val="6E4B7B87"/>
    <w:rsid w:val="6E595C18"/>
    <w:rsid w:val="6E59628A"/>
    <w:rsid w:val="6F101486"/>
    <w:rsid w:val="6F4C2AD9"/>
    <w:rsid w:val="6F6D6170"/>
    <w:rsid w:val="700A4F17"/>
    <w:rsid w:val="701601F5"/>
    <w:rsid w:val="7064403B"/>
    <w:rsid w:val="706667EA"/>
    <w:rsid w:val="706730A9"/>
    <w:rsid w:val="707B1384"/>
    <w:rsid w:val="707D6880"/>
    <w:rsid w:val="707E194A"/>
    <w:rsid w:val="7080699B"/>
    <w:rsid w:val="70AC28CE"/>
    <w:rsid w:val="70D41BD1"/>
    <w:rsid w:val="70DA6E61"/>
    <w:rsid w:val="710B1DAC"/>
    <w:rsid w:val="711A6DEF"/>
    <w:rsid w:val="712D5B22"/>
    <w:rsid w:val="71556D18"/>
    <w:rsid w:val="715F19A1"/>
    <w:rsid w:val="7173778D"/>
    <w:rsid w:val="71A906A6"/>
    <w:rsid w:val="71B83230"/>
    <w:rsid w:val="71D9248A"/>
    <w:rsid w:val="71FE7ED7"/>
    <w:rsid w:val="72345C8F"/>
    <w:rsid w:val="723B528B"/>
    <w:rsid w:val="725326F8"/>
    <w:rsid w:val="725D62D8"/>
    <w:rsid w:val="725E7BD3"/>
    <w:rsid w:val="72B92EFE"/>
    <w:rsid w:val="72D000DF"/>
    <w:rsid w:val="72D43C72"/>
    <w:rsid w:val="72D708F9"/>
    <w:rsid w:val="72D80D10"/>
    <w:rsid w:val="72F66B32"/>
    <w:rsid w:val="737F1BB2"/>
    <w:rsid w:val="73873150"/>
    <w:rsid w:val="73C5529A"/>
    <w:rsid w:val="73ED7A35"/>
    <w:rsid w:val="73FB675C"/>
    <w:rsid w:val="74483529"/>
    <w:rsid w:val="744F272C"/>
    <w:rsid w:val="74623897"/>
    <w:rsid w:val="7486239A"/>
    <w:rsid w:val="74AD441B"/>
    <w:rsid w:val="74AF3C4F"/>
    <w:rsid w:val="75063912"/>
    <w:rsid w:val="75107D1B"/>
    <w:rsid w:val="751C7B84"/>
    <w:rsid w:val="75297DEE"/>
    <w:rsid w:val="753C7E17"/>
    <w:rsid w:val="753F1282"/>
    <w:rsid w:val="7541478E"/>
    <w:rsid w:val="75E63E77"/>
    <w:rsid w:val="76252FD5"/>
    <w:rsid w:val="763570B8"/>
    <w:rsid w:val="764B205A"/>
    <w:rsid w:val="769930D5"/>
    <w:rsid w:val="76B17DD2"/>
    <w:rsid w:val="76BF6E4A"/>
    <w:rsid w:val="76E369C5"/>
    <w:rsid w:val="77943A8C"/>
    <w:rsid w:val="77B67CB5"/>
    <w:rsid w:val="77CC4B81"/>
    <w:rsid w:val="78141AF8"/>
    <w:rsid w:val="7836433E"/>
    <w:rsid w:val="784B0852"/>
    <w:rsid w:val="785A0BFE"/>
    <w:rsid w:val="78720A38"/>
    <w:rsid w:val="787E6FBC"/>
    <w:rsid w:val="78AF1A5B"/>
    <w:rsid w:val="78B11DE7"/>
    <w:rsid w:val="78F05493"/>
    <w:rsid w:val="78F63C9E"/>
    <w:rsid w:val="790E676C"/>
    <w:rsid w:val="791A646A"/>
    <w:rsid w:val="794B2E8D"/>
    <w:rsid w:val="795534C5"/>
    <w:rsid w:val="79742A49"/>
    <w:rsid w:val="79C25A34"/>
    <w:rsid w:val="79C44527"/>
    <w:rsid w:val="79C7601B"/>
    <w:rsid w:val="79DE7729"/>
    <w:rsid w:val="79FA7946"/>
    <w:rsid w:val="7A2E6D2F"/>
    <w:rsid w:val="7A5110C5"/>
    <w:rsid w:val="7A576BC6"/>
    <w:rsid w:val="7A5D5A32"/>
    <w:rsid w:val="7A5F51CA"/>
    <w:rsid w:val="7A8847B7"/>
    <w:rsid w:val="7A89667A"/>
    <w:rsid w:val="7A901786"/>
    <w:rsid w:val="7AA36181"/>
    <w:rsid w:val="7ABB654D"/>
    <w:rsid w:val="7AED64F1"/>
    <w:rsid w:val="7B721A07"/>
    <w:rsid w:val="7BD75BB0"/>
    <w:rsid w:val="7BEA0581"/>
    <w:rsid w:val="7C1B341F"/>
    <w:rsid w:val="7C4C370C"/>
    <w:rsid w:val="7C8141C6"/>
    <w:rsid w:val="7C9B1B72"/>
    <w:rsid w:val="7C9C6277"/>
    <w:rsid w:val="7CBE2DDC"/>
    <w:rsid w:val="7CC23FAD"/>
    <w:rsid w:val="7CED3040"/>
    <w:rsid w:val="7CF03F88"/>
    <w:rsid w:val="7CF5458E"/>
    <w:rsid w:val="7D19314F"/>
    <w:rsid w:val="7D2767FE"/>
    <w:rsid w:val="7D3B2FBE"/>
    <w:rsid w:val="7D5155DF"/>
    <w:rsid w:val="7D65515F"/>
    <w:rsid w:val="7D747887"/>
    <w:rsid w:val="7D8241C4"/>
    <w:rsid w:val="7D9E2C92"/>
    <w:rsid w:val="7DDF2F52"/>
    <w:rsid w:val="7E003E1F"/>
    <w:rsid w:val="7E1526D8"/>
    <w:rsid w:val="7E2C1DA3"/>
    <w:rsid w:val="7E2F7A21"/>
    <w:rsid w:val="7E5316BF"/>
    <w:rsid w:val="7EC55E63"/>
    <w:rsid w:val="7F3E7D41"/>
    <w:rsid w:val="7F500524"/>
    <w:rsid w:val="7F5F533B"/>
    <w:rsid w:val="7F9B52E1"/>
    <w:rsid w:val="7FFF62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99"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qFormat="1" w:unhideWhenUsed="0" w:uiPriority="0" w:name="table of figures"/>
    <w:lsdException w:uiPriority="0" w:name="envelope address"/>
    <w:lsdException w:qFormat="1" w:uiPriority="99" w:semiHidden="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jc w:val="center"/>
      <w:outlineLvl w:val="0"/>
    </w:pPr>
    <w:rPr>
      <w:rFonts w:ascii="楷体_GB2312" w:eastAsia="楷体_GB2312"/>
      <w:sz w:val="28"/>
      <w:szCs w:val="28"/>
    </w:rPr>
  </w:style>
  <w:style w:type="paragraph" w:styleId="3">
    <w:name w:val="heading 2"/>
    <w:basedOn w:val="1"/>
    <w:next w:val="1"/>
    <w:qFormat/>
    <w:uiPriority w:val="0"/>
    <w:pPr>
      <w:keepNext/>
      <w:keepLines/>
      <w:spacing w:before="260" w:after="260" w:line="416" w:lineRule="auto"/>
      <w:jc w:val="center"/>
      <w:outlineLvl w:val="1"/>
    </w:pPr>
    <w:rPr>
      <w:rFonts w:ascii="Arial" w:hAnsi="Arial" w:eastAsia="幼圆" w:cs="Arial"/>
      <w:b/>
      <w:bCs/>
      <w:sz w:val="44"/>
      <w:szCs w:val="44"/>
    </w:rPr>
  </w:style>
  <w:style w:type="paragraph" w:styleId="4">
    <w:name w:val="heading 3"/>
    <w:basedOn w:val="1"/>
    <w:next w:val="5"/>
    <w:link w:val="54"/>
    <w:qFormat/>
    <w:uiPriority w:val="0"/>
    <w:pPr>
      <w:keepNext/>
      <w:keepLines/>
      <w:spacing w:before="260" w:after="260" w:line="416" w:lineRule="auto"/>
      <w:outlineLvl w:val="2"/>
    </w:pPr>
    <w:rPr>
      <w:b/>
      <w:bCs/>
      <w:sz w:val="32"/>
      <w:szCs w:val="32"/>
    </w:rPr>
  </w:style>
  <w:style w:type="paragraph" w:styleId="6">
    <w:name w:val="heading 4"/>
    <w:basedOn w:val="1"/>
    <w:next w:val="5"/>
    <w:qFormat/>
    <w:uiPriority w:val="0"/>
    <w:pPr>
      <w:keepNext/>
      <w:keepLines/>
      <w:spacing w:before="280" w:after="290" w:line="376" w:lineRule="auto"/>
      <w:outlineLvl w:val="3"/>
    </w:pPr>
    <w:rPr>
      <w:rFonts w:ascii="Arial" w:hAnsi="Arial" w:eastAsia="黑体" w:cs="Arial"/>
      <w:b/>
      <w:bCs/>
      <w:sz w:val="28"/>
      <w:szCs w:val="28"/>
    </w:rPr>
  </w:style>
  <w:style w:type="paragraph" w:styleId="7">
    <w:name w:val="heading 5"/>
    <w:basedOn w:val="1"/>
    <w:next w:val="5"/>
    <w:qFormat/>
    <w:uiPriority w:val="0"/>
    <w:pPr>
      <w:keepNext/>
      <w:autoSpaceDE w:val="0"/>
      <w:autoSpaceDN w:val="0"/>
      <w:adjustRightInd w:val="0"/>
      <w:outlineLvl w:val="4"/>
    </w:pPr>
    <w:rPr>
      <w:rFonts w:ascii="宋体"/>
      <w:color w:val="000000"/>
      <w:kern w:val="0"/>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56"/>
    <w:qFormat/>
    <w:uiPriority w:val="0"/>
    <w:pPr>
      <w:keepNext/>
      <w:keepLines/>
      <w:spacing w:before="240" w:after="64" w:line="320" w:lineRule="auto"/>
      <w:outlineLvl w:val="6"/>
    </w:pPr>
    <w:rPr>
      <w:b/>
      <w:bCs/>
      <w:sz w:val="24"/>
      <w:szCs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5"/>
    <w:qFormat/>
    <w:uiPriority w:val="99"/>
    <w:pPr>
      <w:ind w:firstLine="420"/>
    </w:pPr>
  </w:style>
  <w:style w:type="paragraph" w:styleId="12">
    <w:name w:val="List 3"/>
    <w:basedOn w:val="1"/>
    <w:qFormat/>
    <w:uiPriority w:val="0"/>
    <w:pPr>
      <w:ind w:left="100" w:leftChars="400" w:hanging="200" w:hangingChars="200"/>
    </w:pPr>
  </w:style>
  <w:style w:type="paragraph" w:styleId="13">
    <w:name w:val="toc 7"/>
    <w:basedOn w:val="1"/>
    <w:next w:val="1"/>
    <w:semiHidden/>
    <w:qFormat/>
    <w:uiPriority w:val="0"/>
    <w:pPr>
      <w:ind w:left="1260"/>
      <w:jc w:val="left"/>
    </w:pPr>
  </w:style>
  <w:style w:type="paragraph" w:styleId="14">
    <w:name w:val="Document Map"/>
    <w:basedOn w:val="1"/>
    <w:link w:val="57"/>
    <w:semiHidden/>
    <w:qFormat/>
    <w:uiPriority w:val="0"/>
    <w:pPr>
      <w:shd w:val="clear" w:color="auto" w:fill="000080"/>
    </w:pPr>
  </w:style>
  <w:style w:type="paragraph" w:styleId="15">
    <w:name w:val="annotation text"/>
    <w:basedOn w:val="1"/>
    <w:semiHidden/>
    <w:qFormat/>
    <w:uiPriority w:val="0"/>
    <w:pPr>
      <w:jc w:val="left"/>
    </w:pPr>
  </w:style>
  <w:style w:type="paragraph" w:styleId="16">
    <w:name w:val="Body Text 3"/>
    <w:basedOn w:val="1"/>
    <w:qFormat/>
    <w:uiPriority w:val="0"/>
    <w:rPr>
      <w:rFonts w:ascii="仿宋_GB2312" w:hAnsi="Arial" w:eastAsia="仿宋_GB2312"/>
      <w:sz w:val="32"/>
      <w:szCs w:val="32"/>
    </w:rPr>
  </w:style>
  <w:style w:type="paragraph" w:styleId="17">
    <w:name w:val="Body Text"/>
    <w:basedOn w:val="1"/>
    <w:next w:val="1"/>
    <w:qFormat/>
    <w:uiPriority w:val="0"/>
    <w:rPr>
      <w:rFonts w:ascii="楷体_GB2312" w:hAnsi="Arial" w:eastAsia="楷体_GB2312"/>
      <w:sz w:val="28"/>
      <w:szCs w:val="28"/>
    </w:rPr>
  </w:style>
  <w:style w:type="paragraph" w:styleId="18">
    <w:name w:val="Body Text Indent"/>
    <w:basedOn w:val="1"/>
    <w:next w:val="19"/>
    <w:qFormat/>
    <w:uiPriority w:val="0"/>
    <w:pPr>
      <w:ind w:firstLine="645"/>
    </w:pPr>
    <w:rPr>
      <w:rFonts w:ascii="楷体_GB2312" w:eastAsia="楷体_GB2312"/>
      <w:sz w:val="32"/>
      <w:szCs w:val="32"/>
    </w:rPr>
  </w:style>
  <w:style w:type="paragraph" w:styleId="19">
    <w:name w:val="envelope return"/>
    <w:basedOn w:val="1"/>
    <w:unhideWhenUsed/>
    <w:qFormat/>
    <w:uiPriority w:val="99"/>
    <w:pPr>
      <w:snapToGrid w:val="0"/>
    </w:pPr>
    <w:rPr>
      <w:rFonts w:ascii="Arial" w:hAnsi="Arial"/>
    </w:rPr>
  </w:style>
  <w:style w:type="paragraph" w:styleId="20">
    <w:name w:val="List 2"/>
    <w:basedOn w:val="1"/>
    <w:qFormat/>
    <w:uiPriority w:val="0"/>
    <w:pPr>
      <w:ind w:left="100" w:leftChars="200" w:hanging="200" w:hangingChars="200"/>
    </w:pPr>
  </w:style>
  <w:style w:type="paragraph" w:styleId="21">
    <w:name w:val="Block Text"/>
    <w:basedOn w:val="1"/>
    <w:qFormat/>
    <w:uiPriority w:val="0"/>
    <w:pPr>
      <w:ind w:left="-716" w:leftChars="-342" w:right="-874" w:rightChars="-416" w:hanging="2"/>
    </w:pPr>
    <w:rPr>
      <w:sz w:val="28"/>
    </w:rPr>
  </w:style>
  <w:style w:type="paragraph" w:styleId="22">
    <w:name w:val="toc 5"/>
    <w:basedOn w:val="1"/>
    <w:next w:val="1"/>
    <w:semiHidden/>
    <w:qFormat/>
    <w:uiPriority w:val="0"/>
    <w:pPr>
      <w:ind w:left="840"/>
      <w:jc w:val="left"/>
    </w:pPr>
  </w:style>
  <w:style w:type="paragraph" w:styleId="23">
    <w:name w:val="toc 3"/>
    <w:basedOn w:val="1"/>
    <w:next w:val="1"/>
    <w:qFormat/>
    <w:uiPriority w:val="39"/>
    <w:pPr>
      <w:ind w:left="420"/>
      <w:jc w:val="left"/>
    </w:pPr>
    <w:rPr>
      <w:i/>
      <w:iCs/>
      <w:szCs w:val="24"/>
    </w:rPr>
  </w:style>
  <w:style w:type="paragraph" w:styleId="24">
    <w:name w:val="Plain Text"/>
    <w:basedOn w:val="1"/>
    <w:link w:val="58"/>
    <w:qFormat/>
    <w:uiPriority w:val="0"/>
    <w:rPr>
      <w:rFonts w:ascii="宋体" w:hAnsi="Courier New"/>
    </w:rPr>
  </w:style>
  <w:style w:type="paragraph" w:styleId="25">
    <w:name w:val="toc 8"/>
    <w:basedOn w:val="1"/>
    <w:next w:val="1"/>
    <w:semiHidden/>
    <w:qFormat/>
    <w:uiPriority w:val="0"/>
    <w:pPr>
      <w:ind w:left="1470"/>
      <w:jc w:val="left"/>
    </w:pPr>
  </w:style>
  <w:style w:type="paragraph" w:styleId="26">
    <w:name w:val="Date"/>
    <w:basedOn w:val="1"/>
    <w:next w:val="1"/>
    <w:qFormat/>
    <w:uiPriority w:val="0"/>
    <w:rPr>
      <w:sz w:val="24"/>
      <w:szCs w:val="24"/>
    </w:rPr>
  </w:style>
  <w:style w:type="paragraph" w:styleId="27">
    <w:name w:val="Body Text Indent 2"/>
    <w:basedOn w:val="1"/>
    <w:qFormat/>
    <w:uiPriority w:val="0"/>
    <w:pPr>
      <w:ind w:left="630" w:firstLine="645"/>
    </w:pPr>
    <w:rPr>
      <w:rFonts w:ascii="Arial" w:hAnsi="Arial" w:eastAsia="仿宋_GB2312" w:cs="Arial"/>
      <w:sz w:val="32"/>
      <w:szCs w:val="32"/>
    </w:rPr>
  </w:style>
  <w:style w:type="paragraph" w:styleId="28">
    <w:name w:val="Balloon Text"/>
    <w:basedOn w:val="1"/>
    <w:semiHidden/>
    <w:qFormat/>
    <w:uiPriority w:val="0"/>
    <w:rPr>
      <w:sz w:val="18"/>
      <w:szCs w:val="18"/>
    </w:rPr>
  </w:style>
  <w:style w:type="paragraph" w:styleId="29">
    <w:name w:val="footer"/>
    <w:basedOn w:val="1"/>
    <w:link w:val="123"/>
    <w:qFormat/>
    <w:uiPriority w:val="99"/>
    <w:pPr>
      <w:tabs>
        <w:tab w:val="center" w:pos="4153"/>
        <w:tab w:val="right" w:pos="8306"/>
      </w:tabs>
      <w:snapToGrid w:val="0"/>
      <w:jc w:val="left"/>
    </w:pPr>
    <w:rPr>
      <w:sz w:val="18"/>
      <w:szCs w:val="18"/>
    </w:rPr>
  </w:style>
  <w:style w:type="paragraph" w:styleId="30">
    <w:name w:val="header"/>
    <w:basedOn w:val="1"/>
    <w:link w:val="59"/>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720"/>
      </w:tabs>
      <w:spacing w:before="120" w:after="120" w:line="400" w:lineRule="exact"/>
      <w:jc w:val="left"/>
    </w:pPr>
    <w:rPr>
      <w:rFonts w:ascii="宋体" w:hAnsi="宋体"/>
      <w:caps/>
      <w:sz w:val="24"/>
      <w:szCs w:val="24"/>
    </w:rPr>
  </w:style>
  <w:style w:type="paragraph" w:styleId="32">
    <w:name w:val="toc 4"/>
    <w:basedOn w:val="1"/>
    <w:next w:val="1"/>
    <w:semiHidden/>
    <w:qFormat/>
    <w:uiPriority w:val="0"/>
    <w:pPr>
      <w:ind w:left="630"/>
      <w:jc w:val="left"/>
    </w:pPr>
  </w:style>
  <w:style w:type="paragraph" w:styleId="33">
    <w:name w:val="List"/>
    <w:basedOn w:val="1"/>
    <w:qFormat/>
    <w:uiPriority w:val="0"/>
    <w:pPr>
      <w:ind w:left="200" w:hanging="200" w:hangingChars="200"/>
    </w:pPr>
  </w:style>
  <w:style w:type="paragraph" w:styleId="34">
    <w:name w:val="toc 6"/>
    <w:basedOn w:val="1"/>
    <w:next w:val="1"/>
    <w:semiHidden/>
    <w:qFormat/>
    <w:uiPriority w:val="0"/>
    <w:pPr>
      <w:ind w:left="1050"/>
      <w:jc w:val="left"/>
    </w:pPr>
  </w:style>
  <w:style w:type="paragraph" w:styleId="35">
    <w:name w:val="Body Text Indent 3"/>
    <w:basedOn w:val="1"/>
    <w:qFormat/>
    <w:uiPriority w:val="0"/>
    <w:pPr>
      <w:ind w:left="645" w:firstLine="645"/>
    </w:pPr>
    <w:rPr>
      <w:rFonts w:ascii="Arial" w:hAnsi="Arial" w:eastAsia="仿宋_GB2312" w:cs="Arial"/>
      <w:color w:val="FFFF00"/>
      <w:sz w:val="32"/>
      <w:szCs w:val="32"/>
    </w:rPr>
  </w:style>
  <w:style w:type="paragraph" w:styleId="36">
    <w:name w:val="index 9"/>
    <w:basedOn w:val="1"/>
    <w:next w:val="1"/>
    <w:unhideWhenUsed/>
    <w:qFormat/>
    <w:uiPriority w:val="99"/>
    <w:pPr>
      <w:ind w:left="1600" w:leftChars="1600"/>
    </w:pPr>
  </w:style>
  <w:style w:type="paragraph" w:styleId="37">
    <w:name w:val="table of figures"/>
    <w:basedOn w:val="1"/>
    <w:next w:val="1"/>
    <w:semiHidden/>
    <w:qFormat/>
    <w:uiPriority w:val="0"/>
    <w:pPr>
      <w:ind w:left="840" w:hanging="420"/>
    </w:pPr>
  </w:style>
  <w:style w:type="paragraph" w:styleId="38">
    <w:name w:val="toc 2"/>
    <w:basedOn w:val="1"/>
    <w:next w:val="1"/>
    <w:qFormat/>
    <w:uiPriority w:val="39"/>
    <w:pPr>
      <w:ind w:left="210"/>
      <w:jc w:val="left"/>
    </w:pPr>
    <w:rPr>
      <w:smallCaps/>
      <w:szCs w:val="24"/>
    </w:rPr>
  </w:style>
  <w:style w:type="paragraph" w:styleId="39">
    <w:name w:val="toc 9"/>
    <w:basedOn w:val="1"/>
    <w:next w:val="1"/>
    <w:semiHidden/>
    <w:qFormat/>
    <w:uiPriority w:val="0"/>
    <w:pPr>
      <w:ind w:left="1680"/>
      <w:jc w:val="left"/>
    </w:pPr>
  </w:style>
  <w:style w:type="paragraph" w:styleId="40">
    <w:name w:val="Body Text 2"/>
    <w:basedOn w:val="1"/>
    <w:qFormat/>
    <w:uiPriority w:val="0"/>
    <w:pPr>
      <w:widowControl/>
      <w:jc w:val="center"/>
    </w:pPr>
    <w:rPr>
      <w:rFonts w:ascii="楷体_GB2312" w:eastAsia="楷体_GB2312"/>
      <w:sz w:val="28"/>
      <w:szCs w:val="28"/>
    </w:rPr>
  </w:style>
  <w:style w:type="paragraph" w:styleId="4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42">
    <w:name w:val="index 1"/>
    <w:basedOn w:val="1"/>
    <w:next w:val="1"/>
    <w:semiHidden/>
    <w:qFormat/>
    <w:uiPriority w:val="0"/>
    <w:pPr>
      <w:spacing w:line="240" w:lineRule="atLeast"/>
    </w:pPr>
    <w:rPr>
      <w:b/>
      <w:bCs/>
    </w:rPr>
  </w:style>
  <w:style w:type="paragraph" w:styleId="43">
    <w:name w:val="annotation subject"/>
    <w:basedOn w:val="15"/>
    <w:next w:val="15"/>
    <w:semiHidden/>
    <w:qFormat/>
    <w:uiPriority w:val="0"/>
    <w:rPr>
      <w:b/>
      <w:bCs/>
    </w:rPr>
  </w:style>
  <w:style w:type="paragraph" w:styleId="44">
    <w:name w:val="Body Text First Indent"/>
    <w:basedOn w:val="1"/>
    <w:qFormat/>
    <w:uiPriority w:val="0"/>
    <w:pPr>
      <w:spacing w:line="360" w:lineRule="auto"/>
      <w:ind w:firstLine="200" w:firstLineChars="200"/>
    </w:pPr>
    <w:rPr>
      <w:rFonts w:ascii="仿宋_GB2312" w:eastAsia="仿宋_GB2312"/>
      <w:sz w:val="30"/>
      <w:szCs w:val="30"/>
    </w:rPr>
  </w:style>
  <w:style w:type="paragraph" w:styleId="45">
    <w:name w:val="Body Text First Indent 2"/>
    <w:basedOn w:val="18"/>
    <w:next w:val="17"/>
    <w:link w:val="60"/>
    <w:qFormat/>
    <w:uiPriority w:val="0"/>
    <w:pPr>
      <w:spacing w:line="360" w:lineRule="auto"/>
      <w:ind w:firstLine="420" w:firstLineChars="200"/>
    </w:pPr>
    <w:rPr>
      <w:rFonts w:ascii="宋体" w:hAnsi="宋体" w:eastAsia="宋体"/>
      <w:sz w:val="21"/>
      <w:szCs w:val="20"/>
    </w:rPr>
  </w:style>
  <w:style w:type="table" w:styleId="47">
    <w:name w:val="Table Grid"/>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0"/>
    <w:rPr>
      <w:b/>
      <w:bCs/>
    </w:rPr>
  </w:style>
  <w:style w:type="character" w:styleId="50">
    <w:name w:val="page number"/>
    <w:qFormat/>
    <w:uiPriority w:val="0"/>
  </w:style>
  <w:style w:type="character" w:styleId="51">
    <w:name w:val="FollowedHyperlink"/>
    <w:qFormat/>
    <w:uiPriority w:val="0"/>
    <w:rPr>
      <w:color w:val="800080"/>
      <w:u w:val="single"/>
    </w:rPr>
  </w:style>
  <w:style w:type="character" w:styleId="52">
    <w:name w:val="Hyperlink"/>
    <w:qFormat/>
    <w:uiPriority w:val="99"/>
    <w:rPr>
      <w:color w:val="0000FF"/>
      <w:u w:val="single"/>
    </w:rPr>
  </w:style>
  <w:style w:type="character" w:styleId="53">
    <w:name w:val="annotation reference"/>
    <w:semiHidden/>
    <w:qFormat/>
    <w:uiPriority w:val="0"/>
    <w:rPr>
      <w:sz w:val="21"/>
      <w:szCs w:val="21"/>
    </w:rPr>
  </w:style>
  <w:style w:type="character" w:customStyle="1" w:styleId="54">
    <w:name w:val="标题 3 Char"/>
    <w:link w:val="4"/>
    <w:qFormat/>
    <w:uiPriority w:val="0"/>
    <w:rPr>
      <w:rFonts w:eastAsia="宋体"/>
      <w:b/>
      <w:bCs/>
      <w:kern w:val="2"/>
      <w:sz w:val="32"/>
      <w:szCs w:val="32"/>
      <w:lang w:val="en-US" w:eastAsia="zh-CN" w:bidi="ar-SA"/>
    </w:rPr>
  </w:style>
  <w:style w:type="character" w:customStyle="1" w:styleId="55">
    <w:name w:val="正文缩进 Char"/>
    <w:link w:val="5"/>
    <w:qFormat/>
    <w:uiPriority w:val="0"/>
    <w:rPr>
      <w:kern w:val="2"/>
      <w:sz w:val="21"/>
      <w:szCs w:val="21"/>
    </w:rPr>
  </w:style>
  <w:style w:type="character" w:customStyle="1" w:styleId="56">
    <w:name w:val="标题 7 Char"/>
    <w:link w:val="9"/>
    <w:qFormat/>
    <w:uiPriority w:val="0"/>
    <w:rPr>
      <w:b/>
      <w:bCs/>
      <w:kern w:val="2"/>
      <w:sz w:val="24"/>
      <w:szCs w:val="24"/>
    </w:rPr>
  </w:style>
  <w:style w:type="character" w:customStyle="1" w:styleId="57">
    <w:name w:val="文档结构图 Char"/>
    <w:link w:val="14"/>
    <w:qFormat/>
    <w:uiPriority w:val="0"/>
    <w:rPr>
      <w:rFonts w:eastAsia="宋体"/>
      <w:kern w:val="2"/>
      <w:sz w:val="21"/>
      <w:szCs w:val="21"/>
      <w:lang w:val="en-US" w:eastAsia="zh-CN" w:bidi="ar-SA"/>
    </w:rPr>
  </w:style>
  <w:style w:type="character" w:customStyle="1" w:styleId="58">
    <w:name w:val="纯文本 Char"/>
    <w:link w:val="24"/>
    <w:qFormat/>
    <w:uiPriority w:val="0"/>
    <w:rPr>
      <w:rFonts w:ascii="宋体" w:hAnsi="Courier New" w:cs="Courier New"/>
      <w:kern w:val="2"/>
      <w:sz w:val="21"/>
      <w:szCs w:val="21"/>
    </w:rPr>
  </w:style>
  <w:style w:type="character" w:customStyle="1" w:styleId="59">
    <w:name w:val="页眉 Char"/>
    <w:link w:val="30"/>
    <w:qFormat/>
    <w:uiPriority w:val="99"/>
    <w:rPr>
      <w:kern w:val="2"/>
      <w:sz w:val="18"/>
      <w:szCs w:val="18"/>
    </w:rPr>
  </w:style>
  <w:style w:type="character" w:customStyle="1" w:styleId="60">
    <w:name w:val="正文首行缩进 2 Char"/>
    <w:link w:val="45"/>
    <w:qFormat/>
    <w:uiPriority w:val="0"/>
    <w:rPr>
      <w:rFonts w:ascii="宋体" w:hAnsi="宋体"/>
      <w:kern w:val="2"/>
      <w:sz w:val="21"/>
    </w:rPr>
  </w:style>
  <w:style w:type="paragraph" w:customStyle="1" w:styleId="6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2">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styleId="63">
    <w:name w:val="List Paragraph"/>
    <w:basedOn w:val="1"/>
    <w:qFormat/>
    <w:uiPriority w:val="34"/>
    <w:pPr>
      <w:widowControl/>
      <w:ind w:left="720"/>
      <w:contextualSpacing/>
      <w:jc w:val="left"/>
    </w:pPr>
    <w:rPr>
      <w:rFonts w:ascii="Calibri" w:hAnsi="Calibri"/>
      <w:kern w:val="0"/>
      <w:sz w:val="24"/>
      <w:szCs w:val="24"/>
      <w:lang w:eastAsia="en-US" w:bidi="en-US"/>
    </w:rPr>
  </w:style>
  <w:style w:type="paragraph" w:customStyle="1" w:styleId="64">
    <w:name w:val="一级条标题"/>
    <w:basedOn w:val="65"/>
    <w:next w:val="66"/>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65">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66">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7">
    <w:name w:val="apple-converted-space"/>
    <w:qFormat/>
    <w:uiPriority w:val="99"/>
  </w:style>
  <w:style w:type="character" w:customStyle="1" w:styleId="68">
    <w:name w:val="NormalCharacter"/>
    <w:qFormat/>
    <w:uiPriority w:val="0"/>
  </w:style>
  <w:style w:type="character" w:customStyle="1" w:styleId="69">
    <w:name w:val="font21"/>
    <w:qFormat/>
    <w:uiPriority w:val="0"/>
    <w:rPr>
      <w:rFonts w:hint="eastAsia" w:ascii="宋体" w:hAnsi="宋体" w:eastAsia="宋体"/>
      <w:color w:val="000000"/>
      <w:sz w:val="22"/>
      <w:szCs w:val="22"/>
      <w:u w:val="none"/>
    </w:rPr>
  </w:style>
  <w:style w:type="character" w:customStyle="1" w:styleId="70">
    <w:name w:val="font01"/>
    <w:qFormat/>
    <w:uiPriority w:val="0"/>
    <w:rPr>
      <w:rFonts w:hint="eastAsia" w:ascii="宋体" w:hAnsi="宋体" w:eastAsia="宋体" w:cs="宋体"/>
      <w:color w:val="000000"/>
      <w:sz w:val="21"/>
      <w:szCs w:val="21"/>
      <w:u w:val="none"/>
    </w:rPr>
  </w:style>
  <w:style w:type="character" w:customStyle="1" w:styleId="71">
    <w:name w:val="Char Char Char Char Char"/>
    <w:link w:val="72"/>
    <w:qFormat/>
    <w:uiPriority w:val="0"/>
    <w:rPr>
      <w:rFonts w:ascii="Tahoma" w:hAnsi="Tahoma" w:eastAsia="宋体"/>
      <w:kern w:val="2"/>
      <w:sz w:val="24"/>
      <w:szCs w:val="24"/>
      <w:lang w:val="en-US" w:eastAsia="zh-CN" w:bidi="ar-SA"/>
    </w:rPr>
  </w:style>
  <w:style w:type="paragraph" w:customStyle="1" w:styleId="72">
    <w:name w:val="Char Char Char Char"/>
    <w:basedOn w:val="14"/>
    <w:link w:val="71"/>
    <w:qFormat/>
    <w:uiPriority w:val="0"/>
    <w:pPr>
      <w:adjustRightInd w:val="0"/>
      <w:snapToGrid w:val="0"/>
      <w:spacing w:line="360" w:lineRule="auto"/>
    </w:pPr>
    <w:rPr>
      <w:rFonts w:ascii="Tahoma" w:hAnsi="Tahoma"/>
      <w:sz w:val="24"/>
      <w:szCs w:val="24"/>
    </w:rPr>
  </w:style>
  <w:style w:type="character" w:customStyle="1" w:styleId="73">
    <w:name w:val="font5 Char"/>
    <w:qFormat/>
    <w:uiPriority w:val="0"/>
    <w:rPr>
      <w:rFonts w:ascii="宋体" w:hAnsi="宋体" w:eastAsia="宋体"/>
      <w:sz w:val="28"/>
      <w:szCs w:val="28"/>
      <w:lang w:val="en-US" w:eastAsia="zh-CN" w:bidi="ar-SA"/>
    </w:rPr>
  </w:style>
  <w:style w:type="character" w:customStyle="1" w:styleId="74">
    <w:name w:val="列出段落 Char"/>
    <w:link w:val="75"/>
    <w:qFormat/>
    <w:locked/>
    <w:uiPriority w:val="0"/>
    <w:rPr>
      <w:rFonts w:ascii="Calibri" w:hAnsi="Calibri"/>
      <w:sz w:val="24"/>
      <w:szCs w:val="24"/>
      <w:lang w:eastAsia="en-US" w:bidi="en-US"/>
    </w:rPr>
  </w:style>
  <w:style w:type="paragraph" w:customStyle="1" w:styleId="75">
    <w:name w:val="列出段落1"/>
    <w:basedOn w:val="1"/>
    <w:link w:val="74"/>
    <w:qFormat/>
    <w:uiPriority w:val="0"/>
    <w:pPr>
      <w:widowControl/>
      <w:ind w:left="720"/>
      <w:contextualSpacing/>
      <w:jc w:val="left"/>
    </w:pPr>
    <w:rPr>
      <w:rFonts w:ascii="Calibri" w:hAnsi="Calibri"/>
      <w:kern w:val="0"/>
      <w:sz w:val="24"/>
      <w:szCs w:val="24"/>
      <w:lang w:eastAsia="en-US" w:bidi="en-US"/>
    </w:rPr>
  </w:style>
  <w:style w:type="character" w:customStyle="1" w:styleId="76">
    <w:name w:val="普通正文 Char"/>
    <w:link w:val="77"/>
    <w:qFormat/>
    <w:uiPriority w:val="0"/>
    <w:rPr>
      <w:rFonts w:ascii="Arial" w:hAnsi="Arial"/>
      <w:sz w:val="24"/>
      <w:szCs w:val="24"/>
    </w:rPr>
  </w:style>
  <w:style w:type="paragraph" w:customStyle="1" w:styleId="77">
    <w:name w:val="普通正文"/>
    <w:basedOn w:val="1"/>
    <w:link w:val="76"/>
    <w:qFormat/>
    <w:uiPriority w:val="0"/>
    <w:pPr>
      <w:adjustRightInd w:val="0"/>
      <w:spacing w:before="120" w:after="120" w:line="360" w:lineRule="auto"/>
      <w:ind w:firstLine="480"/>
      <w:jc w:val="left"/>
      <w:textAlignment w:val="baseline"/>
    </w:pPr>
    <w:rPr>
      <w:rFonts w:ascii="Arial" w:hAnsi="Arial"/>
      <w:kern w:val="0"/>
      <w:sz w:val="24"/>
      <w:szCs w:val="24"/>
    </w:rPr>
  </w:style>
  <w:style w:type="character" w:customStyle="1" w:styleId="78">
    <w:name w:val="二级目录 Char"/>
    <w:link w:val="79"/>
    <w:qFormat/>
    <w:uiPriority w:val="0"/>
    <w:rPr>
      <w:b/>
      <w:kern w:val="2"/>
      <w:sz w:val="30"/>
      <w:szCs w:val="28"/>
    </w:rPr>
  </w:style>
  <w:style w:type="paragraph" w:customStyle="1" w:styleId="79">
    <w:name w:val="二级目录"/>
    <w:next w:val="1"/>
    <w:link w:val="78"/>
    <w:qFormat/>
    <w:uiPriority w:val="0"/>
    <w:pPr>
      <w:tabs>
        <w:tab w:val="left" w:pos="907"/>
        <w:tab w:val="left" w:pos="1145"/>
      </w:tabs>
      <w:ind w:left="907" w:hanging="907"/>
      <w:outlineLvl w:val="1"/>
    </w:pPr>
    <w:rPr>
      <w:rFonts w:ascii="Times New Roman" w:hAnsi="Times New Roman" w:eastAsia="宋体" w:cs="Times New Roman"/>
      <w:b/>
      <w:kern w:val="2"/>
      <w:sz w:val="30"/>
      <w:szCs w:val="28"/>
      <w:lang w:val="en-US" w:eastAsia="zh-CN" w:bidi="ar-SA"/>
    </w:rPr>
  </w:style>
  <w:style w:type="paragraph" w:customStyle="1" w:styleId="80">
    <w:name w:val="Char"/>
    <w:basedOn w:val="14"/>
    <w:qFormat/>
    <w:uiPriority w:val="0"/>
    <w:rPr>
      <w:rFonts w:ascii="Tahoma" w:hAnsi="Tahoma"/>
      <w:sz w:val="24"/>
      <w:szCs w:val="24"/>
    </w:rPr>
  </w:style>
  <w:style w:type="paragraph" w:customStyle="1" w:styleId="81">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82">
    <w:name w:val="table_1stline"/>
    <w:basedOn w:val="1"/>
    <w:qFormat/>
    <w:uiPriority w:val="0"/>
    <w:pPr>
      <w:widowControl/>
      <w:spacing w:before="120"/>
      <w:jc w:val="left"/>
    </w:pPr>
    <w:rPr>
      <w:bCs/>
      <w:kern w:val="0"/>
      <w:sz w:val="20"/>
      <w:szCs w:val="20"/>
      <w:lang w:val="de-DE" w:eastAsia="de-DE"/>
    </w:rPr>
  </w:style>
  <w:style w:type="paragraph" w:customStyle="1" w:styleId="83">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84">
    <w:name w:val="BodyText"/>
    <w:basedOn w:val="1"/>
    <w:qFormat/>
    <w:uiPriority w:val="0"/>
    <w:pPr>
      <w:spacing w:after="120"/>
      <w:textAlignment w:val="baseline"/>
    </w:pPr>
    <w:rPr>
      <w:kern w:val="0"/>
      <w:sz w:val="20"/>
      <w:szCs w:val="24"/>
    </w:rPr>
  </w:style>
  <w:style w:type="paragraph" w:customStyle="1" w:styleId="85">
    <w:name w:val="font6"/>
    <w:basedOn w:val="1"/>
    <w:qFormat/>
    <w:uiPriority w:val="0"/>
    <w:pPr>
      <w:widowControl/>
      <w:spacing w:before="100" w:beforeAutospacing="1" w:after="100" w:afterAutospacing="1"/>
      <w:jc w:val="left"/>
    </w:pPr>
    <w:rPr>
      <w:rFonts w:hint="eastAsia" w:ascii="宋体" w:hAnsi="宋体"/>
      <w:kern w:val="0"/>
      <w:sz w:val="28"/>
      <w:szCs w:val="28"/>
      <w:u w:val="single"/>
    </w:rPr>
  </w:style>
  <w:style w:type="paragraph" w:styleId="8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
    <w:name w:val="font5"/>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88">
    <w:name w:val="xl25"/>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89">
    <w:name w:val="BodyText1I"/>
    <w:basedOn w:val="84"/>
    <w:qFormat/>
    <w:uiPriority w:val="0"/>
    <w:pPr>
      <w:ind w:firstLine="420" w:firstLineChars="100"/>
    </w:pPr>
  </w:style>
  <w:style w:type="paragraph" w:customStyle="1" w:styleId="90">
    <w:name w:val="Body Text(ch)"/>
    <w:basedOn w:val="1"/>
    <w:next w:val="17"/>
    <w:qFormat/>
    <w:uiPriority w:val="0"/>
    <w:pPr>
      <w:spacing w:after="120"/>
    </w:pPr>
    <w:rPr>
      <w:rFonts w:ascii="宋体" w:hAnsi="Arial"/>
      <w:bCs/>
      <w:iCs/>
      <w:szCs w:val="24"/>
    </w:rPr>
  </w:style>
  <w:style w:type="paragraph" w:customStyle="1" w:styleId="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92">
    <w:name w:val="p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3">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94">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5">
    <w:name w:val="附录1"/>
    <w:qFormat/>
    <w:uiPriority w:val="0"/>
    <w:pPr>
      <w:tabs>
        <w:tab w:val="left" w:pos="907"/>
      </w:tabs>
      <w:snapToGrid w:val="0"/>
      <w:spacing w:before="240" w:line="600" w:lineRule="atLeast"/>
      <w:ind w:left="907" w:hanging="907"/>
    </w:pPr>
    <w:rPr>
      <w:rFonts w:ascii="Times New Roman" w:hAnsi="Times New Roman" w:eastAsia="宋体" w:cs="Times New Roman"/>
      <w:b/>
      <w:i/>
      <w:sz w:val="28"/>
      <w:lang w:val="en-US" w:eastAsia="zh-CN" w:bidi="ar-SA"/>
    </w:rPr>
  </w:style>
  <w:style w:type="paragraph" w:customStyle="1" w:styleId="96">
    <w:name w:val="图标"/>
    <w:basedOn w:val="1"/>
    <w:next w:val="1"/>
    <w:qFormat/>
    <w:uiPriority w:val="0"/>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eastAsia="仿宋_GB2312"/>
      <w:kern w:val="0"/>
      <w:sz w:val="24"/>
      <w:szCs w:val="20"/>
    </w:rPr>
  </w:style>
  <w:style w:type="paragraph" w:customStyle="1" w:styleId="97">
    <w:name w:val="font7"/>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98">
    <w:name w:val="样式1"/>
    <w:basedOn w:val="99"/>
    <w:next w:val="1"/>
    <w:qFormat/>
    <w:uiPriority w:val="0"/>
    <w:pPr>
      <w:tabs>
        <w:tab w:val="left" w:pos="360"/>
        <w:tab w:val="left" w:pos="709"/>
      </w:tabs>
      <w:adjustRightInd w:val="0"/>
      <w:ind w:left="709" w:hanging="709"/>
      <w:textAlignment w:val="baseline"/>
    </w:pPr>
    <w:rPr>
      <w:rFonts w:ascii="宋体" w:hAnsi="宋体"/>
      <w:kern w:val="0"/>
    </w:rPr>
  </w:style>
  <w:style w:type="paragraph" w:customStyle="1" w:styleId="99">
    <w:name w:val="Char1"/>
    <w:basedOn w:val="1"/>
    <w:qFormat/>
    <w:uiPriority w:val="0"/>
    <w:pPr>
      <w:tabs>
        <w:tab w:val="left" w:pos="360"/>
      </w:tabs>
      <w:ind w:firstLine="200" w:firstLineChars="200"/>
    </w:pPr>
    <w:rPr>
      <w:sz w:val="28"/>
      <w:szCs w:val="30"/>
    </w:rPr>
  </w:style>
  <w:style w:type="paragraph" w:customStyle="1" w:styleId="100">
    <w:name w:val="xl30"/>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101">
    <w:name w:val="普通 (Web)"/>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102">
    <w:name w:val="[Normal]"/>
    <w:qFormat/>
    <w:uiPriority w:val="0"/>
    <w:rPr>
      <w:rFonts w:ascii="方正仿宋简体" w:hAnsi="方正仿宋简体" w:eastAsia="方正仿宋简体" w:cs="Courier New"/>
      <w:sz w:val="24"/>
      <w:szCs w:val="22"/>
      <w:lang w:val="zh-CN" w:eastAsia="zh-CN" w:bidi="ar-SA"/>
    </w:rPr>
  </w:style>
  <w:style w:type="paragraph" w:customStyle="1" w:styleId="103">
    <w:name w:val="xl29"/>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104">
    <w:name w:val="Char Char Char Char Char Char Char Char Char Char"/>
    <w:basedOn w:val="1"/>
    <w:qFormat/>
    <w:uiPriority w:val="0"/>
    <w:pPr>
      <w:adjustRightInd w:val="0"/>
      <w:spacing w:line="360" w:lineRule="auto"/>
    </w:pPr>
    <w:rPr>
      <w:kern w:val="0"/>
      <w:sz w:val="24"/>
      <w:szCs w:val="20"/>
    </w:rPr>
  </w:style>
  <w:style w:type="paragraph" w:customStyle="1" w:styleId="105">
    <w:name w:val="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06">
    <w:name w:val="列出段落2"/>
    <w:basedOn w:val="1"/>
    <w:qFormat/>
    <w:uiPriority w:val="34"/>
    <w:pPr>
      <w:ind w:firstLine="420" w:firstLineChars="200"/>
    </w:pPr>
    <w:rPr>
      <w:szCs w:val="24"/>
    </w:rPr>
  </w:style>
  <w:style w:type="paragraph" w:customStyle="1" w:styleId="107">
    <w:name w:val="table_lines"/>
    <w:basedOn w:val="1"/>
    <w:qFormat/>
    <w:uiPriority w:val="0"/>
    <w:pPr>
      <w:widowControl/>
      <w:jc w:val="left"/>
    </w:pPr>
    <w:rPr>
      <w:kern w:val="0"/>
      <w:sz w:val="20"/>
      <w:szCs w:val="20"/>
      <w:lang w:val="de-DE" w:eastAsia="de-DE"/>
    </w:rPr>
  </w:style>
  <w:style w:type="paragraph" w:customStyle="1" w:styleId="108">
    <w:name w:val="4"/>
    <w:basedOn w:val="1"/>
    <w:next w:val="35"/>
    <w:qFormat/>
    <w:uiPriority w:val="99"/>
    <w:pPr>
      <w:spacing w:line="360" w:lineRule="auto"/>
      <w:ind w:firstLine="420"/>
    </w:pPr>
    <w:rPr>
      <w:color w:val="FF0000"/>
      <w:sz w:val="24"/>
      <w:szCs w:val="24"/>
    </w:rPr>
  </w:style>
  <w:style w:type="paragraph" w:customStyle="1" w:styleId="109">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24"/>
      <w:szCs w:val="24"/>
    </w:rPr>
  </w:style>
  <w:style w:type="paragraph" w:customStyle="1" w:styleId="110">
    <w:name w:val="Heading3"/>
    <w:basedOn w:val="1"/>
    <w:next w:val="111"/>
    <w:qFormat/>
    <w:uiPriority w:val="0"/>
    <w:pPr>
      <w:keepNext/>
      <w:keepLines/>
      <w:spacing w:before="260" w:after="260" w:line="416" w:lineRule="auto"/>
    </w:pPr>
    <w:rPr>
      <w:sz w:val="32"/>
      <w:szCs w:val="32"/>
    </w:rPr>
  </w:style>
  <w:style w:type="paragraph" w:customStyle="1" w:styleId="111">
    <w:name w:val="NormalIndent"/>
    <w:basedOn w:val="1"/>
    <w:qFormat/>
    <w:uiPriority w:val="0"/>
    <w:pPr>
      <w:ind w:firstLine="420"/>
    </w:pPr>
  </w:style>
  <w:style w:type="paragraph" w:customStyle="1" w:styleId="112">
    <w:name w:val="Char Char Char Char1"/>
    <w:basedOn w:val="14"/>
    <w:qFormat/>
    <w:uiPriority w:val="0"/>
    <w:pPr>
      <w:adjustRightInd w:val="0"/>
      <w:snapToGrid w:val="0"/>
      <w:spacing w:line="360" w:lineRule="auto"/>
    </w:pPr>
    <w:rPr>
      <w:rFonts w:ascii="Tahoma" w:hAnsi="Tahoma"/>
      <w:sz w:val="24"/>
      <w:szCs w:val="24"/>
    </w:rPr>
  </w:style>
  <w:style w:type="paragraph" w:customStyle="1" w:styleId="113">
    <w:name w:val="标题3"/>
    <w:basedOn w:val="1"/>
    <w:next w:val="1"/>
    <w:qFormat/>
    <w:uiPriority w:val="0"/>
    <w:pPr>
      <w:autoSpaceDE w:val="0"/>
      <w:autoSpaceDN w:val="0"/>
      <w:snapToGrid w:val="0"/>
      <w:spacing w:line="590" w:lineRule="atLeast"/>
      <w:ind w:firstLine="624"/>
    </w:pPr>
    <w:rPr>
      <w:rFonts w:ascii="方正黑体_GBK" w:eastAsia="方正黑体_GBK"/>
      <w:snapToGrid w:val="0"/>
      <w:kern w:val="0"/>
      <w:sz w:val="32"/>
      <w:szCs w:val="32"/>
    </w:rPr>
  </w:style>
  <w:style w:type="paragraph" w:customStyle="1" w:styleId="114">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15">
    <w:name w:val="_Style 3"/>
    <w:basedOn w:val="18"/>
    <w:next w:val="45"/>
    <w:qFormat/>
    <w:uiPriority w:val="0"/>
    <w:pPr>
      <w:spacing w:line="360" w:lineRule="auto"/>
      <w:ind w:firstLine="420" w:firstLineChars="200"/>
    </w:pPr>
    <w:rPr>
      <w:rFonts w:ascii="宋体" w:hAnsi="宋体" w:eastAsia="宋体"/>
      <w:sz w:val="21"/>
      <w:szCs w:val="22"/>
    </w:rPr>
  </w:style>
  <w:style w:type="paragraph" w:customStyle="1" w:styleId="116">
    <w:name w:val="纯文本1"/>
    <w:basedOn w:val="1"/>
    <w:qFormat/>
    <w:uiPriority w:val="0"/>
    <w:pPr>
      <w:adjustRightInd w:val="0"/>
    </w:pPr>
    <w:rPr>
      <w:rFonts w:ascii="宋体" w:hAnsi="Courier New" w:eastAsia="楷体_GB2312"/>
      <w:sz w:val="28"/>
      <w:szCs w:val="20"/>
    </w:rPr>
  </w:style>
  <w:style w:type="paragraph" w:customStyle="1" w:styleId="117">
    <w:name w:val="Andy_正文"/>
    <w:basedOn w:val="1"/>
    <w:qFormat/>
    <w:uiPriority w:val="0"/>
    <w:pPr>
      <w:spacing w:line="360" w:lineRule="auto"/>
      <w:ind w:firstLine="480" w:firstLineChars="200"/>
    </w:pPr>
    <w:rPr>
      <w:rFonts w:ascii="Calibri" w:hAnsi="Calibri"/>
      <w:kern w:val="0"/>
      <w:sz w:val="24"/>
      <w:szCs w:val="24"/>
    </w:rPr>
  </w:style>
  <w:style w:type="paragraph" w:customStyle="1" w:styleId="118">
    <w:name w:val="Plain Text1"/>
    <w:basedOn w:val="1"/>
    <w:qFormat/>
    <w:uiPriority w:val="0"/>
    <w:pPr>
      <w:adjustRightInd w:val="0"/>
    </w:pPr>
    <w:rPr>
      <w:rFonts w:ascii="宋体" w:hAnsi="Courier New"/>
      <w:szCs w:val="24"/>
    </w:rPr>
  </w:style>
  <w:style w:type="paragraph" w:customStyle="1" w:styleId="119">
    <w:name w:val="纯文本21"/>
    <w:basedOn w:val="1"/>
    <w:qFormat/>
    <w:uiPriority w:val="0"/>
    <w:pPr>
      <w:adjustRightInd w:val="0"/>
    </w:pPr>
    <w:rPr>
      <w:rFonts w:ascii="宋体" w:hAnsi="Courier New"/>
      <w:szCs w:val="24"/>
    </w:rPr>
  </w:style>
  <w:style w:type="character" w:customStyle="1" w:styleId="120">
    <w:name w:val="正文文本 Char"/>
    <w:link w:val="121"/>
    <w:qFormat/>
    <w:uiPriority w:val="0"/>
    <w:rPr>
      <w:sz w:val="28"/>
      <w:szCs w:val="24"/>
    </w:rPr>
  </w:style>
  <w:style w:type="paragraph" w:customStyle="1" w:styleId="121">
    <w:name w:val="正文文本1"/>
    <w:basedOn w:val="1"/>
    <w:link w:val="120"/>
    <w:qFormat/>
    <w:uiPriority w:val="0"/>
    <w:pPr>
      <w:spacing w:after="120"/>
    </w:pPr>
    <w:rPr>
      <w:kern w:val="0"/>
      <w:sz w:val="28"/>
      <w:szCs w:val="24"/>
    </w:rPr>
  </w:style>
  <w:style w:type="paragraph" w:customStyle="1" w:styleId="122">
    <w:name w:val="TOC 标题1"/>
    <w:basedOn w:val="2"/>
    <w:next w:val="1"/>
    <w:qFormat/>
    <w:uiPriority w:val="39"/>
    <w:pPr>
      <w:keepLines/>
      <w:widowControl/>
      <w:spacing w:before="240" w:line="259" w:lineRule="auto"/>
      <w:jc w:val="left"/>
      <w:outlineLvl w:val="9"/>
    </w:pPr>
    <w:rPr>
      <w:rFonts w:ascii="Calibri Light" w:hAnsi="Calibri Light" w:eastAsia="宋体"/>
      <w:color w:val="2E74B5"/>
      <w:kern w:val="0"/>
      <w:sz w:val="32"/>
      <w:szCs w:val="32"/>
    </w:rPr>
  </w:style>
  <w:style w:type="character" w:customStyle="1" w:styleId="123">
    <w:name w:val="页脚 Char"/>
    <w:basedOn w:val="48"/>
    <w:link w:val="29"/>
    <w:qFormat/>
    <w:uiPriority w:val="99"/>
    <w:rPr>
      <w:kern w:val="2"/>
      <w:sz w:val="18"/>
      <w:szCs w:val="18"/>
    </w:rPr>
  </w:style>
  <w:style w:type="paragraph" w:customStyle="1" w:styleId="124">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Desktop\&#32834;\&#36130;&#25919;&#21381;&#23616;&#22495;&#32593;&#26631;&#200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8CA8A7-4761-42A7-BA24-35805D20AEE9}">
  <ds:schemaRefs/>
</ds:datastoreItem>
</file>

<file path=docProps/app.xml><?xml version="1.0" encoding="utf-8"?>
<Properties xmlns="http://schemas.openxmlformats.org/officeDocument/2006/extended-properties" xmlns:vt="http://schemas.openxmlformats.org/officeDocument/2006/docPropsVTypes">
  <Template>财政厅局域网标书.dot</Template>
  <Pages>48</Pages>
  <Words>23710</Words>
  <Characters>25111</Characters>
  <Lines>201</Lines>
  <Paragraphs>56</Paragraphs>
  <TotalTime>11</TotalTime>
  <ScaleCrop>false</ScaleCrop>
  <LinksUpToDate>false</LinksUpToDate>
  <CharactersWithSpaces>26641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2024-07-28T10:23:00Z</dcterms:created>
  <dc:creator>国信采购</dc:creator>
  <cp:lastModifiedBy>刘伟</cp:lastModifiedBy>
  <cp:lastPrinted>2024-02-29T01:33:00Z</cp:lastPrinted>
  <dcterms:modified xsi:type="dcterms:W3CDTF">2024-11-07T01:17:24Z</dcterms:modified>
  <dc:title>招标文件</dc:title>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5A7C7A9932AC411488F3A11C3CBD91B8_13</vt:lpwstr>
  </property>
  <property fmtid="{D5CDD505-2E9C-101B-9397-08002B2CF9AE}" pid="4" name="KSOSaveFontToCloudKey">
    <vt:lpwstr>0_embed</vt:lpwstr>
  </property>
</Properties>
</file>