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AA119">
      <w:pPr>
        <w:spacing w:line="420" w:lineRule="exact"/>
        <w:jc w:val="center"/>
        <w:rPr>
          <w:rFonts w:hint="eastAsia" w:ascii="黑体" w:hAnsi="黑体" w:eastAsia="黑体" w:cs="Times New Roman"/>
          <w:b/>
          <w:sz w:val="36"/>
          <w:szCs w:val="28"/>
        </w:rPr>
      </w:pPr>
      <w:r>
        <w:rPr>
          <w:rFonts w:hint="eastAsia" w:ascii="黑体" w:hAnsi="黑体" w:eastAsia="黑体" w:cs="Times New Roman"/>
          <w:b/>
          <w:sz w:val="36"/>
          <w:szCs w:val="28"/>
        </w:rPr>
        <w:t>WatersTQD高效液相色谱质谱联用仪碰撞电源</w:t>
      </w:r>
    </w:p>
    <w:p w14:paraId="0265E4C1">
      <w:pPr>
        <w:spacing w:line="420" w:lineRule="exact"/>
        <w:jc w:val="center"/>
        <w:rPr>
          <w:rFonts w:ascii="黑体" w:hAnsi="黑体" w:eastAsia="黑体" w:cs="Times New Roman"/>
          <w:b/>
          <w:sz w:val="36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sz w:val="36"/>
          <w:szCs w:val="28"/>
        </w:rPr>
        <w:t>维修需求</w:t>
      </w:r>
    </w:p>
    <w:p w14:paraId="1A05704B">
      <w:pPr>
        <w:spacing w:line="340" w:lineRule="exact"/>
        <w:ind w:firstLine="241" w:firstLineChars="100"/>
        <w:jc w:val="center"/>
        <w:rPr>
          <w:rFonts w:ascii="宋体" w:hAnsi="宋体"/>
          <w:b/>
          <w:sz w:val="24"/>
          <w:szCs w:val="24"/>
        </w:rPr>
      </w:pPr>
    </w:p>
    <w:p w14:paraId="5813A112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一、项目概况</w:t>
      </w:r>
    </w:p>
    <w:p w14:paraId="6D1F12C5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本项目主要通过LC-MS TQD射频碰撞电源的维修，满足小分子化合物包括但不限于天然产物，候选活性药物等定量检测的需要，为教学和科研提供技术支持。</w:t>
      </w:r>
    </w:p>
    <w:p w14:paraId="315570D8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二、技术要求</w:t>
      </w:r>
    </w:p>
    <w:p w14:paraId="23D33FA5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1、质量要求：</w:t>
      </w:r>
    </w:p>
    <w:p w14:paraId="7BE7262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（1）备件规格及数量</w:t>
      </w:r>
    </w:p>
    <w:p w14:paraId="4D455DC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备件名称：TQD 射频碰撞电源组件（RF Generator）；</w:t>
      </w:r>
    </w:p>
    <w:p w14:paraId="2866754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规格：适配 Waters TQ Detector 或 Xevo TQD 系列，符合原厂硬件版本兼容性（PN 序列号匹配）；</w:t>
      </w:r>
    </w:p>
    <w:p w14:paraId="3B8A3CCB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数量：1 套。</w:t>
      </w:r>
    </w:p>
    <w:p w14:paraId="330BE58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（2）维修安装及硬件质控标准</w:t>
      </w:r>
    </w:p>
    <w:p w14:paraId="7C2216A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环境要求： 维修操作需在防静电环境下进行，操作人员需佩戴防静电手环；</w:t>
      </w:r>
    </w:p>
    <w:p w14:paraId="5E9ED65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安装标准： 射频线缆连接牢固，屏蔽罩安装到位，无射频泄漏风险；</w:t>
      </w:r>
    </w:p>
    <w:p w14:paraId="1029B2F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电源稳定性： 射频输出电压波动率 &lt; 0.5%，确保高频电场在高压扫描时的线性度；</w:t>
      </w:r>
    </w:p>
    <w:p w14:paraId="1D27D7C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真空反馈： 更换后系统真空度需恢复至正常工作范围（分析器真空通常需达到 &lt; 5e-5 mbar）。</w:t>
      </w:r>
    </w:p>
    <w:p w14:paraId="75CE9FB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（3）性能验证（QC）标准</w:t>
      </w:r>
    </w:p>
    <w:p w14:paraId="038D070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更换射频电源后，必须通过 IntelliStart 自动或手动调谐验证，质控标准如下：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4530"/>
        <w:gridCol w:w="3278"/>
      </w:tblGrid>
      <w:tr w14:paraId="56D3C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175E2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等级评价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6D2AA8E3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情况描述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1F4EC718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运行说明</w:t>
            </w:r>
          </w:p>
        </w:tc>
      </w:tr>
      <w:tr w14:paraId="2F097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0B872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4A688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质量轴偏移 &lt; ±0.1 Da；峰宽（FWHM）在 0.7 ± 0.1 Da；信噪比（S/N）达到原厂验收指标。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D1840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性能完全恢复，可正常进行定量分析。</w:t>
            </w:r>
          </w:p>
        </w:tc>
      </w:tr>
      <w:tr w14:paraId="1446E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87A5B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较低风险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39495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质量轴偏移在 ±0.2 Da 之间；分辨率略微超标，但可通过手动调谐校正。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F0769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需进行手动质量轴校准（Mass Calibration）后方可使用。</w:t>
            </w:r>
          </w:p>
        </w:tc>
      </w:tr>
      <w:tr w14:paraId="41944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70ED2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较高风险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85332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射频回波值（Reflected Power）过高；无法锁定质量中心；峰形严重畸变。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007B6">
            <w:pPr>
              <w:widowControl/>
              <w:spacing w:after="48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禁止进行样品质谱分析，需重新排查电路匹配或真空系统。</w:t>
            </w:r>
          </w:p>
        </w:tc>
      </w:tr>
    </w:tbl>
    <w:p w14:paraId="1E1C9242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（4）校准策略</w:t>
      </w:r>
    </w:p>
    <w:p w14:paraId="3505D9CB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质量轴校准： 使用 NaI（碘化钠）或 CsI（碘化铯）溶液进行全质量范围（2-2048 m/z）校准；</w:t>
      </w:r>
    </w:p>
    <w:p w14:paraId="0A12E2B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灵敏度验证： 使用 Reserpine（利血平）或 Sulfadimethoxine（磺胺二甲嘧啶）标准品进行正/负离子模式灵敏度测试。</w:t>
      </w:r>
    </w:p>
    <w:p w14:paraId="78F66E4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数据稳定性要求：连续 24 小时运行，质量轴漂移不超过 ±0.1 Da；重现性要求：连续 6 次标准品注射，峰面积 RSD &lt; 5%。</w:t>
      </w:r>
    </w:p>
    <w:p w14:paraId="64137C6D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（5）</w:t>
      </w:r>
      <w:r>
        <w:rPr>
          <w:rFonts w:ascii="宋体" w:hAnsi="宋体" w:eastAsia="宋体" w:cs="Times New Roman"/>
          <w:sz w:val="24"/>
          <w:szCs w:val="24"/>
        </w:rPr>
        <w:t>项目维修周期</w:t>
      </w:r>
    </w:p>
    <w:p w14:paraId="57734E94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备件到货：确认报修后不超过 10 个工作日内备件到场；</w:t>
      </w:r>
    </w:p>
    <w:p w14:paraId="2B6A6F48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现场施工：硬件更换及真空恢复需在 2 个工作日内完成；</w:t>
      </w:r>
    </w:p>
    <w:p w14:paraId="6540BD31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性能验收： 调试、校准及稳定性验证总计不超过 5 个工作日，最终提供完整的《仪器维修与性能验证报告》。</w:t>
      </w:r>
    </w:p>
    <w:p w14:paraId="7DA6F1A8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2、安全要求：</w:t>
      </w:r>
    </w:p>
    <w:p w14:paraId="68F2673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严格遵守质谱操作规程</w:t>
      </w:r>
      <w:r>
        <w:rPr>
          <w:rFonts w:ascii="Times New Roman" w:hAnsi="Times New Roman" w:eastAsia="宋体" w:cs="Times New Roman"/>
          <w:sz w:val="24"/>
          <w:szCs w:val="24"/>
        </w:rPr>
        <w:t>。废弃物处理遵循《生物实验室生物安全管理条例》</w:t>
      </w:r>
      <w:r>
        <w:rPr>
          <w:rFonts w:hint="eastAsia" w:ascii="Times New Roman" w:hAnsi="Times New Roman" w:eastAsia="宋体" w:cs="Times New Roman"/>
          <w:sz w:val="24"/>
          <w:szCs w:val="24"/>
        </w:rPr>
        <w:t>，需按照生物安全要求进行分类处理。</w:t>
      </w:r>
    </w:p>
    <w:p w14:paraId="5BD52107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3、技术要求：</w:t>
      </w:r>
    </w:p>
    <w:p w14:paraId="6E29CE2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采用LC-MS TQD质谱检测，确保检测的灵敏度和分辨率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</w:rPr>
        <w:t>在实验过程中，严格按照标准化操作流程进行。</w:t>
      </w:r>
      <w:r>
        <w:rPr>
          <w:rFonts w:ascii="Times New Roman" w:hAnsi="Times New Roman" w:eastAsia="宋体" w:cs="Times New Roman"/>
          <w:sz w:val="24"/>
          <w:szCs w:val="24"/>
        </w:rPr>
        <w:t>在数据分析方面，</w:t>
      </w:r>
      <w:r>
        <w:rPr>
          <w:rFonts w:hint="eastAsia" w:ascii="Times New Roman" w:hAnsi="Times New Roman" w:eastAsia="宋体" w:cs="Times New Roman"/>
          <w:sz w:val="24"/>
          <w:szCs w:val="24"/>
        </w:rPr>
        <w:t>在数据分析方面，需运用专业的</w:t>
      </w:r>
      <w:r>
        <w:rPr>
          <w:rFonts w:ascii="Times New Roman" w:hAnsi="Times New Roman" w:eastAsia="宋体" w:cs="Times New Roman"/>
          <w:sz w:val="24"/>
          <w:szCs w:val="24"/>
        </w:rPr>
        <w:t>MassLynx软件</w:t>
      </w:r>
      <w:r>
        <w:rPr>
          <w:rFonts w:hint="eastAsia" w:ascii="Times New Roman" w:hAnsi="Times New Roman" w:eastAsia="宋体" w:cs="Times New Roman"/>
          <w:sz w:val="24"/>
          <w:szCs w:val="24"/>
        </w:rPr>
        <w:t>对检测的峰进行鉴定和定量分析。</w:t>
      </w:r>
    </w:p>
    <w:p w14:paraId="1C463F0A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三、质量和服务要求</w:t>
      </w:r>
    </w:p>
    <w:p w14:paraId="35C4456B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1、根据客户的研究目标和需求，提供成熟的技术维修和支持。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维修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结束后，提供详细的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维修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报告，包括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仪器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的故障分析和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维修后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的结果。建立完善的售后服务体系，对客户提出的疑问和建议进行及时回复和处理。对于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维修后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质谱的使用出现的问题和异议的进一步分析和应用，提供专业的咨询和指导。</w:t>
      </w:r>
    </w:p>
    <w:p w14:paraId="0CC35881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2、交付时间及地点要求：</w:t>
      </w:r>
    </w:p>
    <w:p w14:paraId="6AA122D8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（1）合同签订后，从</w:t>
      </w:r>
      <w:r>
        <w:rPr>
          <w:rFonts w:hint="eastAsia" w:ascii="Times New Roman" w:hAnsi="Times New Roman" w:eastAsia="宋体" w:cs="Times New Roman"/>
          <w:sz w:val="24"/>
          <w:szCs w:val="24"/>
        </w:rPr>
        <w:t>维修</w:t>
      </w:r>
      <w:r>
        <w:rPr>
          <w:rFonts w:ascii="Times New Roman" w:hAnsi="Times New Roman" w:eastAsia="宋体" w:cs="Times New Roman"/>
          <w:sz w:val="24"/>
          <w:szCs w:val="24"/>
        </w:rPr>
        <w:t>接收起，不超过30个工作日完成</w:t>
      </w:r>
      <w:r>
        <w:rPr>
          <w:rFonts w:hint="eastAsia" w:ascii="Times New Roman" w:hAnsi="Times New Roman" w:eastAsia="宋体" w:cs="Times New Roman"/>
          <w:sz w:val="24"/>
          <w:szCs w:val="24"/>
        </w:rPr>
        <w:t>维修</w:t>
      </w:r>
      <w:r>
        <w:rPr>
          <w:rFonts w:ascii="Times New Roman" w:hAnsi="Times New Roman" w:eastAsia="宋体" w:cs="Times New Roman"/>
          <w:sz w:val="24"/>
          <w:szCs w:val="24"/>
        </w:rPr>
        <w:t xml:space="preserve">，并提供维修报告。    </w:t>
      </w:r>
    </w:p>
    <w:p w14:paraId="66E3FAC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（2）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交付地点：</w:t>
      </w:r>
      <w:r>
        <w:rPr>
          <w:rFonts w:ascii="Times New Roman" w:hAnsi="Times New Roman" w:eastAsia="宋体" w:cs="Times New Roman"/>
          <w:sz w:val="24"/>
          <w:szCs w:val="24"/>
        </w:rPr>
        <w:t>江苏省盐城市解放南路283号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江苏医药职业学院</w:t>
      </w:r>
    </w:p>
    <w:p w14:paraId="4CADD7D2">
      <w:pPr>
        <w:adjustRightInd w:val="0"/>
        <w:snapToGrid w:val="0"/>
        <w:spacing w:line="360" w:lineRule="auto"/>
      </w:pPr>
      <w:r>
        <w:rPr>
          <w:rFonts w:ascii="Times New Roman" w:hAnsi="Times New Roman" w:eastAsia="宋体" w:cs="Times New Roman"/>
          <w:sz w:val="24"/>
          <w:szCs w:val="24"/>
        </w:rPr>
        <w:t>3、质保期及服务要求：本</w:t>
      </w:r>
      <w:r>
        <w:rPr>
          <w:rFonts w:hint="eastAsia" w:ascii="Times New Roman" w:hAnsi="Times New Roman" w:eastAsia="宋体" w:cs="Times New Roman"/>
          <w:sz w:val="24"/>
          <w:szCs w:val="24"/>
        </w:rPr>
        <w:t>本公司对所提供的维修服务提供12</w:t>
      </w:r>
      <w:r>
        <w:rPr>
          <w:rFonts w:ascii="Times New Roman" w:hAnsi="Times New Roman" w:eastAsia="宋体" w:cs="Times New Roman"/>
          <w:sz w:val="24"/>
          <w:szCs w:val="24"/>
        </w:rPr>
        <w:t>个月的质保期。在质保期内，本公司将对</w:t>
      </w:r>
      <w:r>
        <w:rPr>
          <w:rFonts w:hint="eastAsia" w:ascii="Times New Roman" w:hAnsi="Times New Roman" w:eastAsia="宋体" w:cs="Times New Roman"/>
          <w:sz w:val="24"/>
          <w:szCs w:val="24"/>
        </w:rPr>
        <w:t>维修</w:t>
      </w:r>
      <w:r>
        <w:rPr>
          <w:rFonts w:ascii="Times New Roman" w:hAnsi="Times New Roman" w:eastAsia="宋体" w:cs="Times New Roman"/>
          <w:sz w:val="24"/>
          <w:szCs w:val="24"/>
        </w:rPr>
        <w:t>进行严格的</w:t>
      </w:r>
      <w:r>
        <w:rPr>
          <w:rFonts w:hint="eastAsia" w:ascii="Times New Roman" w:hAnsi="Times New Roman" w:eastAsia="宋体" w:cs="Times New Roman"/>
          <w:sz w:val="24"/>
          <w:szCs w:val="24"/>
        </w:rPr>
        <w:t>检查</w:t>
      </w:r>
      <w:r>
        <w:rPr>
          <w:rFonts w:ascii="Times New Roman" w:hAnsi="Times New Roman" w:eastAsia="宋体" w:cs="Times New Roman"/>
          <w:sz w:val="24"/>
          <w:szCs w:val="24"/>
        </w:rPr>
        <w:t>，确保维修后仪器的稳定性。如因本公司技术或操作问题导致</w:t>
      </w:r>
      <w:r>
        <w:rPr>
          <w:rFonts w:hint="eastAsia" w:ascii="Times New Roman" w:hAnsi="Times New Roman" w:eastAsia="宋体" w:cs="Times New Roman"/>
          <w:sz w:val="24"/>
          <w:szCs w:val="24"/>
        </w:rPr>
        <w:t>维修</w:t>
      </w:r>
      <w:r>
        <w:rPr>
          <w:rFonts w:ascii="Times New Roman" w:hAnsi="Times New Roman" w:eastAsia="宋体" w:cs="Times New Roman"/>
          <w:sz w:val="24"/>
          <w:szCs w:val="24"/>
        </w:rPr>
        <w:t>结果不符合验收标准，本公司将在收到客户反馈后的30个工作日内提供必要的补救措施，包括但不限于重新检测或</w:t>
      </w:r>
      <w:r>
        <w:rPr>
          <w:rFonts w:hint="eastAsia" w:ascii="Times New Roman" w:hAnsi="Times New Roman" w:eastAsia="宋体" w:cs="Times New Roman"/>
          <w:sz w:val="24"/>
          <w:szCs w:val="24"/>
        </w:rPr>
        <w:t>维修。</w:t>
      </w:r>
    </w:p>
    <w:p w14:paraId="59DC265A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4、验收方法及验收标准：</w:t>
      </w:r>
      <w:r>
        <w:rPr>
          <w:rFonts w:hint="eastAsia" w:ascii="Times New Roman" w:hAnsi="Times New Roman" w:eastAsia="宋体" w:cs="Times New Roman"/>
          <w:sz w:val="24"/>
          <w:szCs w:val="24"/>
        </w:rPr>
        <w:t>（1）维修报告完整性检查：验收时需检查维修报告是否包含完整的维修流程及正常的参数。（</w:t>
      </w: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）数据质量评估：</w:t>
      </w:r>
      <w:r>
        <w:rPr>
          <w:rFonts w:ascii="Times New Roman" w:hAnsi="Times New Roman" w:eastAsia="宋体" w:cs="Times New Roman"/>
          <w:sz w:val="24"/>
          <w:szCs w:val="24"/>
        </w:rPr>
        <w:t>1.维修前记录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记录维修前的错误日志（Error Log）、射频诊断参数及原始质谱图；2.维修过程记录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详细记录更换的备件序列号、电路测量数值及安装步骤；3.标准分析验证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Tune Page 截图： 展示优化后的毛细管电压、锥孔电压及射频透镜碰撞电压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  <w:r>
        <w:rPr>
          <w:rFonts w:ascii="Times New Roman" w:hAnsi="Times New Roman" w:eastAsia="宋体" w:cs="Times New Roman"/>
          <w:sz w:val="24"/>
          <w:szCs w:val="24"/>
        </w:rPr>
        <w:t>质量校准曲线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展示校准后的 Residual Error 散点图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  <w:r>
        <w:rPr>
          <w:rFonts w:ascii="Times New Roman" w:hAnsi="Times New Roman" w:eastAsia="宋体" w:cs="Times New Roman"/>
          <w:sz w:val="24"/>
          <w:szCs w:val="24"/>
        </w:rPr>
        <w:t>MRM 监测图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提供标准品的典型色谱/质谱图及信噪比计算结果。</w:t>
      </w:r>
    </w:p>
    <w:p w14:paraId="52F45836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5、其他需要明确的内容：提供优质的售后服务和技术支持。</w:t>
      </w:r>
    </w:p>
    <w:p w14:paraId="02F54E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55C9"/>
    <w:rsid w:val="478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1532</Words>
  <Characters>1728</Characters>
  <Lines>0</Lines>
  <Paragraphs>0</Paragraphs>
  <TotalTime>0</TotalTime>
  <ScaleCrop>false</ScaleCrop>
  <LinksUpToDate>false</LinksUpToDate>
  <CharactersWithSpaces>1803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2026-04-09T07:01:00Z</dcterms:created>
  <dc:creator>1</dc:creator>
  <cp:lastModifiedBy>刘伟</cp:lastModifiedBy>
  <dcterms:modified xsi:type="dcterms:W3CDTF">2026-04-13T02:53:26Z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eyJoZGlkIjoiYTlkYTA5ZWExZWNjNzE4ODNmZTIwZDVmMWU5OTJjYjYiLCJ1c2VySWQiOiIxNTY2MDA5Mjc3In0=</vt:lpwstr>
  </property>
  <property fmtid="{D5CDD505-2E9C-101B-9397-08002B2CF9AE}" pid="4" name="ICV">
    <vt:lpwstr>35AC95F9750D42418D49B26AE8E2F6E2_12</vt:lpwstr>
  </property>
</Properties>
</file>