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47D61">
      <w:pPr>
        <w:pStyle w:val="5"/>
        <w:jc w:val="center"/>
        <w:outlineLvl w:val="1"/>
        <w:rPr>
          <w:rFonts w:ascii="宋体" w:hAnsi="宋体" w:eastAsia="宋体" w:cs="宋体"/>
          <w:b/>
        </w:rPr>
      </w:pPr>
      <w:r>
        <w:rPr>
          <w:rFonts w:hint="eastAsia" w:ascii="宋体" w:hAnsi="宋体" w:eastAsia="宋体" w:cs="宋体"/>
          <w:b/>
        </w:rPr>
        <w:t>采购需求</w:t>
      </w:r>
    </w:p>
    <w:p w14:paraId="0D71B4AA">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一、项目背景：</w:t>
      </w:r>
    </w:p>
    <w:p w14:paraId="452AF756">
      <w:pPr>
        <w:spacing w:line="336" w:lineRule="auto"/>
        <w:ind w:firstLine="420" w:firstLineChars="200"/>
        <w:rPr>
          <w:rFonts w:ascii="宋体" w:hAnsi="宋体" w:cs="宋体"/>
          <w:szCs w:val="21"/>
        </w:rPr>
      </w:pPr>
      <w:r>
        <w:rPr>
          <w:rFonts w:hint="eastAsia" w:ascii="宋体" w:hAnsi="宋体" w:cs="宋体"/>
          <w:szCs w:val="21"/>
        </w:rPr>
        <w:t>随着新技术的持续涌现与应用领域的不断拓展，高校网络安全领域正面临着日益复杂且多变的挑战。特别是人工智能、大数据、云计算等前沿技术的广泛应用，在为高校网络注入新的发展活力的同时，也引入了新的安全威胁，显著扩大了潜在的攻击面。自2021年底以来，我校积极应对这一形势，引入了全驻场形式的网络安全服务项目，该项目全面覆盖了我校网络安全监测、检测评估、信息系统安全升级与优化、网络安全教育培训、专项安全检查、事件应急处置以及安全运维等关键环节，显著增强了我校的网络安全防护屏障。为了进一步巩固和提升网络安全防护能力，今年我校计划引入半驻场人员服务模式与安全专家团队的强力支撑，以期在网络安全防护领域实现更为坚实和高效的保障。</w:t>
      </w:r>
    </w:p>
    <w:p w14:paraId="109930C7">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二、项目组团队及</w:t>
      </w:r>
      <w:r>
        <w:rPr>
          <w:rFonts w:hint="eastAsia" w:ascii="宋体" w:hAnsi="宋体" w:cs="宋体"/>
          <w:b/>
          <w:bCs/>
          <w:szCs w:val="21"/>
        </w:rPr>
        <w:t>过程控制要求</w:t>
      </w:r>
      <w:r>
        <w:rPr>
          <w:rFonts w:hint="eastAsia" w:asciiTheme="minorEastAsia" w:hAnsiTheme="minorEastAsia" w:eastAsiaTheme="minorEastAsia" w:cstheme="minorEastAsia"/>
          <w:b/>
          <w:szCs w:val="21"/>
        </w:rPr>
        <w:t>：</w:t>
      </w:r>
    </w:p>
    <w:p w14:paraId="72EEBBD5">
      <w:pPr>
        <w:spacing w:line="336" w:lineRule="auto"/>
        <w:ind w:firstLine="211" w:firstLineChars="100"/>
        <w:rPr>
          <w:rFonts w:ascii="宋体" w:hAnsi="宋体" w:cs="宋体"/>
          <w:b/>
          <w:bCs/>
          <w:szCs w:val="21"/>
        </w:rPr>
      </w:pPr>
      <w:r>
        <w:rPr>
          <w:rFonts w:hint="eastAsia" w:ascii="宋体" w:hAnsi="宋体" w:cs="宋体"/>
          <w:b/>
          <w:bCs/>
          <w:szCs w:val="21"/>
        </w:rPr>
        <w:t>1.团队要求</w:t>
      </w:r>
    </w:p>
    <w:p w14:paraId="6A6B6D6A">
      <w:pPr>
        <w:spacing w:line="336" w:lineRule="auto"/>
        <w:ind w:firstLine="420" w:firstLineChars="200"/>
        <w:rPr>
          <w:rFonts w:ascii="宋体" w:hAnsi="宋体" w:cs="宋体"/>
          <w:szCs w:val="21"/>
        </w:rPr>
      </w:pPr>
      <w:r>
        <w:rPr>
          <w:rFonts w:hint="eastAsia" w:ascii="宋体" w:hAnsi="宋体" w:cs="宋体"/>
          <w:szCs w:val="21"/>
        </w:rPr>
        <w:t>为了保证服务质量，项目组成员不少于6人（含项目经理1人，网络安全技术服务人员1人，须支持7*24远程技术应急服务），在项目服务过程中，未经采购人批准，不得随意更换项目组成员（工程师），如果采购人认为项目组成员（工程师）不具备本项目所需的技术能力，采购人有权随时要求投标人进行更换；</w:t>
      </w:r>
    </w:p>
    <w:p w14:paraId="3B255A12">
      <w:pPr>
        <w:spacing w:line="336" w:lineRule="auto"/>
        <w:ind w:firstLine="422" w:firstLineChars="200"/>
        <w:rPr>
          <w:rFonts w:ascii="宋体" w:hAnsi="宋体" w:cs="宋体"/>
          <w:szCs w:val="21"/>
        </w:rPr>
      </w:pPr>
      <w:r>
        <w:rPr>
          <w:rFonts w:hint="eastAsia" w:ascii="宋体" w:hAnsi="宋体" w:cs="宋体"/>
          <w:b/>
          <w:bCs/>
          <w:szCs w:val="21"/>
        </w:rPr>
        <w:t>投标人投标时需提供项目组成员名单及技术分工配置单及投标人为其缴纳的近三个月以来任意一个月的社保证明材料（未提供按不实质性响应处理）。</w:t>
      </w:r>
    </w:p>
    <w:p w14:paraId="4EA5C42A">
      <w:pPr>
        <w:spacing w:line="336" w:lineRule="auto"/>
        <w:ind w:firstLine="211" w:firstLineChars="100"/>
        <w:rPr>
          <w:rFonts w:ascii="宋体" w:hAnsi="宋体" w:cs="宋体"/>
          <w:b/>
          <w:bCs/>
          <w:szCs w:val="21"/>
        </w:rPr>
      </w:pPr>
      <w:r>
        <w:rPr>
          <w:rFonts w:hint="eastAsia" w:ascii="宋体" w:hAnsi="宋体" w:cs="宋体"/>
          <w:b/>
          <w:bCs/>
          <w:szCs w:val="21"/>
        </w:rPr>
        <w:t>2.项目过程控制要求</w:t>
      </w:r>
    </w:p>
    <w:p w14:paraId="4320522F">
      <w:pPr>
        <w:spacing w:line="336" w:lineRule="auto"/>
        <w:ind w:firstLine="420" w:firstLineChars="200"/>
        <w:rPr>
          <w:rFonts w:ascii="宋体" w:hAnsi="宋体" w:cs="宋体"/>
          <w:szCs w:val="21"/>
        </w:rPr>
      </w:pPr>
      <w:r>
        <w:rPr>
          <w:rFonts w:hint="eastAsia" w:ascii="宋体" w:hAnsi="宋体" w:cs="宋体"/>
          <w:szCs w:val="21"/>
        </w:rPr>
        <w:t>项目前期：制定全面、具体的服务方案。</w:t>
      </w:r>
    </w:p>
    <w:p w14:paraId="019EBD08">
      <w:pPr>
        <w:spacing w:line="336" w:lineRule="auto"/>
        <w:ind w:firstLine="420" w:firstLineChars="200"/>
        <w:rPr>
          <w:rFonts w:ascii="宋体" w:hAnsi="宋体" w:cs="宋体"/>
          <w:szCs w:val="21"/>
        </w:rPr>
      </w:pPr>
      <w:r>
        <w:rPr>
          <w:rFonts w:hint="eastAsia" w:ascii="宋体" w:hAnsi="宋体" w:cs="宋体"/>
          <w:szCs w:val="21"/>
        </w:rPr>
        <w:t>项目进行：阶段性服务工作完成后需要输出相应的报表、报告等材料。</w:t>
      </w:r>
    </w:p>
    <w:p w14:paraId="52BD8C08">
      <w:pPr>
        <w:spacing w:line="336" w:lineRule="auto"/>
        <w:ind w:firstLine="420" w:firstLineChars="200"/>
      </w:pPr>
      <w:r>
        <w:rPr>
          <w:rFonts w:hint="eastAsia" w:ascii="宋体" w:hAnsi="宋体" w:cs="宋体"/>
          <w:szCs w:val="21"/>
        </w:rPr>
        <w:t>项目结束：编制总结报告，纸质文档交接，电子文档集中销毁。</w:t>
      </w:r>
    </w:p>
    <w:p w14:paraId="76ADBD70">
      <w:pPr>
        <w:spacing w:line="336"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三、项目主要内容：</w:t>
      </w:r>
    </w:p>
    <w:p w14:paraId="4A3720FA">
      <w:pPr>
        <w:spacing w:line="336" w:lineRule="auto"/>
        <w:ind w:firstLine="420" w:firstLineChars="200"/>
        <w:rPr>
          <w:rFonts w:ascii="宋体" w:hAnsi="宋体" w:cs="宋体"/>
          <w:szCs w:val="21"/>
        </w:rPr>
      </w:pPr>
      <w:r>
        <w:rPr>
          <w:rFonts w:hint="eastAsia" w:ascii="宋体" w:hAnsi="宋体" w:cs="宋体"/>
          <w:szCs w:val="21"/>
        </w:rPr>
        <w:t>服务内容包括（不限于）：资产梳理、安全设备巡检、漏洞扫描、新系统上线检测、渗透测试、安全预警、重要时期保障、应急响应、应急演练、安全培训、网络安全宣传周宣传教育、安全咨询与策略优化、安全威胁专项检查、网络技术运维保障等相关工作，主要内容如下：</w:t>
      </w:r>
    </w:p>
    <w:tbl>
      <w:tblPr>
        <w:tblStyle w:val="9"/>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262"/>
        <w:gridCol w:w="4203"/>
        <w:gridCol w:w="2760"/>
      </w:tblGrid>
      <w:tr w14:paraId="55E8A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70" w:type="dxa"/>
            <w:noWrap/>
            <w:vAlign w:val="bottom"/>
          </w:tcPr>
          <w:p w14:paraId="0CAC0C5B">
            <w:pPr>
              <w:widowControl/>
              <w:adjustRightInd w:val="0"/>
              <w:snapToGrid w:val="0"/>
              <w:spacing w:line="360" w:lineRule="auto"/>
              <w:jc w:val="center"/>
              <w:rPr>
                <w:b/>
                <w:bCs/>
                <w:szCs w:val="21"/>
              </w:rPr>
            </w:pPr>
            <w:r>
              <w:rPr>
                <w:rFonts w:hint="eastAsia"/>
                <w:b/>
                <w:bCs/>
                <w:szCs w:val="21"/>
              </w:rPr>
              <w:t>序号</w:t>
            </w:r>
          </w:p>
        </w:tc>
        <w:tc>
          <w:tcPr>
            <w:tcW w:w="2262" w:type="dxa"/>
            <w:noWrap/>
            <w:vAlign w:val="bottom"/>
          </w:tcPr>
          <w:p w14:paraId="17518EBF">
            <w:pPr>
              <w:widowControl/>
              <w:adjustRightInd w:val="0"/>
              <w:snapToGrid w:val="0"/>
              <w:spacing w:line="360" w:lineRule="auto"/>
              <w:ind w:firstLine="211" w:firstLineChars="100"/>
              <w:jc w:val="center"/>
              <w:rPr>
                <w:b/>
                <w:bCs/>
                <w:szCs w:val="21"/>
              </w:rPr>
            </w:pPr>
            <w:r>
              <w:rPr>
                <w:rFonts w:hint="eastAsia"/>
                <w:b/>
                <w:bCs/>
                <w:szCs w:val="21"/>
              </w:rPr>
              <w:t>服务名称</w:t>
            </w:r>
          </w:p>
        </w:tc>
        <w:tc>
          <w:tcPr>
            <w:tcW w:w="4203" w:type="dxa"/>
            <w:noWrap/>
            <w:vAlign w:val="bottom"/>
          </w:tcPr>
          <w:p w14:paraId="281D1DF6">
            <w:pPr>
              <w:widowControl/>
              <w:adjustRightInd w:val="0"/>
              <w:snapToGrid w:val="0"/>
              <w:spacing w:line="360" w:lineRule="auto"/>
              <w:ind w:firstLine="1476" w:firstLineChars="700"/>
              <w:rPr>
                <w:b/>
                <w:bCs/>
                <w:szCs w:val="21"/>
              </w:rPr>
            </w:pPr>
            <w:r>
              <w:rPr>
                <w:rFonts w:hint="eastAsia"/>
                <w:b/>
                <w:bCs/>
                <w:szCs w:val="21"/>
              </w:rPr>
              <w:t>详细内容</w:t>
            </w:r>
          </w:p>
        </w:tc>
        <w:tc>
          <w:tcPr>
            <w:tcW w:w="2760" w:type="dxa"/>
            <w:noWrap/>
            <w:vAlign w:val="bottom"/>
          </w:tcPr>
          <w:p w14:paraId="1F6492D1">
            <w:pPr>
              <w:widowControl/>
              <w:adjustRightInd w:val="0"/>
              <w:snapToGrid w:val="0"/>
              <w:spacing w:line="360" w:lineRule="auto"/>
              <w:ind w:firstLine="632" w:firstLineChars="300"/>
              <w:rPr>
                <w:b/>
                <w:bCs/>
                <w:szCs w:val="21"/>
              </w:rPr>
            </w:pPr>
            <w:r>
              <w:rPr>
                <w:rFonts w:hint="eastAsia"/>
                <w:b/>
                <w:bCs/>
                <w:szCs w:val="21"/>
              </w:rPr>
              <w:t>服务要求</w:t>
            </w:r>
          </w:p>
        </w:tc>
      </w:tr>
      <w:tr w14:paraId="67CD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70" w:type="dxa"/>
            <w:noWrap/>
            <w:vAlign w:val="center"/>
          </w:tcPr>
          <w:p w14:paraId="52EB3597">
            <w:pPr>
              <w:adjustRightInd w:val="0"/>
              <w:snapToGrid w:val="0"/>
              <w:spacing w:before="100" w:beforeAutospacing="1" w:after="100" w:afterAutospacing="1" w:line="360" w:lineRule="auto"/>
              <w:jc w:val="center"/>
              <w:rPr>
                <w:szCs w:val="21"/>
              </w:rPr>
            </w:pPr>
            <w:r>
              <w:rPr>
                <w:rFonts w:hint="eastAsia"/>
                <w:szCs w:val="21"/>
              </w:rPr>
              <w:t>1</w:t>
            </w:r>
          </w:p>
        </w:tc>
        <w:tc>
          <w:tcPr>
            <w:tcW w:w="2262" w:type="dxa"/>
            <w:noWrap/>
            <w:vAlign w:val="center"/>
          </w:tcPr>
          <w:p w14:paraId="316FA76E">
            <w:pPr>
              <w:adjustRightInd w:val="0"/>
              <w:snapToGrid w:val="0"/>
              <w:spacing w:before="100" w:beforeAutospacing="1" w:after="100" w:afterAutospacing="1" w:line="360" w:lineRule="auto"/>
              <w:jc w:val="center"/>
              <w:rPr>
                <w:szCs w:val="21"/>
              </w:rPr>
            </w:pPr>
            <w:r>
              <w:rPr>
                <w:rFonts w:hint="eastAsia"/>
                <w:szCs w:val="21"/>
              </w:rPr>
              <w:t>资产梳理、设备巡检</w:t>
            </w:r>
          </w:p>
        </w:tc>
        <w:tc>
          <w:tcPr>
            <w:tcW w:w="4203" w:type="dxa"/>
            <w:noWrap/>
            <w:vAlign w:val="center"/>
          </w:tcPr>
          <w:p w14:paraId="07A95267">
            <w:pPr>
              <w:autoSpaceDE w:val="0"/>
              <w:autoSpaceDN w:val="0"/>
              <w:adjustRightInd w:val="0"/>
              <w:spacing w:line="276" w:lineRule="auto"/>
            </w:pPr>
            <w:r>
              <w:rPr>
                <w:rFonts w:hint="eastAsia" w:cs="宋体"/>
                <w:szCs w:val="21"/>
              </w:rPr>
              <w:t>　　每月定期针对校方的网络安全设备执行全面巡检。</w:t>
            </w:r>
            <w:r>
              <w:rPr>
                <w:rFonts w:cs="宋体"/>
                <w:szCs w:val="21"/>
              </w:rPr>
              <w:t>配合完成所有的安全资产（包括服务器内新增设备）建档立册，对其品牌、型号、部署位置、实现功能、在保状态、授权情况等做出详细梳理</w:t>
            </w:r>
            <w:r>
              <w:rPr>
                <w:rFonts w:hint="eastAsia" w:cs="宋体"/>
                <w:szCs w:val="21"/>
              </w:rPr>
              <w:t>。巡检完成后，依据设备运行的实际情况以及发现的问题，进行系统梳理与整合，并编制出详尽的报告。</w:t>
            </w:r>
          </w:p>
        </w:tc>
        <w:tc>
          <w:tcPr>
            <w:tcW w:w="2760" w:type="dxa"/>
            <w:noWrap/>
            <w:vAlign w:val="center"/>
          </w:tcPr>
          <w:p w14:paraId="774AF604">
            <w:pPr>
              <w:widowControl/>
              <w:jc w:val="left"/>
              <w:rPr>
                <w:rFonts w:cs="宋体"/>
                <w:b/>
                <w:bCs/>
                <w:kern w:val="0"/>
                <w:szCs w:val="21"/>
              </w:rPr>
            </w:pPr>
          </w:p>
          <w:p w14:paraId="73AD7B67">
            <w:pPr>
              <w:widowControl/>
              <w:jc w:val="left"/>
              <w:rPr>
                <w:rFonts w:cs="宋体"/>
                <w:b/>
                <w:bCs/>
                <w:kern w:val="0"/>
                <w:szCs w:val="21"/>
              </w:rPr>
            </w:pPr>
          </w:p>
          <w:p w14:paraId="6DD74449">
            <w:pPr>
              <w:widowControl/>
              <w:jc w:val="left"/>
              <w:rPr>
                <w:rFonts w:cs="宋体"/>
                <w:b/>
                <w:bCs/>
                <w:kern w:val="0"/>
                <w:szCs w:val="21"/>
              </w:rPr>
            </w:pPr>
          </w:p>
          <w:p w14:paraId="3D3E71BF">
            <w:pPr>
              <w:widowControl/>
              <w:jc w:val="left"/>
              <w:rPr>
                <w:rFonts w:cs="宋体"/>
                <w:kern w:val="0"/>
                <w:szCs w:val="21"/>
              </w:rPr>
            </w:pPr>
            <w:r>
              <w:rPr>
                <w:rFonts w:hint="eastAsia" w:cs="宋体"/>
                <w:b/>
                <w:bCs/>
                <w:kern w:val="0"/>
                <w:szCs w:val="21"/>
              </w:rPr>
              <w:t>服务周期：</w:t>
            </w:r>
            <w:r>
              <w:rPr>
                <w:rFonts w:hint="eastAsia" w:cs="宋体"/>
                <w:kern w:val="0"/>
                <w:szCs w:val="21"/>
              </w:rPr>
              <w:t>每月定期；</w:t>
            </w:r>
          </w:p>
          <w:p w14:paraId="149C0E2E">
            <w:pPr>
              <w:widowControl/>
              <w:jc w:val="left"/>
              <w:rPr>
                <w:rFonts w:cs="宋体"/>
                <w:kern w:val="0"/>
                <w:szCs w:val="21"/>
              </w:rPr>
            </w:pPr>
            <w:r>
              <w:rPr>
                <w:rFonts w:hint="eastAsia" w:cs="宋体"/>
                <w:b/>
                <w:bCs/>
                <w:kern w:val="0"/>
                <w:szCs w:val="21"/>
              </w:rPr>
              <w:t>交付物</w:t>
            </w:r>
            <w:r>
              <w:rPr>
                <w:rFonts w:hint="eastAsia" w:cs="宋体"/>
                <w:kern w:val="0"/>
                <w:szCs w:val="21"/>
              </w:rPr>
              <w:t>：月度巡检报告。</w:t>
            </w:r>
          </w:p>
          <w:p w14:paraId="7AB16E9C">
            <w:pPr>
              <w:pStyle w:val="11"/>
              <w:rPr>
                <w:rFonts w:ascii="Times New Roman" w:eastAsia="宋体" w:cs="宋体"/>
                <w:kern w:val="0"/>
                <w:szCs w:val="21"/>
              </w:rPr>
            </w:pPr>
          </w:p>
          <w:p w14:paraId="3CA80360">
            <w:pPr>
              <w:pStyle w:val="11"/>
              <w:rPr>
                <w:rFonts w:ascii="Times New Roman" w:eastAsia="宋体"/>
              </w:rPr>
            </w:pPr>
          </w:p>
        </w:tc>
      </w:tr>
      <w:tr w14:paraId="4F170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jc w:val="center"/>
        </w:trPr>
        <w:tc>
          <w:tcPr>
            <w:tcW w:w="770" w:type="dxa"/>
            <w:noWrap/>
            <w:vAlign w:val="center"/>
          </w:tcPr>
          <w:p w14:paraId="163B7CA2">
            <w:pPr>
              <w:adjustRightInd w:val="0"/>
              <w:snapToGrid w:val="0"/>
              <w:spacing w:before="100" w:beforeAutospacing="1" w:after="100" w:afterAutospacing="1" w:line="360" w:lineRule="auto"/>
              <w:jc w:val="center"/>
              <w:rPr>
                <w:szCs w:val="21"/>
              </w:rPr>
            </w:pPr>
            <w:r>
              <w:rPr>
                <w:szCs w:val="21"/>
              </w:rPr>
              <w:t>2</w:t>
            </w:r>
          </w:p>
        </w:tc>
        <w:tc>
          <w:tcPr>
            <w:tcW w:w="2262" w:type="dxa"/>
            <w:noWrap/>
            <w:vAlign w:val="center"/>
          </w:tcPr>
          <w:p w14:paraId="283DCA10">
            <w:pPr>
              <w:adjustRightInd w:val="0"/>
              <w:snapToGrid w:val="0"/>
              <w:spacing w:before="100" w:beforeAutospacing="1" w:after="100" w:afterAutospacing="1" w:line="360" w:lineRule="auto"/>
              <w:jc w:val="center"/>
              <w:rPr>
                <w:szCs w:val="21"/>
              </w:rPr>
            </w:pPr>
            <w:r>
              <w:rPr>
                <w:szCs w:val="21"/>
              </w:rPr>
              <w:t>漏洞扫描</w:t>
            </w:r>
          </w:p>
        </w:tc>
        <w:tc>
          <w:tcPr>
            <w:tcW w:w="4203" w:type="dxa"/>
            <w:noWrap/>
            <w:vAlign w:val="center"/>
          </w:tcPr>
          <w:p w14:paraId="75CB00E3">
            <w:pPr>
              <w:autoSpaceDE w:val="0"/>
              <w:autoSpaceDN w:val="0"/>
              <w:adjustRightInd w:val="0"/>
              <w:spacing w:line="276" w:lineRule="auto"/>
              <w:rPr>
                <w:rFonts w:cs="宋体"/>
                <w:szCs w:val="21"/>
              </w:rPr>
            </w:pPr>
            <w:r>
              <w:rPr>
                <w:rFonts w:hint="eastAsia" w:cs="宋体"/>
                <w:szCs w:val="21"/>
              </w:rPr>
              <w:t>　　1.针对校方指定网站和信息系统进行全方位多维度自动化的漏洞扫描，通过漏洞扫描工具结合人工确认的方式从内网和外网两个角度发现安全风险、漏洞和威胁。</w:t>
            </w:r>
          </w:p>
          <w:p w14:paraId="1211F1B1">
            <w:pPr>
              <w:autoSpaceDE w:val="0"/>
              <w:autoSpaceDN w:val="0"/>
              <w:adjustRightInd w:val="0"/>
              <w:spacing w:line="276" w:lineRule="auto"/>
              <w:rPr>
                <w:szCs w:val="21"/>
              </w:rPr>
            </w:pPr>
            <w:r>
              <w:rPr>
                <w:rFonts w:hint="eastAsia" w:cs="宋体"/>
                <w:szCs w:val="21"/>
              </w:rPr>
              <w:t>　　2.给出全面的安全评估报告，对可能存在的误报进行验证，详细说明存在的安全风险，对确认存在的安全风险提供对应的修复建议，并协助校方进行风险修复。一周内提供安全评估报告，紧急情况需</w:t>
            </w:r>
            <w:r>
              <w:rPr>
                <w:rFonts w:cs="宋体"/>
                <w:szCs w:val="21"/>
              </w:rPr>
              <w:t>3</w:t>
            </w:r>
            <w:r>
              <w:rPr>
                <w:rFonts w:hint="eastAsia" w:cs="宋体"/>
                <w:szCs w:val="21"/>
              </w:rPr>
              <w:t>天内提供报告。报告包含原因分析、解决方案以及校方要求的其他内容。</w:t>
            </w:r>
          </w:p>
        </w:tc>
        <w:tc>
          <w:tcPr>
            <w:tcW w:w="2760" w:type="dxa"/>
            <w:noWrap/>
            <w:vAlign w:val="center"/>
          </w:tcPr>
          <w:p w14:paraId="676052D9">
            <w:pPr>
              <w:widowControl/>
              <w:jc w:val="left"/>
            </w:pPr>
            <w:r>
              <w:rPr>
                <w:rFonts w:hint="eastAsia" w:cs="宋体"/>
                <w:b/>
                <w:bCs/>
                <w:kern w:val="0"/>
                <w:szCs w:val="21"/>
              </w:rPr>
              <w:t>服务范围：</w:t>
            </w:r>
            <w:r>
              <w:rPr>
                <w:rFonts w:hint="eastAsia" w:cs="宋体"/>
                <w:kern w:val="0"/>
                <w:szCs w:val="21"/>
              </w:rPr>
              <w:t>服务期内学校提供的所有网站、业务系统（含复测)；</w:t>
            </w:r>
          </w:p>
          <w:p w14:paraId="576245D3">
            <w:pPr>
              <w:widowControl/>
              <w:jc w:val="left"/>
              <w:rPr>
                <w:rFonts w:cs="宋体"/>
                <w:b/>
                <w:bCs/>
                <w:kern w:val="0"/>
                <w:szCs w:val="21"/>
              </w:rPr>
            </w:pPr>
            <w:r>
              <w:rPr>
                <w:rFonts w:hint="eastAsia" w:cs="宋体"/>
                <w:b/>
                <w:bCs/>
                <w:kern w:val="0"/>
                <w:szCs w:val="21"/>
              </w:rPr>
              <w:t>服务频率:每季度</w:t>
            </w:r>
          </w:p>
          <w:p w14:paraId="0A9FBC38">
            <w:pPr>
              <w:widowControl/>
              <w:jc w:val="left"/>
              <w:rPr>
                <w:szCs w:val="21"/>
              </w:rPr>
            </w:pPr>
            <w:r>
              <w:rPr>
                <w:rFonts w:hint="eastAsia" w:cs="宋体"/>
                <w:b/>
                <w:bCs/>
                <w:kern w:val="0"/>
                <w:szCs w:val="21"/>
              </w:rPr>
              <w:t>交付物:</w:t>
            </w:r>
            <w:r>
              <w:rPr>
                <w:rFonts w:hint="eastAsia" w:cs="宋体"/>
                <w:kern w:val="0"/>
                <w:szCs w:val="21"/>
              </w:rPr>
              <w:t>漏洞扫描报告和修复工作。</w:t>
            </w:r>
          </w:p>
        </w:tc>
      </w:tr>
      <w:tr w14:paraId="6EE0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jc w:val="center"/>
        </w:trPr>
        <w:tc>
          <w:tcPr>
            <w:tcW w:w="770" w:type="dxa"/>
            <w:noWrap/>
            <w:vAlign w:val="center"/>
          </w:tcPr>
          <w:p w14:paraId="6A371F7E">
            <w:pPr>
              <w:adjustRightInd w:val="0"/>
              <w:snapToGrid w:val="0"/>
              <w:spacing w:before="100" w:beforeAutospacing="1" w:after="100" w:afterAutospacing="1" w:line="360" w:lineRule="auto"/>
              <w:jc w:val="center"/>
              <w:rPr>
                <w:szCs w:val="21"/>
              </w:rPr>
            </w:pPr>
            <w:r>
              <w:rPr>
                <w:szCs w:val="21"/>
              </w:rPr>
              <w:t>3</w:t>
            </w:r>
          </w:p>
        </w:tc>
        <w:tc>
          <w:tcPr>
            <w:tcW w:w="2262" w:type="dxa"/>
            <w:noWrap/>
            <w:vAlign w:val="center"/>
          </w:tcPr>
          <w:p w14:paraId="47138DA9">
            <w:pPr>
              <w:adjustRightInd w:val="0"/>
              <w:snapToGrid w:val="0"/>
              <w:spacing w:before="100" w:beforeAutospacing="1" w:after="100" w:afterAutospacing="1" w:line="360" w:lineRule="auto"/>
              <w:jc w:val="center"/>
              <w:rPr>
                <w:szCs w:val="21"/>
              </w:rPr>
            </w:pPr>
            <w:r>
              <w:rPr>
                <w:szCs w:val="21"/>
              </w:rPr>
              <w:t>新系统上线检测</w:t>
            </w:r>
          </w:p>
        </w:tc>
        <w:tc>
          <w:tcPr>
            <w:tcW w:w="4203" w:type="dxa"/>
            <w:noWrap/>
            <w:vAlign w:val="center"/>
          </w:tcPr>
          <w:p w14:paraId="5950CA23">
            <w:pPr>
              <w:adjustRightInd w:val="0"/>
              <w:snapToGrid w:val="0"/>
              <w:spacing w:before="100" w:beforeAutospacing="1" w:after="100" w:afterAutospacing="1" w:line="276" w:lineRule="auto"/>
              <w:ind w:firstLine="420" w:firstLineChars="200"/>
              <w:rPr>
                <w:szCs w:val="21"/>
              </w:rPr>
            </w:pPr>
            <w:r>
              <w:rPr>
                <w:rFonts w:hint="eastAsia"/>
                <w:szCs w:val="21"/>
              </w:rPr>
              <w:t>3.系统上线前安全检测服务主要是针对校方新上线的系统进行安全检测，确保系统在没有中危及以上安全隐患，才允许上线正式运行。系统上线前安全检测方式主要包括：漏洞扫描（内外网结合）、渗透测试。出具详细的安全评估报告，并配合对新系统相关的安全整改与复核。</w:t>
            </w:r>
          </w:p>
        </w:tc>
        <w:tc>
          <w:tcPr>
            <w:tcW w:w="2760" w:type="dxa"/>
            <w:noWrap/>
            <w:vAlign w:val="center"/>
          </w:tcPr>
          <w:p w14:paraId="5C138795">
            <w:pPr>
              <w:widowControl/>
              <w:jc w:val="left"/>
              <w:rPr>
                <w:rFonts w:cs="宋体"/>
                <w:b/>
                <w:bCs/>
                <w:szCs w:val="21"/>
              </w:rPr>
            </w:pPr>
            <w:r>
              <w:rPr>
                <w:rFonts w:hint="eastAsia" w:cs="宋体"/>
                <w:b/>
                <w:bCs/>
                <w:szCs w:val="21"/>
              </w:rPr>
              <w:t>服务频率：</w:t>
            </w:r>
            <w:r>
              <w:rPr>
                <w:rFonts w:hint="eastAsia" w:cs="宋体"/>
                <w:szCs w:val="21"/>
              </w:rPr>
              <w:t>根据学校要求响应；</w:t>
            </w:r>
          </w:p>
          <w:p w14:paraId="3CBEF3D5">
            <w:pPr>
              <w:widowControl/>
              <w:jc w:val="left"/>
              <w:rPr>
                <w:szCs w:val="21"/>
              </w:rPr>
            </w:pPr>
            <w:r>
              <w:rPr>
                <w:rFonts w:hint="eastAsia" w:cs="宋体"/>
                <w:b/>
                <w:bCs/>
                <w:szCs w:val="21"/>
              </w:rPr>
              <w:t>交付物：</w:t>
            </w:r>
            <w:r>
              <w:rPr>
                <w:rFonts w:hint="eastAsia"/>
                <w:szCs w:val="21"/>
              </w:rPr>
              <w:t>安全评估报告、安全整改与复核。</w:t>
            </w:r>
          </w:p>
          <w:p w14:paraId="4A8E45BA"/>
        </w:tc>
      </w:tr>
      <w:tr w14:paraId="68B7F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jc w:val="center"/>
        </w:trPr>
        <w:tc>
          <w:tcPr>
            <w:tcW w:w="770" w:type="dxa"/>
            <w:noWrap/>
            <w:vAlign w:val="center"/>
          </w:tcPr>
          <w:p w14:paraId="464604A3">
            <w:pPr>
              <w:adjustRightInd w:val="0"/>
              <w:snapToGrid w:val="0"/>
              <w:spacing w:before="100" w:beforeAutospacing="1" w:after="100" w:afterAutospacing="1" w:line="360" w:lineRule="auto"/>
              <w:jc w:val="center"/>
              <w:rPr>
                <w:szCs w:val="21"/>
              </w:rPr>
            </w:pPr>
            <w:r>
              <w:rPr>
                <w:szCs w:val="21"/>
              </w:rPr>
              <w:t>4</w:t>
            </w:r>
          </w:p>
        </w:tc>
        <w:tc>
          <w:tcPr>
            <w:tcW w:w="2262" w:type="dxa"/>
            <w:noWrap/>
            <w:vAlign w:val="center"/>
          </w:tcPr>
          <w:p w14:paraId="603A92CE">
            <w:pPr>
              <w:adjustRightInd w:val="0"/>
              <w:snapToGrid w:val="0"/>
              <w:spacing w:before="100" w:beforeAutospacing="1" w:after="100" w:afterAutospacing="1" w:line="360" w:lineRule="auto"/>
              <w:jc w:val="center"/>
              <w:rPr>
                <w:szCs w:val="21"/>
              </w:rPr>
            </w:pPr>
            <w:r>
              <w:rPr>
                <w:szCs w:val="21"/>
              </w:rPr>
              <w:t>渗透测试</w:t>
            </w:r>
          </w:p>
        </w:tc>
        <w:tc>
          <w:tcPr>
            <w:tcW w:w="4203" w:type="dxa"/>
            <w:noWrap/>
            <w:vAlign w:val="center"/>
          </w:tcPr>
          <w:p w14:paraId="1DEE6CCF">
            <w:pPr>
              <w:autoSpaceDE w:val="0"/>
              <w:autoSpaceDN w:val="0"/>
              <w:adjustRightInd w:val="0"/>
              <w:spacing w:line="276" w:lineRule="auto"/>
              <w:rPr>
                <w:rFonts w:cs="宋体"/>
                <w:szCs w:val="21"/>
              </w:rPr>
            </w:pPr>
            <w:r>
              <w:rPr>
                <w:rFonts w:hint="eastAsia" w:cs="宋体"/>
                <w:szCs w:val="21"/>
              </w:rPr>
              <w:t>　　1.以模拟黑客入侵的方式对目标系统进行模拟入侵测试，最大限度挖掘注入漏洞、越权访问漏洞、业务逻辑漏洞、</w:t>
            </w:r>
            <w:r>
              <w:rPr>
                <w:rFonts w:cs="宋体"/>
                <w:szCs w:val="21"/>
              </w:rPr>
              <w:t>Web</w:t>
            </w:r>
            <w:r>
              <w:rPr>
                <w:rFonts w:hint="eastAsia" w:cs="宋体"/>
                <w:szCs w:val="21"/>
              </w:rPr>
              <w:t>框架漏洞、文件上传漏洞、弱密码、关联性漏洞等安全风险，一周内提供渗透测试报告，紧急情况需</w:t>
            </w:r>
            <w:r>
              <w:rPr>
                <w:rFonts w:cs="宋体"/>
                <w:szCs w:val="21"/>
              </w:rPr>
              <w:t>3</w:t>
            </w:r>
            <w:r>
              <w:rPr>
                <w:rFonts w:hint="eastAsia" w:cs="宋体"/>
                <w:szCs w:val="21"/>
              </w:rPr>
              <w:t>天内提供渗透测试报告。</w:t>
            </w:r>
          </w:p>
          <w:p w14:paraId="107178DD">
            <w:pPr>
              <w:autoSpaceDE w:val="0"/>
              <w:autoSpaceDN w:val="0"/>
              <w:adjustRightInd w:val="0"/>
              <w:spacing w:line="276" w:lineRule="auto"/>
              <w:rPr>
                <w:szCs w:val="21"/>
              </w:rPr>
            </w:pPr>
            <w:r>
              <w:rPr>
                <w:rFonts w:hint="eastAsia" w:cs="宋体"/>
                <w:szCs w:val="21"/>
              </w:rPr>
              <w:t>　　2.渗透测试报告包含原因分析、解决方案以及校方要求的其他内容，协助校方进行漏洞、安全隐患等修复工作后进行复测。</w:t>
            </w:r>
          </w:p>
        </w:tc>
        <w:tc>
          <w:tcPr>
            <w:tcW w:w="2760" w:type="dxa"/>
            <w:noWrap/>
            <w:vAlign w:val="center"/>
          </w:tcPr>
          <w:p w14:paraId="115A9C91">
            <w:pPr>
              <w:widowControl/>
              <w:jc w:val="left"/>
              <w:rPr>
                <w:rFonts w:cs="宋体"/>
                <w:b/>
                <w:bCs/>
                <w:kern w:val="0"/>
                <w:szCs w:val="21"/>
              </w:rPr>
            </w:pPr>
            <w:r>
              <w:rPr>
                <w:rFonts w:hint="eastAsia" w:cs="宋体"/>
                <w:b/>
                <w:bCs/>
                <w:kern w:val="0"/>
                <w:szCs w:val="21"/>
              </w:rPr>
              <w:t>服务范围:</w:t>
            </w:r>
            <w:r>
              <w:rPr>
                <w:rFonts w:hint="eastAsia" w:cs="宋体"/>
                <w:kern w:val="0"/>
                <w:szCs w:val="21"/>
              </w:rPr>
              <w:t>学校提供的业务系统（不低于</w:t>
            </w:r>
            <w:r>
              <w:rPr>
                <w:rFonts w:cs="宋体"/>
                <w:kern w:val="0"/>
                <w:szCs w:val="21"/>
              </w:rPr>
              <w:t>20</w:t>
            </w:r>
            <w:r>
              <w:rPr>
                <w:rFonts w:hint="eastAsia" w:cs="宋体"/>
                <w:kern w:val="0"/>
                <w:szCs w:val="21"/>
              </w:rPr>
              <w:t>个业务系统，不区分内外网，含复测，提供测试报告并协助做好整改工作)；</w:t>
            </w:r>
          </w:p>
          <w:p w14:paraId="76EE70A0">
            <w:pPr>
              <w:widowControl/>
              <w:jc w:val="left"/>
              <w:rPr>
                <w:rFonts w:cs="宋体"/>
                <w:b/>
                <w:bCs/>
                <w:kern w:val="0"/>
                <w:szCs w:val="21"/>
              </w:rPr>
            </w:pPr>
            <w:r>
              <w:rPr>
                <w:rFonts w:hint="eastAsia" w:cs="宋体"/>
                <w:b/>
                <w:bCs/>
                <w:kern w:val="0"/>
                <w:szCs w:val="21"/>
              </w:rPr>
              <w:t>服务频率:</w:t>
            </w:r>
            <w:r>
              <w:rPr>
                <w:rFonts w:hint="eastAsia" w:cs="宋体"/>
                <w:kern w:val="0"/>
                <w:szCs w:val="21"/>
              </w:rPr>
              <w:t>一年不少于4次（不含复测）；</w:t>
            </w:r>
          </w:p>
          <w:p w14:paraId="0C4D8623">
            <w:pPr>
              <w:widowControl/>
              <w:jc w:val="left"/>
              <w:rPr>
                <w:rFonts w:cs="宋体"/>
                <w:kern w:val="0"/>
                <w:szCs w:val="21"/>
              </w:rPr>
            </w:pPr>
            <w:r>
              <w:rPr>
                <w:rFonts w:hint="eastAsia" w:cs="宋体"/>
                <w:b/>
                <w:bCs/>
                <w:kern w:val="0"/>
                <w:szCs w:val="21"/>
              </w:rPr>
              <w:t>交付物:</w:t>
            </w:r>
            <w:r>
              <w:rPr>
                <w:rFonts w:hint="eastAsia" w:cs="宋体"/>
                <w:kern w:val="0"/>
                <w:szCs w:val="21"/>
              </w:rPr>
              <w:t>测试报告和整改工作。</w:t>
            </w:r>
          </w:p>
          <w:p w14:paraId="7D50CCD3">
            <w:pPr>
              <w:widowControl/>
              <w:jc w:val="left"/>
            </w:pPr>
          </w:p>
        </w:tc>
      </w:tr>
      <w:tr w14:paraId="0702D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ign w:val="center"/>
          </w:tcPr>
          <w:p w14:paraId="492264EE">
            <w:pPr>
              <w:adjustRightInd w:val="0"/>
              <w:snapToGrid w:val="0"/>
              <w:spacing w:before="100" w:beforeAutospacing="1" w:after="100" w:afterAutospacing="1" w:line="360" w:lineRule="auto"/>
              <w:jc w:val="center"/>
              <w:rPr>
                <w:szCs w:val="21"/>
              </w:rPr>
            </w:pPr>
            <w:r>
              <w:rPr>
                <w:rFonts w:hint="eastAsia" w:ascii="宋体" w:hAnsi="宋体" w:cs="宋体"/>
                <w:szCs w:val="21"/>
                <w:highlight w:val="none"/>
              </w:rPr>
              <w:t>★</w:t>
            </w:r>
            <w:r>
              <w:rPr>
                <w:szCs w:val="21"/>
                <w:highlight w:val="none"/>
              </w:rPr>
              <w:t>5</w:t>
            </w:r>
          </w:p>
        </w:tc>
        <w:tc>
          <w:tcPr>
            <w:tcW w:w="2262" w:type="dxa"/>
            <w:noWrap/>
            <w:vAlign w:val="center"/>
          </w:tcPr>
          <w:p w14:paraId="5AFF1165">
            <w:pPr>
              <w:adjustRightInd w:val="0"/>
              <w:snapToGrid w:val="0"/>
              <w:spacing w:before="100" w:beforeAutospacing="1" w:after="100" w:afterAutospacing="1" w:line="360" w:lineRule="auto"/>
              <w:jc w:val="center"/>
              <w:rPr>
                <w:rFonts w:cs="宋体"/>
                <w:szCs w:val="21"/>
              </w:rPr>
            </w:pPr>
            <w:r>
              <w:rPr>
                <w:rFonts w:hint="eastAsia" w:cs="宋体"/>
                <w:szCs w:val="21"/>
              </w:rPr>
              <w:t>现场保障</w:t>
            </w:r>
          </w:p>
        </w:tc>
        <w:tc>
          <w:tcPr>
            <w:tcW w:w="4203" w:type="dxa"/>
            <w:noWrap/>
            <w:vAlign w:val="center"/>
          </w:tcPr>
          <w:p w14:paraId="67CF65D8">
            <w:pPr>
              <w:autoSpaceDE w:val="0"/>
              <w:autoSpaceDN w:val="0"/>
              <w:adjustRightInd w:val="0"/>
              <w:spacing w:line="276" w:lineRule="auto"/>
              <w:rPr>
                <w:rFonts w:cs="宋体"/>
                <w:szCs w:val="21"/>
              </w:rPr>
            </w:pPr>
            <w:r>
              <w:rPr>
                <w:rFonts w:hint="eastAsia" w:cs="宋体"/>
                <w:szCs w:val="21"/>
              </w:rPr>
              <w:t>　　1.在服务中将会对安全设备进行维护和配置，并最大化利用设备完成安全工作，并根据实际风险情况输出安全代维报告。工作内容包括但不限于：态势感知：挖矿、后门、黑IP、异常流量等处置。WAF：攻击IP封禁，异常行为溯源；防火墙：对外开放端口限制；虚拟化杀毒：周常扫描处置。</w:t>
            </w:r>
          </w:p>
          <w:p w14:paraId="40F0648A">
            <w:pPr>
              <w:autoSpaceDE w:val="0"/>
              <w:autoSpaceDN w:val="0"/>
              <w:adjustRightInd w:val="0"/>
              <w:spacing w:line="276" w:lineRule="auto"/>
              <w:ind w:firstLine="420" w:firstLineChars="200"/>
              <w:rPr>
                <w:rFonts w:cs="宋体"/>
                <w:szCs w:val="21"/>
              </w:rPr>
            </w:pPr>
            <w:r>
              <w:rPr>
                <w:rFonts w:hint="eastAsia" w:cs="宋体"/>
                <w:szCs w:val="21"/>
              </w:rPr>
              <w:t>2.在服务期中向学校提供风险预警服务，在服务中会对于最新漏洞的情况生成告警信息提供给学校，并协助老师关联校内资产完成风险排查。</w:t>
            </w:r>
          </w:p>
          <w:p w14:paraId="4B4717A0">
            <w:pPr>
              <w:autoSpaceDE w:val="0"/>
              <w:autoSpaceDN w:val="0"/>
              <w:adjustRightInd w:val="0"/>
              <w:spacing w:line="276" w:lineRule="auto"/>
              <w:ind w:firstLine="420" w:firstLineChars="200"/>
              <w:rPr>
                <w:rFonts w:cs="宋体"/>
                <w:szCs w:val="21"/>
              </w:rPr>
            </w:pPr>
            <w:r>
              <w:rPr>
                <w:rFonts w:hint="eastAsia" w:cs="宋体"/>
                <w:szCs w:val="21"/>
              </w:rPr>
              <w:t>3.协助老师完成联系厂商，漏洞分析等常规事务，并提供巡检报告。</w:t>
            </w:r>
          </w:p>
          <w:p w14:paraId="1AC3C09E">
            <w:pPr>
              <w:autoSpaceDE w:val="0"/>
              <w:autoSpaceDN w:val="0"/>
              <w:adjustRightInd w:val="0"/>
              <w:spacing w:line="276" w:lineRule="auto"/>
              <w:ind w:firstLine="420" w:firstLineChars="200"/>
              <w:rPr>
                <w:rFonts w:cs="宋体"/>
                <w:szCs w:val="21"/>
              </w:rPr>
            </w:pPr>
            <w:r>
              <w:rPr>
                <w:rFonts w:hint="eastAsia" w:cs="宋体"/>
                <w:szCs w:val="21"/>
              </w:rPr>
              <w:t xml:space="preserve">4.重要时期现场保障巡检服务，配合学校完进行特殊时刻的安全保障，为校方提供专项网络及信息安全保障服务，具体根据学校的要求执行。  </w:t>
            </w:r>
          </w:p>
        </w:tc>
        <w:tc>
          <w:tcPr>
            <w:tcW w:w="2760" w:type="dxa"/>
            <w:noWrap/>
            <w:vAlign w:val="center"/>
          </w:tcPr>
          <w:p w14:paraId="4E0724FE">
            <w:pPr>
              <w:autoSpaceDE w:val="0"/>
              <w:autoSpaceDN w:val="0"/>
              <w:adjustRightInd w:val="0"/>
              <w:spacing w:line="276" w:lineRule="auto"/>
            </w:pPr>
            <w:r>
              <w:rPr>
                <w:rFonts w:hint="eastAsia" w:cs="宋体"/>
                <w:b/>
                <w:bCs/>
                <w:szCs w:val="21"/>
              </w:rPr>
              <w:t>服务频率：</w:t>
            </w:r>
            <w:r>
              <w:rPr>
                <w:rFonts w:hint="eastAsia" w:cs="宋体"/>
                <w:szCs w:val="21"/>
              </w:rPr>
              <w:t>一周三次（8：00-17：30）；</w:t>
            </w:r>
          </w:p>
          <w:p w14:paraId="497008F3">
            <w:pPr>
              <w:autoSpaceDE w:val="0"/>
              <w:autoSpaceDN w:val="0"/>
              <w:adjustRightInd w:val="0"/>
              <w:spacing w:line="276" w:lineRule="auto"/>
              <w:rPr>
                <w:rFonts w:cs="宋体"/>
                <w:szCs w:val="21"/>
              </w:rPr>
            </w:pPr>
            <w:r>
              <w:rPr>
                <w:rFonts w:hint="eastAsia" w:cs="宋体"/>
                <w:b/>
                <w:bCs/>
                <w:szCs w:val="21"/>
              </w:rPr>
              <w:t>交付物：</w:t>
            </w:r>
            <w:r>
              <w:rPr>
                <w:rFonts w:hint="eastAsia" w:cs="宋体"/>
                <w:szCs w:val="21"/>
              </w:rPr>
              <w:t>安全保障应急响应预案、安全保障工作日志、安全保障工作总结。</w:t>
            </w:r>
          </w:p>
        </w:tc>
      </w:tr>
      <w:tr w14:paraId="704A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70" w:type="dxa"/>
            <w:noWrap/>
            <w:vAlign w:val="center"/>
          </w:tcPr>
          <w:p w14:paraId="799DD4B3">
            <w:pPr>
              <w:adjustRightInd w:val="0"/>
              <w:snapToGrid w:val="0"/>
              <w:spacing w:before="100" w:beforeAutospacing="1" w:after="100" w:afterAutospacing="1" w:line="360" w:lineRule="auto"/>
              <w:jc w:val="center"/>
              <w:rPr>
                <w:szCs w:val="21"/>
              </w:rPr>
            </w:pPr>
            <w:r>
              <w:rPr>
                <w:rFonts w:hint="eastAsia" w:ascii="宋体" w:hAnsi="宋体" w:cs="宋体"/>
                <w:szCs w:val="21"/>
                <w:highlight w:val="none"/>
              </w:rPr>
              <w:t>★</w:t>
            </w:r>
            <w:r>
              <w:rPr>
                <w:szCs w:val="21"/>
                <w:highlight w:val="none"/>
              </w:rPr>
              <w:t>6</w:t>
            </w:r>
          </w:p>
        </w:tc>
        <w:tc>
          <w:tcPr>
            <w:tcW w:w="2262" w:type="dxa"/>
            <w:noWrap/>
            <w:vAlign w:val="center"/>
          </w:tcPr>
          <w:p w14:paraId="6086D354">
            <w:pPr>
              <w:adjustRightInd w:val="0"/>
              <w:snapToGrid w:val="0"/>
              <w:spacing w:before="100" w:beforeAutospacing="1" w:after="100" w:afterAutospacing="1" w:line="360" w:lineRule="auto"/>
              <w:jc w:val="center"/>
              <w:rPr>
                <w:szCs w:val="21"/>
              </w:rPr>
            </w:pPr>
            <w:r>
              <w:rPr>
                <w:szCs w:val="21"/>
              </w:rPr>
              <w:t>应急响应</w:t>
            </w:r>
          </w:p>
        </w:tc>
        <w:tc>
          <w:tcPr>
            <w:tcW w:w="4203" w:type="dxa"/>
            <w:noWrap/>
            <w:vAlign w:val="center"/>
          </w:tcPr>
          <w:p w14:paraId="79AEB7DF">
            <w:pPr>
              <w:widowControl/>
              <w:spacing w:line="276" w:lineRule="auto"/>
              <w:ind w:firstLine="420" w:firstLineChars="200"/>
              <w:rPr>
                <w:rFonts w:cs="宋体"/>
                <w:szCs w:val="21"/>
              </w:rPr>
            </w:pPr>
            <w:r>
              <w:rPr>
                <w:rFonts w:hint="eastAsia" w:cs="宋体"/>
                <w:szCs w:val="21"/>
              </w:rPr>
              <w:t>1.当校方网络与信息系统发生紧急安全事件时，迅速组织应急安全专家小组提供远程及现场支持，最快速处置事件，并采取有效措施，遏制事件蔓延并降低安全威胁事件带来的严重影响。</w:t>
            </w:r>
          </w:p>
          <w:p w14:paraId="406AB44D">
            <w:pPr>
              <w:widowControl/>
              <w:spacing w:line="276" w:lineRule="auto"/>
              <w:ind w:firstLine="420" w:firstLineChars="200"/>
              <w:rPr>
                <w:rFonts w:cs="宋体"/>
                <w:szCs w:val="21"/>
              </w:rPr>
            </w:pPr>
            <w:r>
              <w:rPr>
                <w:rFonts w:hint="eastAsia" w:cs="宋体"/>
                <w:szCs w:val="21"/>
              </w:rPr>
              <w:t>2.安全服务人员根据事件类别，通过远程和现场支持的方式协助校方对遇到的突发性安全事件进行紧急分析和处理。</w:t>
            </w:r>
          </w:p>
          <w:p w14:paraId="445BF199">
            <w:pPr>
              <w:widowControl/>
              <w:spacing w:line="276" w:lineRule="auto"/>
              <w:ind w:firstLine="420" w:firstLineChars="200"/>
              <w:rPr>
                <w:rFonts w:cs="宋体"/>
                <w:szCs w:val="21"/>
              </w:rPr>
            </w:pPr>
            <w:r>
              <w:rPr>
                <w:rFonts w:hint="eastAsia" w:cs="宋体"/>
                <w:szCs w:val="21"/>
              </w:rPr>
              <w:t>3.应急响应服务应至少包括现场取证备查、事件分析、分析报告提交、问题解决建议等，保证重要系统能及时恢复上线。</w:t>
            </w:r>
          </w:p>
          <w:p w14:paraId="085712FF">
            <w:pPr>
              <w:widowControl/>
              <w:spacing w:line="276" w:lineRule="auto"/>
              <w:ind w:firstLine="422" w:firstLineChars="200"/>
              <w:rPr>
                <w:rFonts w:cs="宋体"/>
                <w:szCs w:val="21"/>
              </w:rPr>
            </w:pPr>
            <w:r>
              <w:rPr>
                <w:rFonts w:hint="eastAsia" w:cs="宋体"/>
                <w:b/>
                <w:bCs/>
                <w:szCs w:val="21"/>
              </w:rPr>
              <w:t>4.应急安全专家小组远程响应时间不超过1小时，应急安全专家小组</w:t>
            </w:r>
            <w:r>
              <w:rPr>
                <w:rFonts w:cs="宋体"/>
                <w:b/>
                <w:bCs/>
                <w:szCs w:val="21"/>
              </w:rPr>
              <w:t>12</w:t>
            </w:r>
            <w:r>
              <w:rPr>
                <w:rFonts w:hint="eastAsia" w:cs="宋体"/>
                <w:b/>
                <w:bCs/>
                <w:szCs w:val="21"/>
              </w:rPr>
              <w:t>小时内到达现场。</w:t>
            </w:r>
          </w:p>
        </w:tc>
        <w:tc>
          <w:tcPr>
            <w:tcW w:w="2760" w:type="dxa"/>
            <w:noWrap/>
            <w:vAlign w:val="center"/>
          </w:tcPr>
          <w:p w14:paraId="54D69D82">
            <w:pPr>
              <w:widowControl/>
              <w:jc w:val="left"/>
              <w:rPr>
                <w:rFonts w:cs="宋体"/>
                <w:b/>
                <w:bCs/>
                <w:szCs w:val="21"/>
              </w:rPr>
            </w:pPr>
            <w:r>
              <w:rPr>
                <w:rFonts w:hint="eastAsia" w:cs="宋体"/>
                <w:b/>
                <w:bCs/>
                <w:szCs w:val="21"/>
              </w:rPr>
              <w:t>服务频率：</w:t>
            </w:r>
            <w:r>
              <w:rPr>
                <w:rFonts w:hint="eastAsia" w:cs="宋体"/>
                <w:szCs w:val="21"/>
              </w:rPr>
              <w:t>根据学校要求响应。</w:t>
            </w:r>
          </w:p>
          <w:p w14:paraId="091876CB">
            <w:pPr>
              <w:pStyle w:val="5"/>
              <w:rPr>
                <w:rFonts w:ascii="Times New Roman" w:hAnsi="Times New Roman" w:eastAsia="宋体"/>
              </w:rPr>
            </w:pPr>
          </w:p>
          <w:p w14:paraId="2BEDF853">
            <w:pPr>
              <w:widowControl/>
              <w:jc w:val="left"/>
              <w:rPr>
                <w:szCs w:val="21"/>
              </w:rPr>
            </w:pPr>
            <w:r>
              <w:rPr>
                <w:rFonts w:hint="eastAsia" w:cs="宋体"/>
                <w:b/>
                <w:bCs/>
                <w:szCs w:val="21"/>
              </w:rPr>
              <w:t>交付物：</w:t>
            </w:r>
            <w:r>
              <w:rPr>
                <w:rFonts w:hint="eastAsia" w:cs="宋体"/>
                <w:szCs w:val="21"/>
              </w:rPr>
              <w:t>网络安全事件应急响应报告、处置建议、协助进行安全事件处置</w:t>
            </w:r>
          </w:p>
        </w:tc>
      </w:tr>
      <w:tr w14:paraId="73C22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ign w:val="center"/>
          </w:tcPr>
          <w:p w14:paraId="1C9D9B9F">
            <w:pPr>
              <w:adjustRightInd w:val="0"/>
              <w:snapToGrid w:val="0"/>
              <w:spacing w:before="100" w:beforeAutospacing="1" w:after="100" w:afterAutospacing="1" w:line="360" w:lineRule="auto"/>
              <w:jc w:val="center"/>
              <w:rPr>
                <w:szCs w:val="21"/>
              </w:rPr>
            </w:pPr>
            <w:r>
              <w:rPr>
                <w:szCs w:val="21"/>
              </w:rPr>
              <w:t>7</w:t>
            </w:r>
          </w:p>
        </w:tc>
        <w:tc>
          <w:tcPr>
            <w:tcW w:w="2262" w:type="dxa"/>
            <w:noWrap/>
            <w:vAlign w:val="center"/>
          </w:tcPr>
          <w:p w14:paraId="1BD0E132">
            <w:pPr>
              <w:adjustRightInd w:val="0"/>
              <w:snapToGrid w:val="0"/>
              <w:spacing w:before="100" w:beforeAutospacing="1" w:after="100" w:afterAutospacing="1" w:line="360" w:lineRule="auto"/>
              <w:jc w:val="center"/>
              <w:rPr>
                <w:szCs w:val="21"/>
              </w:rPr>
            </w:pPr>
            <w:r>
              <w:rPr>
                <w:szCs w:val="21"/>
              </w:rPr>
              <w:t>应急演练</w:t>
            </w:r>
          </w:p>
        </w:tc>
        <w:tc>
          <w:tcPr>
            <w:tcW w:w="4203" w:type="dxa"/>
            <w:noWrap/>
            <w:vAlign w:val="center"/>
          </w:tcPr>
          <w:p w14:paraId="7FF2E241">
            <w:pPr>
              <w:widowControl/>
              <w:spacing w:line="276" w:lineRule="auto"/>
              <w:ind w:firstLine="420" w:firstLineChars="200"/>
              <w:rPr>
                <w:rFonts w:cs="宋体"/>
                <w:szCs w:val="21"/>
              </w:rPr>
            </w:pPr>
            <w:r>
              <w:rPr>
                <w:rFonts w:hint="eastAsia" w:cs="宋体"/>
                <w:szCs w:val="21"/>
              </w:rPr>
              <w:t>1.通过应急演练服务，建立健全网络与信息安全运行应急工作机制，检验网络与信息安全综合应急预案的有效性，验证相关组织和人员应对网络和信息安全突发事件的组织指挥能力和应急处置能力。同时，通过演练，不断提高各部门开展应急工作的水平和效率，发现不足，进一步完善应急预案。</w:t>
            </w:r>
          </w:p>
          <w:p w14:paraId="65956C91">
            <w:pPr>
              <w:widowControl/>
              <w:spacing w:line="276" w:lineRule="auto"/>
              <w:ind w:firstLine="420" w:firstLineChars="200"/>
              <w:rPr>
                <w:szCs w:val="21"/>
              </w:rPr>
            </w:pPr>
            <w:r>
              <w:rPr>
                <w:rFonts w:hint="eastAsia" w:cs="宋体"/>
                <w:szCs w:val="21"/>
              </w:rPr>
              <w:t>2.根据实际业务环境，提供专项预案，准备演练场景，以模拟攻防演练的方式检验应急预案和应急流程是否完善，提高应急处理能力。</w:t>
            </w:r>
          </w:p>
        </w:tc>
        <w:tc>
          <w:tcPr>
            <w:tcW w:w="2760" w:type="dxa"/>
            <w:noWrap/>
            <w:vAlign w:val="center"/>
          </w:tcPr>
          <w:p w14:paraId="059F3EC6">
            <w:pPr>
              <w:widowControl/>
              <w:jc w:val="left"/>
            </w:pPr>
            <w:r>
              <w:rPr>
                <w:rFonts w:hint="eastAsia" w:cs="宋体"/>
                <w:b/>
                <w:bCs/>
                <w:kern w:val="0"/>
                <w:szCs w:val="21"/>
              </w:rPr>
              <w:t>服务频率：</w:t>
            </w:r>
            <w:r>
              <w:rPr>
                <w:rFonts w:hint="eastAsia" w:cs="宋体"/>
                <w:kern w:val="0"/>
                <w:szCs w:val="21"/>
              </w:rPr>
              <w:t>不少于</w:t>
            </w:r>
            <w:r>
              <w:rPr>
                <w:rFonts w:cs="宋体"/>
                <w:kern w:val="0"/>
                <w:szCs w:val="21"/>
              </w:rPr>
              <w:t>2</w:t>
            </w:r>
            <w:r>
              <w:rPr>
                <w:rFonts w:hint="eastAsia" w:cs="宋体"/>
                <w:kern w:val="0"/>
                <w:szCs w:val="21"/>
              </w:rPr>
              <w:t>次；</w:t>
            </w:r>
          </w:p>
          <w:p w14:paraId="2B618BFA">
            <w:pPr>
              <w:widowControl/>
              <w:jc w:val="left"/>
              <w:rPr>
                <w:rFonts w:cs="宋体"/>
                <w:b/>
                <w:bCs/>
                <w:kern w:val="0"/>
                <w:szCs w:val="21"/>
              </w:rPr>
            </w:pPr>
            <w:r>
              <w:rPr>
                <w:rFonts w:hint="eastAsia" w:cs="宋体"/>
                <w:b/>
                <w:bCs/>
                <w:kern w:val="0"/>
                <w:szCs w:val="21"/>
              </w:rPr>
              <w:t>交付物：</w:t>
            </w:r>
            <w:r>
              <w:rPr>
                <w:rFonts w:hint="eastAsia" w:cs="宋体"/>
                <w:kern w:val="0"/>
                <w:szCs w:val="21"/>
              </w:rPr>
              <w:t>应急演练预案（周期性完善）、应急演练方案、应急演练汇报</w:t>
            </w:r>
            <w:r>
              <w:rPr>
                <w:rFonts w:hint="eastAsia" w:cs="宋体"/>
                <w:szCs w:val="21"/>
              </w:rPr>
              <w:t>、更新的应急预案。</w:t>
            </w:r>
          </w:p>
        </w:tc>
      </w:tr>
      <w:tr w14:paraId="06957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ign w:val="center"/>
          </w:tcPr>
          <w:p w14:paraId="4EF76C91">
            <w:pPr>
              <w:adjustRightInd w:val="0"/>
              <w:snapToGrid w:val="0"/>
              <w:spacing w:before="100" w:beforeAutospacing="1" w:after="100" w:afterAutospacing="1" w:line="360" w:lineRule="auto"/>
              <w:jc w:val="center"/>
              <w:rPr>
                <w:szCs w:val="21"/>
              </w:rPr>
            </w:pPr>
            <w:r>
              <w:rPr>
                <w:szCs w:val="21"/>
              </w:rPr>
              <w:t>8</w:t>
            </w:r>
          </w:p>
        </w:tc>
        <w:tc>
          <w:tcPr>
            <w:tcW w:w="2262" w:type="dxa"/>
            <w:noWrap/>
            <w:vAlign w:val="center"/>
          </w:tcPr>
          <w:p w14:paraId="4350AE6D">
            <w:pPr>
              <w:adjustRightInd w:val="0"/>
              <w:snapToGrid w:val="0"/>
              <w:spacing w:before="100" w:beforeAutospacing="1" w:after="100" w:afterAutospacing="1" w:line="360" w:lineRule="auto"/>
              <w:jc w:val="center"/>
              <w:rPr>
                <w:szCs w:val="21"/>
              </w:rPr>
            </w:pPr>
            <w:r>
              <w:rPr>
                <w:szCs w:val="21"/>
              </w:rPr>
              <w:t>安全培训</w:t>
            </w:r>
          </w:p>
        </w:tc>
        <w:tc>
          <w:tcPr>
            <w:tcW w:w="4203" w:type="dxa"/>
            <w:noWrap/>
            <w:vAlign w:val="center"/>
          </w:tcPr>
          <w:p w14:paraId="002A59DA">
            <w:pPr>
              <w:adjustRightInd w:val="0"/>
              <w:snapToGrid w:val="0"/>
              <w:spacing w:before="100" w:beforeAutospacing="1" w:after="100" w:afterAutospacing="1" w:line="276" w:lineRule="auto"/>
              <w:rPr>
                <w:szCs w:val="21"/>
              </w:rPr>
            </w:pPr>
            <w:r>
              <w:rPr>
                <w:rFonts w:hint="eastAsia"/>
                <w:szCs w:val="21"/>
              </w:rPr>
              <w:t xml:space="preserve">    根据校方的网络安全培训要求，提供网络安全培训课程，培训形式由校方指定，培训内容包含但不限于网络安全意识培训、网络安全管理培训、网络安全技能培训网络安全等级保护标准培训、商用密码应用安全性评估培训。</w:t>
            </w:r>
          </w:p>
        </w:tc>
        <w:tc>
          <w:tcPr>
            <w:tcW w:w="2760" w:type="dxa"/>
            <w:noWrap/>
            <w:vAlign w:val="center"/>
          </w:tcPr>
          <w:p w14:paraId="0BB62F31">
            <w:pPr>
              <w:widowControl/>
              <w:jc w:val="left"/>
              <w:rPr>
                <w:rFonts w:cs="宋体"/>
                <w:szCs w:val="21"/>
              </w:rPr>
            </w:pPr>
            <w:r>
              <w:rPr>
                <w:rFonts w:hint="eastAsia" w:cs="宋体"/>
                <w:b/>
                <w:bCs/>
                <w:szCs w:val="21"/>
              </w:rPr>
              <w:t>服务频率：</w:t>
            </w:r>
            <w:r>
              <w:rPr>
                <w:rFonts w:hint="eastAsia" w:cs="宋体"/>
                <w:szCs w:val="21"/>
              </w:rPr>
              <w:t>面向校内专业人员2次技术培训，面向师生2次知识讲座；</w:t>
            </w:r>
          </w:p>
          <w:p w14:paraId="04B078C8">
            <w:pPr>
              <w:widowControl/>
              <w:jc w:val="left"/>
              <w:rPr>
                <w:szCs w:val="21"/>
              </w:rPr>
            </w:pPr>
            <w:r>
              <w:rPr>
                <w:rFonts w:hint="eastAsia" w:cs="宋体"/>
                <w:b/>
                <w:bCs/>
                <w:szCs w:val="21"/>
              </w:rPr>
              <w:t>交付物：</w:t>
            </w:r>
            <w:r>
              <w:rPr>
                <w:rFonts w:hint="eastAsia" w:cs="宋体"/>
                <w:szCs w:val="21"/>
              </w:rPr>
              <w:t>技术培训、网络安全知识讲座、培训及相关文稿。</w:t>
            </w:r>
          </w:p>
        </w:tc>
      </w:tr>
      <w:tr w14:paraId="58E3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ign w:val="center"/>
          </w:tcPr>
          <w:p w14:paraId="50DC193A">
            <w:pPr>
              <w:adjustRightInd w:val="0"/>
              <w:snapToGrid w:val="0"/>
              <w:spacing w:before="100" w:beforeAutospacing="1" w:after="100" w:afterAutospacing="1" w:line="360" w:lineRule="auto"/>
              <w:jc w:val="center"/>
              <w:rPr>
                <w:szCs w:val="21"/>
              </w:rPr>
            </w:pPr>
            <w:r>
              <w:rPr>
                <w:szCs w:val="21"/>
              </w:rPr>
              <w:t>9</w:t>
            </w:r>
          </w:p>
        </w:tc>
        <w:tc>
          <w:tcPr>
            <w:tcW w:w="2262" w:type="dxa"/>
            <w:noWrap/>
            <w:vAlign w:val="center"/>
          </w:tcPr>
          <w:p w14:paraId="171D240C">
            <w:pPr>
              <w:adjustRightInd w:val="0"/>
              <w:snapToGrid w:val="0"/>
              <w:spacing w:before="100" w:beforeAutospacing="1" w:after="100" w:afterAutospacing="1" w:line="360" w:lineRule="auto"/>
              <w:jc w:val="center"/>
              <w:rPr>
                <w:szCs w:val="21"/>
              </w:rPr>
            </w:pPr>
            <w:r>
              <w:rPr>
                <w:szCs w:val="21"/>
              </w:rPr>
              <w:t>网络安全宣传周</w:t>
            </w:r>
            <w:r>
              <w:rPr>
                <w:rFonts w:hint="eastAsia"/>
                <w:szCs w:val="21"/>
              </w:rPr>
              <w:t>宣传教育</w:t>
            </w:r>
          </w:p>
        </w:tc>
        <w:tc>
          <w:tcPr>
            <w:tcW w:w="4203" w:type="dxa"/>
            <w:noWrap/>
            <w:vAlign w:val="center"/>
          </w:tcPr>
          <w:p w14:paraId="47484F05">
            <w:pPr>
              <w:adjustRightInd w:val="0"/>
              <w:snapToGrid w:val="0"/>
              <w:spacing w:before="100" w:beforeAutospacing="1" w:after="100" w:afterAutospacing="1" w:line="276" w:lineRule="auto"/>
              <w:rPr>
                <w:szCs w:val="21"/>
              </w:rPr>
            </w:pPr>
            <w:r>
              <w:rPr>
                <w:rFonts w:hint="eastAsia"/>
                <w:szCs w:val="21"/>
              </w:rPr>
              <w:t xml:space="preserve">   根据国家网络安全宣传周的要求，协助校方开展网络安全宣传周各种形式的宣传并提供相关物料支持，对师生开展网络安全教育活动。</w:t>
            </w:r>
          </w:p>
        </w:tc>
        <w:tc>
          <w:tcPr>
            <w:tcW w:w="2760" w:type="dxa"/>
            <w:noWrap/>
            <w:vAlign w:val="center"/>
          </w:tcPr>
          <w:p w14:paraId="4524CD2C">
            <w:pPr>
              <w:widowControl/>
              <w:jc w:val="left"/>
              <w:rPr>
                <w:rFonts w:cs="宋体"/>
                <w:szCs w:val="21"/>
              </w:rPr>
            </w:pPr>
            <w:r>
              <w:rPr>
                <w:rFonts w:hint="eastAsia" w:cs="宋体"/>
                <w:b/>
                <w:bCs/>
                <w:szCs w:val="21"/>
              </w:rPr>
              <w:t>服务频率：</w:t>
            </w:r>
            <w:r>
              <w:rPr>
                <w:rFonts w:hint="eastAsia" w:cs="宋体"/>
                <w:szCs w:val="21"/>
              </w:rPr>
              <w:t>不少于1年1次；</w:t>
            </w:r>
          </w:p>
          <w:p w14:paraId="3105E68A">
            <w:pPr>
              <w:widowControl/>
              <w:jc w:val="left"/>
              <w:rPr>
                <w:szCs w:val="21"/>
              </w:rPr>
            </w:pPr>
            <w:r>
              <w:rPr>
                <w:rFonts w:hint="eastAsia" w:cs="宋体"/>
                <w:b/>
                <w:bCs/>
                <w:szCs w:val="21"/>
              </w:rPr>
              <w:t>交付物：</w:t>
            </w:r>
            <w:r>
              <w:rPr>
                <w:rFonts w:hint="eastAsia"/>
                <w:szCs w:val="21"/>
              </w:rPr>
              <w:t>网络安全宣传方案、组织过程、活动文稿等相关材料。</w:t>
            </w:r>
          </w:p>
        </w:tc>
      </w:tr>
      <w:tr w14:paraId="5D4AC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ign w:val="center"/>
          </w:tcPr>
          <w:p w14:paraId="06D3D0AB">
            <w:pPr>
              <w:adjustRightInd w:val="0"/>
              <w:snapToGrid w:val="0"/>
              <w:spacing w:before="100" w:beforeAutospacing="1" w:after="100" w:afterAutospacing="1" w:line="360" w:lineRule="auto"/>
              <w:jc w:val="center"/>
              <w:rPr>
                <w:szCs w:val="21"/>
              </w:rPr>
            </w:pPr>
            <w:r>
              <w:rPr>
                <w:szCs w:val="21"/>
              </w:rPr>
              <w:t>10</w:t>
            </w:r>
          </w:p>
        </w:tc>
        <w:tc>
          <w:tcPr>
            <w:tcW w:w="2262" w:type="dxa"/>
            <w:noWrap/>
            <w:vAlign w:val="center"/>
          </w:tcPr>
          <w:p w14:paraId="61B12C8E">
            <w:pPr>
              <w:adjustRightInd w:val="0"/>
              <w:snapToGrid w:val="0"/>
              <w:spacing w:before="100" w:beforeAutospacing="1" w:after="100" w:afterAutospacing="1" w:line="360" w:lineRule="auto"/>
              <w:jc w:val="center"/>
              <w:rPr>
                <w:szCs w:val="21"/>
              </w:rPr>
            </w:pPr>
            <w:r>
              <w:rPr>
                <w:szCs w:val="21"/>
              </w:rPr>
              <w:t>安全</w:t>
            </w:r>
            <w:r>
              <w:rPr>
                <w:rFonts w:hint="eastAsia"/>
                <w:szCs w:val="21"/>
              </w:rPr>
              <w:t>预警</w:t>
            </w:r>
          </w:p>
        </w:tc>
        <w:tc>
          <w:tcPr>
            <w:tcW w:w="4203" w:type="dxa"/>
            <w:noWrap/>
            <w:vAlign w:val="center"/>
          </w:tcPr>
          <w:p w14:paraId="4B74819F">
            <w:pPr>
              <w:autoSpaceDE w:val="0"/>
              <w:autoSpaceDN w:val="0"/>
              <w:adjustRightInd w:val="0"/>
              <w:spacing w:line="276" w:lineRule="auto"/>
              <w:rPr>
                <w:rFonts w:cs="宋体"/>
                <w:szCs w:val="21"/>
              </w:rPr>
            </w:pPr>
            <w:r>
              <w:rPr>
                <w:rFonts w:hint="eastAsia" w:cs="宋体"/>
                <w:szCs w:val="21"/>
              </w:rPr>
              <w:t>　　1.密切关注零日漏洞、业界新发现的高危安全漏洞，针对高危安全漏洞及时预警，预警包括对安全漏洞的描述、影响范围、修复建议等内容。</w:t>
            </w:r>
          </w:p>
          <w:p w14:paraId="2646B4CB">
            <w:pPr>
              <w:autoSpaceDE w:val="0"/>
              <w:autoSpaceDN w:val="0"/>
              <w:adjustRightInd w:val="0"/>
              <w:spacing w:line="276" w:lineRule="auto"/>
              <w:rPr>
                <w:rFonts w:cs="宋体"/>
                <w:szCs w:val="21"/>
              </w:rPr>
            </w:pPr>
            <w:r>
              <w:rPr>
                <w:rFonts w:hint="eastAsia" w:cs="宋体"/>
                <w:szCs w:val="21"/>
              </w:rPr>
              <w:t>　　2.网信办、公安机关等相关的行业安全事件分析、安全规范解读、安全检查范围方法预警、通告。</w:t>
            </w:r>
          </w:p>
          <w:p w14:paraId="406A2233">
            <w:pPr>
              <w:autoSpaceDE w:val="0"/>
              <w:autoSpaceDN w:val="0"/>
              <w:adjustRightInd w:val="0"/>
              <w:spacing w:line="276" w:lineRule="auto"/>
              <w:rPr>
                <w:szCs w:val="21"/>
              </w:rPr>
            </w:pPr>
            <w:r>
              <w:rPr>
                <w:rFonts w:hint="eastAsia" w:cs="宋体"/>
                <w:szCs w:val="21"/>
              </w:rPr>
              <w:t>　　3.预警范围包含但不限于：应用安全漏洞通告、重大安全事件通告、采购方自身安全漏洞通告；通报时间</w:t>
            </w:r>
            <w:r>
              <w:rPr>
                <w:rFonts w:cs="宋体"/>
                <w:szCs w:val="21"/>
              </w:rPr>
              <w:t>7*24</w:t>
            </w:r>
            <w:r>
              <w:rPr>
                <w:rFonts w:hint="eastAsia" w:cs="宋体"/>
                <w:szCs w:val="21"/>
              </w:rPr>
              <w:t>小时，实时通报；通报后根据实际情况提供远程或现场技术支持。</w:t>
            </w:r>
          </w:p>
        </w:tc>
        <w:tc>
          <w:tcPr>
            <w:tcW w:w="2760" w:type="dxa"/>
            <w:noWrap/>
            <w:vAlign w:val="center"/>
          </w:tcPr>
          <w:p w14:paraId="7E3C80BE">
            <w:pPr>
              <w:widowControl/>
              <w:rPr>
                <w:rFonts w:cs="宋体"/>
                <w:szCs w:val="21"/>
              </w:rPr>
            </w:pPr>
            <w:r>
              <w:rPr>
                <w:rFonts w:hint="eastAsia" w:cs="宋体"/>
                <w:b/>
                <w:bCs/>
                <w:szCs w:val="21"/>
              </w:rPr>
              <w:t>服务频率：</w:t>
            </w:r>
            <w:r>
              <w:rPr>
                <w:rFonts w:hint="eastAsia" w:cs="宋体"/>
                <w:szCs w:val="21"/>
              </w:rPr>
              <w:t>根据学校要求响应；</w:t>
            </w:r>
          </w:p>
          <w:p w14:paraId="6FD51396">
            <w:pPr>
              <w:widowControl/>
              <w:rPr>
                <w:szCs w:val="21"/>
              </w:rPr>
            </w:pPr>
            <w:r>
              <w:rPr>
                <w:rFonts w:hint="eastAsia" w:cs="宋体"/>
                <w:b/>
                <w:bCs/>
                <w:szCs w:val="21"/>
              </w:rPr>
              <w:t>交付物：</w:t>
            </w:r>
            <w:r>
              <w:rPr>
                <w:rFonts w:hint="eastAsia" w:cs="宋体"/>
                <w:szCs w:val="21"/>
              </w:rPr>
              <w:t>安全漏洞详情、修复建议、协助完成修复；安全预警通告及后续技术支持工作。</w:t>
            </w:r>
          </w:p>
        </w:tc>
      </w:tr>
      <w:tr w14:paraId="5DF90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noWrap/>
            <w:vAlign w:val="center"/>
          </w:tcPr>
          <w:p w14:paraId="6AE6DA9D">
            <w:pPr>
              <w:adjustRightInd w:val="0"/>
              <w:snapToGrid w:val="0"/>
              <w:spacing w:before="100" w:beforeAutospacing="1" w:after="100" w:afterAutospacing="1" w:line="360" w:lineRule="auto"/>
              <w:jc w:val="center"/>
              <w:rPr>
                <w:szCs w:val="21"/>
              </w:rPr>
            </w:pPr>
            <w:r>
              <w:rPr>
                <w:szCs w:val="21"/>
              </w:rPr>
              <w:t>11</w:t>
            </w:r>
          </w:p>
        </w:tc>
        <w:tc>
          <w:tcPr>
            <w:tcW w:w="2262" w:type="dxa"/>
            <w:noWrap/>
            <w:vAlign w:val="center"/>
          </w:tcPr>
          <w:p w14:paraId="6D2384D7">
            <w:pPr>
              <w:adjustRightInd w:val="0"/>
              <w:snapToGrid w:val="0"/>
              <w:spacing w:before="100" w:beforeAutospacing="1" w:after="100" w:afterAutospacing="1" w:line="360" w:lineRule="auto"/>
              <w:jc w:val="center"/>
              <w:rPr>
                <w:szCs w:val="21"/>
              </w:rPr>
            </w:pPr>
            <w:r>
              <w:rPr>
                <w:szCs w:val="21"/>
              </w:rPr>
              <w:t>安全</w:t>
            </w:r>
            <w:r>
              <w:rPr>
                <w:rFonts w:hint="eastAsia"/>
                <w:szCs w:val="21"/>
              </w:rPr>
              <w:t>咨询</w:t>
            </w:r>
            <w:r>
              <w:rPr>
                <w:szCs w:val="21"/>
              </w:rPr>
              <w:t>与策略</w:t>
            </w:r>
            <w:r>
              <w:rPr>
                <w:rFonts w:hint="eastAsia"/>
                <w:szCs w:val="21"/>
              </w:rPr>
              <w:t>优化</w:t>
            </w:r>
          </w:p>
        </w:tc>
        <w:tc>
          <w:tcPr>
            <w:tcW w:w="4203" w:type="dxa"/>
            <w:noWrap/>
            <w:vAlign w:val="center"/>
          </w:tcPr>
          <w:p w14:paraId="1C40F046">
            <w:pPr>
              <w:adjustRightInd w:val="0"/>
              <w:snapToGrid w:val="0"/>
              <w:spacing w:before="100" w:beforeAutospacing="1" w:after="100" w:afterAutospacing="1" w:line="276" w:lineRule="auto"/>
              <w:ind w:firstLine="420" w:firstLineChars="200"/>
              <w:rPr>
                <w:szCs w:val="21"/>
              </w:rPr>
            </w:pPr>
            <w:r>
              <w:rPr>
                <w:rFonts w:hint="eastAsia" w:cs="宋体"/>
                <w:szCs w:val="21"/>
              </w:rPr>
              <w:t>提供网络安全咨询服务，解答我校在网络安全建设、运维过程中的安全问题。同时，全面了解学校网络安全建设现状，参照国家及教育行业相关标准，协助我校制定网络安全建设方案和规划。根据等级保护要求和上级主管部门要求，协助学校制定、优化数据中心安全策略、互联网出口安全策略等;协助制定学校网络安全相关标准、制度，提供专业化安全建议。</w:t>
            </w:r>
          </w:p>
        </w:tc>
        <w:tc>
          <w:tcPr>
            <w:tcW w:w="2760" w:type="dxa"/>
            <w:noWrap/>
            <w:vAlign w:val="center"/>
          </w:tcPr>
          <w:p w14:paraId="1E7B4BF9">
            <w:pPr>
              <w:widowControl/>
              <w:jc w:val="left"/>
              <w:rPr>
                <w:rFonts w:cs="宋体"/>
                <w:szCs w:val="21"/>
              </w:rPr>
            </w:pPr>
            <w:r>
              <w:rPr>
                <w:rFonts w:hint="eastAsia" w:cs="宋体"/>
                <w:b/>
                <w:bCs/>
                <w:szCs w:val="21"/>
              </w:rPr>
              <w:t>服务频率：</w:t>
            </w:r>
            <w:r>
              <w:rPr>
                <w:rFonts w:hint="eastAsia" w:cs="宋体"/>
                <w:szCs w:val="21"/>
              </w:rPr>
              <w:t>根据学校要求响应；</w:t>
            </w:r>
          </w:p>
          <w:p w14:paraId="4EF950AC">
            <w:pPr>
              <w:widowControl/>
              <w:jc w:val="left"/>
              <w:rPr>
                <w:szCs w:val="21"/>
              </w:rPr>
            </w:pPr>
            <w:r>
              <w:rPr>
                <w:rFonts w:hint="eastAsia" w:cs="宋体"/>
                <w:b/>
                <w:bCs/>
                <w:kern w:val="0"/>
                <w:szCs w:val="21"/>
              </w:rPr>
              <w:t>交付物：</w:t>
            </w:r>
            <w:r>
              <w:rPr>
                <w:rFonts w:hint="eastAsia" w:cs="宋体"/>
                <w:kern w:val="0"/>
                <w:szCs w:val="21"/>
              </w:rPr>
              <w:t>各类网络安全文件、制度、规范等</w:t>
            </w:r>
            <w:r>
              <w:rPr>
                <w:rFonts w:hint="eastAsia" w:cs="宋体"/>
                <w:szCs w:val="21"/>
              </w:rPr>
              <w:t>，</w:t>
            </w:r>
            <w:r>
              <w:rPr>
                <w:rFonts w:hint="eastAsia" w:cs="宋体"/>
                <w:kern w:val="0"/>
                <w:szCs w:val="21"/>
              </w:rPr>
              <w:t>策略优化报告。</w:t>
            </w:r>
          </w:p>
        </w:tc>
      </w:tr>
      <w:tr w14:paraId="2D6B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 w:type="dxa"/>
            <w:noWrap/>
            <w:vAlign w:val="center"/>
          </w:tcPr>
          <w:p w14:paraId="52329038">
            <w:pPr>
              <w:adjustRightInd w:val="0"/>
              <w:snapToGrid w:val="0"/>
              <w:spacing w:before="100" w:beforeAutospacing="1" w:after="100" w:afterAutospacing="1" w:line="360" w:lineRule="auto"/>
              <w:jc w:val="center"/>
              <w:rPr>
                <w:szCs w:val="21"/>
              </w:rPr>
            </w:pPr>
            <w:r>
              <w:rPr>
                <w:rFonts w:hint="eastAsia"/>
                <w:szCs w:val="21"/>
              </w:rPr>
              <w:t>1</w:t>
            </w:r>
            <w:r>
              <w:rPr>
                <w:szCs w:val="21"/>
              </w:rPr>
              <w:t>2</w:t>
            </w:r>
          </w:p>
        </w:tc>
        <w:tc>
          <w:tcPr>
            <w:tcW w:w="2262" w:type="dxa"/>
            <w:noWrap/>
            <w:vAlign w:val="center"/>
          </w:tcPr>
          <w:p w14:paraId="66910472">
            <w:pPr>
              <w:adjustRightInd w:val="0"/>
              <w:snapToGrid w:val="0"/>
              <w:spacing w:before="100" w:beforeAutospacing="1" w:after="100" w:afterAutospacing="1" w:line="360" w:lineRule="auto"/>
              <w:jc w:val="center"/>
              <w:rPr>
                <w:szCs w:val="21"/>
              </w:rPr>
            </w:pPr>
            <w:r>
              <w:rPr>
                <w:rFonts w:hint="eastAsia"/>
                <w:szCs w:val="21"/>
              </w:rPr>
              <w:t>安全威胁专项检查</w:t>
            </w:r>
          </w:p>
        </w:tc>
        <w:tc>
          <w:tcPr>
            <w:tcW w:w="4203" w:type="dxa"/>
            <w:noWrap/>
            <w:vAlign w:val="center"/>
          </w:tcPr>
          <w:p w14:paraId="7022440B">
            <w:pPr>
              <w:pStyle w:val="11"/>
              <w:spacing w:line="276" w:lineRule="auto"/>
              <w:ind w:firstLine="420" w:firstLineChars="200"/>
              <w:rPr>
                <w:rFonts w:ascii="Times New Roman" w:eastAsia="宋体"/>
              </w:rPr>
            </w:pPr>
            <w:r>
              <w:rPr>
                <w:rFonts w:hint="eastAsia" w:ascii="Times New Roman" w:eastAsia="宋体"/>
                <w:sz w:val="21"/>
                <w:szCs w:val="21"/>
              </w:rPr>
              <w:t>根据上级主管部门及学校要求，开展如弱口令等各类网络安全专项检查，进行安全威胁检查，出具检查报告并协助做好相关威胁、漏洞等修复工作</w:t>
            </w:r>
          </w:p>
        </w:tc>
        <w:tc>
          <w:tcPr>
            <w:tcW w:w="2760" w:type="dxa"/>
            <w:noWrap/>
            <w:vAlign w:val="center"/>
          </w:tcPr>
          <w:p w14:paraId="2337554D">
            <w:pPr>
              <w:widowControl/>
              <w:jc w:val="left"/>
              <w:rPr>
                <w:rFonts w:cs="宋体"/>
                <w:kern w:val="0"/>
                <w:szCs w:val="21"/>
              </w:rPr>
            </w:pPr>
            <w:r>
              <w:rPr>
                <w:rFonts w:hint="eastAsia" w:cs="宋体"/>
                <w:b/>
                <w:bCs/>
                <w:szCs w:val="21"/>
              </w:rPr>
              <w:t>服务频率：</w:t>
            </w:r>
            <w:r>
              <w:rPr>
                <w:rFonts w:hint="eastAsia" w:cs="宋体"/>
                <w:kern w:val="0"/>
                <w:szCs w:val="21"/>
              </w:rPr>
              <w:t>根据学校要求响应；</w:t>
            </w:r>
          </w:p>
          <w:p w14:paraId="03B60566">
            <w:pPr>
              <w:widowControl/>
              <w:jc w:val="left"/>
            </w:pPr>
            <w:r>
              <w:rPr>
                <w:rFonts w:hint="eastAsia" w:cs="宋体"/>
                <w:b/>
                <w:bCs/>
                <w:kern w:val="0"/>
                <w:szCs w:val="21"/>
              </w:rPr>
              <w:t>交付物：</w:t>
            </w:r>
            <w:r>
              <w:rPr>
                <w:rFonts w:hint="eastAsia" w:cs="宋体"/>
                <w:kern w:val="0"/>
                <w:szCs w:val="21"/>
              </w:rPr>
              <w:t>检查报告和修复工作。</w:t>
            </w:r>
          </w:p>
        </w:tc>
      </w:tr>
      <w:tr w14:paraId="74BC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 w:type="dxa"/>
            <w:noWrap/>
            <w:vAlign w:val="center"/>
          </w:tcPr>
          <w:p w14:paraId="6CEF7B73">
            <w:pPr>
              <w:adjustRightInd w:val="0"/>
              <w:snapToGrid w:val="0"/>
              <w:spacing w:before="100" w:beforeAutospacing="1" w:after="100" w:afterAutospacing="1" w:line="360" w:lineRule="auto"/>
              <w:jc w:val="center"/>
              <w:rPr>
                <w:szCs w:val="21"/>
              </w:rPr>
            </w:pPr>
            <w:r>
              <w:rPr>
                <w:rFonts w:hint="eastAsia" w:cs="宋体"/>
                <w:kern w:val="0"/>
                <w:szCs w:val="21"/>
                <w:highlight w:val="none"/>
              </w:rPr>
              <w:t>▲</w:t>
            </w:r>
            <w:r>
              <w:rPr>
                <w:rFonts w:hint="eastAsia"/>
                <w:szCs w:val="21"/>
                <w:highlight w:val="none"/>
              </w:rPr>
              <w:t>13</w:t>
            </w:r>
          </w:p>
        </w:tc>
        <w:tc>
          <w:tcPr>
            <w:tcW w:w="2262" w:type="dxa"/>
            <w:noWrap/>
            <w:vAlign w:val="center"/>
          </w:tcPr>
          <w:p w14:paraId="67687BBC">
            <w:pPr>
              <w:adjustRightInd w:val="0"/>
              <w:snapToGrid w:val="0"/>
              <w:spacing w:before="100" w:beforeAutospacing="1" w:after="100" w:afterAutospacing="1" w:line="360" w:lineRule="auto"/>
              <w:jc w:val="center"/>
              <w:rPr>
                <w:szCs w:val="21"/>
              </w:rPr>
            </w:pPr>
            <w:r>
              <w:rPr>
                <w:rFonts w:hint="eastAsia"/>
                <w:szCs w:val="21"/>
              </w:rPr>
              <w:t>网站安全监测</w:t>
            </w:r>
          </w:p>
        </w:tc>
        <w:tc>
          <w:tcPr>
            <w:tcW w:w="4203" w:type="dxa"/>
            <w:noWrap/>
            <w:vAlign w:val="center"/>
          </w:tcPr>
          <w:p w14:paraId="0A2E5760">
            <w:pPr>
              <w:pStyle w:val="11"/>
              <w:spacing w:line="276" w:lineRule="auto"/>
              <w:ind w:firstLine="420" w:firstLineChars="200"/>
              <w:rPr>
                <w:rFonts w:ascii="Times New Roman" w:eastAsia="宋体"/>
                <w:sz w:val="21"/>
                <w:szCs w:val="21"/>
              </w:rPr>
            </w:pPr>
            <w:r>
              <w:rPr>
                <w:rFonts w:hint="eastAsia" w:ascii="Times New Roman" w:eastAsia="宋体"/>
                <w:sz w:val="21"/>
                <w:szCs w:val="21"/>
              </w:rPr>
              <w:t>对互联网测站点进行实时监测，“篡改、黑链、敏感文件、敏感词、网马监测、可用性、域名劫持”等维度开展实时7*24小时监测，并通过邮件等告警形式提供网站风险预警服务。</w:t>
            </w:r>
          </w:p>
        </w:tc>
        <w:tc>
          <w:tcPr>
            <w:tcW w:w="2760" w:type="dxa"/>
            <w:noWrap/>
            <w:vAlign w:val="center"/>
          </w:tcPr>
          <w:p w14:paraId="29C1DE80">
            <w:pPr>
              <w:widowControl/>
              <w:jc w:val="left"/>
              <w:rPr>
                <w:rFonts w:cs="宋体"/>
                <w:kern w:val="0"/>
                <w:szCs w:val="21"/>
              </w:rPr>
            </w:pPr>
            <w:r>
              <w:rPr>
                <w:rFonts w:hint="eastAsia" w:cs="宋体"/>
                <w:b/>
                <w:bCs/>
                <w:szCs w:val="21"/>
              </w:rPr>
              <w:t>服务频率：</w:t>
            </w:r>
            <w:r>
              <w:rPr>
                <w:rFonts w:hint="eastAsia" w:cs="宋体"/>
                <w:kern w:val="0"/>
                <w:szCs w:val="21"/>
              </w:rPr>
              <w:t>根据学校要求响应；</w:t>
            </w:r>
          </w:p>
          <w:p w14:paraId="1BABADC4">
            <w:pPr>
              <w:widowControl/>
              <w:jc w:val="left"/>
            </w:pPr>
            <w:r>
              <w:rPr>
                <w:rFonts w:hint="eastAsia" w:cs="宋体"/>
                <w:b/>
                <w:bCs/>
                <w:kern w:val="0"/>
                <w:szCs w:val="21"/>
              </w:rPr>
              <w:t>交付物：</w:t>
            </w:r>
            <w:r>
              <w:rPr>
                <w:rFonts w:hint="eastAsia" w:cs="宋体"/>
                <w:kern w:val="0"/>
                <w:szCs w:val="21"/>
              </w:rPr>
              <w:t>监测报告。</w:t>
            </w:r>
          </w:p>
        </w:tc>
      </w:tr>
      <w:tr w14:paraId="6608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 w:type="dxa"/>
            <w:noWrap/>
            <w:vAlign w:val="center"/>
          </w:tcPr>
          <w:p w14:paraId="3D699317">
            <w:pPr>
              <w:adjustRightInd w:val="0"/>
              <w:snapToGrid w:val="0"/>
              <w:spacing w:before="100" w:beforeAutospacing="1" w:after="100" w:afterAutospacing="1" w:line="360" w:lineRule="auto"/>
              <w:jc w:val="center"/>
              <w:rPr>
                <w:szCs w:val="21"/>
              </w:rPr>
            </w:pPr>
            <w:r>
              <w:rPr>
                <w:rFonts w:hint="eastAsia"/>
                <w:szCs w:val="21"/>
              </w:rPr>
              <w:t>14</w:t>
            </w:r>
          </w:p>
        </w:tc>
        <w:tc>
          <w:tcPr>
            <w:tcW w:w="2262" w:type="dxa"/>
            <w:noWrap/>
            <w:vAlign w:val="center"/>
          </w:tcPr>
          <w:p w14:paraId="4C00CED3">
            <w:pPr>
              <w:adjustRightInd w:val="0"/>
              <w:snapToGrid w:val="0"/>
              <w:spacing w:before="100" w:beforeAutospacing="1" w:after="100" w:afterAutospacing="1" w:line="360" w:lineRule="auto"/>
              <w:jc w:val="center"/>
              <w:rPr>
                <w:szCs w:val="21"/>
              </w:rPr>
            </w:pPr>
            <w:r>
              <w:rPr>
                <w:rFonts w:hint="eastAsia"/>
                <w:szCs w:val="21"/>
              </w:rPr>
              <w:t>服务器运维</w:t>
            </w:r>
          </w:p>
        </w:tc>
        <w:tc>
          <w:tcPr>
            <w:tcW w:w="4203" w:type="dxa"/>
            <w:noWrap/>
            <w:vAlign w:val="center"/>
          </w:tcPr>
          <w:p w14:paraId="6AA5C7DB">
            <w:pPr>
              <w:pStyle w:val="11"/>
              <w:spacing w:line="276" w:lineRule="auto"/>
              <w:ind w:firstLine="420" w:firstLineChars="200"/>
              <w:rPr>
                <w:rFonts w:ascii="Times New Roman" w:eastAsia="宋体"/>
                <w:sz w:val="21"/>
                <w:szCs w:val="21"/>
              </w:rPr>
            </w:pPr>
            <w:r>
              <w:rPr>
                <w:rFonts w:hint="eastAsia" w:ascii="Times New Roman" w:eastAsia="宋体"/>
                <w:sz w:val="21"/>
                <w:szCs w:val="21"/>
              </w:rPr>
              <w:t>协助校方针对业务服务无法访问或访问存在问题，定位服务程序/软件/硬件问题并联系相应的人员解决具体问题。</w:t>
            </w:r>
          </w:p>
        </w:tc>
        <w:tc>
          <w:tcPr>
            <w:tcW w:w="2760" w:type="dxa"/>
            <w:noWrap/>
            <w:vAlign w:val="center"/>
          </w:tcPr>
          <w:p w14:paraId="179E0DE5">
            <w:pPr>
              <w:widowControl/>
              <w:jc w:val="left"/>
              <w:rPr>
                <w:rFonts w:cs="宋体"/>
                <w:kern w:val="0"/>
                <w:szCs w:val="21"/>
                <w:highlight w:val="yellow"/>
              </w:rPr>
            </w:pPr>
            <w:r>
              <w:rPr>
                <w:rFonts w:hint="eastAsia" w:cs="宋体"/>
                <w:b/>
                <w:bCs/>
                <w:szCs w:val="21"/>
              </w:rPr>
              <w:t>服务频率：</w:t>
            </w:r>
            <w:r>
              <w:rPr>
                <w:rFonts w:hint="eastAsia" w:cs="宋体"/>
                <w:kern w:val="0"/>
                <w:szCs w:val="21"/>
              </w:rPr>
              <w:t>根据学校要求响应。</w:t>
            </w:r>
          </w:p>
        </w:tc>
      </w:tr>
      <w:tr w14:paraId="59ED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 w:type="dxa"/>
            <w:noWrap/>
            <w:vAlign w:val="center"/>
          </w:tcPr>
          <w:p w14:paraId="70B54E9C">
            <w:pPr>
              <w:adjustRightInd w:val="0"/>
              <w:snapToGrid w:val="0"/>
              <w:spacing w:before="100" w:beforeAutospacing="1" w:after="100" w:afterAutospacing="1" w:line="360" w:lineRule="auto"/>
              <w:jc w:val="center"/>
              <w:rPr>
                <w:szCs w:val="21"/>
              </w:rPr>
            </w:pPr>
            <w:r>
              <w:rPr>
                <w:rFonts w:hint="eastAsia" w:ascii="宋体" w:hAnsi="宋体" w:cs="宋体"/>
                <w:szCs w:val="21"/>
                <w:highlight w:val="none"/>
              </w:rPr>
              <w:t>★</w:t>
            </w:r>
            <w:r>
              <w:rPr>
                <w:rFonts w:hint="eastAsia"/>
                <w:szCs w:val="21"/>
                <w:highlight w:val="none"/>
              </w:rPr>
              <w:t>15</w:t>
            </w:r>
          </w:p>
        </w:tc>
        <w:tc>
          <w:tcPr>
            <w:tcW w:w="2262" w:type="dxa"/>
            <w:noWrap/>
            <w:vAlign w:val="center"/>
          </w:tcPr>
          <w:p w14:paraId="59BE42AB">
            <w:pPr>
              <w:adjustRightInd w:val="0"/>
              <w:snapToGrid w:val="0"/>
              <w:spacing w:before="100" w:beforeAutospacing="1" w:after="100" w:afterAutospacing="1" w:line="360" w:lineRule="auto"/>
              <w:jc w:val="center"/>
              <w:rPr>
                <w:szCs w:val="21"/>
              </w:rPr>
            </w:pPr>
            <w:r>
              <w:rPr>
                <w:rFonts w:hint="eastAsia"/>
                <w:szCs w:val="21"/>
              </w:rPr>
              <w:t>安全通告</w:t>
            </w:r>
          </w:p>
        </w:tc>
        <w:tc>
          <w:tcPr>
            <w:tcW w:w="4203" w:type="dxa"/>
            <w:noWrap/>
            <w:vAlign w:val="center"/>
          </w:tcPr>
          <w:p w14:paraId="75EB13D2">
            <w:pPr>
              <w:pStyle w:val="11"/>
              <w:spacing w:line="276" w:lineRule="auto"/>
              <w:ind w:firstLine="420" w:firstLineChars="200"/>
              <w:rPr>
                <w:rFonts w:ascii="Times New Roman" w:eastAsia="宋体"/>
                <w:sz w:val="21"/>
                <w:szCs w:val="21"/>
              </w:rPr>
            </w:pPr>
            <w:r>
              <w:rPr>
                <w:rFonts w:hint="eastAsia" w:ascii="Times New Roman" w:eastAsia="宋体"/>
                <w:sz w:val="21"/>
                <w:szCs w:val="21"/>
              </w:rPr>
              <w:t>结合网络安全主管机构下发的安全整改通知、日常安全漏洞检测情况及行业安全趋势情况定期形成网络安全报告，并及时汇报给学校。</w:t>
            </w:r>
          </w:p>
          <w:p w14:paraId="3DAD5914">
            <w:pPr>
              <w:pStyle w:val="11"/>
              <w:spacing w:line="276" w:lineRule="auto"/>
              <w:ind w:firstLine="420" w:firstLineChars="200"/>
              <w:rPr>
                <w:rFonts w:ascii="Times New Roman" w:eastAsia="宋体"/>
                <w:sz w:val="21"/>
                <w:szCs w:val="21"/>
              </w:rPr>
            </w:pPr>
            <w:r>
              <w:rPr>
                <w:rFonts w:hint="eastAsia" w:ascii="Times New Roman" w:eastAsia="宋体"/>
                <w:sz w:val="21"/>
                <w:szCs w:val="21"/>
              </w:rPr>
              <w:t>配合处理上级通告，通过事件检测分析，提供抑制手段，降低入侵影响，协助快速恢复业务。结合现有安全防御体系，指导安全加固、提供整改建议、防止再次出现。对修复的漏洞开展复测，对潜在风险问题进行处置，包含内网脆弱性问题。</w:t>
            </w:r>
          </w:p>
        </w:tc>
        <w:tc>
          <w:tcPr>
            <w:tcW w:w="2760" w:type="dxa"/>
            <w:noWrap/>
            <w:vAlign w:val="center"/>
          </w:tcPr>
          <w:p w14:paraId="3F1A55A8">
            <w:pPr>
              <w:widowControl/>
              <w:jc w:val="left"/>
              <w:rPr>
                <w:rFonts w:cs="宋体"/>
                <w:kern w:val="0"/>
                <w:szCs w:val="21"/>
              </w:rPr>
            </w:pPr>
            <w:r>
              <w:rPr>
                <w:rFonts w:hint="eastAsia" w:cs="宋体"/>
                <w:b/>
                <w:bCs/>
                <w:szCs w:val="21"/>
              </w:rPr>
              <w:t>服务频率：</w:t>
            </w:r>
            <w:r>
              <w:rPr>
                <w:rFonts w:hint="eastAsia" w:cs="宋体"/>
                <w:kern w:val="0"/>
                <w:szCs w:val="21"/>
              </w:rPr>
              <w:t>根据学校要求响应；</w:t>
            </w:r>
          </w:p>
          <w:p w14:paraId="39FD867F">
            <w:pPr>
              <w:pStyle w:val="12"/>
              <w:ind w:firstLine="0" w:firstLineChars="0"/>
            </w:pPr>
            <w:r>
              <w:rPr>
                <w:rFonts w:hint="eastAsia" w:cs="宋体"/>
                <w:b/>
                <w:bCs/>
                <w:kern w:val="0"/>
                <w:szCs w:val="21"/>
              </w:rPr>
              <w:t>交付物：</w:t>
            </w:r>
            <w:r>
              <w:rPr>
                <w:rFonts w:hint="eastAsia"/>
                <w:szCs w:val="21"/>
              </w:rPr>
              <w:t>网络安全报告。</w:t>
            </w:r>
          </w:p>
        </w:tc>
      </w:tr>
      <w:tr w14:paraId="0D4B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9995" w:type="dxa"/>
            <w:gridSpan w:val="4"/>
            <w:noWrap/>
            <w:vAlign w:val="center"/>
          </w:tcPr>
          <w:p w14:paraId="67D8F896">
            <w:pPr>
              <w:rPr>
                <w:rFonts w:cs="宋体"/>
                <w:b/>
                <w:bCs/>
                <w:szCs w:val="21"/>
              </w:rPr>
            </w:pPr>
            <w:r>
              <w:rPr>
                <w:rFonts w:hint="eastAsia" w:cs="宋体"/>
                <w:b/>
                <w:bCs/>
                <w:szCs w:val="21"/>
              </w:rPr>
              <w:t>注：1.</w:t>
            </w:r>
            <w:r>
              <w:rPr>
                <w:rFonts w:cs="宋体"/>
                <w:b/>
                <w:bCs/>
                <w:szCs w:val="21"/>
              </w:rPr>
              <w:t>以上服务项及服务频</w:t>
            </w:r>
            <w:r>
              <w:rPr>
                <w:rFonts w:hint="eastAsia" w:cs="宋体"/>
                <w:b/>
                <w:bCs/>
                <w:szCs w:val="21"/>
              </w:rPr>
              <w:t>率、交付物</w:t>
            </w:r>
            <w:r>
              <w:rPr>
                <w:rFonts w:cs="宋体"/>
                <w:b/>
                <w:bCs/>
                <w:szCs w:val="21"/>
              </w:rPr>
              <w:t>仅为本项目最低实施标准，必须全部满足。否则按无效投标处理</w:t>
            </w:r>
            <w:r>
              <w:rPr>
                <w:rFonts w:hint="eastAsia" w:cs="宋体"/>
                <w:b/>
                <w:bCs/>
                <w:szCs w:val="21"/>
              </w:rPr>
              <w:t>；</w:t>
            </w:r>
          </w:p>
          <w:p w14:paraId="1DE02440">
            <w:pPr>
              <w:pStyle w:val="3"/>
              <w:ind w:firstLine="422" w:firstLineChars="200"/>
            </w:pPr>
            <w:r>
              <w:rPr>
                <w:rFonts w:hint="eastAsia" w:ascii="Times New Roman" w:eastAsia="宋体" w:cs="宋体"/>
                <w:b/>
                <w:bCs/>
                <w:kern w:val="2"/>
                <w:sz w:val="21"/>
                <w:szCs w:val="21"/>
              </w:rPr>
              <w:t>2.带“★”条款为实质性条款，投标人必须按照采购文件的要求做出实质性响应。</w:t>
            </w:r>
          </w:p>
        </w:tc>
      </w:tr>
    </w:tbl>
    <w:p w14:paraId="0E2AF8D0">
      <w:pPr>
        <w:spacing w:line="336" w:lineRule="auto"/>
        <w:rPr>
          <w:rFonts w:ascii="宋体" w:hAnsi="宋体" w:cs="宋体"/>
          <w:b/>
          <w:bCs/>
          <w:szCs w:val="21"/>
        </w:rPr>
      </w:pPr>
      <w:r>
        <w:rPr>
          <w:rFonts w:hint="eastAsia" w:ascii="宋体" w:hAnsi="宋体" w:cs="宋体"/>
          <w:b/>
          <w:bCs/>
          <w:szCs w:val="21"/>
        </w:rPr>
        <w:t>四、服务质量及要求：</w:t>
      </w:r>
    </w:p>
    <w:p w14:paraId="5ED17B7F">
      <w:pPr>
        <w:spacing w:line="336" w:lineRule="auto"/>
        <w:ind w:firstLine="420" w:firstLineChars="200"/>
        <w:rPr>
          <w:rFonts w:ascii="宋体" w:hAnsi="宋体" w:cs="宋体"/>
          <w:szCs w:val="21"/>
        </w:rPr>
      </w:pPr>
      <w:r>
        <w:rPr>
          <w:rFonts w:hint="eastAsia" w:ascii="宋体" w:hAnsi="宋体" w:cs="宋体"/>
          <w:szCs w:val="21"/>
        </w:rPr>
        <w:t>1.满足服务内容中相关要求。</w:t>
      </w:r>
    </w:p>
    <w:p w14:paraId="64F73DB7">
      <w:pPr>
        <w:spacing w:line="336" w:lineRule="auto"/>
        <w:ind w:firstLine="420" w:firstLineChars="200"/>
        <w:rPr>
          <w:rFonts w:ascii="宋体" w:hAnsi="宋体" w:cs="宋体"/>
          <w:szCs w:val="21"/>
        </w:rPr>
      </w:pPr>
      <w:r>
        <w:rPr>
          <w:rFonts w:hint="eastAsia" w:ascii="宋体" w:hAnsi="宋体" w:cs="宋体"/>
          <w:szCs w:val="21"/>
        </w:rPr>
        <w:t>2.投标人在项目服务前，须详细分析在本次项目服务过程中存在的可能影响现有系统安全性与稳定性的风险，并采取必要的风险控制措施。任何由投标人在项目服务工作中对采购人造成的负面影响，其后果都须由投标人承担。如给采购人造成任何经济损失，均由投标人承担赔偿责任，且采购人有权在未付款项中直接扣除。</w:t>
      </w:r>
    </w:p>
    <w:p w14:paraId="49CD77A6">
      <w:pPr>
        <w:spacing w:line="336" w:lineRule="auto"/>
        <w:ind w:firstLine="420" w:firstLineChars="200"/>
        <w:rPr>
          <w:rFonts w:ascii="宋体" w:hAnsi="宋体" w:cs="宋体"/>
          <w:szCs w:val="21"/>
        </w:rPr>
      </w:pPr>
      <w:r>
        <w:rPr>
          <w:rFonts w:hint="eastAsia" w:ascii="宋体" w:hAnsi="宋体" w:cs="宋体"/>
          <w:szCs w:val="21"/>
        </w:rPr>
        <w:t>3.投标人中标后需要对信息安全做出承诺，对涉及的安全服务操作中的风险有专业的规避和防范措施，并能够对可能发生的信息安全问题承担责任。中标投标人提供项目实施期间信息安全保障机制，提供信息安全保障方案，确保采购人信息安全。因投标人工作失责导致的网络安全责任，由投标人承担相关责任。如给采购人造成任何经济损失，均由投标人承担赔偿责任，且采购人有权在未付款项中直接扣除。</w:t>
      </w:r>
    </w:p>
    <w:p w14:paraId="195180E8">
      <w:pPr>
        <w:spacing w:line="336" w:lineRule="auto"/>
        <w:ind w:firstLine="422" w:firstLineChars="200"/>
        <w:rPr>
          <w:rFonts w:ascii="宋体" w:hAnsi="宋体" w:cs="宋体"/>
          <w:b/>
          <w:bCs/>
          <w:szCs w:val="21"/>
        </w:rPr>
      </w:pPr>
      <w:r>
        <w:rPr>
          <w:rFonts w:hint="eastAsia" w:ascii="宋体" w:hAnsi="宋体" w:cs="宋体"/>
          <w:b/>
          <w:bCs/>
          <w:szCs w:val="21"/>
        </w:rPr>
        <w:t>4.项目实施前，签订保密协议；对项目实施中产生的数据和信息严格保密，未经授权不得泄露给任何单位和个人，否则招标人有权追究投标人的责任。如给采购人造成任何经济损失，均由投标人承担赔偿责任，且采购人有权在未付款项中直接扣除。</w:t>
      </w:r>
    </w:p>
    <w:p w14:paraId="038C2AB8">
      <w:pPr>
        <w:spacing w:line="336" w:lineRule="auto"/>
        <w:rPr>
          <w:rFonts w:ascii="宋体" w:hAnsi="宋体" w:cs="宋体"/>
          <w:b/>
          <w:bCs/>
          <w:szCs w:val="21"/>
        </w:rPr>
      </w:pPr>
      <w:r>
        <w:rPr>
          <w:rFonts w:hint="eastAsia" w:ascii="宋体" w:hAnsi="宋体" w:cs="宋体"/>
          <w:b/>
          <w:bCs/>
          <w:szCs w:val="21"/>
        </w:rPr>
        <w:t>五、项目验收：</w:t>
      </w:r>
    </w:p>
    <w:p w14:paraId="26BA0D66">
      <w:pPr>
        <w:spacing w:line="336" w:lineRule="auto"/>
        <w:ind w:firstLine="420" w:firstLineChars="200"/>
        <w:rPr>
          <w:rFonts w:ascii="宋体" w:hAnsi="宋体" w:cs="宋体"/>
          <w:szCs w:val="21"/>
        </w:rPr>
      </w:pPr>
      <w:r>
        <w:rPr>
          <w:rFonts w:hint="eastAsia" w:ascii="宋体" w:hAnsi="宋体" w:cs="宋体"/>
          <w:szCs w:val="21"/>
        </w:rPr>
        <w:t>1、网络安全技术服务人员的月报，项目阶段性工作的报告、报表，各类漏洞、安全事件处置的过程性文档，安全预警通告，培训资料，协助制定的各类制度、规范文件，及服务内容中所要求完成各类的预案、文稿等，要求内容记录完整、准确。</w:t>
      </w:r>
    </w:p>
    <w:p w14:paraId="67C7D894">
      <w:pPr>
        <w:spacing w:line="336" w:lineRule="auto"/>
        <w:ind w:firstLine="420" w:firstLineChars="200"/>
        <w:rPr>
          <w:rFonts w:ascii="宋体" w:hAnsi="宋体" w:cs="宋体"/>
          <w:szCs w:val="21"/>
        </w:rPr>
      </w:pPr>
      <w:r>
        <w:rPr>
          <w:rFonts w:hint="eastAsia" w:ascii="宋体" w:hAnsi="宋体" w:cs="宋体"/>
          <w:szCs w:val="21"/>
        </w:rPr>
        <w:t>2、全年网络及信息系统安全运行是否正常、安全服务质量是否符合采购人要求，服务质量考核表得分情况。</w:t>
      </w:r>
    </w:p>
    <w:p w14:paraId="74C8C3EA">
      <w:pPr>
        <w:pStyle w:val="12"/>
        <w:ind w:firstLine="0" w:firstLineChars="0"/>
        <w:rPr>
          <w:rFonts w:ascii="宋体" w:hAnsi="宋体" w:cs="宋体"/>
          <w:b/>
          <w:bCs/>
          <w:szCs w:val="21"/>
          <w:lang w:val="en-US"/>
        </w:rPr>
      </w:pPr>
      <w:r>
        <w:rPr>
          <w:rFonts w:hint="eastAsia" w:ascii="宋体" w:hAnsi="宋体" w:cs="宋体"/>
          <w:b/>
          <w:bCs/>
          <w:szCs w:val="21"/>
          <w:lang w:val="en-US"/>
        </w:rPr>
        <w:t>六、服务质量考核：</w:t>
      </w:r>
    </w:p>
    <w:tbl>
      <w:tblPr>
        <w:tblStyle w:val="9"/>
        <w:tblW w:w="10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562"/>
        <w:gridCol w:w="775"/>
        <w:gridCol w:w="4913"/>
        <w:gridCol w:w="1435"/>
      </w:tblGrid>
      <w:tr w14:paraId="27EC5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88" w:type="dxa"/>
            <w:noWrap/>
            <w:vAlign w:val="center"/>
          </w:tcPr>
          <w:p w14:paraId="7644FDDA">
            <w:pPr>
              <w:spacing w:line="336" w:lineRule="auto"/>
              <w:ind w:firstLine="420" w:firstLineChars="200"/>
              <w:jc w:val="center"/>
              <w:rPr>
                <w:rFonts w:ascii="宋体" w:hAnsi="宋体" w:cs="宋体"/>
                <w:szCs w:val="21"/>
              </w:rPr>
            </w:pPr>
            <w:r>
              <w:rPr>
                <w:rFonts w:hint="eastAsia" w:ascii="宋体" w:hAnsi="宋体" w:cs="宋体"/>
                <w:szCs w:val="21"/>
              </w:rPr>
              <w:t>考核</w:t>
            </w:r>
          </w:p>
        </w:tc>
        <w:tc>
          <w:tcPr>
            <w:tcW w:w="1562" w:type="dxa"/>
            <w:noWrap/>
            <w:vAlign w:val="center"/>
          </w:tcPr>
          <w:p w14:paraId="51215CED">
            <w:pPr>
              <w:spacing w:line="336" w:lineRule="auto"/>
              <w:jc w:val="center"/>
              <w:rPr>
                <w:rFonts w:ascii="宋体" w:hAnsi="宋体" w:cs="宋体"/>
                <w:szCs w:val="21"/>
              </w:rPr>
            </w:pPr>
            <w:r>
              <w:rPr>
                <w:rFonts w:hint="eastAsia" w:ascii="宋体" w:hAnsi="宋体" w:cs="宋体"/>
                <w:szCs w:val="21"/>
              </w:rPr>
              <w:t>考核项目</w:t>
            </w:r>
          </w:p>
        </w:tc>
        <w:tc>
          <w:tcPr>
            <w:tcW w:w="775" w:type="dxa"/>
            <w:noWrap/>
            <w:vAlign w:val="center"/>
          </w:tcPr>
          <w:p w14:paraId="0203E96B">
            <w:pPr>
              <w:spacing w:line="336" w:lineRule="auto"/>
              <w:jc w:val="center"/>
              <w:rPr>
                <w:rFonts w:ascii="宋体" w:hAnsi="宋体" w:cs="宋体"/>
                <w:szCs w:val="21"/>
              </w:rPr>
            </w:pPr>
            <w:r>
              <w:rPr>
                <w:rFonts w:hint="eastAsia" w:ascii="宋体" w:hAnsi="宋体" w:cs="宋体"/>
                <w:szCs w:val="21"/>
              </w:rPr>
              <w:t>分值</w:t>
            </w:r>
          </w:p>
        </w:tc>
        <w:tc>
          <w:tcPr>
            <w:tcW w:w="4913" w:type="dxa"/>
            <w:noWrap/>
            <w:vAlign w:val="center"/>
          </w:tcPr>
          <w:p w14:paraId="6AE445D1">
            <w:pPr>
              <w:spacing w:line="336" w:lineRule="auto"/>
              <w:ind w:firstLine="1260" w:firstLineChars="600"/>
              <w:rPr>
                <w:rFonts w:ascii="宋体" w:hAnsi="宋体" w:cs="宋体"/>
                <w:szCs w:val="21"/>
              </w:rPr>
            </w:pPr>
            <w:r>
              <w:rPr>
                <w:rFonts w:hint="eastAsia" w:ascii="宋体" w:hAnsi="宋体" w:cs="宋体"/>
                <w:szCs w:val="21"/>
              </w:rPr>
              <w:t>评价描述</w:t>
            </w:r>
          </w:p>
        </w:tc>
        <w:tc>
          <w:tcPr>
            <w:tcW w:w="1435" w:type="dxa"/>
            <w:noWrap/>
            <w:vAlign w:val="center"/>
          </w:tcPr>
          <w:p w14:paraId="6BCB091D">
            <w:pPr>
              <w:spacing w:line="336" w:lineRule="auto"/>
              <w:ind w:firstLine="420" w:firstLineChars="200"/>
              <w:jc w:val="center"/>
              <w:rPr>
                <w:rFonts w:ascii="宋体" w:hAnsi="宋体" w:cs="宋体"/>
                <w:szCs w:val="21"/>
              </w:rPr>
            </w:pPr>
            <w:r>
              <w:rPr>
                <w:rFonts w:hint="eastAsia" w:ascii="宋体" w:hAnsi="宋体" w:cs="宋体"/>
                <w:szCs w:val="21"/>
              </w:rPr>
              <w:t>评分</w:t>
            </w:r>
          </w:p>
        </w:tc>
      </w:tr>
      <w:tr w14:paraId="4F7D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88" w:type="dxa"/>
            <w:vMerge w:val="restart"/>
            <w:noWrap/>
            <w:vAlign w:val="center"/>
          </w:tcPr>
          <w:p w14:paraId="45DAFC38">
            <w:pPr>
              <w:spacing w:line="336" w:lineRule="auto"/>
              <w:jc w:val="left"/>
              <w:rPr>
                <w:rFonts w:ascii="宋体" w:hAnsi="宋体" w:cs="宋体"/>
                <w:szCs w:val="21"/>
              </w:rPr>
            </w:pPr>
            <w:r>
              <w:rPr>
                <w:rFonts w:hint="eastAsia" w:ascii="宋体" w:hAnsi="宋体" w:cs="宋体"/>
                <w:szCs w:val="21"/>
              </w:rPr>
              <w:t>工作考核90分</w:t>
            </w:r>
          </w:p>
        </w:tc>
        <w:tc>
          <w:tcPr>
            <w:tcW w:w="1562" w:type="dxa"/>
            <w:noWrap/>
            <w:vAlign w:val="center"/>
          </w:tcPr>
          <w:p w14:paraId="41734A1D">
            <w:pPr>
              <w:spacing w:line="336" w:lineRule="auto"/>
              <w:jc w:val="left"/>
              <w:rPr>
                <w:rFonts w:ascii="宋体" w:hAnsi="宋体" w:cs="宋体"/>
                <w:szCs w:val="21"/>
              </w:rPr>
            </w:pPr>
            <w:r>
              <w:rPr>
                <w:rFonts w:hint="eastAsia" w:ascii="宋体" w:hAnsi="宋体" w:cs="宋体"/>
                <w:szCs w:val="21"/>
              </w:rPr>
              <w:t>任务完成效率</w:t>
            </w:r>
          </w:p>
        </w:tc>
        <w:tc>
          <w:tcPr>
            <w:tcW w:w="775" w:type="dxa"/>
            <w:noWrap/>
            <w:vAlign w:val="center"/>
          </w:tcPr>
          <w:p w14:paraId="2BD4D555">
            <w:pPr>
              <w:spacing w:line="336" w:lineRule="auto"/>
              <w:jc w:val="center"/>
              <w:rPr>
                <w:rFonts w:ascii="宋体" w:hAnsi="宋体" w:cs="宋体"/>
                <w:szCs w:val="21"/>
              </w:rPr>
            </w:pPr>
            <w:r>
              <w:rPr>
                <w:rFonts w:hint="eastAsia" w:ascii="宋体" w:hAnsi="宋体" w:cs="宋体"/>
                <w:szCs w:val="21"/>
              </w:rPr>
              <w:t>40</w:t>
            </w:r>
          </w:p>
        </w:tc>
        <w:tc>
          <w:tcPr>
            <w:tcW w:w="4913" w:type="dxa"/>
            <w:noWrap/>
            <w:vAlign w:val="center"/>
          </w:tcPr>
          <w:p w14:paraId="409D70F9">
            <w:pPr>
              <w:spacing w:line="336" w:lineRule="auto"/>
              <w:jc w:val="left"/>
              <w:rPr>
                <w:rFonts w:ascii="宋体" w:hAnsi="宋体" w:cs="宋体"/>
                <w:szCs w:val="21"/>
              </w:rPr>
            </w:pPr>
            <w:r>
              <w:rPr>
                <w:rFonts w:hint="eastAsia" w:ascii="宋体" w:hAnsi="宋体" w:cs="宋体"/>
                <w:szCs w:val="21"/>
              </w:rPr>
              <w:t>未充分规划、在规定时间内不能完成任务</w:t>
            </w:r>
          </w:p>
        </w:tc>
        <w:tc>
          <w:tcPr>
            <w:tcW w:w="1435" w:type="dxa"/>
            <w:noWrap/>
            <w:vAlign w:val="center"/>
          </w:tcPr>
          <w:p w14:paraId="00FECA48">
            <w:pPr>
              <w:spacing w:line="336" w:lineRule="auto"/>
              <w:jc w:val="left"/>
              <w:rPr>
                <w:rFonts w:ascii="宋体" w:hAnsi="宋体" w:cs="宋体"/>
                <w:szCs w:val="21"/>
              </w:rPr>
            </w:pPr>
            <w:r>
              <w:rPr>
                <w:rFonts w:hint="eastAsia" w:ascii="宋体" w:hAnsi="宋体" w:cs="宋体"/>
                <w:szCs w:val="21"/>
              </w:rPr>
              <w:t>每次扣5分</w:t>
            </w:r>
          </w:p>
        </w:tc>
      </w:tr>
      <w:tr w14:paraId="1BFC2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588" w:type="dxa"/>
            <w:vMerge w:val="continue"/>
            <w:noWrap/>
            <w:vAlign w:val="center"/>
          </w:tcPr>
          <w:p w14:paraId="6DAA51DD">
            <w:pPr>
              <w:spacing w:line="336" w:lineRule="auto"/>
              <w:ind w:firstLine="420" w:firstLineChars="200"/>
              <w:jc w:val="left"/>
              <w:rPr>
                <w:rFonts w:ascii="宋体" w:hAnsi="宋体" w:cs="宋体"/>
                <w:szCs w:val="21"/>
              </w:rPr>
            </w:pPr>
          </w:p>
        </w:tc>
        <w:tc>
          <w:tcPr>
            <w:tcW w:w="1562" w:type="dxa"/>
            <w:vMerge w:val="restart"/>
            <w:noWrap/>
            <w:vAlign w:val="center"/>
          </w:tcPr>
          <w:p w14:paraId="5AF556F1">
            <w:pPr>
              <w:spacing w:line="336" w:lineRule="auto"/>
              <w:jc w:val="left"/>
              <w:rPr>
                <w:rFonts w:ascii="宋体" w:hAnsi="宋体" w:cs="宋体"/>
                <w:szCs w:val="21"/>
              </w:rPr>
            </w:pPr>
            <w:r>
              <w:rPr>
                <w:rFonts w:hint="eastAsia" w:ascii="宋体" w:hAnsi="宋体" w:cs="宋体"/>
                <w:szCs w:val="21"/>
              </w:rPr>
              <w:t>任务完成质量</w:t>
            </w:r>
          </w:p>
        </w:tc>
        <w:tc>
          <w:tcPr>
            <w:tcW w:w="775" w:type="dxa"/>
            <w:vMerge w:val="restart"/>
            <w:noWrap/>
            <w:vAlign w:val="center"/>
          </w:tcPr>
          <w:p w14:paraId="533C26F0">
            <w:pPr>
              <w:spacing w:line="336" w:lineRule="auto"/>
              <w:jc w:val="center"/>
              <w:rPr>
                <w:rFonts w:ascii="宋体" w:hAnsi="宋体" w:cs="宋体"/>
                <w:szCs w:val="21"/>
              </w:rPr>
            </w:pPr>
            <w:r>
              <w:rPr>
                <w:rFonts w:hint="eastAsia" w:ascii="宋体" w:hAnsi="宋体" w:cs="宋体"/>
                <w:szCs w:val="21"/>
              </w:rPr>
              <w:t>50</w:t>
            </w:r>
          </w:p>
        </w:tc>
        <w:tc>
          <w:tcPr>
            <w:tcW w:w="4913" w:type="dxa"/>
            <w:noWrap/>
            <w:vAlign w:val="center"/>
          </w:tcPr>
          <w:p w14:paraId="19AFC95B">
            <w:pPr>
              <w:spacing w:line="336" w:lineRule="auto"/>
              <w:jc w:val="left"/>
              <w:rPr>
                <w:rFonts w:ascii="宋体" w:hAnsi="宋体" w:cs="宋体"/>
                <w:szCs w:val="21"/>
              </w:rPr>
            </w:pPr>
            <w:r>
              <w:rPr>
                <w:rFonts w:hint="eastAsia" w:ascii="宋体" w:hAnsi="宋体" w:cs="宋体"/>
                <w:szCs w:val="21"/>
              </w:rPr>
              <w:t>出现质量异常（投诉、失误、返工）</w:t>
            </w:r>
          </w:p>
        </w:tc>
        <w:tc>
          <w:tcPr>
            <w:tcW w:w="1435" w:type="dxa"/>
            <w:noWrap/>
            <w:vAlign w:val="center"/>
          </w:tcPr>
          <w:p w14:paraId="19C68880">
            <w:pPr>
              <w:spacing w:line="336" w:lineRule="auto"/>
              <w:jc w:val="left"/>
              <w:rPr>
                <w:rFonts w:ascii="宋体" w:hAnsi="宋体" w:cs="宋体"/>
                <w:szCs w:val="21"/>
              </w:rPr>
            </w:pPr>
            <w:r>
              <w:rPr>
                <w:rFonts w:hint="eastAsia" w:ascii="宋体" w:hAnsi="宋体" w:cs="宋体"/>
                <w:szCs w:val="21"/>
              </w:rPr>
              <w:t>每次扣3分</w:t>
            </w:r>
          </w:p>
        </w:tc>
      </w:tr>
      <w:tr w14:paraId="2CFD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588" w:type="dxa"/>
            <w:vMerge w:val="continue"/>
            <w:noWrap/>
            <w:vAlign w:val="center"/>
          </w:tcPr>
          <w:p w14:paraId="736DA105">
            <w:pPr>
              <w:spacing w:line="336" w:lineRule="auto"/>
              <w:ind w:firstLine="420" w:firstLineChars="200"/>
              <w:jc w:val="left"/>
              <w:rPr>
                <w:rFonts w:ascii="宋体" w:hAnsi="宋体" w:cs="宋体"/>
                <w:szCs w:val="21"/>
              </w:rPr>
            </w:pPr>
          </w:p>
        </w:tc>
        <w:tc>
          <w:tcPr>
            <w:tcW w:w="1562" w:type="dxa"/>
            <w:vMerge w:val="continue"/>
            <w:noWrap/>
            <w:vAlign w:val="center"/>
          </w:tcPr>
          <w:p w14:paraId="22318204">
            <w:pPr>
              <w:spacing w:line="336" w:lineRule="auto"/>
              <w:ind w:firstLine="420" w:firstLineChars="200"/>
              <w:jc w:val="left"/>
              <w:rPr>
                <w:rFonts w:ascii="宋体" w:hAnsi="宋体" w:cs="宋体"/>
                <w:szCs w:val="21"/>
              </w:rPr>
            </w:pPr>
          </w:p>
        </w:tc>
        <w:tc>
          <w:tcPr>
            <w:tcW w:w="775" w:type="dxa"/>
            <w:vMerge w:val="continue"/>
            <w:noWrap/>
            <w:vAlign w:val="center"/>
          </w:tcPr>
          <w:p w14:paraId="3764E392">
            <w:pPr>
              <w:spacing w:line="336" w:lineRule="auto"/>
              <w:ind w:firstLine="420" w:firstLineChars="200"/>
              <w:jc w:val="center"/>
              <w:rPr>
                <w:rFonts w:ascii="宋体" w:hAnsi="宋体" w:cs="宋体"/>
                <w:szCs w:val="21"/>
              </w:rPr>
            </w:pPr>
          </w:p>
        </w:tc>
        <w:tc>
          <w:tcPr>
            <w:tcW w:w="4913" w:type="dxa"/>
            <w:noWrap/>
            <w:vAlign w:val="center"/>
          </w:tcPr>
          <w:p w14:paraId="00D08AAB">
            <w:pPr>
              <w:spacing w:line="336" w:lineRule="auto"/>
              <w:jc w:val="left"/>
              <w:rPr>
                <w:rFonts w:ascii="宋体" w:hAnsi="宋体" w:cs="宋体"/>
                <w:szCs w:val="21"/>
              </w:rPr>
            </w:pPr>
            <w:r>
              <w:rPr>
                <w:rFonts w:hint="eastAsia" w:ascii="宋体" w:hAnsi="宋体" w:cs="宋体"/>
                <w:szCs w:val="21"/>
              </w:rPr>
              <w:t>出现严重质量异常（投诉、失误、返工）</w:t>
            </w:r>
          </w:p>
        </w:tc>
        <w:tc>
          <w:tcPr>
            <w:tcW w:w="1435" w:type="dxa"/>
            <w:noWrap/>
            <w:vAlign w:val="center"/>
          </w:tcPr>
          <w:p w14:paraId="7BCE85CB">
            <w:pPr>
              <w:spacing w:line="336" w:lineRule="auto"/>
              <w:jc w:val="left"/>
              <w:rPr>
                <w:rFonts w:ascii="宋体" w:hAnsi="宋体" w:cs="宋体"/>
                <w:szCs w:val="21"/>
              </w:rPr>
            </w:pPr>
            <w:r>
              <w:rPr>
                <w:rFonts w:hint="eastAsia" w:ascii="宋体" w:hAnsi="宋体" w:cs="宋体"/>
                <w:szCs w:val="21"/>
              </w:rPr>
              <w:t>每次扣6分</w:t>
            </w:r>
          </w:p>
        </w:tc>
      </w:tr>
      <w:tr w14:paraId="1F95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588" w:type="dxa"/>
            <w:vMerge w:val="continue"/>
            <w:noWrap/>
            <w:vAlign w:val="center"/>
          </w:tcPr>
          <w:p w14:paraId="5E59545B">
            <w:pPr>
              <w:spacing w:line="336" w:lineRule="auto"/>
              <w:ind w:firstLine="420" w:firstLineChars="200"/>
              <w:jc w:val="left"/>
              <w:rPr>
                <w:rFonts w:ascii="宋体" w:hAnsi="宋体" w:cs="宋体"/>
                <w:szCs w:val="21"/>
              </w:rPr>
            </w:pPr>
          </w:p>
        </w:tc>
        <w:tc>
          <w:tcPr>
            <w:tcW w:w="1562" w:type="dxa"/>
            <w:vMerge w:val="continue"/>
            <w:noWrap/>
            <w:vAlign w:val="center"/>
          </w:tcPr>
          <w:p w14:paraId="487A541B">
            <w:pPr>
              <w:spacing w:line="336" w:lineRule="auto"/>
              <w:ind w:firstLine="420" w:firstLineChars="200"/>
              <w:jc w:val="left"/>
              <w:rPr>
                <w:rFonts w:ascii="宋体" w:hAnsi="宋体" w:cs="宋体"/>
                <w:szCs w:val="21"/>
              </w:rPr>
            </w:pPr>
          </w:p>
        </w:tc>
        <w:tc>
          <w:tcPr>
            <w:tcW w:w="775" w:type="dxa"/>
            <w:vMerge w:val="continue"/>
            <w:noWrap/>
            <w:vAlign w:val="center"/>
          </w:tcPr>
          <w:p w14:paraId="66F2C9F8">
            <w:pPr>
              <w:spacing w:line="336" w:lineRule="auto"/>
              <w:ind w:firstLine="420" w:firstLineChars="200"/>
              <w:jc w:val="center"/>
              <w:rPr>
                <w:rFonts w:ascii="宋体" w:hAnsi="宋体" w:cs="宋体"/>
                <w:szCs w:val="21"/>
              </w:rPr>
            </w:pPr>
          </w:p>
        </w:tc>
        <w:tc>
          <w:tcPr>
            <w:tcW w:w="4913" w:type="dxa"/>
            <w:noWrap/>
            <w:vAlign w:val="center"/>
          </w:tcPr>
          <w:p w14:paraId="28A0F038">
            <w:pPr>
              <w:spacing w:line="336" w:lineRule="auto"/>
              <w:jc w:val="left"/>
              <w:rPr>
                <w:rFonts w:ascii="宋体" w:hAnsi="宋体" w:cs="宋体"/>
                <w:szCs w:val="21"/>
              </w:rPr>
            </w:pPr>
            <w:r>
              <w:rPr>
                <w:rFonts w:hint="eastAsia" w:ascii="宋体" w:hAnsi="宋体" w:cs="宋体"/>
                <w:szCs w:val="21"/>
              </w:rPr>
              <w:t>出现因安全服务导致的宕机超过4小时</w:t>
            </w:r>
          </w:p>
        </w:tc>
        <w:tc>
          <w:tcPr>
            <w:tcW w:w="1435" w:type="dxa"/>
            <w:noWrap/>
            <w:vAlign w:val="center"/>
          </w:tcPr>
          <w:p w14:paraId="71A14A6C">
            <w:pPr>
              <w:spacing w:line="336" w:lineRule="auto"/>
              <w:jc w:val="left"/>
              <w:rPr>
                <w:rFonts w:ascii="宋体" w:hAnsi="宋体" w:cs="宋体"/>
                <w:szCs w:val="21"/>
              </w:rPr>
            </w:pPr>
            <w:r>
              <w:rPr>
                <w:rFonts w:hint="eastAsia" w:ascii="宋体" w:hAnsi="宋体" w:cs="宋体"/>
                <w:szCs w:val="21"/>
              </w:rPr>
              <w:t>每次扣10分</w:t>
            </w:r>
          </w:p>
        </w:tc>
      </w:tr>
      <w:tr w14:paraId="5483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588" w:type="dxa"/>
            <w:vMerge w:val="continue"/>
            <w:noWrap/>
            <w:vAlign w:val="center"/>
          </w:tcPr>
          <w:p w14:paraId="60DF2E4B">
            <w:pPr>
              <w:spacing w:line="336" w:lineRule="auto"/>
              <w:ind w:firstLine="420" w:firstLineChars="200"/>
              <w:jc w:val="left"/>
              <w:rPr>
                <w:rFonts w:ascii="宋体" w:hAnsi="宋体" w:cs="宋体"/>
                <w:szCs w:val="21"/>
              </w:rPr>
            </w:pPr>
          </w:p>
        </w:tc>
        <w:tc>
          <w:tcPr>
            <w:tcW w:w="1562" w:type="dxa"/>
            <w:vMerge w:val="continue"/>
            <w:noWrap/>
            <w:vAlign w:val="center"/>
          </w:tcPr>
          <w:p w14:paraId="3CF5C95C">
            <w:pPr>
              <w:spacing w:line="336" w:lineRule="auto"/>
              <w:ind w:firstLine="420" w:firstLineChars="200"/>
              <w:jc w:val="left"/>
              <w:rPr>
                <w:rFonts w:ascii="宋体" w:hAnsi="宋体" w:cs="宋体"/>
                <w:szCs w:val="21"/>
              </w:rPr>
            </w:pPr>
          </w:p>
        </w:tc>
        <w:tc>
          <w:tcPr>
            <w:tcW w:w="775" w:type="dxa"/>
            <w:vMerge w:val="continue"/>
            <w:noWrap/>
            <w:vAlign w:val="center"/>
          </w:tcPr>
          <w:p w14:paraId="0CC16564">
            <w:pPr>
              <w:spacing w:line="336" w:lineRule="auto"/>
              <w:ind w:firstLine="420" w:firstLineChars="200"/>
              <w:jc w:val="center"/>
              <w:rPr>
                <w:rFonts w:ascii="宋体" w:hAnsi="宋体" w:cs="宋体"/>
                <w:szCs w:val="21"/>
              </w:rPr>
            </w:pPr>
          </w:p>
        </w:tc>
        <w:tc>
          <w:tcPr>
            <w:tcW w:w="4913" w:type="dxa"/>
            <w:noWrap/>
            <w:vAlign w:val="center"/>
          </w:tcPr>
          <w:p w14:paraId="27161560">
            <w:pPr>
              <w:spacing w:line="336" w:lineRule="auto"/>
              <w:jc w:val="left"/>
              <w:rPr>
                <w:rFonts w:ascii="宋体" w:hAnsi="宋体" w:cs="宋体"/>
                <w:szCs w:val="21"/>
              </w:rPr>
            </w:pPr>
            <w:r>
              <w:rPr>
                <w:rFonts w:hint="eastAsia" w:ascii="宋体" w:hAnsi="宋体" w:cs="宋体"/>
                <w:szCs w:val="21"/>
              </w:rPr>
              <w:t>响应需求被动，消极处理问题</w:t>
            </w:r>
          </w:p>
        </w:tc>
        <w:tc>
          <w:tcPr>
            <w:tcW w:w="1435" w:type="dxa"/>
            <w:noWrap/>
            <w:vAlign w:val="center"/>
          </w:tcPr>
          <w:p w14:paraId="21655952">
            <w:pPr>
              <w:spacing w:line="336" w:lineRule="auto"/>
              <w:jc w:val="left"/>
              <w:rPr>
                <w:rFonts w:ascii="宋体" w:hAnsi="宋体" w:cs="宋体"/>
                <w:szCs w:val="21"/>
              </w:rPr>
            </w:pPr>
            <w:r>
              <w:rPr>
                <w:rFonts w:hint="eastAsia" w:ascii="宋体" w:hAnsi="宋体" w:cs="宋体"/>
                <w:szCs w:val="21"/>
              </w:rPr>
              <w:t>每次扣5分</w:t>
            </w:r>
          </w:p>
        </w:tc>
      </w:tr>
      <w:tr w14:paraId="3EF4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88" w:type="dxa"/>
            <w:vMerge w:val="restart"/>
            <w:noWrap/>
            <w:vAlign w:val="center"/>
          </w:tcPr>
          <w:p w14:paraId="5CEAFD30">
            <w:pPr>
              <w:spacing w:line="336" w:lineRule="auto"/>
              <w:jc w:val="left"/>
              <w:rPr>
                <w:rFonts w:ascii="宋体" w:hAnsi="宋体" w:cs="宋体"/>
                <w:szCs w:val="21"/>
              </w:rPr>
            </w:pPr>
            <w:r>
              <w:rPr>
                <w:rFonts w:hint="eastAsia" w:ascii="宋体" w:hAnsi="宋体" w:cs="宋体"/>
                <w:szCs w:val="21"/>
              </w:rPr>
              <w:t>人员考核10分</w:t>
            </w:r>
          </w:p>
        </w:tc>
        <w:tc>
          <w:tcPr>
            <w:tcW w:w="1562" w:type="dxa"/>
            <w:vMerge w:val="restart"/>
            <w:noWrap/>
            <w:vAlign w:val="center"/>
          </w:tcPr>
          <w:p w14:paraId="0F135872">
            <w:pPr>
              <w:spacing w:line="336" w:lineRule="auto"/>
              <w:jc w:val="left"/>
              <w:rPr>
                <w:rFonts w:ascii="宋体" w:hAnsi="宋体" w:cs="宋体"/>
                <w:szCs w:val="21"/>
              </w:rPr>
            </w:pPr>
            <w:r>
              <w:rPr>
                <w:rFonts w:hint="eastAsia" w:ascii="宋体" w:hAnsi="宋体" w:cs="宋体"/>
                <w:szCs w:val="21"/>
              </w:rPr>
              <w:t>服务质量</w:t>
            </w:r>
          </w:p>
        </w:tc>
        <w:tc>
          <w:tcPr>
            <w:tcW w:w="775" w:type="dxa"/>
            <w:vMerge w:val="restart"/>
            <w:noWrap/>
            <w:vAlign w:val="center"/>
          </w:tcPr>
          <w:p w14:paraId="41AEACF9">
            <w:pPr>
              <w:spacing w:line="336" w:lineRule="auto"/>
              <w:jc w:val="center"/>
              <w:rPr>
                <w:rFonts w:ascii="宋体" w:hAnsi="宋体" w:cs="宋体"/>
                <w:szCs w:val="21"/>
              </w:rPr>
            </w:pPr>
            <w:r>
              <w:rPr>
                <w:rFonts w:hint="eastAsia" w:ascii="宋体" w:hAnsi="宋体" w:cs="宋体"/>
                <w:szCs w:val="21"/>
              </w:rPr>
              <w:t>10</w:t>
            </w:r>
          </w:p>
        </w:tc>
        <w:tc>
          <w:tcPr>
            <w:tcW w:w="4913" w:type="dxa"/>
            <w:noWrap/>
            <w:vAlign w:val="center"/>
          </w:tcPr>
          <w:p w14:paraId="7079F575">
            <w:pPr>
              <w:spacing w:line="336" w:lineRule="auto"/>
              <w:jc w:val="left"/>
              <w:rPr>
                <w:rFonts w:ascii="宋体" w:hAnsi="宋体" w:cs="宋体"/>
                <w:szCs w:val="21"/>
              </w:rPr>
            </w:pPr>
            <w:r>
              <w:rPr>
                <w:rFonts w:hint="eastAsia" w:ascii="宋体" w:hAnsi="宋体" w:cs="宋体"/>
                <w:szCs w:val="21"/>
              </w:rPr>
              <w:t>不注重沟通，遇到问题以强硬或回避的态度来应对</w:t>
            </w:r>
          </w:p>
        </w:tc>
        <w:tc>
          <w:tcPr>
            <w:tcW w:w="1435" w:type="dxa"/>
            <w:noWrap/>
            <w:vAlign w:val="center"/>
          </w:tcPr>
          <w:p w14:paraId="360FBB18">
            <w:pPr>
              <w:spacing w:line="336" w:lineRule="auto"/>
              <w:jc w:val="left"/>
              <w:rPr>
                <w:rFonts w:ascii="宋体" w:hAnsi="宋体" w:cs="宋体"/>
                <w:szCs w:val="21"/>
              </w:rPr>
            </w:pPr>
            <w:r>
              <w:rPr>
                <w:rFonts w:hint="eastAsia" w:ascii="宋体" w:hAnsi="宋体" w:cs="宋体"/>
                <w:szCs w:val="21"/>
              </w:rPr>
              <w:t>每次扣2分</w:t>
            </w:r>
          </w:p>
        </w:tc>
      </w:tr>
      <w:tr w14:paraId="6B17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88" w:type="dxa"/>
            <w:vMerge w:val="continue"/>
            <w:noWrap/>
            <w:vAlign w:val="center"/>
          </w:tcPr>
          <w:p w14:paraId="6B885354">
            <w:pPr>
              <w:spacing w:line="336" w:lineRule="auto"/>
              <w:ind w:firstLine="420" w:firstLineChars="200"/>
              <w:jc w:val="left"/>
              <w:rPr>
                <w:rFonts w:ascii="宋体" w:hAnsi="宋体" w:cs="宋体"/>
                <w:szCs w:val="21"/>
              </w:rPr>
            </w:pPr>
          </w:p>
        </w:tc>
        <w:tc>
          <w:tcPr>
            <w:tcW w:w="1562" w:type="dxa"/>
            <w:vMerge w:val="continue"/>
            <w:noWrap/>
            <w:vAlign w:val="center"/>
          </w:tcPr>
          <w:p w14:paraId="7F03AF69">
            <w:pPr>
              <w:spacing w:line="336" w:lineRule="auto"/>
              <w:ind w:firstLine="420" w:firstLineChars="200"/>
              <w:jc w:val="left"/>
              <w:rPr>
                <w:rFonts w:ascii="宋体" w:hAnsi="宋体" w:cs="宋体"/>
                <w:szCs w:val="21"/>
              </w:rPr>
            </w:pPr>
          </w:p>
        </w:tc>
        <w:tc>
          <w:tcPr>
            <w:tcW w:w="775" w:type="dxa"/>
            <w:vMerge w:val="continue"/>
            <w:noWrap/>
            <w:vAlign w:val="center"/>
          </w:tcPr>
          <w:p w14:paraId="2E6CE392">
            <w:pPr>
              <w:spacing w:line="336" w:lineRule="auto"/>
              <w:ind w:firstLine="420" w:firstLineChars="200"/>
              <w:jc w:val="left"/>
              <w:rPr>
                <w:rFonts w:ascii="宋体" w:hAnsi="宋体" w:cs="宋体"/>
                <w:szCs w:val="21"/>
              </w:rPr>
            </w:pPr>
          </w:p>
        </w:tc>
        <w:tc>
          <w:tcPr>
            <w:tcW w:w="4913" w:type="dxa"/>
            <w:noWrap/>
            <w:vAlign w:val="bottom"/>
          </w:tcPr>
          <w:p w14:paraId="1581B83B">
            <w:pPr>
              <w:spacing w:line="336" w:lineRule="auto"/>
              <w:jc w:val="left"/>
              <w:rPr>
                <w:rFonts w:ascii="宋体" w:hAnsi="宋体" w:cs="宋体"/>
                <w:szCs w:val="21"/>
              </w:rPr>
            </w:pPr>
            <w:r>
              <w:rPr>
                <w:rFonts w:hint="eastAsia" w:ascii="宋体" w:hAnsi="宋体" w:cs="宋体"/>
                <w:szCs w:val="21"/>
              </w:rPr>
              <w:t>服务态度差，甲方收到投诉</w:t>
            </w:r>
          </w:p>
        </w:tc>
        <w:tc>
          <w:tcPr>
            <w:tcW w:w="1435" w:type="dxa"/>
            <w:noWrap/>
            <w:vAlign w:val="bottom"/>
          </w:tcPr>
          <w:p w14:paraId="4CB51909">
            <w:pPr>
              <w:spacing w:line="336" w:lineRule="auto"/>
              <w:jc w:val="left"/>
              <w:rPr>
                <w:rFonts w:ascii="宋体" w:hAnsi="宋体" w:cs="宋体"/>
                <w:szCs w:val="21"/>
              </w:rPr>
            </w:pPr>
            <w:r>
              <w:rPr>
                <w:rFonts w:hint="eastAsia" w:ascii="宋体" w:hAnsi="宋体" w:cs="宋体"/>
                <w:szCs w:val="21"/>
              </w:rPr>
              <w:t>每次扣5分</w:t>
            </w:r>
          </w:p>
        </w:tc>
      </w:tr>
    </w:tbl>
    <w:p w14:paraId="23936FFE">
      <w:pPr>
        <w:spacing w:line="336" w:lineRule="auto"/>
        <w:ind w:firstLine="420" w:firstLineChars="200"/>
        <w:rPr>
          <w:rFonts w:ascii="宋体" w:hAnsi="宋体" w:cs="宋体"/>
          <w:b/>
          <w:bCs/>
          <w:szCs w:val="21"/>
        </w:rPr>
      </w:pPr>
      <w:r>
        <w:rPr>
          <w:rFonts w:hint="eastAsia" w:ascii="宋体" w:hAnsi="宋体" w:cs="宋体"/>
          <w:szCs w:val="21"/>
        </w:rPr>
        <w:t xml:space="preserve"> </w:t>
      </w:r>
      <w:r>
        <w:rPr>
          <w:rFonts w:hint="eastAsia" w:ascii="宋体" w:hAnsi="宋体" w:cs="宋体"/>
          <w:b/>
          <w:bCs/>
          <w:szCs w:val="21"/>
        </w:rPr>
        <w:t>考核说明：</w:t>
      </w:r>
    </w:p>
    <w:p w14:paraId="0D985D3D">
      <w:pPr>
        <w:spacing w:line="336" w:lineRule="auto"/>
        <w:ind w:firstLine="422" w:firstLineChars="200"/>
        <w:rPr>
          <w:rFonts w:ascii="宋体" w:hAnsi="宋体" w:cs="宋体"/>
          <w:b/>
          <w:bCs/>
          <w:szCs w:val="21"/>
        </w:rPr>
      </w:pPr>
      <w:r>
        <w:rPr>
          <w:rFonts w:hint="eastAsia" w:ascii="宋体" w:hAnsi="宋体" w:cs="宋体"/>
          <w:b/>
          <w:bCs/>
          <w:szCs w:val="21"/>
        </w:rPr>
        <w:t>1.考核初始赋值 100分。考核表格包括但不限于以上内容，在实际运作中不断完善。每个考核项目扣分项最多将该项分值扣至0分。</w:t>
      </w:r>
    </w:p>
    <w:p w14:paraId="6B8C34F5">
      <w:pPr>
        <w:spacing w:line="336" w:lineRule="auto"/>
        <w:ind w:firstLine="422" w:firstLineChars="200"/>
        <w:rPr>
          <w:rFonts w:ascii="宋体" w:hAnsi="宋体" w:cs="宋体"/>
          <w:b/>
          <w:bCs/>
          <w:szCs w:val="21"/>
        </w:rPr>
      </w:pPr>
      <w:r>
        <w:rPr>
          <w:rFonts w:hint="eastAsia" w:ascii="宋体" w:hAnsi="宋体" w:cs="宋体"/>
          <w:b/>
          <w:bCs/>
          <w:szCs w:val="21"/>
        </w:rPr>
        <w:t>2.每季度考核分数在60到80分之间，将要求投标人对安全服务团队责任人进行谈话，并责令整改；每季度考核分数≦60分，投标人须更换安全服务实施人员，更换人员须符合安全服务人员要求；如无法更换符合要求的安全服务人员，采购人将终止合同，并拒付剩余合同款项。</w:t>
      </w:r>
    </w:p>
    <w:p w14:paraId="7ACC782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D7B1A"/>
    <w:rsid w:val="011467B7"/>
    <w:rsid w:val="02445A42"/>
    <w:rsid w:val="02490A8F"/>
    <w:rsid w:val="025256A9"/>
    <w:rsid w:val="03450073"/>
    <w:rsid w:val="03585EDD"/>
    <w:rsid w:val="04046C69"/>
    <w:rsid w:val="059B5BAB"/>
    <w:rsid w:val="059C45FA"/>
    <w:rsid w:val="05A72BD7"/>
    <w:rsid w:val="05BF054E"/>
    <w:rsid w:val="065533D7"/>
    <w:rsid w:val="06B75ED8"/>
    <w:rsid w:val="077A37C7"/>
    <w:rsid w:val="08443056"/>
    <w:rsid w:val="08F51C6F"/>
    <w:rsid w:val="09A02F07"/>
    <w:rsid w:val="0A1B177E"/>
    <w:rsid w:val="0A2A3F94"/>
    <w:rsid w:val="0A3A7385"/>
    <w:rsid w:val="0A4C329E"/>
    <w:rsid w:val="0B9B0B50"/>
    <w:rsid w:val="0BA20969"/>
    <w:rsid w:val="0BCA7829"/>
    <w:rsid w:val="0BDB550F"/>
    <w:rsid w:val="0BE805BB"/>
    <w:rsid w:val="0C2306DE"/>
    <w:rsid w:val="0F67422E"/>
    <w:rsid w:val="0FF50CDA"/>
    <w:rsid w:val="112B315A"/>
    <w:rsid w:val="11C4094C"/>
    <w:rsid w:val="126C4B94"/>
    <w:rsid w:val="127A692D"/>
    <w:rsid w:val="12D80EE0"/>
    <w:rsid w:val="136E7671"/>
    <w:rsid w:val="15C63EFD"/>
    <w:rsid w:val="16F9394C"/>
    <w:rsid w:val="171017F6"/>
    <w:rsid w:val="174C5939"/>
    <w:rsid w:val="17AD1C47"/>
    <w:rsid w:val="18AE1580"/>
    <w:rsid w:val="1AB90390"/>
    <w:rsid w:val="1ACA5DAB"/>
    <w:rsid w:val="1B1172D3"/>
    <w:rsid w:val="1B134CC1"/>
    <w:rsid w:val="1C3F4C25"/>
    <w:rsid w:val="1CBF2330"/>
    <w:rsid w:val="1DC14EED"/>
    <w:rsid w:val="1DF50A61"/>
    <w:rsid w:val="1EDB74BB"/>
    <w:rsid w:val="208572BC"/>
    <w:rsid w:val="20C51371"/>
    <w:rsid w:val="20EE4CF7"/>
    <w:rsid w:val="212B481F"/>
    <w:rsid w:val="21580306"/>
    <w:rsid w:val="217534E3"/>
    <w:rsid w:val="230A6D40"/>
    <w:rsid w:val="24BA6FF6"/>
    <w:rsid w:val="24EE3A00"/>
    <w:rsid w:val="269F5436"/>
    <w:rsid w:val="26C070DF"/>
    <w:rsid w:val="26C22868"/>
    <w:rsid w:val="272410F6"/>
    <w:rsid w:val="28666C17"/>
    <w:rsid w:val="28C9014F"/>
    <w:rsid w:val="29D466CC"/>
    <w:rsid w:val="2A3E773C"/>
    <w:rsid w:val="2B204A26"/>
    <w:rsid w:val="2BA2607E"/>
    <w:rsid w:val="2BA467A3"/>
    <w:rsid w:val="2C023617"/>
    <w:rsid w:val="2C413E10"/>
    <w:rsid w:val="2C4A15C5"/>
    <w:rsid w:val="2CE45FAF"/>
    <w:rsid w:val="2D7E7F36"/>
    <w:rsid w:val="2DCF6FAB"/>
    <w:rsid w:val="2E0B14F1"/>
    <w:rsid w:val="2EB7711F"/>
    <w:rsid w:val="2ECA3187"/>
    <w:rsid w:val="2F32723D"/>
    <w:rsid w:val="2F3E0551"/>
    <w:rsid w:val="2FB61930"/>
    <w:rsid w:val="2FD4097D"/>
    <w:rsid w:val="30F22E0B"/>
    <w:rsid w:val="30F657C1"/>
    <w:rsid w:val="31923F99"/>
    <w:rsid w:val="31DB7C26"/>
    <w:rsid w:val="32F03854"/>
    <w:rsid w:val="35751081"/>
    <w:rsid w:val="358133AA"/>
    <w:rsid w:val="371F2019"/>
    <w:rsid w:val="379F2BC9"/>
    <w:rsid w:val="38374BD9"/>
    <w:rsid w:val="39B95254"/>
    <w:rsid w:val="3C257A29"/>
    <w:rsid w:val="3CB4039C"/>
    <w:rsid w:val="3D9A5A45"/>
    <w:rsid w:val="3DB850AD"/>
    <w:rsid w:val="3EA1334D"/>
    <w:rsid w:val="4042629E"/>
    <w:rsid w:val="419032B3"/>
    <w:rsid w:val="41DE5DBD"/>
    <w:rsid w:val="422C623C"/>
    <w:rsid w:val="423E2C3C"/>
    <w:rsid w:val="434F6096"/>
    <w:rsid w:val="436C550E"/>
    <w:rsid w:val="44C83245"/>
    <w:rsid w:val="45815028"/>
    <w:rsid w:val="45F457B6"/>
    <w:rsid w:val="47FB61CA"/>
    <w:rsid w:val="48192681"/>
    <w:rsid w:val="4A896133"/>
    <w:rsid w:val="4B807A4A"/>
    <w:rsid w:val="4C8B415B"/>
    <w:rsid w:val="4CDC0F66"/>
    <w:rsid w:val="4CFA56BA"/>
    <w:rsid w:val="4EBB1677"/>
    <w:rsid w:val="4FB74DDA"/>
    <w:rsid w:val="4FEB65B7"/>
    <w:rsid w:val="502F64F3"/>
    <w:rsid w:val="506D2F61"/>
    <w:rsid w:val="51224C99"/>
    <w:rsid w:val="518A6222"/>
    <w:rsid w:val="518E3745"/>
    <w:rsid w:val="51FB16DF"/>
    <w:rsid w:val="52191E7B"/>
    <w:rsid w:val="52D612BA"/>
    <w:rsid w:val="53002936"/>
    <w:rsid w:val="53730A54"/>
    <w:rsid w:val="549240B9"/>
    <w:rsid w:val="550A4E58"/>
    <w:rsid w:val="55133610"/>
    <w:rsid w:val="55D26832"/>
    <w:rsid w:val="55DC7470"/>
    <w:rsid w:val="575C5E28"/>
    <w:rsid w:val="57881CE3"/>
    <w:rsid w:val="5796147C"/>
    <w:rsid w:val="57DB0FF9"/>
    <w:rsid w:val="57FE69C8"/>
    <w:rsid w:val="583E6D60"/>
    <w:rsid w:val="58687284"/>
    <w:rsid w:val="59121EEA"/>
    <w:rsid w:val="59801CB3"/>
    <w:rsid w:val="59BA6A1C"/>
    <w:rsid w:val="59C52D7E"/>
    <w:rsid w:val="59E60742"/>
    <w:rsid w:val="5A2C7A72"/>
    <w:rsid w:val="5A7E088E"/>
    <w:rsid w:val="5AEB5DEF"/>
    <w:rsid w:val="5B540165"/>
    <w:rsid w:val="5BFC68F7"/>
    <w:rsid w:val="5C4D76FA"/>
    <w:rsid w:val="5CF6181D"/>
    <w:rsid w:val="5D193E1C"/>
    <w:rsid w:val="5D271B48"/>
    <w:rsid w:val="5DB211CE"/>
    <w:rsid w:val="5DCC16BA"/>
    <w:rsid w:val="5E59229C"/>
    <w:rsid w:val="5E707315"/>
    <w:rsid w:val="5F8461ED"/>
    <w:rsid w:val="5FB35F53"/>
    <w:rsid w:val="5FDE126D"/>
    <w:rsid w:val="60E751E1"/>
    <w:rsid w:val="610C2C7F"/>
    <w:rsid w:val="611D301E"/>
    <w:rsid w:val="612F4DE2"/>
    <w:rsid w:val="61B761CA"/>
    <w:rsid w:val="629B011D"/>
    <w:rsid w:val="629E4AE7"/>
    <w:rsid w:val="62A533D5"/>
    <w:rsid w:val="645F10F0"/>
    <w:rsid w:val="648A4D97"/>
    <w:rsid w:val="65274AF0"/>
    <w:rsid w:val="65497C1A"/>
    <w:rsid w:val="65733A32"/>
    <w:rsid w:val="65C06E1B"/>
    <w:rsid w:val="65CF0629"/>
    <w:rsid w:val="660C5BBE"/>
    <w:rsid w:val="66251931"/>
    <w:rsid w:val="67E77C3F"/>
    <w:rsid w:val="681B3755"/>
    <w:rsid w:val="68530868"/>
    <w:rsid w:val="690D5110"/>
    <w:rsid w:val="69170515"/>
    <w:rsid w:val="694801CA"/>
    <w:rsid w:val="697D344C"/>
    <w:rsid w:val="69C640CC"/>
    <w:rsid w:val="6AC55AC0"/>
    <w:rsid w:val="6AD938C6"/>
    <w:rsid w:val="6C6359BE"/>
    <w:rsid w:val="6D7628AC"/>
    <w:rsid w:val="6EAA1956"/>
    <w:rsid w:val="6EFE00EB"/>
    <w:rsid w:val="6F6944D6"/>
    <w:rsid w:val="6FB04F9D"/>
    <w:rsid w:val="6FD64E04"/>
    <w:rsid w:val="6FFF3FD9"/>
    <w:rsid w:val="718A4AEB"/>
    <w:rsid w:val="72493CCE"/>
    <w:rsid w:val="72C46B86"/>
    <w:rsid w:val="731D2678"/>
    <w:rsid w:val="73311A0E"/>
    <w:rsid w:val="756952E5"/>
    <w:rsid w:val="7676352F"/>
    <w:rsid w:val="78346479"/>
    <w:rsid w:val="78C23387"/>
    <w:rsid w:val="78F44268"/>
    <w:rsid w:val="7A1C1634"/>
    <w:rsid w:val="7ACD370F"/>
    <w:rsid w:val="7AD1581C"/>
    <w:rsid w:val="7B915070"/>
    <w:rsid w:val="7B9A2A71"/>
    <w:rsid w:val="7BBE23CD"/>
    <w:rsid w:val="7D3F06AC"/>
    <w:rsid w:val="7D820416"/>
    <w:rsid w:val="7DB930A8"/>
    <w:rsid w:val="7E036426"/>
    <w:rsid w:val="7FD42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276" w:lineRule="auto"/>
      <w:ind w:firstLine="420" w:firstLineChars="200"/>
      <w:outlineLvl w:val="1"/>
    </w:pPr>
    <w:rPr>
      <w:rFonts w:ascii="宋体" w:hAnsi="宋体"/>
    </w:rPr>
  </w:style>
  <w:style w:type="paragraph" w:styleId="3">
    <w:name w:val="Body Text Indent"/>
    <w:basedOn w:val="1"/>
    <w:next w:val="4"/>
    <w:qFormat/>
    <w:uiPriority w:val="0"/>
    <w:pPr>
      <w:ind w:firstLine="645"/>
    </w:pPr>
    <w:rPr>
      <w:rFonts w:ascii="楷体_GB2312" w:eastAsia="楷体_GB2312"/>
      <w:kern w:val="0"/>
      <w:sz w:val="32"/>
      <w:szCs w:val="20"/>
    </w:rPr>
  </w:style>
  <w:style w:type="paragraph" w:styleId="4">
    <w:name w:val="envelope return"/>
    <w:basedOn w:val="1"/>
    <w:unhideWhenUsed/>
    <w:qFormat/>
    <w:uiPriority w:val="0"/>
    <w:pPr>
      <w:snapToGrid w:val="0"/>
    </w:pPr>
    <w:rPr>
      <w:rFonts w:ascii="Arial" w:hAnsi="Arial"/>
    </w:rPr>
  </w:style>
  <w:style w:type="paragraph" w:styleId="5">
    <w:name w:val="Body Text"/>
    <w:basedOn w:val="1"/>
    <w:next w:val="6"/>
    <w:qFormat/>
    <w:uiPriority w:val="99"/>
    <w:rPr>
      <w:rFonts w:ascii="楷体_GB2312" w:hAnsi="Arial" w:eastAsia="楷体_GB2312"/>
      <w:kern w:val="0"/>
      <w:sz w:val="28"/>
      <w:szCs w:val="20"/>
    </w:rPr>
  </w:style>
  <w:style w:type="paragraph" w:customStyle="1" w:styleId="6">
    <w:name w:val="一级条标题"/>
    <w:basedOn w:val="7"/>
    <w:next w:val="8"/>
    <w:autoRedefine/>
    <w:qFormat/>
    <w:uiPriority w:val="99"/>
    <w:pPr>
      <w:tabs>
        <w:tab w:val="left" w:pos="810"/>
        <w:tab w:val="left" w:pos="907"/>
        <w:tab w:val="left" w:pos="1265"/>
      </w:tabs>
      <w:spacing w:before="0" w:after="0"/>
      <w:ind w:left="907" w:hanging="907"/>
      <w:outlineLvl w:val="2"/>
    </w:pPr>
    <w:rPr>
      <w:rFonts w:hAnsi="宋体"/>
      <w:kern w:val="0"/>
      <w:sz w:val="20"/>
      <w:szCs w:val="20"/>
    </w:rPr>
  </w:style>
  <w:style w:type="paragraph" w:customStyle="1" w:styleId="7">
    <w:name w:val="章标题"/>
    <w:next w:val="1"/>
    <w:autoRedefine/>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8">
    <w:name w:val="段"/>
    <w:next w:val="1"/>
    <w:autoRedefine/>
    <w:qFormat/>
    <w:uiPriority w:val="0"/>
    <w:pPr>
      <w:widowControl w:val="0"/>
      <w:ind w:firstLine="200"/>
      <w:jc w:val="both"/>
    </w:pPr>
    <w:rPr>
      <w:rFonts w:ascii="宋体" w:hAnsi="宋体" w:eastAsia="宋体" w:cs="宋体"/>
      <w:color w:val="000000"/>
      <w:sz w:val="21"/>
      <w:szCs w:val="21"/>
      <w:lang w:val="en-US" w:eastAsia="zh-CN" w:bidi="ar-SA"/>
    </w:rPr>
  </w:style>
  <w:style w:type="paragraph" w:customStyle="1" w:styleId="11">
    <w:name w:val="Heading1"/>
    <w:basedOn w:val="1"/>
    <w:next w:val="1"/>
    <w:autoRedefine/>
    <w:qFormat/>
    <w:uiPriority w:val="0"/>
    <w:pPr>
      <w:keepNext/>
      <w:textAlignment w:val="baseline"/>
    </w:pPr>
    <w:rPr>
      <w:rFonts w:ascii="等线 Light" w:eastAsia="等线 Light"/>
      <w:sz w:val="28"/>
      <w:szCs w:val="20"/>
    </w:rPr>
  </w:style>
  <w:style w:type="paragraph" w:customStyle="1" w:styleId="12">
    <w:name w:val="首行缩进"/>
    <w:basedOn w:val="1"/>
    <w:autoRedefine/>
    <w:qFormat/>
    <w:uiPriority w:val="0"/>
    <w:pPr>
      <w:ind w:firstLine="480" w:firstLineChars="200"/>
    </w:pPr>
    <w:rPr>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2021-08-24T06:46:00Z</dcterms:created>
  <dc:creator>Lenovo</dc:creator>
  <cp:lastModifiedBy>刘伟</cp:lastModifiedBy>
  <dcterms:modified xsi:type="dcterms:W3CDTF">2025-04-08T09:00:00Z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567C3DD905534D5CBE82ABB29CB728F4</vt:lpwstr>
  </property>
  <property fmtid="{D5CDD505-2E9C-101B-9397-08002B2CF9AE}" pid="4" name="KSOTemplateDocerSaveRecord">
    <vt:lpwstr>eyJoZGlkIjoiYmZlZjc3ZmM0ZDZhYTJjZDcyYmM4N2QxZjk0ZDViYjQiLCJ1c2VySWQiOiIxNTY2MDA5Mjc3In0=</vt:lpwstr>
  </property>
</Properties>
</file>