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21B8A">
      <w:pPr>
        <w:pStyle w:val="44"/>
        <w:ind w:firstLine="0"/>
        <w:jc w:val="center"/>
        <w:rPr>
          <w:rFonts w:ascii="宋体" w:hAnsi="宋体" w:cs="宋体"/>
          <w:b/>
          <w:bCs/>
          <w:sz w:val="28"/>
          <w:szCs w:val="28"/>
        </w:rPr>
      </w:pPr>
      <w:r>
        <w:rPr>
          <w:rFonts w:ascii="宋体" w:hAnsi="宋体" w:cs="宋体"/>
        </w:rPr>
        <mc:AlternateContent>
          <mc:Choice Requires="wps">
            <w:drawing>
              <wp:anchor distT="0" distB="0" distL="114300" distR="114300" simplePos="0" relativeHeight="251667456" behindDoc="0" locked="0" layoutInCell="1" allowOverlap="1">
                <wp:simplePos x="0" y="0"/>
                <wp:positionH relativeFrom="column">
                  <wp:posOffset>-1040765</wp:posOffset>
                </wp:positionH>
                <wp:positionV relativeFrom="paragraph">
                  <wp:posOffset>-1283335</wp:posOffset>
                </wp:positionV>
                <wp:extent cx="2752725" cy="2762250"/>
                <wp:effectExtent l="0" t="0" r="9525" b="0"/>
                <wp:wrapNone/>
                <wp:docPr id="39" name="椭圆 39"/>
                <wp:cNvGraphicFramePr/>
                <a:graphic xmlns:a="http://schemas.openxmlformats.org/drawingml/2006/main">
                  <a:graphicData uri="http://schemas.microsoft.com/office/word/2010/wordprocessingShape">
                    <wps:wsp>
                      <wps:cNvSpPr/>
                      <wps:spPr>
                        <a:xfrm>
                          <a:off x="0" y="0"/>
                          <a:ext cx="2752725" cy="2762250"/>
                        </a:xfrm>
                        <a:prstGeom prst="ellipse">
                          <a:avLst/>
                        </a:prstGeom>
                        <a:gradFill rotWithShape="0">
                          <a:gsLst>
                            <a:gs pos="0">
                              <a:srgbClr val="C00000">
                                <a:alpha val="0"/>
                              </a:srgbClr>
                            </a:gs>
                            <a:gs pos="100000">
                              <a:srgbClr val="FFFFFF">
                                <a:alpha val="59999"/>
                              </a:srgbClr>
                            </a:gs>
                          </a:gsLst>
                          <a:lin ang="5400000" scaled="1"/>
                          <a:tileRect/>
                        </a:gradFill>
                        <a:ln>
                          <a:noFill/>
                        </a:ln>
                        <a:effectLst/>
                      </wps:spPr>
                      <wps:txbx>
                        <w:txbxContent>
                          <w:p w14:paraId="06A682D7">
                            <w:pPr>
                              <w:jc w:val="center"/>
                            </w:pPr>
                          </w:p>
                        </w:txbxContent>
                      </wps:txbx>
                      <wps:bodyPr upright="1"/>
                    </wps:wsp>
                  </a:graphicData>
                </a:graphic>
              </wp:anchor>
            </w:drawing>
          </mc:Choice>
          <mc:Fallback>
            <w:pict>
              <v:shape id="_x0000_s1026" o:spid="_x0000_s1026" o:spt="3" type="#_x0000_t3" style="position:absolute;left:0pt;margin-left:-81.95pt;margin-top:-101.05pt;height:217.5pt;width:216.75pt;z-index:251667456;mso-width-relative:page;mso-height-relative:page;" fillcolor="#C00000" filled="t" stroked="f" coordsize="21600,21600" o:gfxdata="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lRgY83AAAAA0BAAAP&#10;AAAAAAAAAAEAIAAAACIAAABkcnMvZG93bnJldi54bWxQSwECFAAUAAAACACHTuJAJGCDKBQCAABU&#10;BAAADgAAAAAAAAABACAAAAArAQAAZHJzL2Uyb0RvYy54bWxQSwUGAAAAAAYABgBZAQAAsQUAAAAA&#10;">
                <v:fill type="gradient" on="t" color2="#FFFFFF" opacity="0f" o:opacity2="39320f" focus="100%" focussize="0,0"/>
                <v:stroke on="f"/>
                <v:imagedata o:title=""/>
                <o:lock v:ext="edit" aspectratio="f"/>
                <v:textbox>
                  <w:txbxContent>
                    <w:p w14:paraId="06A682D7">
                      <w:pPr>
                        <w:jc w:val="center"/>
                      </w:pPr>
                    </w:p>
                  </w:txbxContent>
                </v:textbox>
              </v:shape>
            </w:pict>
          </mc:Fallback>
        </mc:AlternateContent>
      </w:r>
      <w:r>
        <w:rPr>
          <w:rFonts w:ascii="宋体" w:hAnsi="宋体" w:cs="宋体"/>
          <w:b/>
          <w:color w:val="000000"/>
          <w:sz w:val="28"/>
          <w:szCs w:val="28"/>
        </w:rPr>
        <w:drawing>
          <wp:anchor distT="0" distB="0" distL="114300" distR="114300" simplePos="0" relativeHeight="251665408" behindDoc="1" locked="0" layoutInCell="1" allowOverlap="1">
            <wp:simplePos x="0" y="0"/>
            <wp:positionH relativeFrom="column">
              <wp:posOffset>3492500</wp:posOffset>
            </wp:positionH>
            <wp:positionV relativeFrom="paragraph">
              <wp:posOffset>-582930</wp:posOffset>
            </wp:positionV>
            <wp:extent cx="2019300" cy="1744345"/>
            <wp:effectExtent l="0" t="0" r="0" b="8255"/>
            <wp:wrapNone/>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noChangeArrowheads="1"/>
                    </pic:cNvPicPr>
                  </pic:nvPicPr>
                  <pic:blipFill>
                    <a:blip r:embed="rId12" cstate="print"/>
                    <a:srcRect r="7275"/>
                    <a:stretch>
                      <a:fillRect/>
                    </a:stretch>
                  </pic:blipFill>
                  <pic:spPr>
                    <a:xfrm>
                      <a:off x="0" y="0"/>
                      <a:ext cx="2019300" cy="1744345"/>
                    </a:xfrm>
                    <a:prstGeom prst="rect">
                      <a:avLst/>
                    </a:prstGeom>
                    <a:noFill/>
                    <a:ln w="9525" cmpd="sng">
                      <a:noFill/>
                      <a:miter lim="800000"/>
                      <a:headEnd/>
                      <a:tailEnd/>
                    </a:ln>
                  </pic:spPr>
                </pic:pic>
              </a:graphicData>
            </a:graphic>
          </wp:anchor>
        </w:drawing>
      </w:r>
    </w:p>
    <w:p w14:paraId="60292124">
      <w:pPr>
        <w:ind w:leftChars="-695" w:hanging="1459" w:hangingChars="695"/>
        <w:jc w:val="right"/>
        <w:rPr>
          <w:rFonts w:ascii="宋体" w:hAnsi="宋体" w:cs="宋体"/>
          <w:b/>
          <w:bCs/>
          <w:sz w:val="44"/>
          <w:szCs w:val="44"/>
          <w:lang w:val="zh-CN"/>
        </w:rPr>
      </w:pPr>
      <w:r>
        <w:rPr>
          <w:rFonts w:ascii="宋体" w:hAnsi="宋体" w:cs="宋体"/>
        </w:rPr>
        <mc:AlternateContent>
          <mc:Choice Requires="wps">
            <w:drawing>
              <wp:anchor distT="0" distB="0" distL="114300" distR="114300" simplePos="0" relativeHeight="251674624" behindDoc="0" locked="0" layoutInCell="1" allowOverlap="1">
                <wp:simplePos x="0" y="0"/>
                <wp:positionH relativeFrom="column">
                  <wp:posOffset>1445895</wp:posOffset>
                </wp:positionH>
                <wp:positionV relativeFrom="paragraph">
                  <wp:posOffset>3974465</wp:posOffset>
                </wp:positionV>
                <wp:extent cx="4709795" cy="61214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3980815" cy="612140"/>
                        </a:xfrm>
                        <a:prstGeom prst="rect">
                          <a:avLst/>
                        </a:prstGeom>
                        <a:noFill/>
                        <a:ln w="6350">
                          <a:noFill/>
                        </a:ln>
                        <a:effectLst/>
                      </wps:spPr>
                      <wps:txbx>
                        <w:txbxContent>
                          <w:p w14:paraId="22FF9D7F">
                            <w:r>
                              <w:rPr>
                                <w:rFonts w:hint="eastAsia" w:ascii="宋体" w:hAnsi="宋体" w:cs="宋体"/>
                                <w:b/>
                                <w:kern w:val="0"/>
                                <w:sz w:val="28"/>
                                <w:szCs w:val="28"/>
                              </w:rPr>
                              <w:t>江苏医药职业学院</w:t>
                            </w:r>
                            <w:r>
                              <w:rPr>
                                <w:rFonts w:hint="eastAsia" w:ascii="宋体" w:hAnsi="宋体" w:cs="宋体"/>
                                <w:b/>
                                <w:kern w:val="0"/>
                                <w:sz w:val="28"/>
                                <w:szCs w:val="28"/>
                                <w:lang w:val="en-US" w:eastAsia="zh-CN"/>
                              </w:rPr>
                              <w:t>西园风雨操场屋面钢结构防腐涂层施工项目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3.85pt;margin-top:312.95pt;height:48.2pt;width:370.85pt;z-index:251674624;mso-width-relative:page;mso-height-relative:page;" filled="f" stroked="f" coordsize="21600,21600" o:gfxdata="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ACOHn3AAAAAsBAAAPAAAAAAAAAAEA&#10;IAAAACIAAABkcnMvZG93bnJldi54bWxQSwECFAAUAAAACACHTuJA1m/qAkQCAAB2BAAADgAAAAAA&#10;AAABACAAAAArAQAAZHJzL2Uyb0RvYy54bWxQSwUGAAAAAAYABgBZAQAA4QUAAAAA&#10;">
                <v:fill on="f" focussize="0,0"/>
                <v:stroke on="f" weight="0.5pt"/>
                <v:imagedata o:title=""/>
                <o:lock v:ext="edit" aspectratio="f"/>
                <v:textbox>
                  <w:txbxContent>
                    <w:p w14:paraId="22FF9D7F">
                      <w:r>
                        <w:rPr>
                          <w:rFonts w:hint="eastAsia" w:ascii="宋体" w:hAnsi="宋体" w:cs="宋体"/>
                          <w:b/>
                          <w:kern w:val="0"/>
                          <w:sz w:val="28"/>
                          <w:szCs w:val="28"/>
                        </w:rPr>
                        <w:t>江苏医药职业学院</w:t>
                      </w:r>
                      <w:r>
                        <w:rPr>
                          <w:rFonts w:hint="eastAsia" w:ascii="宋体" w:hAnsi="宋体" w:cs="宋体"/>
                          <w:b/>
                          <w:kern w:val="0"/>
                          <w:sz w:val="28"/>
                          <w:szCs w:val="28"/>
                          <w:lang w:val="en-US" w:eastAsia="zh-CN"/>
                        </w:rPr>
                        <w:t>西园风雨操场屋面钢结构防腐涂层施工项目</w:t>
                      </w:r>
                    </w:p>
                  </w:txbxContent>
                </v:textbox>
              </v:shape>
            </w:pict>
          </mc:Fallback>
        </mc:AlternateContent>
      </w:r>
      <w:r>
        <w:rPr>
          <w:rFonts w:ascii="宋体" w:hAnsi="宋体" w:cs="宋体"/>
        </w:rPr>
        <mc:AlternateContent>
          <mc:Choice Requires="wps">
            <w:drawing>
              <wp:anchor distT="0" distB="0" distL="114300" distR="114300" simplePos="0" relativeHeight="251673600" behindDoc="0" locked="0" layoutInCell="1" allowOverlap="1">
                <wp:simplePos x="0" y="0"/>
                <wp:positionH relativeFrom="column">
                  <wp:posOffset>3300730</wp:posOffset>
                </wp:positionH>
                <wp:positionV relativeFrom="paragraph">
                  <wp:posOffset>5857875</wp:posOffset>
                </wp:positionV>
                <wp:extent cx="2752725" cy="2762250"/>
                <wp:effectExtent l="0" t="0" r="9525" b="0"/>
                <wp:wrapNone/>
                <wp:docPr id="41" name="椭圆 41"/>
                <wp:cNvGraphicFramePr/>
                <a:graphic xmlns:a="http://schemas.openxmlformats.org/drawingml/2006/main">
                  <a:graphicData uri="http://schemas.microsoft.com/office/word/2010/wordprocessingShape">
                    <wps:wsp>
                      <wps:cNvSpPr/>
                      <wps:spPr>
                        <a:xfrm>
                          <a:off x="0" y="0"/>
                          <a:ext cx="2752725" cy="2762250"/>
                        </a:xfrm>
                        <a:prstGeom prst="ellipse">
                          <a:avLst/>
                        </a:prstGeom>
                        <a:gradFill rotWithShape="0">
                          <a:gsLst>
                            <a:gs pos="0">
                              <a:srgbClr val="C00000">
                                <a:alpha val="0"/>
                              </a:srgbClr>
                            </a:gs>
                            <a:gs pos="100000">
                              <a:srgbClr val="FFFFFF"/>
                            </a:gs>
                          </a:gsLst>
                          <a:lin ang="5400000" scaled="1"/>
                          <a:tileRect/>
                        </a:gradFill>
                        <a:ln>
                          <a:noFill/>
                        </a:ln>
                        <a:effectLst/>
                      </wps:spPr>
                      <wps:txbx>
                        <w:txbxContent>
                          <w:p w14:paraId="3BFE0BA3"/>
                        </w:txbxContent>
                      </wps:txbx>
                      <wps:bodyPr upright="1"/>
                    </wps:wsp>
                  </a:graphicData>
                </a:graphic>
              </wp:anchor>
            </w:drawing>
          </mc:Choice>
          <mc:Fallback>
            <w:pict>
              <v:shape id="_x0000_s1026" o:spid="_x0000_s1026" o:spt="3" type="#_x0000_t3" style="position:absolute;left:0pt;margin-left:259.9pt;margin-top:461.25pt;height:217.5pt;width:216.75pt;z-index:251673600;mso-width-relative:page;mso-height-relative:page;" fillcolor="#C00000" filled="t" stroked="f" coordsize="21600,21600" o:gfxdata="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00lOS2QAAAAwBAAAPAAAAAAAAAAEAIAAA&#10;ACIAAABkcnMvZG93bnJldi54bWxQSwECFAAUAAAACACHTuJAw4GoswsCAAAzBAAADgAAAAAAAAAB&#10;ACAAAAAoAQAAZHJzL2Uyb0RvYy54bWxQSwUGAAAAAAYABgBZAQAApQUAAAAA&#10;">
                <v:fill type="gradient" on="t" color2="#FFFFFF" opacity="0f" focus="100%" focussize="0,0"/>
                <v:stroke on="f"/>
                <v:imagedata o:title=""/>
                <o:lock v:ext="edit" aspectratio="f"/>
                <v:textbox>
                  <w:txbxContent>
                    <w:p w14:paraId="3BFE0BA3"/>
                  </w:txbxContent>
                </v:textbox>
              </v:shape>
            </w:pict>
          </mc:Fallback>
        </mc:AlternateContent>
      </w:r>
      <w:r>
        <w:rPr>
          <w:rFonts w:ascii="宋体" w:hAnsi="宋体" w:cs="宋体"/>
        </w:rPr>
        <mc:AlternateContent>
          <mc:Choice Requires="wps">
            <w:drawing>
              <wp:anchor distT="0" distB="0" distL="114300" distR="114300" simplePos="0" relativeHeight="251660288" behindDoc="0" locked="0" layoutInCell="1" allowOverlap="1">
                <wp:simplePos x="0" y="0"/>
                <wp:positionH relativeFrom="column">
                  <wp:posOffset>160020</wp:posOffset>
                </wp:positionH>
                <wp:positionV relativeFrom="paragraph">
                  <wp:posOffset>1880870</wp:posOffset>
                </wp:positionV>
                <wp:extent cx="5604510" cy="11684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5604510" cy="1168400"/>
                        </a:xfrm>
                        <a:prstGeom prst="rect">
                          <a:avLst/>
                        </a:prstGeom>
                        <a:noFill/>
                        <a:ln>
                          <a:noFill/>
                        </a:ln>
                        <a:effectLst/>
                      </wps:spPr>
                      <wps:txbx>
                        <w:txbxContent>
                          <w:p w14:paraId="6FCFFCC4">
                            <w:pPr>
                              <w:pStyle w:val="22"/>
                              <w:rPr>
                                <w:rFonts w:ascii="方正大黑简体" w:hAnsi="方正大黑简体" w:eastAsia="方正大黑简体" w:cs="方正大黑简体"/>
                                <w:bCs/>
                                <w:color w:val="DA251C"/>
                                <w:sz w:val="144"/>
                                <w:szCs w:val="144"/>
                              </w:rPr>
                            </w:pPr>
                            <w:r>
                              <w:rPr>
                                <w:rFonts w:hint="eastAsia" w:ascii="方正大黑简体" w:hAnsi="方正大黑简体" w:eastAsia="方正大黑简体" w:cs="方正大黑简体"/>
                                <w:bCs/>
                                <w:color w:val="DA251C"/>
                                <w:sz w:val="144"/>
                                <w:szCs w:val="144"/>
                              </w:rPr>
                              <w:t>询 价 文 件</w:t>
                            </w:r>
                          </w:p>
                        </w:txbxContent>
                      </wps:txbx>
                      <wps:bodyPr wrap="square" rtlCol="0">
                        <a:noAutofit/>
                      </wps:bodyPr>
                    </wps:wsp>
                  </a:graphicData>
                </a:graphic>
              </wp:anchor>
            </w:drawing>
          </mc:Choice>
          <mc:Fallback>
            <w:pict>
              <v:shape id="_x0000_s1026" o:spid="_x0000_s1026" o:spt="202" type="#_x0000_t202" style="position:absolute;left:0pt;margin-left:12.6pt;margin-top:148.1pt;height:92pt;width:441.3pt;z-index:251660288;mso-width-relative:page;mso-height-relative:page;" filled="f" stroked="f" coordsize="21600,21600" o:gfxdata="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b9iiD1wAAAAoBAAAPAAAAAAAAAAEAIAAAACIAAABkcnMvZG93&#10;bnJldi54bWxQSwECFAAUAAAACACHTuJAbg2iKcgBAACGAwAADgAAAAAAAAABACAAAAAmAQAAZHJz&#10;L2Uyb0RvYy54bWxQSwUGAAAAAAYABgBZAQAAYAUAAAAA&#10;">
                <v:fill on="f" focussize="0,0"/>
                <v:stroke on="f"/>
                <v:imagedata o:title=""/>
                <o:lock v:ext="edit" aspectratio="f"/>
                <v:textbox>
                  <w:txbxContent>
                    <w:p w14:paraId="6FCFFCC4">
                      <w:pPr>
                        <w:pStyle w:val="22"/>
                        <w:rPr>
                          <w:rFonts w:ascii="方正大黑简体" w:hAnsi="方正大黑简体" w:eastAsia="方正大黑简体" w:cs="方正大黑简体"/>
                          <w:bCs/>
                          <w:color w:val="DA251C"/>
                          <w:sz w:val="144"/>
                          <w:szCs w:val="144"/>
                        </w:rPr>
                      </w:pPr>
                      <w:r>
                        <w:rPr>
                          <w:rFonts w:hint="eastAsia" w:ascii="方正大黑简体" w:hAnsi="方正大黑简体" w:eastAsia="方正大黑简体" w:cs="方正大黑简体"/>
                          <w:bCs/>
                          <w:color w:val="DA251C"/>
                          <w:sz w:val="144"/>
                          <w:szCs w:val="144"/>
                        </w:rPr>
                        <w:t>询 价 文 件</w:t>
                      </w:r>
                    </w:p>
                  </w:txbxContent>
                </v:textbox>
              </v:shape>
            </w:pict>
          </mc:Fallback>
        </mc:AlternateContent>
      </w:r>
    </w:p>
    <w:p w14:paraId="5A109E12">
      <w:pPr>
        <w:rPr>
          <w:rFonts w:ascii="宋体" w:hAnsi="宋体" w:cs="宋体"/>
          <w:sz w:val="44"/>
          <w:szCs w:val="44"/>
          <w:lang w:val="zh-CN"/>
        </w:rPr>
      </w:pPr>
      <w:r>
        <w:rPr>
          <w:rFonts w:ascii="宋体" w:hAnsi="宋体" w:cs="宋体"/>
        </w:rPr>
        <mc:AlternateContent>
          <mc:Choice Requires="wps">
            <w:drawing>
              <wp:anchor distT="0" distB="0" distL="114300" distR="114300" simplePos="0" relativeHeight="251666432" behindDoc="0" locked="0" layoutInCell="1" allowOverlap="1">
                <wp:simplePos x="0" y="0"/>
                <wp:positionH relativeFrom="column">
                  <wp:posOffset>-320040</wp:posOffset>
                </wp:positionH>
                <wp:positionV relativeFrom="paragraph">
                  <wp:posOffset>415290</wp:posOffset>
                </wp:positionV>
                <wp:extent cx="6870700" cy="944245"/>
                <wp:effectExtent l="0" t="0" r="0" b="8255"/>
                <wp:wrapNone/>
                <wp:docPr id="11" name="文本框 11"/>
                <wp:cNvGraphicFramePr/>
                <a:graphic xmlns:a="http://schemas.openxmlformats.org/drawingml/2006/main">
                  <a:graphicData uri="http://schemas.microsoft.com/office/word/2010/wordprocessingShape">
                    <wps:wsp>
                      <wps:cNvSpPr txBox="1"/>
                      <wps:spPr>
                        <a:xfrm>
                          <a:off x="0" y="0"/>
                          <a:ext cx="6870700" cy="944245"/>
                        </a:xfrm>
                        <a:prstGeom prst="rect">
                          <a:avLst/>
                        </a:prstGeom>
                        <a:noFill/>
                        <a:ln>
                          <a:noFill/>
                        </a:ln>
                        <a:effectLst/>
                      </wps:spPr>
                      <wps:txbx>
                        <w:txbxContent>
                          <w:p w14:paraId="6F2860DE">
                            <w:pPr>
                              <w:jc w:val="center"/>
                              <w:rPr>
                                <w:sz w:val="40"/>
                                <w:szCs w:val="48"/>
                              </w:rPr>
                            </w:pPr>
                            <w:r>
                              <w:rPr>
                                <w:rFonts w:hint="eastAsia" w:asciiTheme="majorEastAsia" w:hAnsiTheme="majorEastAsia" w:eastAsiaTheme="majorEastAsia" w:cstheme="majorEastAsia"/>
                                <w:b/>
                                <w:kern w:val="0"/>
                                <w:sz w:val="36"/>
                                <w:szCs w:val="36"/>
                              </w:rPr>
                              <w:t>江苏医药职业学院</w:t>
                            </w:r>
                            <w:r>
                              <w:rPr>
                                <w:rFonts w:hint="eastAsia" w:asciiTheme="majorEastAsia" w:hAnsiTheme="majorEastAsia" w:eastAsiaTheme="majorEastAsia" w:cstheme="majorEastAsia"/>
                                <w:b/>
                                <w:kern w:val="0"/>
                                <w:sz w:val="36"/>
                                <w:szCs w:val="36"/>
                                <w:lang w:val="en-US" w:eastAsia="zh-CN"/>
                              </w:rPr>
                              <w:t>西园风雨操场屋面钢结构防腐涂层施工项目</w:t>
                            </w:r>
                          </w:p>
                        </w:txbxContent>
                      </wps:txbx>
                      <wps:bodyPr wrap="square" rtlCol="0">
                        <a:noAutofit/>
                      </wps:bodyPr>
                    </wps:wsp>
                  </a:graphicData>
                </a:graphic>
              </wp:anchor>
            </w:drawing>
          </mc:Choice>
          <mc:Fallback>
            <w:pict>
              <v:shape id="_x0000_s1026" o:spid="_x0000_s1026" o:spt="202" type="#_x0000_t202" style="position:absolute;left:0pt;margin-left:-25.2pt;margin-top:32.7pt;height:74.35pt;width:541pt;z-index:251666432;mso-width-relative:page;mso-height-relative:page;" filled="f" stroked="f" coordsize="21600,21600" o:gfxdata="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BdGbETYAAAACwEAAA8AAAAAAAAAAQAgAAAAIgAAAGRycy9kb3du&#10;cmV2LnhtbFBLAQIUABQAAAAIAIdO4kAakTSgxgEAAIUDAAAOAAAAAAAAAAEAIAAAACcBAABkcnMv&#10;ZTJvRG9jLnhtbFBLBQYAAAAABgAGAFkBAABfBQAAAAA=&#10;">
                <v:fill on="f" focussize="0,0"/>
                <v:stroke on="f"/>
                <v:imagedata o:title=""/>
                <o:lock v:ext="edit" aspectratio="f"/>
                <v:textbox>
                  <w:txbxContent>
                    <w:p w14:paraId="6F2860DE">
                      <w:pPr>
                        <w:jc w:val="center"/>
                        <w:rPr>
                          <w:sz w:val="40"/>
                          <w:szCs w:val="48"/>
                        </w:rPr>
                      </w:pPr>
                      <w:r>
                        <w:rPr>
                          <w:rFonts w:hint="eastAsia" w:asciiTheme="majorEastAsia" w:hAnsiTheme="majorEastAsia" w:eastAsiaTheme="majorEastAsia" w:cstheme="majorEastAsia"/>
                          <w:b/>
                          <w:kern w:val="0"/>
                          <w:sz w:val="36"/>
                          <w:szCs w:val="36"/>
                        </w:rPr>
                        <w:t>江苏医药职业学院</w:t>
                      </w:r>
                      <w:r>
                        <w:rPr>
                          <w:rFonts w:hint="eastAsia" w:asciiTheme="majorEastAsia" w:hAnsiTheme="majorEastAsia" w:eastAsiaTheme="majorEastAsia" w:cstheme="majorEastAsia"/>
                          <w:b/>
                          <w:kern w:val="0"/>
                          <w:sz w:val="36"/>
                          <w:szCs w:val="36"/>
                          <w:lang w:val="en-US" w:eastAsia="zh-CN"/>
                        </w:rPr>
                        <w:t>西园风雨操场屋面钢结构防腐涂层施工项目</w:t>
                      </w:r>
                    </w:p>
                  </w:txbxContent>
                </v:textbox>
              </v:shape>
            </w:pict>
          </mc:Fallback>
        </mc:AlternateContent>
      </w:r>
    </w:p>
    <w:p w14:paraId="7EEDA104">
      <w:pPr>
        <w:rPr>
          <w:rFonts w:ascii="宋体" w:hAnsi="宋体" w:cs="宋体"/>
          <w:sz w:val="44"/>
          <w:szCs w:val="44"/>
          <w:lang w:val="zh-CN"/>
        </w:rPr>
      </w:pPr>
    </w:p>
    <w:p w14:paraId="632DDD04">
      <w:pPr>
        <w:rPr>
          <w:rFonts w:ascii="宋体" w:hAnsi="宋体" w:cs="宋体"/>
          <w:sz w:val="44"/>
          <w:szCs w:val="44"/>
          <w:lang w:val="zh-CN"/>
        </w:rPr>
      </w:pPr>
    </w:p>
    <w:p w14:paraId="50319C27">
      <w:pPr>
        <w:rPr>
          <w:rFonts w:ascii="宋体" w:hAnsi="宋体" w:cs="宋体"/>
          <w:sz w:val="44"/>
          <w:szCs w:val="44"/>
          <w:lang w:val="zh-CN"/>
        </w:rPr>
      </w:pPr>
    </w:p>
    <w:p w14:paraId="57D931C1">
      <w:pPr>
        <w:rPr>
          <w:rFonts w:ascii="宋体" w:hAnsi="宋体" w:cs="宋体"/>
          <w:sz w:val="44"/>
          <w:szCs w:val="44"/>
          <w:lang w:val="zh-CN"/>
        </w:rPr>
      </w:pPr>
    </w:p>
    <w:p w14:paraId="084BFD1E">
      <w:pPr>
        <w:rPr>
          <w:rFonts w:ascii="宋体" w:hAnsi="宋体" w:cs="宋体"/>
          <w:sz w:val="44"/>
          <w:szCs w:val="44"/>
          <w:lang w:val="zh-CN"/>
        </w:rPr>
      </w:pPr>
    </w:p>
    <w:p w14:paraId="77D9B943">
      <w:pPr>
        <w:jc w:val="right"/>
        <w:rPr>
          <w:rFonts w:ascii="宋体" w:hAnsi="宋体" w:cs="宋体"/>
          <w:sz w:val="44"/>
          <w:szCs w:val="44"/>
          <w:lang w:val="zh-CN"/>
        </w:rPr>
      </w:pPr>
    </w:p>
    <w:p w14:paraId="47379FFD">
      <w:pPr>
        <w:rPr>
          <w:rFonts w:ascii="宋体" w:hAnsi="宋体" w:cs="宋体"/>
          <w:sz w:val="44"/>
          <w:szCs w:val="44"/>
          <w:lang w:val="zh-CN"/>
        </w:rPr>
        <w:sectPr>
          <w:headerReference r:id="rId3" w:type="default"/>
          <w:pgSz w:w="11906" w:h="16838"/>
          <w:pgMar w:top="1701" w:right="1474" w:bottom="1701" w:left="1474" w:header="851" w:footer="1134" w:gutter="0"/>
          <w:cols w:space="720" w:num="1"/>
          <w:docGrid w:linePitch="579" w:charSpace="1229"/>
        </w:sectPr>
      </w:pPr>
      <w:r>
        <w:rPr>
          <w:rFonts w:ascii="宋体" w:hAnsi="宋体" w:cs="宋体"/>
        </w:rPr>
        <mc:AlternateContent>
          <mc:Choice Requires="wps">
            <w:drawing>
              <wp:anchor distT="0" distB="0" distL="114300" distR="114300" simplePos="0" relativeHeight="251668480" behindDoc="0" locked="0" layoutInCell="1" allowOverlap="1">
                <wp:simplePos x="0" y="0"/>
                <wp:positionH relativeFrom="column">
                  <wp:posOffset>1571625</wp:posOffset>
                </wp:positionH>
                <wp:positionV relativeFrom="paragraph">
                  <wp:posOffset>597535</wp:posOffset>
                </wp:positionV>
                <wp:extent cx="2657475" cy="383540"/>
                <wp:effectExtent l="0" t="0" r="0" b="0"/>
                <wp:wrapNone/>
                <wp:docPr id="65" name="文本框 65"/>
                <wp:cNvGraphicFramePr/>
                <a:graphic xmlns:a="http://schemas.openxmlformats.org/drawingml/2006/main">
                  <a:graphicData uri="http://schemas.microsoft.com/office/word/2010/wordprocessingShape">
                    <wps:wsp>
                      <wps:cNvSpPr txBox="1"/>
                      <wps:spPr>
                        <a:xfrm flipH="1">
                          <a:off x="0" y="0"/>
                          <a:ext cx="2657475" cy="383540"/>
                        </a:xfrm>
                        <a:prstGeom prst="rect">
                          <a:avLst/>
                        </a:prstGeom>
                        <a:noFill/>
                        <a:ln>
                          <a:noFill/>
                        </a:ln>
                        <a:effectLst/>
                      </wps:spPr>
                      <wps:txbx>
                        <w:txbxContent>
                          <w:p w14:paraId="2DDDCBB9">
                            <w:pPr>
                              <w:rPr>
                                <w:rFonts w:hint="eastAsia" w:ascii="宋体" w:hAnsi="宋体" w:cs="宋体"/>
                                <w:b/>
                                <w:kern w:val="0"/>
                                <w:sz w:val="28"/>
                                <w:szCs w:val="28"/>
                              </w:rPr>
                            </w:pPr>
                            <w:r>
                              <w:rPr>
                                <w:rFonts w:hint="eastAsia" w:ascii="宋体" w:hAnsi="宋体" w:cs="宋体"/>
                                <w:b/>
                                <w:kern w:val="0"/>
                                <w:sz w:val="28"/>
                                <w:szCs w:val="28"/>
                              </w:rPr>
                              <w:t>SY2026-006-GC-XJ</w:t>
                            </w:r>
                          </w:p>
                        </w:txbxContent>
                      </wps:txbx>
                      <wps:bodyPr wrap="square" rtlCol="0">
                        <a:noAutofit/>
                      </wps:bodyPr>
                    </wps:wsp>
                  </a:graphicData>
                </a:graphic>
              </wp:anchor>
            </w:drawing>
          </mc:Choice>
          <mc:Fallback>
            <w:pict>
              <v:shape id="_x0000_s1026" o:spid="_x0000_s1026" o:spt="202" type="#_x0000_t202" style="position:absolute;left:0pt;flip:x;margin-left:123.75pt;margin-top:47.05pt;height:30.2pt;width:209.25pt;z-index:251668480;mso-width-relative:page;mso-height-relative:page;" filled="f" stroked="f" coordsize="21600,21600" o:gfxdata="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aIJQDaAAAACgEAAA8AAAAAAAAAAQAgAAAA&#10;IgAAAGRycy9kb3ducmV2LnhtbFBLAQIUABQAAAAIAIdO4kD4UQ+60AEAAI8DAAAOAAAAAAAAAAEA&#10;IAAAACkBAABkcnMvZTJvRG9jLnhtbFBLBQYAAAAABgAGAFkBAABrBQAAAAA=&#10;">
                <v:fill on="f" focussize="0,0"/>
                <v:stroke on="f"/>
                <v:imagedata o:title=""/>
                <o:lock v:ext="edit" aspectratio="f"/>
                <v:textbox>
                  <w:txbxContent>
                    <w:p w14:paraId="2DDDCBB9">
                      <w:pPr>
                        <w:rPr>
                          <w:rFonts w:hint="eastAsia" w:ascii="宋体" w:hAnsi="宋体" w:cs="宋体"/>
                          <w:b/>
                          <w:kern w:val="0"/>
                          <w:sz w:val="28"/>
                          <w:szCs w:val="28"/>
                        </w:rPr>
                      </w:pPr>
                      <w:r>
                        <w:rPr>
                          <w:rFonts w:hint="eastAsia" w:ascii="宋体" w:hAnsi="宋体" w:cs="宋体"/>
                          <w:b/>
                          <w:kern w:val="0"/>
                          <w:sz w:val="28"/>
                          <w:szCs w:val="28"/>
                        </w:rPr>
                        <w:t>SY2026-006-GC-XJ</w:t>
                      </w:r>
                    </w:p>
                  </w:txbxContent>
                </v:textbox>
              </v:shape>
            </w:pict>
          </mc:Fallback>
        </mc:AlternateContent>
      </w:r>
      <w:r>
        <w:rPr>
          <w:rFonts w:ascii="宋体" w:hAnsi="宋体" w:cs="宋体"/>
        </w:rPr>
        <mc:AlternateContent>
          <mc:Choice Requires="wps">
            <w:drawing>
              <wp:anchor distT="0" distB="0" distL="114300" distR="114300" simplePos="0" relativeHeight="251659264" behindDoc="0" locked="0" layoutInCell="1" allowOverlap="1">
                <wp:simplePos x="0" y="0"/>
                <wp:positionH relativeFrom="column">
                  <wp:posOffset>1460500</wp:posOffset>
                </wp:positionH>
                <wp:positionV relativeFrom="paragraph">
                  <wp:posOffset>2630170</wp:posOffset>
                </wp:positionV>
                <wp:extent cx="2423795" cy="401955"/>
                <wp:effectExtent l="0" t="0" r="0" b="0"/>
                <wp:wrapNone/>
                <wp:docPr id="6" name="文本框 6"/>
                <wp:cNvGraphicFramePr/>
                <a:graphic xmlns:a="http://schemas.openxmlformats.org/drawingml/2006/main">
                  <a:graphicData uri="http://schemas.microsoft.com/office/word/2010/wordprocessingShape">
                    <wps:wsp>
                      <wps:cNvSpPr txBox="1"/>
                      <wps:spPr>
                        <a:xfrm>
                          <a:off x="0" y="0"/>
                          <a:ext cx="2423795" cy="401955"/>
                        </a:xfrm>
                        <a:prstGeom prst="rect">
                          <a:avLst/>
                        </a:prstGeom>
                        <a:noFill/>
                        <a:ln w="6350">
                          <a:noFill/>
                        </a:ln>
                        <a:effectLst/>
                      </wps:spPr>
                      <wps:txbx>
                        <w:txbxContent>
                          <w:p w14:paraId="2B91A846">
                            <w:pPr>
                              <w:rPr>
                                <w:rFonts w:ascii="黑体" w:hAnsi="黑体" w:eastAsia="黑体" w:cs="黑体"/>
                                <w:sz w:val="32"/>
                                <w:szCs w:val="32"/>
                              </w:rPr>
                            </w:pPr>
                            <w:r>
                              <w:rPr>
                                <w:rFonts w:hint="eastAsia" w:ascii="黑体" w:hAnsi="黑体" w:eastAsia="黑体" w:cs="黑体"/>
                                <w:sz w:val="32"/>
                                <w:szCs w:val="32"/>
                              </w:rPr>
                              <w:t>202</w:t>
                            </w:r>
                            <w:r>
                              <w:rPr>
                                <w:rFonts w:hint="eastAsia" w:ascii="黑体" w:hAnsi="黑体" w:eastAsia="黑体" w:cs="黑体"/>
                                <w:sz w:val="32"/>
                                <w:szCs w:val="32"/>
                                <w:lang w:val="en-US" w:eastAsia="zh-CN"/>
                              </w:rPr>
                              <w:t>6</w:t>
                            </w:r>
                            <w:r>
                              <w:rPr>
                                <w:rFonts w:hint="eastAsia" w:ascii="黑体" w:hAnsi="黑体" w:eastAsia="黑体" w:cs="黑体"/>
                                <w:sz w:val="32"/>
                                <w:szCs w:val="32"/>
                              </w:rPr>
                              <w:t>年</w:t>
                            </w:r>
                            <w:r>
                              <w:rPr>
                                <w:rFonts w:hint="eastAsia" w:ascii="黑体" w:hAnsi="黑体" w:eastAsia="黑体" w:cs="黑体"/>
                                <w:sz w:val="32"/>
                                <w:szCs w:val="32"/>
                                <w:lang w:val="en-US" w:eastAsia="zh-CN"/>
                              </w:rPr>
                              <w:t>4</w:t>
                            </w:r>
                            <w:r>
                              <w:rPr>
                                <w:rFonts w:hint="eastAsia" w:ascii="黑体" w:hAnsi="黑体" w:eastAsia="黑体" w:cs="黑体"/>
                                <w:sz w:val="32"/>
                                <w:szCs w:val="32"/>
                              </w:rPr>
                              <w:t>月</w:t>
                            </w:r>
                            <w:r>
                              <w:rPr>
                                <w:rFonts w:hint="eastAsia" w:ascii="黑体" w:hAnsi="黑体" w:eastAsia="黑体" w:cs="黑体"/>
                                <w:sz w:val="32"/>
                                <w:szCs w:val="32"/>
                                <w:lang w:val="en-US" w:eastAsia="zh-CN"/>
                              </w:rPr>
                              <w:t>17</w:t>
                            </w:r>
                            <w:r>
                              <w:rPr>
                                <w:rFonts w:hint="eastAsia" w:ascii="黑体" w:hAnsi="黑体" w:eastAsia="黑体" w:cs="黑体"/>
                                <w:sz w:val="32"/>
                                <w:szCs w:val="32"/>
                              </w:rPr>
                              <w:t>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5pt;margin-top:207.1pt;height:31.65pt;width:190.85pt;z-index:251659264;mso-width-relative:page;mso-height-relative:page;" filled="f" stroked="f" coordsize="21600,21600" o:gfxdata="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PQHKotwAAAALAQAADwAAAAAAAAABACAA&#10;AAAiAAAAZHJzL2Rvd25yZXYueG1sUEsBAhQAFAAAAAgAh07iQP/KK69CAgAAdAQAAA4AAAAAAAAA&#10;AQAgAAAAKwEAAGRycy9lMm9Eb2MueG1sUEsFBgAAAAAGAAYAWQEAAN8FAAAAAA==&#10;">
                <v:fill on="f" focussize="0,0"/>
                <v:stroke on="f" weight="0.5pt"/>
                <v:imagedata o:title=""/>
                <o:lock v:ext="edit" aspectratio="f"/>
                <v:textbox>
                  <w:txbxContent>
                    <w:p w14:paraId="2B91A846">
                      <w:pPr>
                        <w:rPr>
                          <w:rFonts w:ascii="黑体" w:hAnsi="黑体" w:eastAsia="黑体" w:cs="黑体"/>
                          <w:sz w:val="32"/>
                          <w:szCs w:val="32"/>
                        </w:rPr>
                      </w:pPr>
                      <w:r>
                        <w:rPr>
                          <w:rFonts w:hint="eastAsia" w:ascii="黑体" w:hAnsi="黑体" w:eastAsia="黑体" w:cs="黑体"/>
                          <w:sz w:val="32"/>
                          <w:szCs w:val="32"/>
                        </w:rPr>
                        <w:t>202</w:t>
                      </w:r>
                      <w:r>
                        <w:rPr>
                          <w:rFonts w:hint="eastAsia" w:ascii="黑体" w:hAnsi="黑体" w:eastAsia="黑体" w:cs="黑体"/>
                          <w:sz w:val="32"/>
                          <w:szCs w:val="32"/>
                          <w:lang w:val="en-US" w:eastAsia="zh-CN"/>
                        </w:rPr>
                        <w:t>6</w:t>
                      </w:r>
                      <w:r>
                        <w:rPr>
                          <w:rFonts w:hint="eastAsia" w:ascii="黑体" w:hAnsi="黑体" w:eastAsia="黑体" w:cs="黑体"/>
                          <w:sz w:val="32"/>
                          <w:szCs w:val="32"/>
                        </w:rPr>
                        <w:t>年</w:t>
                      </w:r>
                      <w:r>
                        <w:rPr>
                          <w:rFonts w:hint="eastAsia" w:ascii="黑体" w:hAnsi="黑体" w:eastAsia="黑体" w:cs="黑体"/>
                          <w:sz w:val="32"/>
                          <w:szCs w:val="32"/>
                          <w:lang w:val="en-US" w:eastAsia="zh-CN"/>
                        </w:rPr>
                        <w:t>4</w:t>
                      </w:r>
                      <w:r>
                        <w:rPr>
                          <w:rFonts w:hint="eastAsia" w:ascii="黑体" w:hAnsi="黑体" w:eastAsia="黑体" w:cs="黑体"/>
                          <w:sz w:val="32"/>
                          <w:szCs w:val="32"/>
                        </w:rPr>
                        <w:t>月</w:t>
                      </w:r>
                      <w:r>
                        <w:rPr>
                          <w:rFonts w:hint="eastAsia" w:ascii="黑体" w:hAnsi="黑体" w:eastAsia="黑体" w:cs="黑体"/>
                          <w:sz w:val="32"/>
                          <w:szCs w:val="32"/>
                          <w:lang w:val="en-US" w:eastAsia="zh-CN"/>
                        </w:rPr>
                        <w:t>17</w:t>
                      </w:r>
                      <w:r>
                        <w:rPr>
                          <w:rFonts w:hint="eastAsia" w:ascii="黑体" w:hAnsi="黑体" w:eastAsia="黑体" w:cs="黑体"/>
                          <w:sz w:val="32"/>
                          <w:szCs w:val="32"/>
                        </w:rPr>
                        <w:t>日</w:t>
                      </w:r>
                    </w:p>
                  </w:txbxContent>
                </v:textbox>
              </v:shape>
            </w:pict>
          </mc:Fallback>
        </mc:AlternateContent>
      </w:r>
      <w:r>
        <w:rPr>
          <w:rFonts w:ascii="宋体" w:hAnsi="宋体" w:cs="宋体"/>
        </w:rPr>
        <mc:AlternateContent>
          <mc:Choice Requires="wps">
            <w:drawing>
              <wp:anchor distT="0" distB="0" distL="114300" distR="114300" simplePos="0" relativeHeight="251671552" behindDoc="0" locked="0" layoutInCell="1" allowOverlap="1">
                <wp:simplePos x="0" y="0"/>
                <wp:positionH relativeFrom="column">
                  <wp:posOffset>1441450</wp:posOffset>
                </wp:positionH>
                <wp:positionV relativeFrom="paragraph">
                  <wp:posOffset>2265045</wp:posOffset>
                </wp:positionV>
                <wp:extent cx="3400425" cy="342900"/>
                <wp:effectExtent l="0" t="0" r="0" b="0"/>
                <wp:wrapNone/>
                <wp:docPr id="67" name="文本框 67"/>
                <wp:cNvGraphicFramePr/>
                <a:graphic xmlns:a="http://schemas.openxmlformats.org/drawingml/2006/main">
                  <a:graphicData uri="http://schemas.microsoft.com/office/word/2010/wordprocessingShape">
                    <wps:wsp>
                      <wps:cNvSpPr txBox="1"/>
                      <wps:spPr>
                        <a:xfrm flipH="1">
                          <a:off x="0" y="0"/>
                          <a:ext cx="3400425" cy="342900"/>
                        </a:xfrm>
                        <a:prstGeom prst="rect">
                          <a:avLst/>
                        </a:prstGeom>
                        <a:noFill/>
                        <a:ln>
                          <a:noFill/>
                        </a:ln>
                        <a:effectLst/>
                      </wps:spPr>
                      <wps:txbx>
                        <w:txbxContent>
                          <w:p w14:paraId="7DA41211">
                            <w:pPr>
                              <w:pStyle w:val="22"/>
                              <w:ind w:left="160" w:hanging="160" w:hangingChars="50"/>
                              <w:rPr>
                                <w:rFonts w:ascii="黑体" w:hAnsi="黑体" w:eastAsia="黑体" w:cs="黑体"/>
                                <w:sz w:val="32"/>
                                <w:szCs w:val="32"/>
                              </w:rPr>
                            </w:pPr>
                            <w:r>
                              <w:rPr>
                                <w:rFonts w:hint="eastAsia" w:ascii="黑体" w:hAnsi="黑体" w:eastAsia="黑体" w:cs="黑体"/>
                                <w:kern w:val="24"/>
                                <w:sz w:val="32"/>
                                <w:szCs w:val="32"/>
                              </w:rPr>
                              <w:t>盐城市携手阳光集中采购代理公司wcwcng 有限公司</w:t>
                            </w:r>
                          </w:p>
                        </w:txbxContent>
                      </wps:txbx>
                      <wps:bodyPr wrap="square" rtlCol="0">
                        <a:noAutofit/>
                      </wps:bodyPr>
                    </wps:wsp>
                  </a:graphicData>
                </a:graphic>
              </wp:anchor>
            </w:drawing>
          </mc:Choice>
          <mc:Fallback>
            <w:pict>
              <v:shape id="_x0000_s1026" o:spid="_x0000_s1026" o:spt="202" type="#_x0000_t202" style="position:absolute;left:0pt;flip:x;margin-left:113.5pt;margin-top:178.35pt;height:27pt;width:267.75pt;z-index:251671552;mso-width-relative:page;mso-height-relative:page;" filled="f" stroked="f" coordsize="21600,21600" o:gfxdata="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vPLqR2wAAAAsBAAAPAAAAAAAAAAEAIAAA&#10;ACIAAABkcnMvZG93bnJldi54bWxQSwECFAAUAAAACACHTuJAS2SkEdABAACPAwAADgAAAAAAAAAB&#10;ACAAAAAqAQAAZHJzL2Uyb0RvYy54bWxQSwUGAAAAAAYABgBZAQAAbAUAAAAA&#10;">
                <v:fill on="f" focussize="0,0"/>
                <v:stroke on="f"/>
                <v:imagedata o:title=""/>
                <o:lock v:ext="edit" aspectratio="f"/>
                <v:textbox>
                  <w:txbxContent>
                    <w:p w14:paraId="7DA41211">
                      <w:pPr>
                        <w:pStyle w:val="22"/>
                        <w:ind w:left="160" w:hanging="160" w:hangingChars="50"/>
                        <w:rPr>
                          <w:rFonts w:ascii="黑体" w:hAnsi="黑体" w:eastAsia="黑体" w:cs="黑体"/>
                          <w:sz w:val="32"/>
                          <w:szCs w:val="32"/>
                        </w:rPr>
                      </w:pPr>
                      <w:r>
                        <w:rPr>
                          <w:rFonts w:hint="eastAsia" w:ascii="黑体" w:hAnsi="黑体" w:eastAsia="黑体" w:cs="黑体"/>
                          <w:kern w:val="24"/>
                          <w:sz w:val="32"/>
                          <w:szCs w:val="32"/>
                        </w:rPr>
                        <w:t>盐城市携手阳光集中采购代理公司wcwcng 有限公司</w:t>
                      </w:r>
                    </w:p>
                  </w:txbxContent>
                </v:textbox>
              </v:shape>
            </w:pict>
          </mc:Fallback>
        </mc:AlternateContent>
      </w:r>
      <w:r>
        <w:rPr>
          <w:rFonts w:ascii="宋体" w:hAnsi="宋体" w:cs="宋体"/>
        </w:rPr>
        <mc:AlternateContent>
          <mc:Choice Requires="wps">
            <w:drawing>
              <wp:anchor distT="0" distB="0" distL="114300" distR="114300" simplePos="0" relativeHeight="251670528" behindDoc="0" locked="0" layoutInCell="1" allowOverlap="1">
                <wp:simplePos x="0" y="0"/>
                <wp:positionH relativeFrom="column">
                  <wp:posOffset>1470025</wp:posOffset>
                </wp:positionH>
                <wp:positionV relativeFrom="paragraph">
                  <wp:posOffset>1840230</wp:posOffset>
                </wp:positionV>
                <wp:extent cx="2149475" cy="362585"/>
                <wp:effectExtent l="0" t="0" r="0" b="0"/>
                <wp:wrapNone/>
                <wp:docPr id="66" name="文本框 66"/>
                <wp:cNvGraphicFramePr/>
                <a:graphic xmlns:a="http://schemas.openxmlformats.org/drawingml/2006/main">
                  <a:graphicData uri="http://schemas.microsoft.com/office/word/2010/wordprocessingShape">
                    <wps:wsp>
                      <wps:cNvSpPr txBox="1"/>
                      <wps:spPr>
                        <a:xfrm flipH="1">
                          <a:off x="0" y="0"/>
                          <a:ext cx="2149475" cy="362585"/>
                        </a:xfrm>
                        <a:prstGeom prst="rect">
                          <a:avLst/>
                        </a:prstGeom>
                        <a:noFill/>
                        <a:ln>
                          <a:noFill/>
                        </a:ln>
                        <a:effectLst/>
                      </wps:spPr>
                      <wps:txbx>
                        <w:txbxContent>
                          <w:p w14:paraId="6B83D1A1">
                            <w:pPr>
                              <w:rPr>
                                <w:rFonts w:ascii="黑体" w:hAnsi="黑体" w:eastAsia="黑体" w:cs="黑体"/>
                                <w:kern w:val="24"/>
                                <w:sz w:val="32"/>
                                <w:szCs w:val="32"/>
                              </w:rPr>
                            </w:pPr>
                            <w:r>
                              <w:rPr>
                                <w:rFonts w:hint="eastAsia" w:ascii="黑体" w:hAnsi="黑体" w:eastAsia="黑体" w:cs="黑体"/>
                                <w:kern w:val="24"/>
                                <w:sz w:val="32"/>
                                <w:szCs w:val="32"/>
                              </w:rPr>
                              <w:t>江苏医药职业学院</w:t>
                            </w:r>
                          </w:p>
                        </w:txbxContent>
                      </wps:txbx>
                      <wps:bodyPr wrap="square" rtlCol="0">
                        <a:noAutofit/>
                      </wps:bodyPr>
                    </wps:wsp>
                  </a:graphicData>
                </a:graphic>
              </wp:anchor>
            </w:drawing>
          </mc:Choice>
          <mc:Fallback>
            <w:pict>
              <v:shape id="_x0000_s1026" o:spid="_x0000_s1026" o:spt="202" type="#_x0000_t202" style="position:absolute;left:0pt;flip:x;margin-left:115.75pt;margin-top:144.9pt;height:28.55pt;width:169.25pt;z-index:251670528;mso-width-relative:page;mso-height-relative:page;" filled="f" stroked="f" coordsize="21600,21600" o:gfxdata="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SAehPbAAAACwEAAA8AAAAAAAAAAQAgAAAA&#10;IgAAAGRycy9kb3ducmV2LnhtbFBLAQIUABQAAAAIAIdO4kAgR442zwEAAI8DAAAOAAAAAAAAAAEA&#10;IAAAACoBAABkcnMvZTJvRG9jLnhtbFBLBQYAAAAABgAGAFkBAABrBQAAAAA=&#10;">
                <v:fill on="f" focussize="0,0"/>
                <v:stroke on="f"/>
                <v:imagedata o:title=""/>
                <o:lock v:ext="edit" aspectratio="f"/>
                <v:textbox>
                  <w:txbxContent>
                    <w:p w14:paraId="6B83D1A1">
                      <w:pPr>
                        <w:rPr>
                          <w:rFonts w:ascii="黑体" w:hAnsi="黑体" w:eastAsia="黑体" w:cs="黑体"/>
                          <w:kern w:val="24"/>
                          <w:sz w:val="32"/>
                          <w:szCs w:val="32"/>
                        </w:rPr>
                      </w:pPr>
                      <w:r>
                        <w:rPr>
                          <w:rFonts w:hint="eastAsia" w:ascii="黑体" w:hAnsi="黑体" w:eastAsia="黑体" w:cs="黑体"/>
                          <w:kern w:val="24"/>
                          <w:sz w:val="32"/>
                          <w:szCs w:val="32"/>
                        </w:rPr>
                        <w:t>江苏医药职业学院</w:t>
                      </w:r>
                    </w:p>
                  </w:txbxContent>
                </v:textbox>
              </v:shape>
            </w:pict>
          </mc:Fallback>
        </mc:AlternateContent>
      </w:r>
      <w:r>
        <w:rPr>
          <w:rFonts w:ascii="宋体" w:hAnsi="宋体" w:cs="宋体"/>
        </w:rPr>
        <mc:AlternateContent>
          <mc:Choice Requires="wps">
            <w:drawing>
              <wp:anchor distT="0" distB="0" distL="114300" distR="114300" simplePos="0" relativeHeight="251664384" behindDoc="0" locked="0" layoutInCell="1" allowOverlap="1">
                <wp:simplePos x="0" y="0"/>
                <wp:positionH relativeFrom="column">
                  <wp:posOffset>796925</wp:posOffset>
                </wp:positionH>
                <wp:positionV relativeFrom="paragraph">
                  <wp:posOffset>2616835</wp:posOffset>
                </wp:positionV>
                <wp:extent cx="923925" cy="454025"/>
                <wp:effectExtent l="0" t="0" r="0" b="3175"/>
                <wp:wrapNone/>
                <wp:docPr id="21" name="文本框 21"/>
                <wp:cNvGraphicFramePr/>
                <a:graphic xmlns:a="http://schemas.openxmlformats.org/drawingml/2006/main">
                  <a:graphicData uri="http://schemas.microsoft.com/office/word/2010/wordprocessingShape">
                    <wps:wsp>
                      <wps:cNvSpPr txBox="1"/>
                      <wps:spPr>
                        <a:xfrm>
                          <a:off x="0" y="0"/>
                          <a:ext cx="923925" cy="454025"/>
                        </a:xfrm>
                        <a:prstGeom prst="rect">
                          <a:avLst/>
                        </a:prstGeom>
                        <a:noFill/>
                        <a:ln>
                          <a:noFill/>
                        </a:ln>
                        <a:effectLst/>
                      </wps:spPr>
                      <wps:txbx>
                        <w:txbxContent>
                          <w:p w14:paraId="386A3187">
                            <w:pPr>
                              <w:pStyle w:val="22"/>
                              <w:rPr>
                                <w:rFonts w:ascii="方正大黑简体" w:hAnsi="方正大黑简体" w:eastAsia="方正大黑简体" w:cs="方正大黑简体"/>
                                <w:b/>
                                <w:bCs/>
                                <w:color w:val="DA251C"/>
                                <w:sz w:val="32"/>
                                <w:szCs w:val="32"/>
                              </w:rPr>
                            </w:pPr>
                            <w:r>
                              <w:rPr>
                                <w:rFonts w:hint="eastAsia" w:ascii="方正大黑简体" w:hAnsi="方正大黑简体" w:eastAsia="方正大黑简体" w:cs="方正大黑简体"/>
                                <w:b/>
                                <w:bCs/>
                                <w:color w:val="DA251C"/>
                                <w:kern w:val="24"/>
                                <w:sz w:val="32"/>
                                <w:szCs w:val="32"/>
                              </w:rPr>
                              <w:t>日期</w:t>
                            </w:r>
                          </w:p>
                        </w:txbxContent>
                      </wps:txbx>
                      <wps:bodyPr wrap="square" rtlCol="0">
                        <a:noAutofit/>
                      </wps:bodyPr>
                    </wps:wsp>
                  </a:graphicData>
                </a:graphic>
              </wp:anchor>
            </w:drawing>
          </mc:Choice>
          <mc:Fallback>
            <w:pict>
              <v:shape id="_x0000_s1026" o:spid="_x0000_s1026" o:spt="202" type="#_x0000_t202" style="position:absolute;left:0pt;margin-left:62.75pt;margin-top:206.05pt;height:35.75pt;width:72.75pt;z-index:251664384;mso-width-relative:page;mso-height-relative:page;" filled="f" stroked="f" coordsize="21600,21600" o:gfxdata="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Dia60dcAAAALAQAADwAAAAAAAAABACAAAAAiAAAAZHJzL2Rvd25y&#10;ZXYueG1sUEsBAhQAFAAAAAgAh07iQOZCkPTGAQAAhAMAAA4AAAAAAAAAAQAgAAAAJgEAAGRycy9l&#10;Mm9Eb2MueG1sUEsFBgAAAAAGAAYAWQEAAF4FAAAAAA==&#10;">
                <v:fill on="f" focussize="0,0"/>
                <v:stroke on="f"/>
                <v:imagedata o:title=""/>
                <o:lock v:ext="edit" aspectratio="f"/>
                <v:textbox>
                  <w:txbxContent>
                    <w:p w14:paraId="386A3187">
                      <w:pPr>
                        <w:pStyle w:val="22"/>
                        <w:rPr>
                          <w:rFonts w:ascii="方正大黑简体" w:hAnsi="方正大黑简体" w:eastAsia="方正大黑简体" w:cs="方正大黑简体"/>
                          <w:b/>
                          <w:bCs/>
                          <w:color w:val="DA251C"/>
                          <w:sz w:val="32"/>
                          <w:szCs w:val="32"/>
                        </w:rPr>
                      </w:pPr>
                      <w:r>
                        <w:rPr>
                          <w:rFonts w:hint="eastAsia" w:ascii="方正大黑简体" w:hAnsi="方正大黑简体" w:eastAsia="方正大黑简体" w:cs="方正大黑简体"/>
                          <w:b/>
                          <w:bCs/>
                          <w:color w:val="DA251C"/>
                          <w:kern w:val="24"/>
                          <w:sz w:val="32"/>
                          <w:szCs w:val="32"/>
                        </w:rPr>
                        <w:t>日期</w:t>
                      </w:r>
                    </w:p>
                  </w:txbxContent>
                </v:textbox>
              </v:shape>
            </w:pict>
          </mc:Fallback>
        </mc:AlternateContent>
      </w:r>
      <w:r>
        <w:rPr>
          <w:rFonts w:ascii="宋体" w:hAnsi="宋体" w:cs="宋体"/>
        </w:rPr>
        <mc:AlternateContent>
          <mc:Choice Requires="wps">
            <w:drawing>
              <wp:anchor distT="0" distB="0" distL="114300" distR="114300" simplePos="0" relativeHeight="251663360" behindDoc="0" locked="0" layoutInCell="1" allowOverlap="1">
                <wp:simplePos x="0" y="0"/>
                <wp:positionH relativeFrom="column">
                  <wp:posOffset>-29845</wp:posOffset>
                </wp:positionH>
                <wp:positionV relativeFrom="paragraph">
                  <wp:posOffset>2199005</wp:posOffset>
                </wp:positionV>
                <wp:extent cx="1452880" cy="344805"/>
                <wp:effectExtent l="0" t="0" r="0" b="635"/>
                <wp:wrapNone/>
                <wp:docPr id="19" name="文本框 19"/>
                <wp:cNvGraphicFramePr/>
                <a:graphic xmlns:a="http://schemas.openxmlformats.org/drawingml/2006/main">
                  <a:graphicData uri="http://schemas.microsoft.com/office/word/2010/wordprocessingShape">
                    <wps:wsp>
                      <wps:cNvSpPr txBox="1"/>
                      <wps:spPr>
                        <a:xfrm flipH="1">
                          <a:off x="0" y="0"/>
                          <a:ext cx="1452880" cy="344805"/>
                        </a:xfrm>
                        <a:prstGeom prst="rect">
                          <a:avLst/>
                        </a:prstGeom>
                        <a:noFill/>
                        <a:ln>
                          <a:noFill/>
                        </a:ln>
                        <a:effectLst/>
                      </wps:spPr>
                      <wps:txbx>
                        <w:txbxContent>
                          <w:p w14:paraId="677E1A25">
                            <w:pPr>
                              <w:pStyle w:val="22"/>
                              <w:rPr>
                                <w:rFonts w:ascii="方正大黑简体" w:hAnsi="方正大黑简体" w:eastAsia="方正大黑简体" w:cs="方正大黑简体"/>
                                <w:b/>
                                <w:bCs/>
                                <w:color w:val="DA251C"/>
                              </w:rPr>
                            </w:pPr>
                            <w:r>
                              <w:rPr>
                                <w:rFonts w:hint="eastAsia" w:ascii="方正大黑简体" w:hAnsi="方正大黑简体" w:eastAsia="方正大黑简体" w:cs="方正大黑简体"/>
                                <w:b/>
                                <w:bCs/>
                                <w:color w:val="DA251C"/>
                                <w:kern w:val="24"/>
                                <w:sz w:val="32"/>
                                <w:szCs w:val="32"/>
                              </w:rPr>
                              <w:t>采购代理机构</w:t>
                            </w:r>
                          </w:p>
                        </w:txbxContent>
                      </wps:txbx>
                      <wps:bodyPr wrap="square" rtlCol="0">
                        <a:spAutoFit/>
                      </wps:bodyPr>
                    </wps:wsp>
                  </a:graphicData>
                </a:graphic>
              </wp:anchor>
            </w:drawing>
          </mc:Choice>
          <mc:Fallback>
            <w:pict>
              <v:shape id="_x0000_s1026" o:spid="_x0000_s1026" o:spt="202" type="#_x0000_t202" style="position:absolute;left:0pt;flip:x;margin-left:-2.35pt;margin-top:173.15pt;height:27.15pt;width:114.4pt;z-index:251663360;mso-width-relative:page;mso-height-relative:page;" filled="f" stroked="f" coordsize="21600,21600" o:gfxdata="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frExMNsAAAAKAQAADwAAAAAAAAABACAAAAAi&#10;AAAAZHJzL2Rvd25yZXYueG1sUEsBAhQAFAAAAAgAh07iQNRmTnzOAQAAjwMAAA4AAAAAAAAAAQAg&#10;AAAAKgEAAGRycy9lMm9Eb2MueG1sUEsFBgAAAAAGAAYAWQEAAGoFAAAAAA==&#10;">
                <v:fill on="f" focussize="0,0"/>
                <v:stroke on="f"/>
                <v:imagedata o:title=""/>
                <o:lock v:ext="edit" aspectratio="f"/>
                <v:textbox style="mso-fit-shape-to-text:t;">
                  <w:txbxContent>
                    <w:p w14:paraId="677E1A25">
                      <w:pPr>
                        <w:pStyle w:val="22"/>
                        <w:rPr>
                          <w:rFonts w:ascii="方正大黑简体" w:hAnsi="方正大黑简体" w:eastAsia="方正大黑简体" w:cs="方正大黑简体"/>
                          <w:b/>
                          <w:bCs/>
                          <w:color w:val="DA251C"/>
                        </w:rPr>
                      </w:pPr>
                      <w:r>
                        <w:rPr>
                          <w:rFonts w:hint="eastAsia" w:ascii="方正大黑简体" w:hAnsi="方正大黑简体" w:eastAsia="方正大黑简体" w:cs="方正大黑简体"/>
                          <w:b/>
                          <w:bCs/>
                          <w:color w:val="DA251C"/>
                          <w:kern w:val="24"/>
                          <w:sz w:val="32"/>
                          <w:szCs w:val="32"/>
                        </w:rPr>
                        <w:t>采购代理机构</w:t>
                      </w:r>
                    </w:p>
                  </w:txbxContent>
                </v:textbox>
              </v:shape>
            </w:pict>
          </mc:Fallback>
        </mc:AlternateContent>
      </w:r>
      <w:r>
        <w:rPr>
          <w:rFonts w:ascii="宋体" w:hAnsi="宋体" w:cs="宋体"/>
        </w:rPr>
        <mc:AlternateContent>
          <mc:Choice Requires="wps">
            <w:drawing>
              <wp:anchor distT="0" distB="0" distL="114300" distR="114300" simplePos="0" relativeHeight="251662336" behindDoc="0" locked="0" layoutInCell="1" allowOverlap="1">
                <wp:simplePos x="0" y="0"/>
                <wp:positionH relativeFrom="column">
                  <wp:posOffset>595630</wp:posOffset>
                </wp:positionH>
                <wp:positionV relativeFrom="paragraph">
                  <wp:posOffset>1837055</wp:posOffset>
                </wp:positionV>
                <wp:extent cx="1082675" cy="344805"/>
                <wp:effectExtent l="0" t="0" r="0" b="635"/>
                <wp:wrapNone/>
                <wp:docPr id="17" name="文本框 17"/>
                <wp:cNvGraphicFramePr/>
                <a:graphic xmlns:a="http://schemas.openxmlformats.org/drawingml/2006/main">
                  <a:graphicData uri="http://schemas.microsoft.com/office/word/2010/wordprocessingShape">
                    <wps:wsp>
                      <wps:cNvSpPr txBox="1"/>
                      <wps:spPr>
                        <a:xfrm flipH="1">
                          <a:off x="0" y="0"/>
                          <a:ext cx="1082675" cy="344805"/>
                        </a:xfrm>
                        <a:prstGeom prst="rect">
                          <a:avLst/>
                        </a:prstGeom>
                        <a:noFill/>
                        <a:ln>
                          <a:noFill/>
                        </a:ln>
                        <a:effectLst/>
                      </wps:spPr>
                      <wps:txbx>
                        <w:txbxContent>
                          <w:p w14:paraId="275D965E">
                            <w:pPr>
                              <w:pStyle w:val="22"/>
                              <w:rPr>
                                <w:rFonts w:ascii="方正大黑简体" w:hAnsi="方正大黑简体" w:eastAsia="方正大黑简体" w:cs="方正大黑简体"/>
                                <w:b/>
                                <w:bCs/>
                                <w:color w:val="DA251C"/>
                              </w:rPr>
                            </w:pPr>
                            <w:r>
                              <w:rPr>
                                <w:rFonts w:hint="eastAsia" w:ascii="方正大黑简体" w:hAnsi="方正大黑简体" w:eastAsia="方正大黑简体" w:cs="方正大黑简体"/>
                                <w:b/>
                                <w:bCs/>
                                <w:color w:val="DA251C"/>
                                <w:kern w:val="24"/>
                                <w:sz w:val="32"/>
                                <w:szCs w:val="32"/>
                              </w:rPr>
                              <w:t>采购人</w:t>
                            </w:r>
                          </w:p>
                        </w:txbxContent>
                      </wps:txbx>
                      <wps:bodyPr wrap="square" rtlCol="0">
                        <a:spAutoFit/>
                      </wps:bodyPr>
                    </wps:wsp>
                  </a:graphicData>
                </a:graphic>
              </wp:anchor>
            </w:drawing>
          </mc:Choice>
          <mc:Fallback>
            <w:pict>
              <v:shape id="_x0000_s1026" o:spid="_x0000_s1026" o:spt="202" type="#_x0000_t202" style="position:absolute;left:0pt;flip:x;margin-left:46.9pt;margin-top:144.65pt;height:27.15pt;width:85.25pt;z-index:251662336;mso-width-relative:page;mso-height-relative:page;" filled="f" stroked="f" coordsize="21600,21600" o:gfxdata="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sCiVe3AAAAAoBAAAPAAAAAAAAAAEAIAAA&#10;ACIAAABkcnMvZG93bnJldi54bWxQSwECFAAUAAAACACHTuJAfbrJss8BAACPAwAADgAAAAAAAAAB&#10;ACAAAAArAQAAZHJzL2Uyb0RvYy54bWxQSwUGAAAAAAYABgBZAQAAbAUAAAAA&#10;">
                <v:fill on="f" focussize="0,0"/>
                <v:stroke on="f"/>
                <v:imagedata o:title=""/>
                <o:lock v:ext="edit" aspectratio="f"/>
                <v:textbox style="mso-fit-shape-to-text:t;">
                  <w:txbxContent>
                    <w:p w14:paraId="275D965E">
                      <w:pPr>
                        <w:pStyle w:val="22"/>
                        <w:rPr>
                          <w:rFonts w:ascii="方正大黑简体" w:hAnsi="方正大黑简体" w:eastAsia="方正大黑简体" w:cs="方正大黑简体"/>
                          <w:b/>
                          <w:bCs/>
                          <w:color w:val="DA251C"/>
                        </w:rPr>
                      </w:pPr>
                      <w:r>
                        <w:rPr>
                          <w:rFonts w:hint="eastAsia" w:ascii="方正大黑简体" w:hAnsi="方正大黑简体" w:eastAsia="方正大黑简体" w:cs="方正大黑简体"/>
                          <w:b/>
                          <w:bCs/>
                          <w:color w:val="DA251C"/>
                          <w:kern w:val="24"/>
                          <w:sz w:val="32"/>
                          <w:szCs w:val="32"/>
                        </w:rPr>
                        <w:t>采购人</w:t>
                      </w:r>
                    </w:p>
                  </w:txbxContent>
                </v:textbox>
              </v:shape>
            </w:pict>
          </mc:Fallback>
        </mc:AlternateContent>
      </w:r>
      <w:r>
        <w:rPr>
          <w:rFonts w:ascii="宋体" w:hAnsi="宋体" w:cs="宋体"/>
        </w:rPr>
        <mc:AlternateContent>
          <mc:Choice Requires="wps">
            <w:drawing>
              <wp:anchor distT="0" distB="0" distL="114300" distR="114300" simplePos="0" relativeHeight="251661312" behindDoc="0" locked="0" layoutInCell="1" allowOverlap="1">
                <wp:simplePos x="0" y="0"/>
                <wp:positionH relativeFrom="column">
                  <wp:posOffset>128270</wp:posOffset>
                </wp:positionH>
                <wp:positionV relativeFrom="paragraph">
                  <wp:posOffset>588010</wp:posOffset>
                </wp:positionV>
                <wp:extent cx="1438910" cy="396240"/>
                <wp:effectExtent l="0" t="0" r="0" b="3810"/>
                <wp:wrapNone/>
                <wp:docPr id="15" name="文本框 15"/>
                <wp:cNvGraphicFramePr/>
                <a:graphic xmlns:a="http://schemas.openxmlformats.org/drawingml/2006/main">
                  <a:graphicData uri="http://schemas.microsoft.com/office/word/2010/wordprocessingShape">
                    <wps:wsp>
                      <wps:cNvSpPr txBox="1"/>
                      <wps:spPr>
                        <a:xfrm flipH="1">
                          <a:off x="0" y="0"/>
                          <a:ext cx="1438910" cy="396240"/>
                        </a:xfrm>
                        <a:prstGeom prst="rect">
                          <a:avLst/>
                        </a:prstGeom>
                        <a:noFill/>
                        <a:ln>
                          <a:noFill/>
                        </a:ln>
                        <a:effectLst/>
                      </wps:spPr>
                      <wps:txbx>
                        <w:txbxContent>
                          <w:p w14:paraId="08BF546E">
                            <w:pPr>
                              <w:pStyle w:val="22"/>
                              <w:ind w:left="418" w:leftChars="199"/>
                              <w:rPr>
                                <w:rFonts w:ascii="汉仪粗黑简" w:hAnsi="汉仪粗黑简" w:eastAsia="汉仪粗黑简" w:cs="汉仪粗黑简"/>
                                <w:color w:val="DA251C"/>
                                <w:sz w:val="32"/>
                                <w:szCs w:val="32"/>
                              </w:rPr>
                            </w:pPr>
                            <w:r>
                              <w:rPr>
                                <w:rFonts w:hint="eastAsia" w:ascii="方正大黑简体" w:hAnsi="方正大黑简体" w:eastAsia="方正大黑简体" w:cs="方正大黑简体"/>
                                <w:b/>
                                <w:bCs/>
                                <w:color w:val="DA251C"/>
                                <w:kern w:val="24"/>
                                <w:sz w:val="32"/>
                                <w:szCs w:val="32"/>
                              </w:rPr>
                              <w:t>项目编号</w:t>
                            </w:r>
                          </w:p>
                        </w:txbxContent>
                      </wps:txbx>
                      <wps:bodyPr wrap="square" rtlCol="0">
                        <a:noAutofit/>
                      </wps:bodyPr>
                    </wps:wsp>
                  </a:graphicData>
                </a:graphic>
              </wp:anchor>
            </w:drawing>
          </mc:Choice>
          <mc:Fallback>
            <w:pict>
              <v:shape id="_x0000_s1026" o:spid="_x0000_s1026" o:spt="202" type="#_x0000_t202" style="position:absolute;left:0pt;flip:x;margin-left:10.1pt;margin-top:46.3pt;height:31.2pt;width:113.3pt;z-index:251661312;mso-width-relative:page;mso-height-relative:page;" filled="f" stroked="f" coordsize="21600,21600" o:gfxdata="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BM2gnHZAAAACQEAAA8AAAAAAAAAAQAgAAAAIgAA&#10;AGRycy9kb3ducmV2LnhtbFBLAQIUABQAAAAIAIdO4kANCfBpzgEAAI8DAAAOAAAAAAAAAAEAIAAA&#10;ACgBAABkcnMvZTJvRG9jLnhtbFBLBQYAAAAABgAGAFkBAABoBQAAAAA=&#10;">
                <v:fill on="f" focussize="0,0"/>
                <v:stroke on="f"/>
                <v:imagedata o:title=""/>
                <o:lock v:ext="edit" aspectratio="f"/>
                <v:textbox>
                  <w:txbxContent>
                    <w:p w14:paraId="08BF546E">
                      <w:pPr>
                        <w:pStyle w:val="22"/>
                        <w:ind w:left="418" w:leftChars="199"/>
                        <w:rPr>
                          <w:rFonts w:ascii="汉仪粗黑简" w:hAnsi="汉仪粗黑简" w:eastAsia="汉仪粗黑简" w:cs="汉仪粗黑简"/>
                          <w:color w:val="DA251C"/>
                          <w:sz w:val="32"/>
                          <w:szCs w:val="32"/>
                        </w:rPr>
                      </w:pPr>
                      <w:r>
                        <w:rPr>
                          <w:rFonts w:hint="eastAsia" w:ascii="方正大黑简体" w:hAnsi="方正大黑简体" w:eastAsia="方正大黑简体" w:cs="方正大黑简体"/>
                          <w:b/>
                          <w:bCs/>
                          <w:color w:val="DA251C"/>
                          <w:kern w:val="24"/>
                          <w:sz w:val="32"/>
                          <w:szCs w:val="32"/>
                        </w:rPr>
                        <w:t>项目编号</w:t>
                      </w:r>
                    </w:p>
                  </w:txbxContent>
                </v:textbox>
              </v:shape>
            </w:pict>
          </mc:Fallback>
        </mc:AlternateContent>
      </w:r>
      <w:r>
        <w:rPr>
          <w:rFonts w:ascii="宋体" w:hAnsi="宋体" w:cs="宋体"/>
        </w:rPr>
        <mc:AlternateContent>
          <mc:Choice Requires="wps">
            <w:drawing>
              <wp:anchor distT="0" distB="0" distL="114300" distR="114300" simplePos="0" relativeHeight="251672576" behindDoc="0" locked="0" layoutInCell="1" allowOverlap="1">
                <wp:simplePos x="0" y="0"/>
                <wp:positionH relativeFrom="column">
                  <wp:posOffset>380365</wp:posOffset>
                </wp:positionH>
                <wp:positionV relativeFrom="paragraph">
                  <wp:posOffset>1039495</wp:posOffset>
                </wp:positionV>
                <wp:extent cx="1028700" cy="40957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028700" cy="409575"/>
                        </a:xfrm>
                        <a:prstGeom prst="rect">
                          <a:avLst/>
                        </a:prstGeom>
                        <a:noFill/>
                        <a:ln w="6350">
                          <a:noFill/>
                        </a:ln>
                        <a:effectLst/>
                      </wps:spPr>
                      <wps:txbx>
                        <w:txbxContent>
                          <w:p w14:paraId="54B27F0F">
                            <w:pPr>
                              <w:rPr>
                                <w:rFonts w:ascii="方正大黑简体" w:hAnsi="方正大黑简体" w:eastAsia="方正大黑简体" w:cs="方正大黑简体"/>
                                <w:b/>
                                <w:bCs/>
                                <w:color w:val="DA251C"/>
                                <w:sz w:val="32"/>
                                <w:szCs w:val="32"/>
                              </w:rPr>
                            </w:pPr>
                            <w:r>
                              <w:rPr>
                                <w:rFonts w:hint="eastAsia" w:ascii="方正大黑简体" w:hAnsi="方正大黑简体" w:eastAsia="方正大黑简体" w:cs="方正大黑简体"/>
                                <w:b/>
                                <w:bCs/>
                                <w:color w:val="DA251C"/>
                                <w:sz w:val="32"/>
                                <w:szCs w:val="32"/>
                              </w:rPr>
                              <w:t>项目名称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95pt;margin-top:81.85pt;height:32.25pt;width:81pt;z-index:251672576;mso-width-relative:page;mso-height-relative:page;" filled="f" stroked="f" coordsize="21600,21600" o:gfxdata="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2rNnZtoAAAAKAQAADwAAAAAAAAABACAAAAAi&#10;AAAAZHJzL2Rvd25yZXYueG1sUEsBAhQAFAAAAAgAh07iQIWQIG1BAgAAdgQAAA4AAAAAAAAAAQAg&#10;AAAAKQEAAGRycy9lMm9Eb2MueG1sUEsFBgAAAAAGAAYAWQEAANwFAAAAAA==&#10;">
                <v:fill on="f" focussize="0,0"/>
                <v:stroke on="f" weight="0.5pt"/>
                <v:imagedata o:title=""/>
                <o:lock v:ext="edit" aspectratio="f"/>
                <v:textbox>
                  <w:txbxContent>
                    <w:p w14:paraId="54B27F0F">
                      <w:pPr>
                        <w:rPr>
                          <w:rFonts w:ascii="方正大黑简体" w:hAnsi="方正大黑简体" w:eastAsia="方正大黑简体" w:cs="方正大黑简体"/>
                          <w:b/>
                          <w:bCs/>
                          <w:color w:val="DA251C"/>
                          <w:sz w:val="32"/>
                          <w:szCs w:val="32"/>
                        </w:rPr>
                      </w:pPr>
                      <w:r>
                        <w:rPr>
                          <w:rFonts w:hint="eastAsia" w:ascii="方正大黑简体" w:hAnsi="方正大黑简体" w:eastAsia="方正大黑简体" w:cs="方正大黑简体"/>
                          <w:b/>
                          <w:bCs/>
                          <w:color w:val="DA251C"/>
                          <w:sz w:val="32"/>
                          <w:szCs w:val="32"/>
                        </w:rPr>
                        <w:t>项目名称</w:t>
                      </w:r>
                    </w:p>
                  </w:txbxContent>
                </v:textbox>
              </v:shape>
            </w:pict>
          </mc:Fallback>
        </mc:AlternateContent>
      </w:r>
      <w:r>
        <w:rPr>
          <w:rFonts w:ascii="宋体" w:hAnsi="宋体" w:cs="宋体"/>
        </w:rPr>
        <mc:AlternateContent>
          <mc:Choice Requires="wps">
            <w:drawing>
              <wp:anchor distT="0" distB="0" distL="114300" distR="114300" simplePos="0" relativeHeight="251669504" behindDoc="0" locked="0" layoutInCell="1" allowOverlap="1">
                <wp:simplePos x="0" y="0"/>
                <wp:positionH relativeFrom="column">
                  <wp:posOffset>-986155</wp:posOffset>
                </wp:positionH>
                <wp:positionV relativeFrom="paragraph">
                  <wp:posOffset>1761490</wp:posOffset>
                </wp:positionV>
                <wp:extent cx="7013575" cy="3789680"/>
                <wp:effectExtent l="0" t="0" r="15875" b="1270"/>
                <wp:wrapNone/>
                <wp:docPr id="43" name="直角三角形 43"/>
                <wp:cNvGraphicFramePr/>
                <a:graphic xmlns:a="http://schemas.openxmlformats.org/drawingml/2006/main">
                  <a:graphicData uri="http://schemas.microsoft.com/office/word/2010/wordprocessingShape">
                    <wps:wsp>
                      <wps:cNvSpPr/>
                      <wps:spPr>
                        <a:xfrm flipH="1">
                          <a:off x="0" y="0"/>
                          <a:ext cx="7013575" cy="3789680"/>
                        </a:xfrm>
                        <a:prstGeom prst="rtTriangle">
                          <a:avLst/>
                        </a:prstGeom>
                        <a:gradFill rotWithShape="1">
                          <a:gsLst>
                            <a:gs pos="0">
                              <a:srgbClr val="012D86"/>
                            </a:gs>
                            <a:gs pos="100000">
                              <a:srgbClr val="FFFFFF"/>
                            </a:gs>
                          </a:gsLst>
                          <a:lin ang="5400000" scaled="1"/>
                          <a:tileRect/>
                        </a:gradFill>
                        <a:ln>
                          <a:noFill/>
                        </a:ln>
                        <a:effectLst/>
                      </wps:spPr>
                      <wps:txbx>
                        <w:txbxContent>
                          <w:p w14:paraId="0F47C01D"/>
                        </w:txbxContent>
                      </wps:txbx>
                      <wps:bodyPr upright="1"/>
                    </wps:wsp>
                  </a:graphicData>
                </a:graphic>
              </wp:anchor>
            </w:drawing>
          </mc:Choice>
          <mc:Fallback>
            <w:pict>
              <v:shape id="_x0000_s1026" o:spid="_x0000_s1026" o:spt="6" type="#_x0000_t6" style="position:absolute;left:0pt;flip:x;margin-left:-77.65pt;margin-top:138.7pt;height:298.4pt;width:552.25pt;z-index:251669504;mso-width-relative:page;mso-height-relative:page;" fillcolor="#012D86" filled="t" stroked="f" coordsize="21600,21600" o:gfxdata="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HdQ&#10;mtsAAAAMAQAADwAAAAAAAAABACAAAAAiAAAAZHJzL2Rvd25yZXYueG1sUEsBAhQAFAAAAAgAh07i&#10;QLGSGZQfAgAALAQAAA4AAAAAAAAAAQAgAAAAKgEAAGRycy9lMm9Eb2MueG1sUEsFBgAAAAAGAAYA&#10;WQEAALsFAAAAAA==&#10;">
                <v:fill type="gradient" on="t" color2="#FFFFFF" focus="100%" focussize="0,0" rotate="t"/>
                <v:stroke on="f"/>
                <v:imagedata o:title=""/>
                <o:lock v:ext="edit" aspectratio="f"/>
                <v:textbox>
                  <w:txbxContent>
                    <w:p w14:paraId="0F47C01D"/>
                  </w:txbxContent>
                </v:textbox>
              </v:shape>
            </w:pict>
          </mc:Fallback>
        </mc:AlternateContent>
      </w:r>
    </w:p>
    <w:sdt>
      <w:sdtPr>
        <w:rPr>
          <w:rFonts w:ascii="Times New Roman" w:hAnsi="Times New Roman" w:eastAsia="宋体" w:cs="Times New Roman"/>
          <w:b w:val="0"/>
          <w:bCs w:val="0"/>
          <w:color w:val="auto"/>
          <w:kern w:val="2"/>
          <w:sz w:val="21"/>
          <w:szCs w:val="24"/>
          <w:lang w:val="zh-CN"/>
        </w:rPr>
        <w:id w:val="-611968309"/>
        <w:docPartObj>
          <w:docPartGallery w:val="Table of Contents"/>
          <w:docPartUnique/>
        </w:docPartObj>
      </w:sdtPr>
      <w:sdtEndPr>
        <w:rPr>
          <w:rFonts w:ascii="Times New Roman" w:hAnsi="Times New Roman" w:eastAsia="宋体" w:cs="Times New Roman"/>
          <w:b w:val="0"/>
          <w:bCs w:val="0"/>
          <w:color w:val="auto"/>
          <w:kern w:val="2"/>
          <w:sz w:val="21"/>
          <w:szCs w:val="24"/>
          <w:lang w:val="zh-CN"/>
        </w:rPr>
      </w:sdtEndPr>
      <w:sdtContent>
        <w:p w14:paraId="237392F2">
          <w:pPr>
            <w:pStyle w:val="68"/>
            <w:jc w:val="center"/>
            <w:rPr>
              <w:sz w:val="36"/>
            </w:rPr>
          </w:pPr>
          <w:r>
            <w:rPr>
              <w:sz w:val="36"/>
              <w:lang w:val="zh-CN"/>
            </w:rPr>
            <w:t>目录</w:t>
          </w:r>
        </w:p>
        <w:p w14:paraId="70F286BF">
          <w:pPr>
            <w:pStyle w:val="18"/>
            <w:tabs>
              <w:tab w:val="right" w:leader="dot" w:pos="10456"/>
            </w:tabs>
            <w:rPr>
              <w:rFonts w:eastAsiaTheme="minorEastAsia"/>
              <w:sz w:val="21"/>
              <w:szCs w:val="22"/>
            </w:rPr>
          </w:pPr>
          <w:r>
            <w:fldChar w:fldCharType="begin"/>
          </w:r>
          <w:r>
            <w:instrText xml:space="preserve"> TOC \o "1-3" \h \z \u </w:instrText>
          </w:r>
          <w:r>
            <w:fldChar w:fldCharType="separate"/>
          </w:r>
          <w:r>
            <w:fldChar w:fldCharType="begin"/>
          </w:r>
          <w:r>
            <w:instrText xml:space="preserve"> HYPERLINK \l "_Toc184029939" </w:instrText>
          </w:r>
          <w:r>
            <w:fldChar w:fldCharType="separate"/>
          </w:r>
          <w:r>
            <w:rPr>
              <w:rStyle w:val="32"/>
              <w:rFonts w:hint="eastAsia" w:ascii="宋体" w:hAnsi="宋体"/>
              <w:b/>
            </w:rPr>
            <w:t>第一章</w:t>
          </w:r>
          <w:r>
            <w:rPr>
              <w:rStyle w:val="32"/>
              <w:rFonts w:ascii="宋体" w:hAnsi="宋体"/>
              <w:b/>
            </w:rPr>
            <w:t xml:space="preserve">  </w:t>
          </w:r>
          <w:r>
            <w:rPr>
              <w:rStyle w:val="32"/>
              <w:rFonts w:hint="eastAsia" w:ascii="宋体" w:hAnsi="宋体"/>
              <w:b/>
            </w:rPr>
            <w:t>采购公告</w:t>
          </w:r>
          <w:r>
            <w:tab/>
          </w:r>
          <w:r>
            <w:fldChar w:fldCharType="begin"/>
          </w:r>
          <w:r>
            <w:instrText xml:space="preserve"> PAGEREF _Toc184029939 \h </w:instrText>
          </w:r>
          <w:r>
            <w:fldChar w:fldCharType="separate"/>
          </w:r>
          <w:r>
            <w:t>3</w:t>
          </w:r>
          <w:r>
            <w:fldChar w:fldCharType="end"/>
          </w:r>
          <w:r>
            <w:fldChar w:fldCharType="end"/>
          </w:r>
        </w:p>
        <w:p w14:paraId="4552A5EA">
          <w:pPr>
            <w:pStyle w:val="18"/>
            <w:tabs>
              <w:tab w:val="right" w:leader="dot" w:pos="10456"/>
            </w:tabs>
            <w:rPr>
              <w:rFonts w:eastAsiaTheme="minorEastAsia"/>
              <w:sz w:val="21"/>
              <w:szCs w:val="22"/>
            </w:rPr>
          </w:pPr>
          <w:r>
            <w:fldChar w:fldCharType="begin"/>
          </w:r>
          <w:r>
            <w:instrText xml:space="preserve"> HYPERLINK \l "_Toc184029940" </w:instrText>
          </w:r>
          <w:r>
            <w:fldChar w:fldCharType="separate"/>
          </w:r>
          <w:r>
            <w:rPr>
              <w:rStyle w:val="32"/>
              <w:rFonts w:hint="eastAsia" w:ascii="宋体" w:hAnsi="宋体"/>
              <w:b/>
            </w:rPr>
            <w:t>第二章</w:t>
          </w:r>
          <w:r>
            <w:rPr>
              <w:rStyle w:val="32"/>
              <w:rFonts w:ascii="宋体" w:hAnsi="宋体"/>
              <w:b/>
            </w:rPr>
            <w:t xml:space="preserve">  </w:t>
          </w:r>
          <w:r>
            <w:rPr>
              <w:rStyle w:val="32"/>
              <w:rFonts w:hint="eastAsia" w:ascii="宋体" w:hAnsi="宋体"/>
              <w:b/>
            </w:rPr>
            <w:t>供货商须知</w:t>
          </w:r>
          <w:r>
            <w:tab/>
          </w:r>
          <w:r>
            <w:fldChar w:fldCharType="begin"/>
          </w:r>
          <w:r>
            <w:instrText xml:space="preserve"> PAGEREF _Toc184029940 \h </w:instrText>
          </w:r>
          <w:r>
            <w:fldChar w:fldCharType="separate"/>
          </w:r>
          <w:r>
            <w:t>5</w:t>
          </w:r>
          <w:r>
            <w:fldChar w:fldCharType="end"/>
          </w:r>
          <w:r>
            <w:fldChar w:fldCharType="end"/>
          </w:r>
        </w:p>
        <w:p w14:paraId="49BD766C">
          <w:pPr>
            <w:pStyle w:val="18"/>
            <w:tabs>
              <w:tab w:val="right" w:leader="dot" w:pos="10456"/>
            </w:tabs>
            <w:rPr>
              <w:rFonts w:eastAsiaTheme="minorEastAsia"/>
              <w:sz w:val="21"/>
              <w:szCs w:val="22"/>
            </w:rPr>
          </w:pPr>
          <w:r>
            <w:fldChar w:fldCharType="begin"/>
          </w:r>
          <w:r>
            <w:instrText xml:space="preserve"> HYPERLINK \l "_Toc184029941" </w:instrText>
          </w:r>
          <w:r>
            <w:fldChar w:fldCharType="separate"/>
          </w:r>
          <w:r>
            <w:rPr>
              <w:rStyle w:val="32"/>
              <w:rFonts w:hint="eastAsia" w:ascii="宋体" w:hAnsi="宋体"/>
              <w:b/>
            </w:rPr>
            <w:t>第三章</w:t>
          </w:r>
          <w:r>
            <w:rPr>
              <w:rStyle w:val="32"/>
              <w:rFonts w:ascii="宋体" w:hAnsi="宋体"/>
              <w:b/>
            </w:rPr>
            <w:t xml:space="preserve">  </w:t>
          </w:r>
          <w:r>
            <w:rPr>
              <w:rStyle w:val="32"/>
              <w:rFonts w:hint="eastAsia" w:ascii="宋体" w:hAnsi="宋体"/>
              <w:b/>
            </w:rPr>
            <w:t>采购需求及政府采购合同（拟签订的合同文本）</w:t>
          </w:r>
          <w:r>
            <w:tab/>
          </w:r>
          <w:r>
            <w:fldChar w:fldCharType="begin"/>
          </w:r>
          <w:r>
            <w:instrText xml:space="preserve"> PAGEREF _Toc184029941 \h </w:instrText>
          </w:r>
          <w:r>
            <w:fldChar w:fldCharType="separate"/>
          </w:r>
          <w:r>
            <w:t>11</w:t>
          </w:r>
          <w:r>
            <w:fldChar w:fldCharType="end"/>
          </w:r>
          <w:r>
            <w:fldChar w:fldCharType="end"/>
          </w:r>
        </w:p>
        <w:p w14:paraId="3009E048">
          <w:pPr>
            <w:pStyle w:val="20"/>
            <w:tabs>
              <w:tab w:val="right" w:leader="dot" w:pos="10456"/>
            </w:tabs>
            <w:rPr>
              <w:rFonts w:eastAsiaTheme="minorEastAsia"/>
              <w:sz w:val="21"/>
              <w:szCs w:val="22"/>
            </w:rPr>
          </w:pPr>
          <w:r>
            <w:fldChar w:fldCharType="begin"/>
          </w:r>
          <w:r>
            <w:instrText xml:space="preserve"> HYPERLINK \l "_Toc184029942" </w:instrText>
          </w:r>
          <w:r>
            <w:fldChar w:fldCharType="separate"/>
          </w:r>
          <w:r>
            <w:rPr>
              <w:rStyle w:val="32"/>
              <w:rFonts w:hint="eastAsia"/>
              <w:b/>
            </w:rPr>
            <w:t>一、采购需求</w:t>
          </w:r>
          <w:r>
            <w:tab/>
          </w:r>
          <w:r>
            <w:fldChar w:fldCharType="begin"/>
          </w:r>
          <w:r>
            <w:instrText xml:space="preserve"> PAGEREF _Toc184029942 \h </w:instrText>
          </w:r>
          <w:r>
            <w:fldChar w:fldCharType="separate"/>
          </w:r>
          <w:r>
            <w:t>12</w:t>
          </w:r>
          <w:r>
            <w:fldChar w:fldCharType="end"/>
          </w:r>
          <w:r>
            <w:fldChar w:fldCharType="end"/>
          </w:r>
        </w:p>
        <w:p w14:paraId="3593B775">
          <w:pPr>
            <w:pStyle w:val="11"/>
            <w:tabs>
              <w:tab w:val="right" w:leader="dot" w:pos="10456"/>
            </w:tabs>
            <w:rPr>
              <w:rFonts w:asciiTheme="minorHAnsi" w:hAnsiTheme="minorHAnsi" w:eastAsiaTheme="minorEastAsia" w:cstheme="minorBidi"/>
              <w:szCs w:val="22"/>
            </w:rPr>
          </w:pPr>
          <w:r>
            <w:fldChar w:fldCharType="begin"/>
          </w:r>
          <w:r>
            <w:instrText xml:space="preserve"> HYPERLINK \l "_Toc184029943" </w:instrText>
          </w:r>
          <w:r>
            <w:fldChar w:fldCharType="separate"/>
          </w:r>
          <w:r>
            <w:rPr>
              <w:rStyle w:val="32"/>
              <w:rFonts w:hint="eastAsia" w:asciiTheme="minorEastAsia" w:hAnsiTheme="minorEastAsia" w:cstheme="minorEastAsia"/>
              <w:b/>
              <w:bCs/>
              <w:kern w:val="0"/>
              <w:lang w:bidi="ar"/>
            </w:rPr>
            <w:t>一、项目清单表（规格、参考量、限价、品牌）</w:t>
          </w:r>
          <w:r>
            <w:tab/>
          </w:r>
          <w:r>
            <w:fldChar w:fldCharType="begin"/>
          </w:r>
          <w:r>
            <w:instrText xml:space="preserve"> PAGEREF _Toc184029943 \h </w:instrText>
          </w:r>
          <w:r>
            <w:fldChar w:fldCharType="separate"/>
          </w:r>
          <w:r>
            <w:t>12</w:t>
          </w:r>
          <w:r>
            <w:fldChar w:fldCharType="end"/>
          </w:r>
          <w:r>
            <w:fldChar w:fldCharType="end"/>
          </w:r>
        </w:p>
        <w:p w14:paraId="146848F7">
          <w:pPr>
            <w:pStyle w:val="11"/>
            <w:tabs>
              <w:tab w:val="right" w:leader="dot" w:pos="10456"/>
            </w:tabs>
            <w:rPr>
              <w:rFonts w:asciiTheme="minorHAnsi" w:hAnsiTheme="minorHAnsi" w:eastAsiaTheme="minorEastAsia" w:cstheme="minorBidi"/>
              <w:szCs w:val="22"/>
            </w:rPr>
          </w:pPr>
          <w:r>
            <w:fldChar w:fldCharType="begin"/>
          </w:r>
          <w:r>
            <w:instrText xml:space="preserve"> HYPERLINK \l "_Toc184029944" </w:instrText>
          </w:r>
          <w:r>
            <w:fldChar w:fldCharType="separate"/>
          </w:r>
          <w:r>
            <w:rPr>
              <w:rStyle w:val="32"/>
              <w:rFonts w:hint="eastAsia" w:ascii="宋体" w:hAnsi="宋体"/>
              <w:b/>
            </w:rPr>
            <w:t>二、</w:t>
          </w:r>
          <w:r>
            <w:rPr>
              <w:rStyle w:val="32"/>
              <w:rFonts w:hint="eastAsia" w:ascii="宋体" w:hAnsi="宋体" w:cs="宋体"/>
              <w:b/>
            </w:rPr>
            <w:t>供货及验收要求</w:t>
          </w:r>
          <w:r>
            <w:tab/>
          </w:r>
          <w:r>
            <w:fldChar w:fldCharType="begin"/>
          </w:r>
          <w:r>
            <w:instrText xml:space="preserve"> PAGEREF _Toc184029944 \h </w:instrText>
          </w:r>
          <w:r>
            <w:fldChar w:fldCharType="separate"/>
          </w:r>
          <w:r>
            <w:t>16</w:t>
          </w:r>
          <w:r>
            <w:fldChar w:fldCharType="end"/>
          </w:r>
          <w:r>
            <w:fldChar w:fldCharType="end"/>
          </w:r>
        </w:p>
        <w:p w14:paraId="2D4AED8F">
          <w:pPr>
            <w:pStyle w:val="20"/>
            <w:tabs>
              <w:tab w:val="right" w:leader="dot" w:pos="10456"/>
            </w:tabs>
            <w:rPr>
              <w:rFonts w:eastAsiaTheme="minorEastAsia"/>
              <w:sz w:val="21"/>
              <w:szCs w:val="22"/>
            </w:rPr>
          </w:pPr>
          <w:r>
            <w:fldChar w:fldCharType="begin"/>
          </w:r>
          <w:r>
            <w:instrText xml:space="preserve"> HYPERLINK \l "_Toc184029945" </w:instrText>
          </w:r>
          <w:r>
            <w:fldChar w:fldCharType="separate"/>
          </w:r>
          <w:r>
            <w:rPr>
              <w:rStyle w:val="32"/>
              <w:rFonts w:hint="eastAsia" w:ascii="宋体" w:hAnsi="宋体"/>
              <w:b/>
            </w:rPr>
            <w:t>二、政府采购合同（拟签订的合同文本）</w:t>
          </w:r>
          <w:r>
            <w:tab/>
          </w:r>
          <w:r>
            <w:fldChar w:fldCharType="begin"/>
          </w:r>
          <w:r>
            <w:instrText xml:space="preserve"> PAGEREF _Toc184029945 \h </w:instrText>
          </w:r>
          <w:r>
            <w:fldChar w:fldCharType="separate"/>
          </w:r>
          <w:r>
            <w:t>17</w:t>
          </w:r>
          <w:r>
            <w:fldChar w:fldCharType="end"/>
          </w:r>
          <w:r>
            <w:fldChar w:fldCharType="end"/>
          </w:r>
        </w:p>
        <w:p w14:paraId="790F9E9D">
          <w:pPr>
            <w:pStyle w:val="18"/>
            <w:tabs>
              <w:tab w:val="right" w:leader="dot" w:pos="10456"/>
            </w:tabs>
            <w:rPr>
              <w:rFonts w:eastAsiaTheme="minorEastAsia"/>
              <w:sz w:val="21"/>
              <w:szCs w:val="22"/>
            </w:rPr>
          </w:pPr>
          <w:r>
            <w:fldChar w:fldCharType="begin"/>
          </w:r>
          <w:r>
            <w:instrText xml:space="preserve"> HYPERLINK \l "_Toc184029946" </w:instrText>
          </w:r>
          <w:r>
            <w:fldChar w:fldCharType="separate"/>
          </w:r>
          <w:r>
            <w:rPr>
              <w:rStyle w:val="32"/>
              <w:rFonts w:hint="eastAsia" w:ascii="宋体" w:hAnsi="宋体"/>
              <w:b/>
            </w:rPr>
            <w:t>第四章</w:t>
          </w:r>
          <w:r>
            <w:rPr>
              <w:rStyle w:val="32"/>
              <w:rFonts w:ascii="宋体" w:hAnsi="宋体"/>
              <w:b/>
            </w:rPr>
            <w:t xml:space="preserve">  </w:t>
          </w:r>
          <w:r>
            <w:rPr>
              <w:rStyle w:val="32"/>
              <w:rFonts w:hint="eastAsia" w:ascii="宋体" w:hAnsi="宋体"/>
              <w:b/>
            </w:rPr>
            <w:t>成交原则与评审内容（主要部分）</w:t>
          </w:r>
          <w:r>
            <w:tab/>
          </w:r>
          <w:r>
            <w:fldChar w:fldCharType="begin"/>
          </w:r>
          <w:r>
            <w:instrText xml:space="preserve"> PAGEREF _Toc184029946 \h </w:instrText>
          </w:r>
          <w:r>
            <w:fldChar w:fldCharType="separate"/>
          </w:r>
          <w:r>
            <w:t>21</w:t>
          </w:r>
          <w:r>
            <w:fldChar w:fldCharType="end"/>
          </w:r>
          <w:r>
            <w:fldChar w:fldCharType="end"/>
          </w:r>
        </w:p>
        <w:p w14:paraId="62CB9FBE">
          <w:pPr>
            <w:pStyle w:val="18"/>
            <w:tabs>
              <w:tab w:val="right" w:leader="dot" w:pos="10456"/>
            </w:tabs>
            <w:rPr>
              <w:rFonts w:eastAsiaTheme="minorEastAsia"/>
              <w:sz w:val="21"/>
              <w:szCs w:val="22"/>
            </w:rPr>
          </w:pPr>
          <w:r>
            <w:fldChar w:fldCharType="begin"/>
          </w:r>
          <w:r>
            <w:instrText xml:space="preserve"> HYPERLINK \l "_Toc184029947" </w:instrText>
          </w:r>
          <w:r>
            <w:fldChar w:fldCharType="separate"/>
          </w:r>
          <w:r>
            <w:rPr>
              <w:rStyle w:val="32"/>
              <w:rFonts w:hint="eastAsia" w:ascii="宋体" w:hAnsi="宋体"/>
              <w:b/>
            </w:rPr>
            <w:t>第五章</w:t>
          </w:r>
          <w:r>
            <w:rPr>
              <w:rStyle w:val="32"/>
              <w:rFonts w:ascii="宋体" w:hAnsi="宋体"/>
              <w:b/>
            </w:rPr>
            <w:t xml:space="preserve">  </w:t>
          </w:r>
          <w:r>
            <w:rPr>
              <w:rStyle w:val="32"/>
              <w:rFonts w:hint="eastAsia" w:ascii="宋体" w:hAnsi="宋体"/>
              <w:b/>
            </w:rPr>
            <w:t>投标（响应）文件格式</w:t>
          </w:r>
          <w:r>
            <w:tab/>
          </w:r>
          <w:r>
            <w:fldChar w:fldCharType="begin"/>
          </w:r>
          <w:r>
            <w:instrText xml:space="preserve"> PAGEREF _Toc184029947 \h </w:instrText>
          </w:r>
          <w:r>
            <w:fldChar w:fldCharType="separate"/>
          </w:r>
          <w:r>
            <w:t>22</w:t>
          </w:r>
          <w:r>
            <w:fldChar w:fldCharType="end"/>
          </w:r>
          <w:r>
            <w:fldChar w:fldCharType="end"/>
          </w:r>
        </w:p>
        <w:p w14:paraId="0491D37F">
          <w:pPr>
            <w:pStyle w:val="20"/>
            <w:tabs>
              <w:tab w:val="right" w:leader="dot" w:pos="10456"/>
            </w:tabs>
            <w:rPr>
              <w:rFonts w:eastAsiaTheme="minorEastAsia"/>
              <w:sz w:val="21"/>
              <w:szCs w:val="22"/>
            </w:rPr>
          </w:pPr>
          <w:r>
            <w:fldChar w:fldCharType="begin"/>
          </w:r>
          <w:r>
            <w:instrText xml:space="preserve"> HYPERLINK \l "_Toc184029948" </w:instrText>
          </w:r>
          <w:r>
            <w:fldChar w:fldCharType="separate"/>
          </w:r>
          <w:r>
            <w:rPr>
              <w:rStyle w:val="32"/>
              <w:rFonts w:hint="eastAsia" w:ascii="宋体" w:hAnsi="宋体" w:cs="宋体"/>
              <w:b/>
            </w:rPr>
            <w:t>投标（响应）文件</w:t>
          </w:r>
          <w:r>
            <w:rPr>
              <w:rStyle w:val="32"/>
              <w:rFonts w:hint="eastAsia" w:ascii="宋体" w:hAnsi="宋体" w:cs="宋体"/>
              <w:b/>
              <w:bCs/>
            </w:rPr>
            <w:t>目录</w:t>
          </w:r>
          <w:r>
            <w:tab/>
          </w:r>
          <w:r>
            <w:fldChar w:fldCharType="begin"/>
          </w:r>
          <w:r>
            <w:instrText xml:space="preserve"> PAGEREF _Toc184029948 \h </w:instrText>
          </w:r>
          <w:r>
            <w:fldChar w:fldCharType="separate"/>
          </w:r>
          <w:r>
            <w:t>23</w:t>
          </w:r>
          <w:r>
            <w:fldChar w:fldCharType="end"/>
          </w:r>
          <w:r>
            <w:fldChar w:fldCharType="end"/>
          </w:r>
        </w:p>
        <w:p w14:paraId="274CBFB1">
          <w:pPr>
            <w:pStyle w:val="20"/>
            <w:tabs>
              <w:tab w:val="right" w:leader="dot" w:pos="10456"/>
            </w:tabs>
            <w:rPr>
              <w:rFonts w:eastAsiaTheme="minorEastAsia"/>
              <w:sz w:val="21"/>
              <w:szCs w:val="22"/>
            </w:rPr>
          </w:pPr>
          <w:r>
            <w:fldChar w:fldCharType="begin"/>
          </w:r>
          <w:r>
            <w:instrText xml:space="preserve"> HYPERLINK \l "_Toc184029949" </w:instrText>
          </w:r>
          <w:r>
            <w:fldChar w:fldCharType="separate"/>
          </w:r>
          <w:r>
            <w:rPr>
              <w:rStyle w:val="32"/>
              <w:rFonts w:hint="eastAsia" w:ascii="宋体" w:hAnsi="宋体" w:cs="宋体"/>
              <w:b/>
              <w:bCs/>
            </w:rPr>
            <w:t>一、报价一览表</w:t>
          </w:r>
          <w:r>
            <w:rPr>
              <w:rStyle w:val="32"/>
              <w:rFonts w:ascii="宋体" w:hAnsi="宋体" w:cs="宋体"/>
              <w:b/>
              <w:bCs/>
            </w:rPr>
            <w:t>(</w:t>
          </w:r>
          <w:r>
            <w:rPr>
              <w:rStyle w:val="32"/>
              <w:rFonts w:hint="eastAsia" w:ascii="宋体" w:hAnsi="宋体" w:cs="宋体"/>
              <w:b/>
              <w:bCs/>
            </w:rPr>
            <w:t>报价表</w:t>
          </w:r>
          <w:r>
            <w:rPr>
              <w:rStyle w:val="32"/>
              <w:rFonts w:ascii="宋体" w:hAnsi="宋体" w:cs="宋体"/>
              <w:b/>
              <w:bCs/>
            </w:rPr>
            <w:t>)</w:t>
          </w:r>
          <w:r>
            <w:rPr>
              <w:rStyle w:val="32"/>
              <w:rFonts w:hint="eastAsia" w:ascii="宋体" w:hAnsi="宋体" w:cs="宋体"/>
              <w:b/>
              <w:bCs/>
            </w:rPr>
            <w:t>（格式）</w:t>
          </w:r>
          <w:r>
            <w:tab/>
          </w:r>
          <w:r>
            <w:fldChar w:fldCharType="begin"/>
          </w:r>
          <w:r>
            <w:instrText xml:space="preserve"> PAGEREF _Toc184029949 \h </w:instrText>
          </w:r>
          <w:r>
            <w:fldChar w:fldCharType="separate"/>
          </w:r>
          <w:r>
            <w:t>24</w:t>
          </w:r>
          <w:r>
            <w:fldChar w:fldCharType="end"/>
          </w:r>
          <w:r>
            <w:fldChar w:fldCharType="end"/>
          </w:r>
        </w:p>
        <w:p w14:paraId="34A9D7B7">
          <w:pPr>
            <w:pStyle w:val="20"/>
            <w:tabs>
              <w:tab w:val="right" w:leader="dot" w:pos="10456"/>
            </w:tabs>
            <w:rPr>
              <w:rFonts w:eastAsiaTheme="minorEastAsia"/>
              <w:sz w:val="21"/>
              <w:szCs w:val="22"/>
            </w:rPr>
          </w:pPr>
          <w:r>
            <w:fldChar w:fldCharType="begin"/>
          </w:r>
          <w:r>
            <w:instrText xml:space="preserve"> HYPERLINK \l "_Toc184029950" </w:instrText>
          </w:r>
          <w:r>
            <w:fldChar w:fldCharType="separate"/>
          </w:r>
          <w:r>
            <w:rPr>
              <w:rStyle w:val="32"/>
              <w:rFonts w:hint="eastAsia" w:ascii="宋体" w:hAnsi="宋体" w:cs="宋体"/>
              <w:b/>
              <w:bCs/>
            </w:rPr>
            <w:t>二、供应商的资格证明文件</w:t>
          </w:r>
          <w:r>
            <w:tab/>
          </w:r>
          <w:r>
            <w:fldChar w:fldCharType="begin"/>
          </w:r>
          <w:r>
            <w:instrText xml:space="preserve"> PAGEREF _Toc184029950 \h </w:instrText>
          </w:r>
          <w:r>
            <w:fldChar w:fldCharType="separate"/>
          </w:r>
          <w:r>
            <w:t>25</w:t>
          </w:r>
          <w:r>
            <w:fldChar w:fldCharType="end"/>
          </w:r>
          <w:r>
            <w:fldChar w:fldCharType="end"/>
          </w:r>
        </w:p>
        <w:p w14:paraId="2C501201">
          <w:pPr>
            <w:pStyle w:val="20"/>
            <w:tabs>
              <w:tab w:val="right" w:leader="dot" w:pos="10456"/>
            </w:tabs>
            <w:rPr>
              <w:rFonts w:eastAsiaTheme="minorEastAsia"/>
              <w:sz w:val="21"/>
              <w:szCs w:val="22"/>
            </w:rPr>
          </w:pPr>
          <w:r>
            <w:fldChar w:fldCharType="begin"/>
          </w:r>
          <w:r>
            <w:instrText xml:space="preserve"> HYPERLINK \l "_Toc184029951" </w:instrText>
          </w:r>
          <w:r>
            <w:fldChar w:fldCharType="separate"/>
          </w:r>
          <w:r>
            <w:rPr>
              <w:rStyle w:val="32"/>
              <w:rFonts w:hint="eastAsia" w:ascii="宋体" w:hAnsi="宋体" w:cs="宋体"/>
              <w:b/>
              <w:bCs/>
            </w:rPr>
            <w:t>三、法定代表人授权委托书</w:t>
          </w:r>
          <w:r>
            <w:rPr>
              <w:rStyle w:val="32"/>
              <w:rFonts w:ascii="宋体" w:hAnsi="宋体" w:cs="宋体"/>
              <w:b/>
              <w:bCs/>
            </w:rPr>
            <w:t>(</w:t>
          </w:r>
          <w:r>
            <w:rPr>
              <w:rStyle w:val="32"/>
              <w:rFonts w:hint="eastAsia" w:ascii="宋体" w:hAnsi="宋体" w:cs="宋体"/>
              <w:b/>
              <w:bCs/>
            </w:rPr>
            <w:t>格式）</w:t>
          </w:r>
          <w:r>
            <w:tab/>
          </w:r>
          <w:r>
            <w:fldChar w:fldCharType="begin"/>
          </w:r>
          <w:r>
            <w:instrText xml:space="preserve"> PAGEREF _Toc184029951 \h </w:instrText>
          </w:r>
          <w:r>
            <w:fldChar w:fldCharType="separate"/>
          </w:r>
          <w:r>
            <w:t>27</w:t>
          </w:r>
          <w:r>
            <w:fldChar w:fldCharType="end"/>
          </w:r>
          <w:r>
            <w:fldChar w:fldCharType="end"/>
          </w:r>
        </w:p>
        <w:p w14:paraId="3D3B9E06">
          <w:pPr>
            <w:pStyle w:val="20"/>
            <w:tabs>
              <w:tab w:val="right" w:leader="dot" w:pos="10456"/>
            </w:tabs>
            <w:rPr>
              <w:rFonts w:eastAsiaTheme="minorEastAsia"/>
              <w:sz w:val="21"/>
              <w:szCs w:val="22"/>
            </w:rPr>
          </w:pPr>
          <w:r>
            <w:fldChar w:fldCharType="begin"/>
          </w:r>
          <w:r>
            <w:instrText xml:space="preserve"> HYPERLINK \l "_Toc184029952" </w:instrText>
          </w:r>
          <w:r>
            <w:fldChar w:fldCharType="separate"/>
          </w:r>
          <w:r>
            <w:rPr>
              <w:rStyle w:val="32"/>
              <w:rFonts w:hint="eastAsia" w:ascii="宋体" w:hAnsi="宋体" w:cs="宋体"/>
              <w:b/>
              <w:bCs/>
            </w:rPr>
            <w:t>四、投标（响应）书（格式）</w:t>
          </w:r>
          <w:r>
            <w:tab/>
          </w:r>
          <w:r>
            <w:fldChar w:fldCharType="begin"/>
          </w:r>
          <w:r>
            <w:instrText xml:space="preserve"> PAGEREF _Toc184029952 \h </w:instrText>
          </w:r>
          <w:r>
            <w:fldChar w:fldCharType="separate"/>
          </w:r>
          <w:r>
            <w:t>28</w:t>
          </w:r>
          <w:r>
            <w:fldChar w:fldCharType="end"/>
          </w:r>
          <w:r>
            <w:fldChar w:fldCharType="end"/>
          </w:r>
        </w:p>
        <w:p w14:paraId="42F2A6B1">
          <w:pPr>
            <w:pStyle w:val="20"/>
            <w:tabs>
              <w:tab w:val="right" w:leader="dot" w:pos="10456"/>
            </w:tabs>
            <w:rPr>
              <w:rFonts w:eastAsiaTheme="minorEastAsia"/>
              <w:sz w:val="21"/>
              <w:szCs w:val="22"/>
            </w:rPr>
          </w:pPr>
          <w:r>
            <w:fldChar w:fldCharType="begin"/>
          </w:r>
          <w:r>
            <w:instrText xml:space="preserve"> HYPERLINK \l "_Toc184029953" </w:instrText>
          </w:r>
          <w:r>
            <w:fldChar w:fldCharType="separate"/>
          </w:r>
          <w:r>
            <w:rPr>
              <w:rStyle w:val="32"/>
              <w:rFonts w:hint="eastAsia" w:ascii="宋体" w:hAnsi="宋体" w:cs="宋体"/>
              <w:b/>
              <w:bCs/>
            </w:rPr>
            <w:t>五、盐城市政府采购事前信用承诺书（格式）</w:t>
          </w:r>
          <w:r>
            <w:tab/>
          </w:r>
          <w:r>
            <w:fldChar w:fldCharType="begin"/>
          </w:r>
          <w:r>
            <w:instrText xml:space="preserve"> PAGEREF _Toc184029953 \h </w:instrText>
          </w:r>
          <w:r>
            <w:fldChar w:fldCharType="separate"/>
          </w:r>
          <w:r>
            <w:t>29</w:t>
          </w:r>
          <w:r>
            <w:fldChar w:fldCharType="end"/>
          </w:r>
          <w:r>
            <w:fldChar w:fldCharType="end"/>
          </w:r>
        </w:p>
        <w:p w14:paraId="0C31F88B">
          <w:pPr>
            <w:pStyle w:val="20"/>
            <w:tabs>
              <w:tab w:val="right" w:leader="dot" w:pos="10456"/>
            </w:tabs>
            <w:rPr>
              <w:rFonts w:eastAsiaTheme="minorEastAsia"/>
              <w:sz w:val="21"/>
              <w:szCs w:val="22"/>
            </w:rPr>
          </w:pPr>
          <w:r>
            <w:fldChar w:fldCharType="begin"/>
          </w:r>
          <w:r>
            <w:instrText xml:space="preserve"> HYPERLINK \l "_Toc184029954" </w:instrText>
          </w:r>
          <w:r>
            <w:fldChar w:fldCharType="separate"/>
          </w:r>
          <w:r>
            <w:rPr>
              <w:rStyle w:val="32"/>
              <w:rFonts w:hint="eastAsia" w:ascii="宋体" w:hAnsi="宋体" w:cs="宋体"/>
              <w:b/>
              <w:bCs/>
            </w:rPr>
            <w:t>六、商务要求响应情况表（格式）</w:t>
          </w:r>
          <w:r>
            <w:tab/>
          </w:r>
          <w:r>
            <w:fldChar w:fldCharType="begin"/>
          </w:r>
          <w:r>
            <w:instrText xml:space="preserve"> PAGEREF _Toc184029954 \h </w:instrText>
          </w:r>
          <w:r>
            <w:fldChar w:fldCharType="separate"/>
          </w:r>
          <w:r>
            <w:t>30</w:t>
          </w:r>
          <w:r>
            <w:fldChar w:fldCharType="end"/>
          </w:r>
          <w:r>
            <w:fldChar w:fldCharType="end"/>
          </w:r>
        </w:p>
        <w:p w14:paraId="511097DD">
          <w:pPr>
            <w:pStyle w:val="20"/>
            <w:tabs>
              <w:tab w:val="right" w:leader="dot" w:pos="10456"/>
            </w:tabs>
            <w:rPr>
              <w:rFonts w:eastAsiaTheme="minorEastAsia"/>
              <w:sz w:val="21"/>
              <w:szCs w:val="22"/>
            </w:rPr>
          </w:pPr>
          <w:r>
            <w:fldChar w:fldCharType="begin"/>
          </w:r>
          <w:r>
            <w:instrText xml:space="preserve"> HYPERLINK \l "_Toc184029955" </w:instrText>
          </w:r>
          <w:r>
            <w:fldChar w:fldCharType="separate"/>
          </w:r>
          <w:r>
            <w:rPr>
              <w:rStyle w:val="32"/>
              <w:rFonts w:hint="eastAsia" w:ascii="宋体" w:hAnsi="宋体" w:cs="宋体"/>
              <w:b/>
              <w:bCs/>
            </w:rPr>
            <w:t>七、所投产品清单表</w:t>
          </w:r>
          <w:r>
            <w:tab/>
          </w:r>
          <w:r>
            <w:fldChar w:fldCharType="begin"/>
          </w:r>
          <w:r>
            <w:instrText xml:space="preserve"> PAGEREF _Toc184029955 \h </w:instrText>
          </w:r>
          <w:r>
            <w:fldChar w:fldCharType="separate"/>
          </w:r>
          <w:r>
            <w:t>31</w:t>
          </w:r>
          <w:r>
            <w:fldChar w:fldCharType="end"/>
          </w:r>
          <w:r>
            <w:fldChar w:fldCharType="end"/>
          </w:r>
        </w:p>
        <w:p w14:paraId="3BF2A9DB">
          <w:pPr>
            <w:pStyle w:val="11"/>
            <w:tabs>
              <w:tab w:val="right" w:leader="dot" w:pos="10456"/>
            </w:tabs>
            <w:rPr>
              <w:rFonts w:asciiTheme="minorHAnsi" w:hAnsiTheme="minorHAnsi" w:eastAsiaTheme="minorEastAsia" w:cstheme="minorBidi"/>
              <w:szCs w:val="22"/>
            </w:rPr>
          </w:pPr>
          <w:r>
            <w:fldChar w:fldCharType="begin"/>
          </w:r>
          <w:r>
            <w:instrText xml:space="preserve"> HYPERLINK \l "_Toc184029956" </w:instrText>
          </w:r>
          <w:r>
            <w:fldChar w:fldCharType="separate"/>
          </w:r>
          <w:r>
            <w:rPr>
              <w:rStyle w:val="32"/>
              <w:rFonts w:hint="eastAsia" w:asciiTheme="minorEastAsia" w:hAnsiTheme="minorEastAsia" w:cstheme="minorEastAsia"/>
              <w:b/>
              <w:bCs/>
              <w:kern w:val="0"/>
              <w:lang w:bidi="ar"/>
            </w:rPr>
            <w:t>常用耗材清单表：</w:t>
          </w:r>
          <w:r>
            <w:tab/>
          </w:r>
          <w:r>
            <w:fldChar w:fldCharType="begin"/>
          </w:r>
          <w:r>
            <w:instrText xml:space="preserve"> PAGEREF _Toc184029956 \h </w:instrText>
          </w:r>
          <w:r>
            <w:fldChar w:fldCharType="separate"/>
          </w:r>
          <w:r>
            <w:t>31</w:t>
          </w:r>
          <w:r>
            <w:fldChar w:fldCharType="end"/>
          </w:r>
          <w:r>
            <w:fldChar w:fldCharType="end"/>
          </w:r>
        </w:p>
        <w:p w14:paraId="1BA176F2">
          <w:pPr>
            <w:pStyle w:val="11"/>
            <w:tabs>
              <w:tab w:val="right" w:leader="dot" w:pos="10456"/>
            </w:tabs>
            <w:rPr>
              <w:rFonts w:asciiTheme="minorHAnsi" w:hAnsiTheme="minorHAnsi" w:eastAsiaTheme="minorEastAsia" w:cstheme="minorBidi"/>
              <w:szCs w:val="22"/>
            </w:rPr>
          </w:pPr>
          <w:r>
            <w:fldChar w:fldCharType="begin"/>
          </w:r>
          <w:r>
            <w:instrText xml:space="preserve"> HYPERLINK \l "_Toc184029957" </w:instrText>
          </w:r>
          <w:r>
            <w:fldChar w:fldCharType="separate"/>
          </w:r>
          <w:r>
            <w:rPr>
              <w:rStyle w:val="32"/>
              <w:rFonts w:hint="eastAsia" w:asciiTheme="minorEastAsia" w:hAnsiTheme="minorEastAsia" w:cstheme="minorEastAsia"/>
              <w:b/>
              <w:bCs/>
              <w:kern w:val="0"/>
              <w:lang w:bidi="ar"/>
            </w:rPr>
            <w:t>非常用耗材清单表：</w:t>
          </w:r>
          <w:r>
            <w:tab/>
          </w:r>
          <w:r>
            <w:fldChar w:fldCharType="begin"/>
          </w:r>
          <w:r>
            <w:instrText xml:space="preserve"> PAGEREF _Toc184029957 \h </w:instrText>
          </w:r>
          <w:r>
            <w:fldChar w:fldCharType="separate"/>
          </w:r>
          <w:r>
            <w:t>34</w:t>
          </w:r>
          <w:r>
            <w:fldChar w:fldCharType="end"/>
          </w:r>
          <w:r>
            <w:fldChar w:fldCharType="end"/>
          </w:r>
        </w:p>
        <w:p w14:paraId="5BD3B782">
          <w:pPr>
            <w:pStyle w:val="20"/>
            <w:tabs>
              <w:tab w:val="right" w:leader="dot" w:pos="10456"/>
            </w:tabs>
            <w:rPr>
              <w:rFonts w:eastAsiaTheme="minorEastAsia"/>
              <w:sz w:val="21"/>
              <w:szCs w:val="22"/>
            </w:rPr>
          </w:pPr>
          <w:r>
            <w:fldChar w:fldCharType="begin"/>
          </w:r>
          <w:r>
            <w:instrText xml:space="preserve"> HYPERLINK \l "_Toc184029958" </w:instrText>
          </w:r>
          <w:r>
            <w:fldChar w:fldCharType="separate"/>
          </w:r>
          <w:r>
            <w:rPr>
              <w:rStyle w:val="32"/>
              <w:rFonts w:hint="eastAsia" w:ascii="宋体" w:hAnsi="宋体" w:cs="宋体"/>
              <w:b/>
              <w:bCs/>
            </w:rPr>
            <w:t>八、投标（响应）文件的其它内容</w:t>
          </w:r>
          <w:r>
            <w:tab/>
          </w:r>
          <w:r>
            <w:fldChar w:fldCharType="begin"/>
          </w:r>
          <w:r>
            <w:instrText xml:space="preserve"> PAGEREF _Toc184029958 \h </w:instrText>
          </w:r>
          <w:r>
            <w:fldChar w:fldCharType="separate"/>
          </w:r>
          <w:r>
            <w:t>38</w:t>
          </w:r>
          <w:r>
            <w:fldChar w:fldCharType="end"/>
          </w:r>
          <w:r>
            <w:fldChar w:fldCharType="end"/>
          </w:r>
        </w:p>
        <w:p w14:paraId="4E600111">
          <w:r>
            <w:rPr>
              <w:b/>
              <w:bCs/>
              <w:lang w:val="zh-CN"/>
            </w:rPr>
            <w:fldChar w:fldCharType="end"/>
          </w:r>
        </w:p>
      </w:sdtContent>
    </w:sdt>
    <w:p w14:paraId="36888DBF">
      <w:pPr>
        <w:rPr>
          <w:color w:val="000000"/>
        </w:rPr>
      </w:pPr>
    </w:p>
    <w:p w14:paraId="1BEDD1ED">
      <w:pPr>
        <w:rPr>
          <w:color w:val="000000"/>
        </w:rPr>
      </w:pPr>
    </w:p>
    <w:p w14:paraId="7EC99A02">
      <w:pPr>
        <w:rPr>
          <w:color w:val="000000"/>
        </w:rPr>
      </w:pPr>
    </w:p>
    <w:p w14:paraId="45228FB7">
      <w:pPr>
        <w:rPr>
          <w:color w:val="000000"/>
        </w:rPr>
      </w:pPr>
    </w:p>
    <w:p w14:paraId="7B11BB79">
      <w:pPr>
        <w:rPr>
          <w:color w:val="000000"/>
        </w:rPr>
      </w:pPr>
    </w:p>
    <w:p w14:paraId="0AE02499">
      <w:pPr>
        <w:rPr>
          <w:color w:val="000000"/>
        </w:rPr>
      </w:pPr>
    </w:p>
    <w:p w14:paraId="6ADA995D">
      <w:pPr>
        <w:rPr>
          <w:color w:val="000000"/>
        </w:rPr>
      </w:pPr>
    </w:p>
    <w:p w14:paraId="7E6FF4F0">
      <w:pPr>
        <w:rPr>
          <w:color w:val="000000"/>
        </w:rPr>
      </w:pPr>
    </w:p>
    <w:p w14:paraId="7956E727">
      <w:pPr>
        <w:rPr>
          <w:color w:val="000000"/>
        </w:rPr>
      </w:pPr>
    </w:p>
    <w:p w14:paraId="45824FCB">
      <w:pPr>
        <w:rPr>
          <w:color w:val="000000"/>
        </w:rPr>
      </w:pPr>
    </w:p>
    <w:p w14:paraId="34A78738">
      <w:pPr>
        <w:rPr>
          <w:color w:val="000000"/>
        </w:rPr>
      </w:pPr>
    </w:p>
    <w:p w14:paraId="3AF50038">
      <w:pPr>
        <w:pStyle w:val="8"/>
        <w:rPr>
          <w:color w:val="000000"/>
        </w:rPr>
      </w:pPr>
    </w:p>
    <w:p w14:paraId="733A498A"/>
    <w:p w14:paraId="0EF2B791">
      <w:pPr>
        <w:spacing w:line="398" w:lineRule="exact"/>
        <w:jc w:val="center"/>
        <w:outlineLvl w:val="0"/>
        <w:rPr>
          <w:rFonts w:hint="eastAsia" w:ascii="宋体" w:hAnsi="宋体"/>
          <w:b/>
          <w:color w:val="000000"/>
          <w:sz w:val="28"/>
          <w:szCs w:val="28"/>
        </w:rPr>
      </w:pPr>
      <w:bookmarkStart w:id="0" w:name="_Toc184029939"/>
    </w:p>
    <w:p w14:paraId="37EC22FE">
      <w:pPr>
        <w:spacing w:line="398" w:lineRule="exact"/>
        <w:jc w:val="center"/>
        <w:outlineLvl w:val="0"/>
        <w:rPr>
          <w:rFonts w:hint="eastAsia" w:ascii="宋体" w:hAnsi="宋体"/>
          <w:b/>
          <w:color w:val="000000"/>
          <w:sz w:val="28"/>
          <w:szCs w:val="28"/>
        </w:rPr>
      </w:pPr>
    </w:p>
    <w:p w14:paraId="32FBE1D4">
      <w:pPr>
        <w:spacing w:line="398" w:lineRule="exact"/>
        <w:jc w:val="center"/>
        <w:outlineLvl w:val="0"/>
        <w:rPr>
          <w:rFonts w:hint="eastAsia" w:ascii="宋体" w:hAnsi="宋体"/>
          <w:b/>
          <w:color w:val="000000"/>
          <w:sz w:val="28"/>
          <w:szCs w:val="28"/>
        </w:rPr>
      </w:pPr>
    </w:p>
    <w:p w14:paraId="6BF59372">
      <w:pPr>
        <w:spacing w:line="398" w:lineRule="exact"/>
        <w:jc w:val="center"/>
        <w:outlineLvl w:val="0"/>
        <w:rPr>
          <w:rFonts w:ascii="宋体" w:hAnsi="宋体"/>
          <w:b/>
          <w:color w:val="000000"/>
          <w:sz w:val="28"/>
          <w:szCs w:val="28"/>
        </w:rPr>
      </w:pPr>
      <w:r>
        <w:rPr>
          <w:rFonts w:hint="eastAsia" w:ascii="宋体" w:hAnsi="宋体"/>
          <w:b/>
          <w:color w:val="000000"/>
          <w:sz w:val="28"/>
          <w:szCs w:val="28"/>
        </w:rPr>
        <w:t>第一章  采购公告</w:t>
      </w:r>
      <w:bookmarkEnd w:id="0"/>
    </w:p>
    <w:p w14:paraId="74F1E101">
      <w:pPr>
        <w:pStyle w:val="44"/>
        <w:spacing w:line="398" w:lineRule="exact"/>
        <w:ind w:firstLine="0"/>
        <w:jc w:val="center"/>
        <w:rPr>
          <w:rFonts w:ascii="宋体" w:hAnsi="宋体"/>
          <w:b/>
          <w:color w:val="000000"/>
          <w:sz w:val="21"/>
          <w:szCs w:val="21"/>
        </w:rPr>
      </w:pPr>
      <w:r>
        <w:rPr>
          <w:rFonts w:hint="eastAsia" w:ascii="宋体" w:hAnsi="宋体"/>
          <w:b/>
          <w:color w:val="000000"/>
          <w:sz w:val="21"/>
          <w:szCs w:val="21"/>
        </w:rPr>
        <w:t>采购公告</w:t>
      </w:r>
    </w:p>
    <w:p w14:paraId="3180A79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olor w:val="000000"/>
          <w:szCs w:val="21"/>
        </w:rPr>
      </w:pPr>
      <w:r>
        <w:rPr>
          <w:rFonts w:hint="eastAsia" w:ascii="宋体" w:hAnsi="宋体"/>
          <w:color w:val="000000"/>
          <w:szCs w:val="21"/>
        </w:rPr>
        <w:t>受采购人的委托，盐城市携手阳光集中采购代理有限公司（本次采购可简称：携手阳光公司）受采购人的委托，根据《中华人民共和国政府采购法》等有关规定，现对下列项目进行询价采购，欢迎潜在供应商参加。</w:t>
      </w:r>
    </w:p>
    <w:p w14:paraId="787C7B3A">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00" w:lineRule="exact"/>
        <w:ind w:firstLine="420" w:firstLineChars="200"/>
        <w:jc w:val="center"/>
        <w:textAlignment w:val="auto"/>
        <w:rPr>
          <w:rFonts w:ascii="宋体" w:hAnsi="宋体"/>
          <w:color w:val="000000"/>
          <w:szCs w:val="21"/>
        </w:rPr>
      </w:pPr>
      <w:r>
        <w:rPr>
          <w:rFonts w:hint="eastAsia" w:ascii="宋体" w:hAnsi="宋体"/>
          <w:color w:val="000000"/>
          <w:szCs w:val="21"/>
        </w:rPr>
        <w:t>项目概况</w:t>
      </w:r>
    </w:p>
    <w:p w14:paraId="091B336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00" w:lineRule="exact"/>
        <w:ind w:firstLine="420" w:firstLineChars="200"/>
        <w:jc w:val="left"/>
        <w:textAlignment w:val="auto"/>
        <w:rPr>
          <w:rFonts w:ascii="宋体" w:hAnsi="宋体"/>
          <w:color w:val="000000"/>
          <w:szCs w:val="21"/>
        </w:rPr>
      </w:pPr>
      <w:r>
        <w:rPr>
          <w:rFonts w:hint="eastAsia" w:ascii="宋体" w:hAnsi="宋体"/>
          <w:color w:val="000000"/>
          <w:szCs w:val="21"/>
          <w:u w:val="single"/>
        </w:rPr>
        <w:t>江苏医药职业学院</w:t>
      </w:r>
      <w:r>
        <w:rPr>
          <w:rFonts w:hint="eastAsia" w:ascii="宋体" w:hAnsi="宋体"/>
          <w:color w:val="000000"/>
          <w:szCs w:val="21"/>
          <w:u w:val="single"/>
          <w:lang w:eastAsia="zh-CN"/>
        </w:rPr>
        <w:t>西园风雨操场屋面钢结构防腐涂层施工项目</w:t>
      </w:r>
      <w:r>
        <w:rPr>
          <w:rFonts w:hint="eastAsia" w:ascii="宋体" w:hAnsi="宋体"/>
          <w:color w:val="000000"/>
          <w:szCs w:val="21"/>
        </w:rPr>
        <w:t>的潜在供应商应在</w:t>
      </w:r>
      <w:r>
        <w:rPr>
          <w:rFonts w:hint="eastAsia" w:ascii="宋体" w:hAnsi="宋体"/>
          <w:color w:val="000000"/>
          <w:szCs w:val="21"/>
          <w:u w:val="single"/>
        </w:rPr>
        <w:t>盐城市府西路2号华邦国际西厦A区（东）302室</w:t>
      </w:r>
      <w:r>
        <w:rPr>
          <w:rFonts w:hint="eastAsia" w:ascii="宋体" w:hAnsi="宋体"/>
          <w:color w:val="000000"/>
          <w:szCs w:val="21"/>
        </w:rPr>
        <w:t>获取采购文件，并于</w:t>
      </w:r>
      <w:r>
        <w:rPr>
          <w:rFonts w:hint="eastAsia" w:ascii="宋体" w:hAnsi="宋体"/>
          <w:szCs w:val="21"/>
          <w:u w:val="single"/>
        </w:rPr>
        <w:t>202</w:t>
      </w:r>
      <w:r>
        <w:rPr>
          <w:rFonts w:hint="eastAsia" w:ascii="宋体" w:hAnsi="宋体"/>
          <w:szCs w:val="21"/>
          <w:u w:val="single"/>
          <w:lang w:val="en-US" w:eastAsia="zh-CN"/>
        </w:rPr>
        <w:t>6</w:t>
      </w:r>
      <w:r>
        <w:rPr>
          <w:rFonts w:hint="eastAsia" w:ascii="宋体" w:hAnsi="宋体"/>
          <w:szCs w:val="21"/>
          <w:u w:val="single"/>
        </w:rPr>
        <w:t>年</w:t>
      </w:r>
      <w:r>
        <w:rPr>
          <w:rFonts w:hint="eastAsia" w:ascii="宋体" w:hAnsi="宋体"/>
          <w:szCs w:val="21"/>
          <w:u w:val="single"/>
          <w:lang w:val="en-US" w:eastAsia="zh-CN"/>
        </w:rPr>
        <w:t>4</w:t>
      </w:r>
      <w:r>
        <w:rPr>
          <w:rFonts w:hint="eastAsia" w:ascii="宋体" w:hAnsi="宋体"/>
          <w:szCs w:val="21"/>
          <w:u w:val="single"/>
        </w:rPr>
        <w:t>月</w:t>
      </w:r>
      <w:r>
        <w:rPr>
          <w:rFonts w:hint="eastAsia" w:ascii="宋体" w:hAnsi="宋体"/>
          <w:szCs w:val="21"/>
          <w:u w:val="single"/>
          <w:lang w:val="en-US" w:eastAsia="zh-CN"/>
        </w:rPr>
        <w:t>24</w:t>
      </w:r>
      <w:r>
        <w:rPr>
          <w:rFonts w:hint="eastAsia" w:ascii="宋体" w:hAnsi="宋体"/>
          <w:szCs w:val="21"/>
          <w:u w:val="single"/>
        </w:rPr>
        <w:t>日</w:t>
      </w:r>
      <w:r>
        <w:rPr>
          <w:rFonts w:hint="eastAsia" w:ascii="宋体" w:hAnsi="宋体"/>
          <w:szCs w:val="21"/>
          <w:u w:val="single"/>
          <w:lang w:val="en-US" w:eastAsia="zh-CN"/>
        </w:rPr>
        <w:t>15</w:t>
      </w:r>
      <w:r>
        <w:rPr>
          <w:rFonts w:hint="eastAsia" w:ascii="宋体" w:hAnsi="宋体"/>
          <w:szCs w:val="21"/>
          <w:u w:val="single"/>
        </w:rPr>
        <w:t>点</w:t>
      </w:r>
      <w:r>
        <w:rPr>
          <w:rFonts w:hint="eastAsia" w:ascii="宋体" w:hAnsi="宋体"/>
          <w:szCs w:val="21"/>
          <w:u w:val="single"/>
          <w:lang w:val="en-US" w:eastAsia="zh-CN"/>
        </w:rPr>
        <w:t>0</w:t>
      </w:r>
      <w:r>
        <w:rPr>
          <w:rFonts w:hint="eastAsia" w:ascii="宋体" w:hAnsi="宋体"/>
          <w:szCs w:val="21"/>
          <w:u w:val="single"/>
        </w:rPr>
        <w:t>0分</w:t>
      </w:r>
      <w:r>
        <w:rPr>
          <w:rFonts w:hint="eastAsia" w:ascii="宋体" w:hAnsi="宋体"/>
          <w:color w:val="000000"/>
          <w:szCs w:val="21"/>
        </w:rPr>
        <w:t>（北京时间）前</w:t>
      </w:r>
      <w:r>
        <w:rPr>
          <w:rFonts w:hint="eastAsia" w:ascii="宋体" w:hAnsi="宋体"/>
          <w:bCs/>
          <w:color w:val="000000"/>
        </w:rPr>
        <w:t>提交响应</w:t>
      </w:r>
      <w:r>
        <w:rPr>
          <w:rFonts w:ascii="宋体" w:hAnsi="宋体"/>
          <w:bCs/>
          <w:color w:val="000000"/>
        </w:rPr>
        <w:t>文件</w:t>
      </w:r>
      <w:r>
        <w:rPr>
          <w:rFonts w:hint="eastAsia" w:ascii="宋体" w:hAnsi="宋体"/>
          <w:color w:val="000000"/>
          <w:szCs w:val="21"/>
        </w:rPr>
        <w:t>。</w:t>
      </w:r>
    </w:p>
    <w:p w14:paraId="537C216A">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b/>
          <w:color w:val="000000"/>
        </w:rPr>
      </w:pPr>
      <w:bookmarkStart w:id="1" w:name="_Toc35393798"/>
      <w:bookmarkStart w:id="2" w:name="_Toc35393629"/>
      <w:bookmarkStart w:id="3" w:name="_Toc28359012"/>
      <w:bookmarkStart w:id="4" w:name="_Toc28359089"/>
      <w:r>
        <w:rPr>
          <w:rFonts w:hint="eastAsia" w:ascii="宋体" w:hAnsi="宋体" w:cs="宋体"/>
          <w:b/>
          <w:color w:val="000000"/>
        </w:rPr>
        <w:t>一、项目基本情况</w:t>
      </w:r>
      <w:bookmarkEnd w:id="1"/>
      <w:bookmarkEnd w:id="2"/>
      <w:bookmarkEnd w:id="3"/>
      <w:bookmarkEnd w:id="4"/>
    </w:p>
    <w:p w14:paraId="178FA07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olor w:val="000000"/>
          <w:szCs w:val="21"/>
        </w:rPr>
      </w:pPr>
      <w:r>
        <w:rPr>
          <w:rFonts w:hint="eastAsia" w:ascii="宋体" w:hAnsi="宋体"/>
          <w:color w:val="000000"/>
          <w:szCs w:val="21"/>
        </w:rPr>
        <w:t>项目编号：SY2026-006-GC-XJ；</w:t>
      </w:r>
    </w:p>
    <w:p w14:paraId="539C9BD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olor w:val="000000"/>
          <w:szCs w:val="21"/>
        </w:rPr>
      </w:pPr>
      <w:r>
        <w:rPr>
          <w:rFonts w:hint="eastAsia" w:ascii="宋体" w:hAnsi="宋体"/>
          <w:color w:val="000000"/>
          <w:szCs w:val="21"/>
        </w:rPr>
        <w:t>项目名称：江苏医药职业学院</w:t>
      </w:r>
      <w:r>
        <w:rPr>
          <w:rFonts w:hint="eastAsia" w:ascii="宋体" w:hAnsi="宋体"/>
          <w:color w:val="000000"/>
          <w:szCs w:val="21"/>
          <w:lang w:eastAsia="zh-CN"/>
        </w:rPr>
        <w:t>西园风雨操场屋面钢结构防腐涂层施工项目</w:t>
      </w:r>
      <w:r>
        <w:rPr>
          <w:rFonts w:hint="eastAsia" w:ascii="宋体" w:hAnsi="宋体"/>
          <w:color w:val="000000"/>
          <w:szCs w:val="21"/>
        </w:rPr>
        <w:t>；</w:t>
      </w:r>
    </w:p>
    <w:p w14:paraId="27177FB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olor w:val="000000"/>
          <w:szCs w:val="21"/>
        </w:rPr>
      </w:pPr>
      <w:r>
        <w:rPr>
          <w:rFonts w:hint="eastAsia" w:ascii="宋体" w:hAnsi="宋体"/>
          <w:color w:val="000000"/>
          <w:szCs w:val="21"/>
        </w:rPr>
        <w:t>采购方式：询价；</w:t>
      </w:r>
    </w:p>
    <w:p w14:paraId="3A2C6A7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olor w:val="000000"/>
          <w:szCs w:val="21"/>
        </w:rPr>
      </w:pPr>
      <w:bookmarkStart w:id="5" w:name="_Toc35393799"/>
      <w:bookmarkStart w:id="6" w:name="_Toc35393630"/>
      <w:bookmarkStart w:id="7" w:name="_Toc28359090"/>
      <w:bookmarkStart w:id="8" w:name="_Toc28359013"/>
      <w:r>
        <w:rPr>
          <w:rFonts w:hint="eastAsia" w:ascii="宋体" w:hAnsi="宋体"/>
          <w:color w:val="000000"/>
          <w:szCs w:val="21"/>
        </w:rPr>
        <w:t>预算金额（最高限价）</w:t>
      </w:r>
      <w:r>
        <w:rPr>
          <w:rFonts w:hint="eastAsia" w:ascii="宋体" w:hAnsi="宋体"/>
          <w:color w:val="000000"/>
          <w:szCs w:val="21"/>
          <w:lang w:eastAsia="zh-CN"/>
        </w:rPr>
        <w:t>：</w:t>
      </w:r>
      <w:r>
        <w:rPr>
          <w:rFonts w:hint="eastAsia" w:ascii="宋体" w:hAnsi="宋体"/>
          <w:color w:val="000000"/>
          <w:szCs w:val="21"/>
          <w:lang w:val="en-US" w:eastAsia="zh-CN"/>
        </w:rPr>
        <w:t>9</w:t>
      </w:r>
      <w:r>
        <w:rPr>
          <w:rFonts w:hint="eastAsia" w:ascii="宋体" w:hAnsi="宋体"/>
          <w:color w:val="000000"/>
          <w:szCs w:val="21"/>
        </w:rPr>
        <w:t>万元；</w:t>
      </w:r>
    </w:p>
    <w:p w14:paraId="3B4388CF">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Times New Roman"/>
          <w:color w:val="000000"/>
          <w:szCs w:val="21"/>
        </w:rPr>
      </w:pPr>
      <w:r>
        <w:rPr>
          <w:rFonts w:hint="eastAsia" w:ascii="宋体" w:hAnsi="宋体" w:eastAsia="宋体" w:cs="Times New Roman"/>
          <w:color w:val="000000"/>
          <w:szCs w:val="21"/>
        </w:rPr>
        <w:t>工期：20日历天；如因施工单位自身施工组织问题造成工期延误的，每延误一天，处罚1000元，如因工期延误，造成学校重大影响的，学校有权追究责任。（工程延误处罚款项在审计时直接扣除）；</w:t>
      </w:r>
    </w:p>
    <w:p w14:paraId="1C02DA7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Times New Roman"/>
          <w:color w:val="000000"/>
          <w:szCs w:val="21"/>
        </w:rPr>
      </w:pPr>
      <w:r>
        <w:rPr>
          <w:rFonts w:hint="eastAsia" w:ascii="宋体" w:hAnsi="宋体" w:eastAsia="宋体" w:cs="Times New Roman"/>
          <w:color w:val="000000"/>
          <w:szCs w:val="21"/>
        </w:rPr>
        <w:t>质保期：1年（质保期自验收合格之日起算）；</w:t>
      </w:r>
    </w:p>
    <w:p w14:paraId="0840157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Times New Roman"/>
          <w:color w:val="000000"/>
          <w:szCs w:val="21"/>
        </w:rPr>
      </w:pPr>
      <w:r>
        <w:rPr>
          <w:rFonts w:hint="eastAsia" w:ascii="宋体" w:hAnsi="宋体" w:eastAsia="宋体" w:cs="Times New Roman"/>
          <w:color w:val="000000"/>
          <w:szCs w:val="21"/>
        </w:rPr>
        <w:t>质保要求：工程因自然力等主客观因素出现松动、脱落等现象，供应商需在3日内到场免费维修；</w:t>
      </w:r>
    </w:p>
    <w:p w14:paraId="213284F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Times New Roman"/>
          <w:color w:val="000000"/>
          <w:szCs w:val="21"/>
        </w:rPr>
      </w:pPr>
      <w:r>
        <w:rPr>
          <w:rFonts w:hint="eastAsia" w:ascii="宋体" w:hAnsi="宋体" w:eastAsia="宋体" w:cs="Times New Roman"/>
          <w:color w:val="000000"/>
          <w:szCs w:val="21"/>
        </w:rPr>
        <w:t>采购需求（以下为主要介绍，详细内容须向携手阳光公司领购）：</w:t>
      </w:r>
    </w:p>
    <w:p w14:paraId="3879924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Times New Roman"/>
          <w:color w:val="000000"/>
          <w:szCs w:val="21"/>
        </w:rPr>
      </w:pPr>
      <w:r>
        <w:rPr>
          <w:rFonts w:hint="eastAsia" w:ascii="宋体" w:hAnsi="宋体" w:eastAsia="宋体" w:cs="Times New Roman"/>
          <w:color w:val="000000"/>
          <w:szCs w:val="21"/>
        </w:rPr>
        <w:t>拟将江苏医药职业学院西园风雨操场屋面钢结构防腐涂层进行施工，详见采购需求部分；</w:t>
      </w:r>
    </w:p>
    <w:p w14:paraId="2B50F26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Times New Roman"/>
          <w:color w:val="000000"/>
          <w:szCs w:val="21"/>
        </w:rPr>
      </w:pPr>
      <w:r>
        <w:rPr>
          <w:rFonts w:hint="eastAsia" w:ascii="宋体" w:hAnsi="宋体" w:eastAsia="宋体" w:cs="Times New Roman"/>
          <w:color w:val="000000"/>
          <w:szCs w:val="21"/>
        </w:rPr>
        <w:t>本项目不接受联合体。</w:t>
      </w:r>
    </w:p>
    <w:p w14:paraId="2F1896F7">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b/>
          <w:color w:val="000000"/>
        </w:rPr>
      </w:pPr>
      <w:r>
        <w:rPr>
          <w:rFonts w:hint="eastAsia" w:ascii="宋体" w:hAnsi="宋体" w:cs="宋体"/>
          <w:b/>
          <w:color w:val="000000"/>
        </w:rPr>
        <w:t>二、</w:t>
      </w:r>
      <w:bookmarkEnd w:id="5"/>
      <w:bookmarkEnd w:id="6"/>
      <w:bookmarkEnd w:id="7"/>
      <w:bookmarkEnd w:id="8"/>
      <w:bookmarkStart w:id="9" w:name="_Toc35393631"/>
      <w:bookmarkStart w:id="10" w:name="_Toc28359014"/>
      <w:bookmarkStart w:id="11" w:name="_Toc35393800"/>
      <w:bookmarkStart w:id="12" w:name="_Toc28359091"/>
      <w:r>
        <w:rPr>
          <w:rFonts w:hint="eastAsia" w:ascii="宋体" w:hAnsi="宋体" w:cs="宋体"/>
          <w:b/>
          <w:color w:val="000000"/>
        </w:rPr>
        <w:t>申请人（</w:t>
      </w:r>
      <w:r>
        <w:rPr>
          <w:rFonts w:hint="eastAsia" w:ascii="宋体" w:hAnsi="宋体" w:cs="宋体"/>
          <w:b/>
          <w:color w:val="000000"/>
          <w:kern w:val="0"/>
          <w:szCs w:val="21"/>
        </w:rPr>
        <w:t>供应商）</w:t>
      </w:r>
      <w:r>
        <w:rPr>
          <w:rFonts w:hint="eastAsia" w:ascii="宋体" w:hAnsi="宋体" w:cs="宋体"/>
          <w:b/>
          <w:color w:val="000000"/>
        </w:rPr>
        <w:t>的资格要求</w:t>
      </w:r>
      <w:r>
        <w:rPr>
          <w:rFonts w:hint="eastAsia" w:ascii="宋体" w:hAnsi="宋体"/>
          <w:b/>
          <w:color w:val="000000"/>
          <w:szCs w:val="21"/>
        </w:rPr>
        <w:t>（具体证明材料见响应文件格式）</w:t>
      </w:r>
      <w:r>
        <w:rPr>
          <w:rFonts w:hint="eastAsia" w:ascii="宋体" w:hAnsi="宋体" w:cs="宋体"/>
          <w:b/>
          <w:color w:val="000000"/>
        </w:rPr>
        <w:t>：</w:t>
      </w:r>
    </w:p>
    <w:p w14:paraId="1900179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Times New Roman"/>
          <w:color w:val="000000"/>
          <w:szCs w:val="21"/>
        </w:rPr>
      </w:pPr>
      <w:r>
        <w:rPr>
          <w:rFonts w:hint="eastAsia" w:ascii="宋体" w:hAnsi="宋体" w:eastAsia="宋体" w:cs="Times New Roman"/>
          <w:color w:val="000000"/>
          <w:szCs w:val="21"/>
        </w:rPr>
        <w:t>1.具有独立承担民事责任的能力，且具有法人资质的企业（提供营业执照，并加盖公章）；</w:t>
      </w:r>
    </w:p>
    <w:p w14:paraId="1AE1DDF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2.</w:t>
      </w:r>
      <w:r>
        <w:rPr>
          <w:rFonts w:hint="eastAsia" w:ascii="宋体" w:hAnsi="宋体" w:eastAsia="宋体" w:cs="Times New Roman"/>
          <w:color w:val="000000"/>
          <w:szCs w:val="21"/>
        </w:rPr>
        <w:t>具有良好的商业信誉和健全的财务会计制度</w:t>
      </w:r>
      <w:r>
        <w:rPr>
          <w:rFonts w:hint="eastAsia" w:ascii="宋体" w:hAnsi="宋体" w:eastAsia="宋体" w:cs="Times New Roman"/>
          <w:color w:val="000000"/>
          <w:szCs w:val="21"/>
          <w:lang w:eastAsia="zh-CN"/>
        </w:rPr>
        <w:t>；</w:t>
      </w:r>
    </w:p>
    <w:p w14:paraId="7B04532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Times New Roman"/>
          <w:color w:val="000000"/>
          <w:szCs w:val="21"/>
          <w:lang w:eastAsia="zh-CN"/>
        </w:rPr>
      </w:pPr>
      <w:r>
        <w:rPr>
          <w:rFonts w:hint="eastAsia" w:ascii="宋体" w:hAnsi="宋体" w:eastAsia="宋体" w:cs="Times New Roman"/>
          <w:color w:val="000000"/>
          <w:szCs w:val="21"/>
          <w:lang w:val="en-US" w:eastAsia="zh-CN"/>
        </w:rPr>
        <w:t>3</w:t>
      </w:r>
      <w:r>
        <w:rPr>
          <w:rFonts w:hint="eastAsia" w:ascii="宋体" w:hAnsi="宋体" w:eastAsia="宋体" w:cs="Times New Roman"/>
          <w:color w:val="000000"/>
          <w:szCs w:val="21"/>
        </w:rPr>
        <w:t>.有依法缴纳税收和社会保障资金的良好记录等（提供近三个月来任意一个月的依法缴纳税收和社会保障资金的相关材料，并加盖公章）</w:t>
      </w:r>
      <w:r>
        <w:rPr>
          <w:rFonts w:hint="eastAsia" w:ascii="宋体" w:hAnsi="宋体" w:eastAsia="宋体" w:cs="Times New Roman"/>
          <w:color w:val="000000"/>
          <w:szCs w:val="21"/>
          <w:lang w:eastAsia="zh-CN"/>
        </w:rPr>
        <w:t>；</w:t>
      </w:r>
    </w:p>
    <w:p w14:paraId="0AB0A35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Times New Roman"/>
          <w:color w:val="000000"/>
          <w:szCs w:val="21"/>
        </w:rPr>
      </w:pPr>
      <w:r>
        <w:rPr>
          <w:rFonts w:hint="eastAsia" w:ascii="宋体" w:hAnsi="宋体" w:eastAsia="宋体" w:cs="Times New Roman"/>
          <w:color w:val="000000"/>
          <w:szCs w:val="21"/>
          <w:lang w:val="en-US" w:eastAsia="zh-CN"/>
        </w:rPr>
        <w:t>4.</w:t>
      </w:r>
      <w:r>
        <w:rPr>
          <w:rFonts w:hint="eastAsia" w:ascii="宋体" w:hAnsi="宋体" w:eastAsia="宋体" w:cs="Times New Roman"/>
          <w:color w:val="000000"/>
          <w:szCs w:val="21"/>
        </w:rPr>
        <w:t>具备履行合同所必需的设备和专业技术能力的书面声明；</w:t>
      </w:r>
    </w:p>
    <w:p w14:paraId="6576974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Times New Roman"/>
          <w:color w:val="000000"/>
          <w:szCs w:val="21"/>
          <w:lang w:eastAsia="zh-CN"/>
        </w:rPr>
      </w:pPr>
      <w:r>
        <w:rPr>
          <w:rFonts w:hint="eastAsia" w:ascii="宋体" w:hAnsi="宋体" w:eastAsia="宋体" w:cs="Times New Roman"/>
          <w:color w:val="000000"/>
          <w:szCs w:val="21"/>
          <w:lang w:val="en-US" w:eastAsia="zh-CN"/>
        </w:rPr>
        <w:t>5.</w:t>
      </w:r>
      <w:r>
        <w:rPr>
          <w:rFonts w:hint="eastAsia" w:ascii="宋体" w:hAnsi="宋体" w:eastAsia="宋体" w:cs="Times New Roman"/>
          <w:color w:val="000000"/>
          <w:szCs w:val="21"/>
        </w:rPr>
        <w:t>参加政府采购活动前3年内在经营活动中没有重大违法记录的书面声明</w:t>
      </w:r>
      <w:r>
        <w:rPr>
          <w:rFonts w:hint="eastAsia" w:ascii="宋体" w:hAnsi="宋体" w:eastAsia="宋体" w:cs="Times New Roman"/>
          <w:color w:val="000000"/>
          <w:szCs w:val="21"/>
          <w:lang w:eastAsia="zh-CN"/>
        </w:rPr>
        <w:t>；</w:t>
      </w:r>
    </w:p>
    <w:p w14:paraId="034788A4">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Times New Roman"/>
          <w:color w:val="000000"/>
          <w:szCs w:val="21"/>
          <w:lang w:eastAsia="zh-CN"/>
        </w:rPr>
      </w:pPr>
      <w:r>
        <w:rPr>
          <w:rFonts w:hint="eastAsia" w:ascii="宋体" w:hAnsi="宋体" w:eastAsia="宋体" w:cs="Times New Roman"/>
          <w:color w:val="000000"/>
          <w:szCs w:val="21"/>
          <w:lang w:val="en-US" w:eastAsia="zh-CN"/>
        </w:rPr>
        <w:t>6.</w:t>
      </w:r>
      <w:r>
        <w:rPr>
          <w:rFonts w:hint="eastAsia" w:ascii="宋体" w:hAnsi="宋体" w:eastAsia="宋体" w:cs="Times New Roman"/>
          <w:color w:val="000000"/>
          <w:szCs w:val="21"/>
        </w:rPr>
        <w:t>法律、行政法规规定的其他条件。</w:t>
      </w:r>
    </w:p>
    <w:p w14:paraId="5DF5CD1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Times New Roman"/>
          <w:color w:val="000000"/>
          <w:szCs w:val="21"/>
        </w:rPr>
      </w:pPr>
      <w:r>
        <w:rPr>
          <w:rFonts w:hint="eastAsia" w:ascii="宋体" w:hAnsi="宋体" w:eastAsia="宋体" w:cs="Times New Roman"/>
          <w:color w:val="000000"/>
          <w:szCs w:val="21"/>
          <w:lang w:val="en-US" w:eastAsia="zh-CN"/>
        </w:rPr>
        <w:t>7</w:t>
      </w:r>
      <w:r>
        <w:rPr>
          <w:rFonts w:hint="eastAsia" w:ascii="宋体" w:hAnsi="宋体" w:eastAsia="宋体" w:cs="Times New Roman"/>
          <w:color w:val="000000"/>
          <w:szCs w:val="21"/>
        </w:rPr>
        <w:t>.落实政府采购政策需满足的资格要求：无</w:t>
      </w:r>
    </w:p>
    <w:p w14:paraId="73C87AEF">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Times New Roman"/>
          <w:color w:val="000000"/>
          <w:szCs w:val="21"/>
        </w:rPr>
      </w:pPr>
      <w:r>
        <w:rPr>
          <w:rFonts w:hint="eastAsia" w:ascii="宋体" w:hAnsi="宋体" w:eastAsia="宋体" w:cs="Times New Roman"/>
          <w:color w:val="000000"/>
          <w:szCs w:val="21"/>
          <w:lang w:val="en-US" w:eastAsia="zh-CN"/>
        </w:rPr>
        <w:t>8</w:t>
      </w:r>
      <w:r>
        <w:rPr>
          <w:rFonts w:hint="eastAsia" w:ascii="宋体" w:hAnsi="宋体" w:eastAsia="宋体" w:cs="Times New Roman"/>
          <w:color w:val="000000"/>
          <w:szCs w:val="21"/>
        </w:rPr>
        <w:t>.本项目的特定资格要求：</w:t>
      </w:r>
    </w:p>
    <w:p w14:paraId="6AEADAE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Times New Roman"/>
          <w:color w:val="000000"/>
          <w:szCs w:val="21"/>
        </w:rPr>
      </w:pPr>
      <w:r>
        <w:rPr>
          <w:rFonts w:hint="eastAsia" w:ascii="宋体" w:hAnsi="宋体" w:eastAsia="宋体" w:cs="Times New Roman"/>
          <w:color w:val="000000"/>
          <w:szCs w:val="21"/>
          <w:lang w:val="en-US" w:eastAsia="zh-CN"/>
        </w:rPr>
        <w:t>8</w:t>
      </w:r>
      <w:r>
        <w:rPr>
          <w:rFonts w:hint="eastAsia" w:ascii="宋体" w:hAnsi="宋体" w:eastAsia="宋体" w:cs="Times New Roman"/>
          <w:color w:val="000000"/>
          <w:szCs w:val="21"/>
        </w:rPr>
        <w:t>.1投标人具有建设行政主管部门核发的建筑工程施工总承包三级及以上（或建筑装修装饰工程专业承包二级及以上）资质的独立法人，并取得安全生产许可证；</w:t>
      </w:r>
    </w:p>
    <w:p w14:paraId="4D1628B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Times New Roman"/>
          <w:color w:val="000000"/>
          <w:szCs w:val="21"/>
        </w:rPr>
      </w:pPr>
      <w:r>
        <w:rPr>
          <w:rFonts w:hint="eastAsia" w:ascii="宋体" w:hAnsi="宋体" w:eastAsia="宋体" w:cs="Times New Roman"/>
          <w:color w:val="000000"/>
          <w:szCs w:val="21"/>
          <w:lang w:val="en-US" w:eastAsia="zh-CN"/>
        </w:rPr>
        <w:t>8</w:t>
      </w:r>
      <w:r>
        <w:rPr>
          <w:rFonts w:hint="eastAsia" w:ascii="宋体" w:hAnsi="宋体" w:eastAsia="宋体" w:cs="Times New Roman"/>
          <w:color w:val="000000"/>
          <w:szCs w:val="21"/>
        </w:rPr>
        <w:t>.2项目负责人资质类别和等级：项目负责人必须是投标人本单位正式职工，具有建筑工程专业的二级及以上建造师注册证书（或建造师临时执业证书），并取得安全生产考核合格证（B类）；</w:t>
      </w:r>
    </w:p>
    <w:p w14:paraId="45BE896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Times New Roman"/>
          <w:color w:val="000000"/>
          <w:szCs w:val="21"/>
        </w:rPr>
      </w:pPr>
      <w:r>
        <w:rPr>
          <w:rFonts w:hint="eastAsia" w:ascii="宋体" w:hAnsi="宋体" w:eastAsia="宋体" w:cs="Times New Roman"/>
          <w:color w:val="000000"/>
          <w:szCs w:val="21"/>
          <w:lang w:val="en-US" w:eastAsia="zh-CN"/>
        </w:rPr>
        <w:t>8</w:t>
      </w:r>
      <w:r>
        <w:rPr>
          <w:rFonts w:hint="eastAsia" w:ascii="宋体" w:hAnsi="宋体" w:eastAsia="宋体" w:cs="Times New Roman"/>
          <w:color w:val="000000"/>
          <w:szCs w:val="21"/>
        </w:rPr>
        <w:t>.3项目负责人须为投标人本单位正式职工，</w:t>
      </w:r>
      <w:r>
        <w:rPr>
          <w:rFonts w:hint="eastAsia" w:ascii="宋体" w:hAnsi="宋体" w:eastAsia="宋体" w:cs="Times New Roman"/>
          <w:color w:val="000000"/>
          <w:szCs w:val="21"/>
          <w:lang w:eastAsia="zh-CN"/>
        </w:rPr>
        <w:t>投标时提供</w:t>
      </w:r>
      <w:r>
        <w:rPr>
          <w:rFonts w:hint="eastAsia" w:ascii="宋体" w:hAnsi="宋体" w:eastAsia="宋体" w:cs="Times New Roman"/>
          <w:color w:val="000000"/>
          <w:szCs w:val="21"/>
        </w:rPr>
        <w:t>从投标截止日当月向前连续</w:t>
      </w:r>
      <w:r>
        <w:rPr>
          <w:rFonts w:hint="eastAsia" w:ascii="宋体" w:hAnsi="宋体" w:eastAsia="宋体" w:cs="Times New Roman"/>
          <w:color w:val="000000"/>
          <w:szCs w:val="21"/>
          <w:lang w:val="en-US" w:eastAsia="zh-CN"/>
        </w:rPr>
        <w:t>3</w:t>
      </w:r>
      <w:r>
        <w:rPr>
          <w:rFonts w:hint="eastAsia" w:ascii="宋体" w:hAnsi="宋体" w:eastAsia="宋体" w:cs="Times New Roman"/>
          <w:color w:val="000000"/>
          <w:szCs w:val="21"/>
        </w:rPr>
        <w:t>个月</w:t>
      </w:r>
      <w:r>
        <w:rPr>
          <w:rFonts w:hint="eastAsia" w:ascii="宋体" w:hAnsi="宋体" w:eastAsia="宋体" w:cs="Times New Roman"/>
          <w:color w:val="000000"/>
          <w:szCs w:val="21"/>
          <w:lang w:eastAsia="zh-CN"/>
        </w:rPr>
        <w:t>以来任意一个月</w:t>
      </w:r>
      <w:r>
        <w:rPr>
          <w:rFonts w:hint="eastAsia" w:ascii="宋体" w:hAnsi="宋体" w:eastAsia="宋体" w:cs="Times New Roman"/>
          <w:color w:val="000000"/>
          <w:szCs w:val="21"/>
        </w:rPr>
        <w:t>在投标人本单位缴纳养老保险（例：如投标截止日期为202</w:t>
      </w:r>
      <w:r>
        <w:rPr>
          <w:rFonts w:hint="eastAsia" w:ascii="宋体" w:hAnsi="宋体" w:eastAsia="宋体" w:cs="Times New Roman"/>
          <w:color w:val="000000"/>
          <w:szCs w:val="21"/>
          <w:lang w:val="en-US" w:eastAsia="zh-CN"/>
        </w:rPr>
        <w:t>6</w:t>
      </w:r>
      <w:r>
        <w:rPr>
          <w:rFonts w:hint="eastAsia" w:ascii="宋体" w:hAnsi="宋体" w:eastAsia="宋体" w:cs="Times New Roman"/>
          <w:color w:val="000000"/>
          <w:szCs w:val="21"/>
        </w:rPr>
        <w:t>年</w:t>
      </w:r>
      <w:r>
        <w:rPr>
          <w:rFonts w:hint="eastAsia" w:ascii="宋体" w:hAnsi="宋体" w:eastAsia="宋体" w:cs="Times New Roman"/>
          <w:color w:val="000000"/>
          <w:szCs w:val="21"/>
          <w:lang w:val="en-US" w:eastAsia="zh-CN"/>
        </w:rPr>
        <w:t>5</w:t>
      </w:r>
      <w:r>
        <w:rPr>
          <w:rFonts w:hint="eastAsia" w:ascii="宋体" w:hAnsi="宋体" w:eastAsia="宋体" w:cs="Times New Roman"/>
          <w:color w:val="000000"/>
          <w:szCs w:val="21"/>
        </w:rPr>
        <w:t>月，则为202</w:t>
      </w:r>
      <w:r>
        <w:rPr>
          <w:rFonts w:hint="eastAsia" w:ascii="宋体" w:hAnsi="宋体" w:eastAsia="宋体" w:cs="Times New Roman"/>
          <w:color w:val="000000"/>
          <w:szCs w:val="21"/>
          <w:lang w:val="en-US" w:eastAsia="zh-CN"/>
        </w:rPr>
        <w:t>6</w:t>
      </w:r>
      <w:r>
        <w:rPr>
          <w:rFonts w:hint="eastAsia" w:ascii="宋体" w:hAnsi="宋体" w:eastAsia="宋体" w:cs="Times New Roman"/>
          <w:color w:val="000000"/>
          <w:szCs w:val="21"/>
        </w:rPr>
        <w:t>年</w:t>
      </w:r>
      <w:r>
        <w:rPr>
          <w:rFonts w:hint="eastAsia" w:ascii="宋体" w:hAnsi="宋体" w:eastAsia="宋体" w:cs="Times New Roman"/>
          <w:color w:val="000000"/>
          <w:szCs w:val="21"/>
          <w:lang w:val="en-US" w:eastAsia="zh-CN"/>
        </w:rPr>
        <w:t>2</w:t>
      </w:r>
      <w:r>
        <w:rPr>
          <w:rFonts w:hint="eastAsia" w:ascii="宋体" w:hAnsi="宋体" w:eastAsia="宋体" w:cs="Times New Roman"/>
          <w:color w:val="000000"/>
          <w:szCs w:val="21"/>
        </w:rPr>
        <w:t>月1日以来</w:t>
      </w:r>
      <w:r>
        <w:rPr>
          <w:rFonts w:hint="eastAsia" w:ascii="宋体" w:hAnsi="宋体" w:eastAsia="宋体" w:cs="Times New Roman"/>
          <w:color w:val="000000"/>
          <w:szCs w:val="21"/>
          <w:lang w:eastAsia="zh-CN"/>
        </w:rPr>
        <w:t>任意一个月</w:t>
      </w:r>
      <w:r>
        <w:rPr>
          <w:rFonts w:hint="eastAsia" w:ascii="宋体" w:hAnsi="宋体" w:eastAsia="宋体" w:cs="Times New Roman"/>
          <w:color w:val="000000"/>
          <w:szCs w:val="21"/>
        </w:rPr>
        <w:t>养老保险在投标人本单位缴纳）；</w:t>
      </w:r>
    </w:p>
    <w:p w14:paraId="45FE453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Times New Roman"/>
          <w:color w:val="000000"/>
          <w:szCs w:val="21"/>
        </w:rPr>
      </w:pPr>
      <w:r>
        <w:rPr>
          <w:rFonts w:hint="eastAsia" w:ascii="宋体" w:hAnsi="宋体" w:eastAsia="宋体" w:cs="Times New Roman"/>
          <w:color w:val="000000"/>
          <w:szCs w:val="21"/>
          <w:lang w:val="en-US" w:eastAsia="zh-CN"/>
        </w:rPr>
        <w:t>8</w:t>
      </w:r>
      <w:r>
        <w:rPr>
          <w:rFonts w:hint="eastAsia" w:ascii="宋体" w:hAnsi="宋体" w:eastAsia="宋体" w:cs="Times New Roman"/>
          <w:color w:val="000000"/>
          <w:szCs w:val="21"/>
        </w:rPr>
        <w:t>.4投标人没有被国家、江苏省省级有关部门及盐城市级有关部门暂停招投标或市场准入资格且在公示处罚期内；没有处于被责令停业、财产被接管、冻结、破产等状态。</w:t>
      </w:r>
    </w:p>
    <w:p w14:paraId="194D9CC6">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b/>
          <w:color w:val="000000"/>
        </w:rPr>
      </w:pPr>
      <w:r>
        <w:rPr>
          <w:rFonts w:hint="eastAsia" w:ascii="宋体" w:hAnsi="宋体" w:cs="宋体"/>
          <w:b/>
          <w:color w:val="000000"/>
        </w:rPr>
        <w:t>三、获取采购文件</w:t>
      </w:r>
      <w:bookmarkEnd w:id="9"/>
      <w:bookmarkEnd w:id="10"/>
      <w:bookmarkEnd w:id="11"/>
      <w:bookmarkEnd w:id="12"/>
    </w:p>
    <w:p w14:paraId="43D1F4D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Times New Roman"/>
          <w:color w:val="000000"/>
          <w:szCs w:val="21"/>
          <w:lang w:val="en-US" w:eastAsia="zh-CN"/>
        </w:rPr>
      </w:pPr>
      <w:bookmarkStart w:id="13" w:name="_Toc35393801"/>
      <w:bookmarkStart w:id="14" w:name="_Toc28359092"/>
      <w:bookmarkStart w:id="15" w:name="_Toc28359015"/>
      <w:bookmarkStart w:id="16" w:name="_Toc35393632"/>
      <w:r>
        <w:rPr>
          <w:rFonts w:hint="eastAsia" w:ascii="宋体" w:hAnsi="宋体" w:eastAsia="宋体" w:cs="Times New Roman"/>
          <w:color w:val="000000"/>
          <w:szCs w:val="21"/>
          <w:lang w:val="en-US" w:eastAsia="zh-CN"/>
        </w:rPr>
        <w:t>时间：2026年4月</w:t>
      </w:r>
      <w:r>
        <w:rPr>
          <w:rFonts w:hint="eastAsia" w:ascii="宋体" w:hAnsi="宋体" w:cs="Times New Roman"/>
          <w:color w:val="000000"/>
          <w:szCs w:val="21"/>
          <w:lang w:val="en-US" w:eastAsia="zh-CN"/>
        </w:rPr>
        <w:t>20</w:t>
      </w:r>
      <w:r>
        <w:rPr>
          <w:rFonts w:hint="eastAsia" w:ascii="宋体" w:hAnsi="宋体" w:eastAsia="宋体" w:cs="Times New Roman"/>
          <w:color w:val="000000"/>
          <w:szCs w:val="21"/>
          <w:lang w:val="en-US" w:eastAsia="zh-CN"/>
        </w:rPr>
        <w:t>日至2026年4月2</w:t>
      </w:r>
      <w:r>
        <w:rPr>
          <w:rFonts w:hint="eastAsia" w:ascii="宋体" w:hAnsi="宋体" w:cs="Times New Roman"/>
          <w:color w:val="000000"/>
          <w:szCs w:val="21"/>
          <w:lang w:val="en-US" w:eastAsia="zh-CN"/>
        </w:rPr>
        <w:t>2</w:t>
      </w:r>
      <w:r>
        <w:rPr>
          <w:rFonts w:hint="eastAsia" w:ascii="宋体" w:hAnsi="宋体" w:eastAsia="宋体" w:cs="Times New Roman"/>
          <w:color w:val="000000"/>
          <w:szCs w:val="21"/>
          <w:lang w:val="en-US" w:eastAsia="zh-CN"/>
        </w:rPr>
        <w:t>日（每个工作日的9时至12时，15时至18时；非工作日不接受邮箱登记）</w:t>
      </w:r>
    </w:p>
    <w:p w14:paraId="0FBF8E7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地点：盐城市府西路华邦国际西厦A302室（3楼东区）</w:t>
      </w:r>
    </w:p>
    <w:p w14:paraId="472B28A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方式：可线上报名；供应商凭加盖公章的《介绍信》（介绍信格式自拟，介绍信需有邮箱号、联系人、联系方式）、营业执照（照片、复印件均可）、报名缴费成功截图发送至邮箱：xsyg007@163.com（注：未领购招标文件的任何单位或个人没有本项目的参与权以及相关知情权）；如邮箱发送后1天内未收到招标文件的，请及时与代理机构联系，否则后果自负。</w:t>
      </w:r>
    </w:p>
    <w:p w14:paraId="00772FF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售价：200元，售后不退；交纳方式：现金、支付宝（18662096009）等。</w:t>
      </w:r>
    </w:p>
    <w:p w14:paraId="03FEA4B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color w:val="000000"/>
        </w:rPr>
      </w:pPr>
      <w:r>
        <w:rPr>
          <w:rFonts w:hint="eastAsia" w:ascii="宋体" w:hAnsi="宋体" w:cs="宋体"/>
          <w:b/>
          <w:color w:val="000000"/>
        </w:rPr>
        <w:t>四、</w:t>
      </w:r>
      <w:bookmarkEnd w:id="13"/>
      <w:bookmarkEnd w:id="14"/>
      <w:bookmarkEnd w:id="15"/>
      <w:bookmarkEnd w:id="16"/>
      <w:r>
        <w:rPr>
          <w:rFonts w:hint="eastAsia" w:ascii="宋体" w:hAnsi="宋体" w:cs="宋体"/>
          <w:b/>
          <w:color w:val="000000"/>
        </w:rPr>
        <w:t>投标文件递交、开启</w:t>
      </w:r>
    </w:p>
    <w:p w14:paraId="4224C43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Times New Roman"/>
          <w:b w:val="0"/>
          <w:bCs w:val="0"/>
          <w:color w:val="000000"/>
        </w:rPr>
      </w:pPr>
      <w:r>
        <w:rPr>
          <w:rFonts w:hint="eastAsia" w:ascii="宋体" w:hAnsi="宋体" w:eastAsia="宋体" w:cs="Times New Roman"/>
          <w:b w:val="0"/>
          <w:bCs w:val="0"/>
          <w:color w:val="000000"/>
        </w:rPr>
        <w:t>方式：报价单纸质（原件盖章）及相关资质材料（复印件盖章）密封顺丰邮寄或送达江苏医药职业学院行政楼206室，收件人：柏老师，联系电话：0515-88590086。</w:t>
      </w:r>
    </w:p>
    <w:p w14:paraId="11FAC37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Times New Roman"/>
          <w:b w:val="0"/>
          <w:bCs w:val="0"/>
          <w:color w:val="000000"/>
        </w:rPr>
      </w:pPr>
      <w:r>
        <w:rPr>
          <w:rFonts w:hint="eastAsia" w:ascii="宋体" w:hAnsi="宋体" w:eastAsia="宋体" w:cs="Times New Roman"/>
          <w:b w:val="0"/>
          <w:bCs w:val="0"/>
          <w:color w:val="000000"/>
        </w:rPr>
        <w:t>送达（寄送）时间：202</w:t>
      </w:r>
      <w:r>
        <w:rPr>
          <w:rFonts w:hint="eastAsia" w:ascii="宋体" w:hAnsi="宋体" w:eastAsia="宋体" w:cs="Times New Roman"/>
          <w:b w:val="0"/>
          <w:bCs w:val="0"/>
          <w:color w:val="000000"/>
          <w:lang w:val="en-US" w:eastAsia="zh-CN"/>
        </w:rPr>
        <w:t>6</w:t>
      </w:r>
      <w:r>
        <w:rPr>
          <w:rFonts w:hint="eastAsia" w:ascii="宋体" w:hAnsi="宋体" w:eastAsia="宋体" w:cs="Times New Roman"/>
          <w:b w:val="0"/>
          <w:bCs w:val="0"/>
          <w:color w:val="000000"/>
        </w:rPr>
        <w:t>年</w:t>
      </w:r>
      <w:r>
        <w:rPr>
          <w:rFonts w:hint="eastAsia" w:ascii="宋体" w:hAnsi="宋体" w:cs="Times New Roman"/>
          <w:b w:val="0"/>
          <w:bCs w:val="0"/>
          <w:color w:val="000000"/>
          <w:lang w:val="en-US" w:eastAsia="zh-CN"/>
        </w:rPr>
        <w:t>4</w:t>
      </w:r>
      <w:r>
        <w:rPr>
          <w:rFonts w:hint="eastAsia" w:ascii="宋体" w:hAnsi="宋体" w:eastAsia="宋体" w:cs="Times New Roman"/>
          <w:b w:val="0"/>
          <w:bCs w:val="0"/>
          <w:color w:val="000000"/>
        </w:rPr>
        <w:t>月</w:t>
      </w:r>
      <w:r>
        <w:rPr>
          <w:rFonts w:hint="eastAsia" w:ascii="宋体" w:hAnsi="宋体" w:cs="Times New Roman"/>
          <w:b w:val="0"/>
          <w:bCs w:val="0"/>
          <w:color w:val="000000"/>
          <w:lang w:val="en-US" w:eastAsia="zh-CN"/>
        </w:rPr>
        <w:t>24</w:t>
      </w:r>
      <w:r>
        <w:rPr>
          <w:rFonts w:hint="eastAsia" w:ascii="宋体" w:hAnsi="宋体" w:eastAsia="宋体" w:cs="Times New Roman"/>
          <w:b w:val="0"/>
          <w:bCs w:val="0"/>
          <w:color w:val="000000"/>
        </w:rPr>
        <w:t>日15:00时止。未密封、逾期送达或者未送达指定地点的，不予接受。</w:t>
      </w:r>
    </w:p>
    <w:p w14:paraId="45EA049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Times New Roman"/>
          <w:b w:val="0"/>
          <w:bCs w:val="0"/>
          <w:color w:val="000000"/>
        </w:rPr>
      </w:pPr>
      <w:r>
        <w:rPr>
          <w:rFonts w:hint="eastAsia" w:ascii="宋体" w:hAnsi="宋体" w:eastAsia="宋体" w:cs="Times New Roman"/>
          <w:b w:val="0"/>
          <w:bCs w:val="0"/>
          <w:color w:val="000000"/>
        </w:rPr>
        <w:t>开标时间：202</w:t>
      </w:r>
      <w:r>
        <w:rPr>
          <w:rFonts w:hint="eastAsia" w:ascii="宋体" w:hAnsi="宋体" w:eastAsia="宋体" w:cs="Times New Roman"/>
          <w:b w:val="0"/>
          <w:bCs w:val="0"/>
          <w:color w:val="000000"/>
          <w:lang w:val="en-US" w:eastAsia="zh-CN"/>
        </w:rPr>
        <w:t>6</w:t>
      </w:r>
      <w:r>
        <w:rPr>
          <w:rFonts w:hint="eastAsia" w:ascii="宋体" w:hAnsi="宋体" w:eastAsia="宋体" w:cs="Times New Roman"/>
          <w:b w:val="0"/>
          <w:bCs w:val="0"/>
          <w:color w:val="000000"/>
        </w:rPr>
        <w:t>年</w:t>
      </w:r>
      <w:r>
        <w:rPr>
          <w:rFonts w:hint="eastAsia" w:ascii="宋体" w:hAnsi="宋体" w:cs="Times New Roman"/>
          <w:b w:val="0"/>
          <w:bCs w:val="0"/>
          <w:color w:val="000000"/>
          <w:lang w:val="en-US" w:eastAsia="zh-CN"/>
        </w:rPr>
        <w:t>4</w:t>
      </w:r>
      <w:r>
        <w:rPr>
          <w:rFonts w:hint="eastAsia" w:ascii="宋体" w:hAnsi="宋体" w:eastAsia="宋体" w:cs="Times New Roman"/>
          <w:b w:val="0"/>
          <w:bCs w:val="0"/>
          <w:color w:val="000000"/>
        </w:rPr>
        <w:t>月</w:t>
      </w:r>
      <w:r>
        <w:rPr>
          <w:rFonts w:hint="eastAsia" w:ascii="宋体" w:hAnsi="宋体" w:cs="Times New Roman"/>
          <w:b w:val="0"/>
          <w:bCs w:val="0"/>
          <w:color w:val="000000"/>
          <w:lang w:val="en-US" w:eastAsia="zh-CN"/>
        </w:rPr>
        <w:t>24</w:t>
      </w:r>
      <w:r>
        <w:rPr>
          <w:rFonts w:hint="eastAsia" w:ascii="宋体" w:hAnsi="宋体" w:eastAsia="宋体" w:cs="Times New Roman"/>
          <w:b w:val="0"/>
          <w:bCs w:val="0"/>
          <w:color w:val="000000"/>
        </w:rPr>
        <w:t>日15:00</w:t>
      </w:r>
    </w:p>
    <w:p w14:paraId="6354055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Times New Roman"/>
          <w:b w:val="0"/>
          <w:bCs w:val="0"/>
          <w:color w:val="000000"/>
        </w:rPr>
      </w:pPr>
      <w:r>
        <w:rPr>
          <w:rFonts w:hint="eastAsia" w:ascii="宋体" w:hAnsi="宋体" w:eastAsia="宋体" w:cs="Times New Roman"/>
          <w:b w:val="0"/>
          <w:bCs w:val="0"/>
          <w:color w:val="000000"/>
        </w:rPr>
        <w:t>开标地点：江苏医药职业学院行政楼210室</w:t>
      </w:r>
    </w:p>
    <w:p w14:paraId="5619299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Times New Roman"/>
          <w:b w:val="0"/>
          <w:bCs w:val="0"/>
          <w:color w:val="000000"/>
        </w:rPr>
      </w:pPr>
      <w:r>
        <w:rPr>
          <w:rFonts w:hint="eastAsia" w:ascii="宋体" w:hAnsi="宋体" w:eastAsia="宋体" w:cs="Times New Roman"/>
          <w:b w:val="0"/>
          <w:bCs w:val="0"/>
          <w:color w:val="000000"/>
        </w:rPr>
        <w:t>供应商应充分考虑投标文件邮寄在途时长，以及注重文件包装的严密性、防水性。供应商须自行承担邮寄标书丢失、破损等风险，以及投标被否决的后果。</w:t>
      </w:r>
    </w:p>
    <w:p w14:paraId="5BA63F1F">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color w:val="000000"/>
          <w:kern w:val="0"/>
        </w:rPr>
      </w:pPr>
      <w:r>
        <w:rPr>
          <w:rFonts w:hint="eastAsia" w:ascii="宋体" w:hAnsi="宋体" w:cs="宋体"/>
          <w:b/>
          <w:color w:val="000000"/>
          <w:kern w:val="0"/>
          <w:lang w:eastAsia="zh-CN"/>
        </w:rPr>
        <w:t>五</w:t>
      </w:r>
      <w:r>
        <w:rPr>
          <w:rFonts w:hint="eastAsia" w:ascii="宋体" w:hAnsi="宋体" w:cs="宋体"/>
          <w:b/>
          <w:color w:val="000000"/>
          <w:kern w:val="0"/>
        </w:rPr>
        <w:t>、</w:t>
      </w:r>
      <w:r>
        <w:rPr>
          <w:rFonts w:hint="eastAsia" w:ascii="宋体" w:hAnsi="宋体" w:cs="宋体"/>
          <w:b/>
          <w:color w:val="000000"/>
        </w:rPr>
        <w:t>公告期限</w:t>
      </w:r>
      <w:r>
        <w:rPr>
          <w:rFonts w:hint="eastAsia" w:ascii="宋体" w:hAnsi="宋体"/>
          <w:b/>
          <w:bCs/>
          <w:color w:val="000000"/>
        </w:rPr>
        <w:t>：</w:t>
      </w:r>
      <w:r>
        <w:rPr>
          <w:rFonts w:hint="eastAsia" w:ascii="宋体" w:hAnsi="宋体" w:cs="宋体"/>
          <w:color w:val="000000"/>
          <w:kern w:val="0"/>
        </w:rPr>
        <w:t>自本公告发布之日起3个工作日</w:t>
      </w:r>
    </w:p>
    <w:p w14:paraId="69099F07">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b/>
          <w:bCs/>
          <w:color w:val="000000"/>
          <w:szCs w:val="21"/>
        </w:rPr>
      </w:pPr>
      <w:r>
        <w:rPr>
          <w:rFonts w:hint="eastAsia" w:ascii="宋体" w:hAnsi="宋体"/>
          <w:b/>
          <w:bCs/>
          <w:color w:val="000000"/>
          <w:szCs w:val="21"/>
          <w:lang w:eastAsia="zh-CN"/>
        </w:rPr>
        <w:t>六</w:t>
      </w:r>
      <w:r>
        <w:rPr>
          <w:rFonts w:hint="eastAsia" w:ascii="宋体" w:hAnsi="宋体"/>
          <w:b/>
          <w:bCs/>
          <w:color w:val="000000"/>
          <w:szCs w:val="21"/>
        </w:rPr>
        <w:t>、</w:t>
      </w:r>
      <w:r>
        <w:rPr>
          <w:rFonts w:hint="eastAsia" w:ascii="宋体" w:hAnsi="宋体"/>
          <w:b/>
          <w:color w:val="000000"/>
          <w:szCs w:val="21"/>
        </w:rPr>
        <w:t>保证金（询价保证金）</w:t>
      </w:r>
      <w:r>
        <w:rPr>
          <w:rFonts w:hint="eastAsia" w:ascii="宋体" w:hAnsi="宋体"/>
          <w:b/>
          <w:bCs/>
          <w:color w:val="000000"/>
          <w:szCs w:val="21"/>
        </w:rPr>
        <w:t>：</w:t>
      </w:r>
      <w:r>
        <w:rPr>
          <w:rFonts w:hint="eastAsia" w:ascii="宋体" w:hAnsi="宋体" w:cs="宋体"/>
          <w:color w:val="000000"/>
          <w:szCs w:val="21"/>
        </w:rPr>
        <w:t>本项目不收</w:t>
      </w:r>
      <w:r>
        <w:rPr>
          <w:rFonts w:hint="eastAsia" w:ascii="宋体" w:hAnsi="宋体"/>
          <w:color w:val="000000"/>
          <w:szCs w:val="21"/>
        </w:rPr>
        <w:t>保证金。</w:t>
      </w:r>
    </w:p>
    <w:p w14:paraId="3A19776E">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b/>
          <w:color w:val="000000"/>
        </w:rPr>
      </w:pPr>
      <w:r>
        <w:rPr>
          <w:rFonts w:hint="eastAsia" w:ascii="宋体" w:hAnsi="宋体"/>
          <w:b/>
          <w:color w:val="000000"/>
          <w:lang w:eastAsia="zh-CN"/>
        </w:rPr>
        <w:t>七</w:t>
      </w:r>
      <w:r>
        <w:rPr>
          <w:rFonts w:hint="eastAsia" w:ascii="宋体" w:hAnsi="宋体"/>
          <w:b/>
          <w:color w:val="000000"/>
        </w:rPr>
        <w:t>、</w:t>
      </w:r>
      <w:r>
        <w:rPr>
          <w:rFonts w:hint="eastAsia" w:ascii="宋体" w:hAnsi="宋体" w:cs="宋体"/>
          <w:b/>
          <w:color w:val="000000"/>
        </w:rPr>
        <w:t>凡对本次采购提出询问，请按以下方式联系</w:t>
      </w:r>
    </w:p>
    <w:p w14:paraId="1F0C9A3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olor w:val="000000"/>
        </w:rPr>
      </w:pPr>
      <w:r>
        <w:rPr>
          <w:rFonts w:hint="eastAsia" w:ascii="宋体" w:hAnsi="宋体"/>
          <w:color w:val="000000"/>
        </w:rPr>
        <w:t>1.项目联系方式：</w:t>
      </w:r>
    </w:p>
    <w:p w14:paraId="552A026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olor w:val="000000"/>
        </w:rPr>
      </w:pPr>
      <w:r>
        <w:rPr>
          <w:rFonts w:hint="eastAsia" w:ascii="宋体" w:hAnsi="宋体"/>
          <w:color w:val="000000"/>
        </w:rPr>
        <w:t>项目联系人：贾老师；电话：18262395908；</w:t>
      </w:r>
    </w:p>
    <w:p w14:paraId="3D2C70CF">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olor w:val="000000"/>
        </w:rPr>
      </w:pPr>
      <w:bookmarkStart w:id="17" w:name="_Toc28359009"/>
      <w:bookmarkStart w:id="18" w:name="_Toc28359086"/>
      <w:r>
        <w:rPr>
          <w:rFonts w:hint="eastAsia" w:ascii="宋体" w:hAnsi="宋体"/>
          <w:color w:val="000000"/>
        </w:rPr>
        <w:t>2.</w:t>
      </w:r>
      <w:bookmarkEnd w:id="17"/>
      <w:bookmarkEnd w:id="18"/>
      <w:bookmarkStart w:id="19" w:name="_Toc28359010"/>
      <w:bookmarkStart w:id="20" w:name="_Toc28359087"/>
      <w:r>
        <w:rPr>
          <w:rFonts w:hint="eastAsia" w:ascii="宋体" w:hAnsi="宋体"/>
          <w:color w:val="000000"/>
        </w:rPr>
        <w:t>采购人信息：</w:t>
      </w:r>
    </w:p>
    <w:p w14:paraId="62BDD6E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olor w:val="000000"/>
        </w:rPr>
      </w:pPr>
      <w:r>
        <w:rPr>
          <w:rFonts w:hint="eastAsia" w:ascii="宋体" w:hAnsi="宋体"/>
          <w:color w:val="000000"/>
        </w:rPr>
        <w:t>名称：江苏医药职业学院；</w:t>
      </w:r>
    </w:p>
    <w:p w14:paraId="1E1102A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olor w:val="000000"/>
        </w:rPr>
      </w:pPr>
      <w:r>
        <w:rPr>
          <w:rFonts w:hint="eastAsia" w:ascii="宋体" w:hAnsi="宋体"/>
          <w:color w:val="000000"/>
        </w:rPr>
        <w:t>地址：盐城市解放南路283号行政楼208室</w:t>
      </w:r>
    </w:p>
    <w:p w14:paraId="50DB43D5">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olor w:val="000000"/>
        </w:rPr>
      </w:pPr>
      <w:r>
        <w:rPr>
          <w:rFonts w:hint="eastAsia" w:ascii="宋体" w:hAnsi="宋体"/>
          <w:color w:val="000000"/>
        </w:rPr>
        <w:t>联系方式：刘老师；电话：0515-88550311；</w:t>
      </w:r>
    </w:p>
    <w:p w14:paraId="6E11C33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olor w:val="000000"/>
        </w:rPr>
      </w:pPr>
      <w:r>
        <w:rPr>
          <w:rFonts w:hint="eastAsia" w:ascii="宋体" w:hAnsi="宋体"/>
          <w:color w:val="000000"/>
        </w:rPr>
        <w:t>3.</w:t>
      </w:r>
      <w:bookmarkEnd w:id="19"/>
      <w:bookmarkEnd w:id="20"/>
      <w:r>
        <w:rPr>
          <w:rFonts w:hint="eastAsia" w:ascii="宋体" w:hAnsi="宋体"/>
          <w:color w:val="000000"/>
        </w:rPr>
        <w:t>采购代理机构信息：名称：盐城市携手阳光集中采购代理有限公司；</w:t>
      </w:r>
    </w:p>
    <w:p w14:paraId="6F8E9774">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olor w:val="000000"/>
        </w:rPr>
      </w:pPr>
      <w:r>
        <w:rPr>
          <w:rFonts w:hint="eastAsia" w:ascii="宋体" w:hAnsi="宋体"/>
          <w:color w:val="000000"/>
        </w:rPr>
        <w:t>联系方式：万成杨；电话：17705100013；</w:t>
      </w:r>
    </w:p>
    <w:p w14:paraId="685080D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olor w:val="000000"/>
        </w:rPr>
      </w:pPr>
      <w:r>
        <w:rPr>
          <w:rFonts w:hint="eastAsia" w:ascii="宋体" w:hAnsi="宋体"/>
          <w:color w:val="000000"/>
        </w:rPr>
        <w:t>地址：盐城市府西路2号华邦国际西厦A（东）区302室（邮编224000）</w:t>
      </w:r>
    </w:p>
    <w:p w14:paraId="09257382">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ascii="宋体" w:hAnsi="宋体"/>
          <w:b/>
          <w:bCs/>
          <w:color w:val="000000"/>
        </w:rPr>
      </w:pPr>
      <w:r>
        <w:rPr>
          <w:rFonts w:hint="eastAsia" w:ascii="宋体" w:hAnsi="宋体"/>
          <w:b/>
          <w:bCs/>
          <w:color w:val="000000"/>
        </w:rPr>
        <w:t>邮箱：xsyg007@163.com  </w:t>
      </w:r>
    </w:p>
    <w:p w14:paraId="3A66203A">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ascii="宋体" w:hAnsi="宋体"/>
          <w:szCs w:val="21"/>
        </w:rPr>
      </w:pPr>
      <w:r>
        <w:rPr>
          <w:rFonts w:hint="eastAsia" w:ascii="宋体" w:hAnsi="宋体"/>
          <w:b/>
          <w:bCs/>
          <w:color w:val="000000"/>
        </w:rPr>
        <w:t>对项目需求部分的询问、质疑请向项目联系人提出，由项目联系人负责答复；对项目招标文件其它部分的询问、质疑向采购代理机构提出。</w:t>
      </w:r>
    </w:p>
    <w:p w14:paraId="5A9DEA58">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b/>
          <w:color w:val="000000"/>
        </w:rPr>
      </w:pPr>
      <w:r>
        <w:rPr>
          <w:rFonts w:hint="eastAsia" w:ascii="宋体" w:hAnsi="宋体"/>
          <w:b/>
          <w:color w:val="000000"/>
          <w:lang w:eastAsia="zh-CN"/>
        </w:rPr>
        <w:t>八</w:t>
      </w:r>
      <w:r>
        <w:rPr>
          <w:rFonts w:hint="eastAsia" w:ascii="宋体" w:hAnsi="宋体"/>
          <w:b/>
          <w:color w:val="000000"/>
        </w:rPr>
        <w:t>、其他补充事宜</w:t>
      </w:r>
    </w:p>
    <w:p w14:paraId="6408F770">
      <w:pPr>
        <w:keepNext w:val="0"/>
        <w:keepLines w:val="0"/>
        <w:pageBreakBefore w:val="0"/>
        <w:widowControl w:val="0"/>
        <w:kinsoku/>
        <w:wordWrap/>
        <w:overflowPunct/>
        <w:topLinePunct w:val="0"/>
        <w:autoSpaceDE/>
        <w:autoSpaceDN/>
        <w:bidi w:val="0"/>
        <w:adjustRightInd/>
        <w:snapToGrid/>
        <w:spacing w:line="500" w:lineRule="exact"/>
        <w:ind w:firstLine="411" w:firstLineChars="196"/>
        <w:textAlignment w:val="auto"/>
        <w:rPr>
          <w:rFonts w:ascii="宋体" w:hAnsi="宋体"/>
          <w:b/>
          <w:color w:val="000000"/>
        </w:rPr>
      </w:pPr>
      <w:r>
        <w:rPr>
          <w:rFonts w:hint="eastAsia"/>
          <w:color w:val="000000"/>
          <w:szCs w:val="21"/>
        </w:rPr>
        <w:t>本次采购活动中，</w:t>
      </w:r>
      <w:r>
        <w:rPr>
          <w:rFonts w:hint="eastAsia" w:ascii="宋体" w:hAnsi="宋体"/>
          <w:color w:val="000000"/>
          <w:szCs w:val="21"/>
        </w:rPr>
        <w:t>盐城市携手阳光集中采购代理有限公司可简称为携手阳光公司</w:t>
      </w:r>
    </w:p>
    <w:p w14:paraId="0080979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b/>
          <w:color w:val="000000"/>
        </w:rPr>
      </w:pPr>
      <w:r>
        <w:rPr>
          <w:rFonts w:hint="eastAsia" w:ascii="宋体" w:hAnsi="宋体"/>
          <w:color w:val="000000"/>
          <w:szCs w:val="21"/>
        </w:rPr>
        <w:t>欢迎对携手阳光公司的服务质量、业务水平进行监督（柏经理，18662096009）</w:t>
      </w:r>
    </w:p>
    <w:p w14:paraId="0F10E74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b/>
          <w:color w:val="000000"/>
        </w:rPr>
      </w:pPr>
      <w:r>
        <w:rPr>
          <w:rFonts w:hint="eastAsia"/>
          <w:color w:val="000000"/>
        </w:rPr>
        <w:t>本项目鼓励供应商开展信用担保（0515-88285999）</w:t>
      </w:r>
      <w:r>
        <w:rPr>
          <w:rFonts w:hint="eastAsia" w:ascii="宋体" w:hAnsi="宋体"/>
          <w:color w:val="000000"/>
          <w:szCs w:val="21"/>
        </w:rPr>
        <w:t>、扶持不发达地区等政府采购政策</w:t>
      </w:r>
    </w:p>
    <w:p w14:paraId="35AF0BD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color w:val="000000"/>
        </w:rPr>
      </w:pPr>
      <w:r>
        <w:rPr>
          <w:rFonts w:hint="eastAsia" w:ascii="宋体" w:hAnsi="宋体"/>
          <w:color w:val="000000"/>
          <w:szCs w:val="21"/>
        </w:rPr>
        <w:t>本次采购使用时间</w:t>
      </w:r>
      <w:r>
        <w:rPr>
          <w:rFonts w:hint="eastAsia" w:ascii="宋体" w:hAnsi="宋体" w:cs="宋体"/>
          <w:color w:val="000000"/>
          <w:szCs w:val="21"/>
        </w:rPr>
        <w:t>为北京时间（24小时制）</w:t>
      </w:r>
      <w:r>
        <w:rPr>
          <w:rFonts w:hint="eastAsia" w:ascii="宋体" w:hAnsi="宋体"/>
          <w:color w:val="000000"/>
          <w:szCs w:val="21"/>
        </w:rPr>
        <w:t>，货币单位为人民币</w:t>
      </w:r>
    </w:p>
    <w:p w14:paraId="358C165C">
      <w:pPr>
        <w:pStyle w:val="8"/>
        <w:keepNext w:val="0"/>
        <w:keepLines w:val="0"/>
        <w:pageBreakBefore w:val="0"/>
        <w:widowControl w:val="0"/>
        <w:kinsoku/>
        <w:wordWrap/>
        <w:overflowPunct/>
        <w:topLinePunct w:val="0"/>
        <w:autoSpaceDE/>
        <w:autoSpaceDN/>
        <w:bidi w:val="0"/>
        <w:adjustRightInd/>
        <w:snapToGrid/>
        <w:spacing w:line="500" w:lineRule="exact"/>
        <w:textAlignment w:val="auto"/>
        <w:rPr>
          <w:color w:val="000000"/>
        </w:rPr>
      </w:pPr>
    </w:p>
    <w:p w14:paraId="460D7021">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ascii="宋体" w:hAnsi="宋体"/>
          <w:color w:val="000000"/>
          <w:szCs w:val="21"/>
        </w:rPr>
      </w:pPr>
      <w:r>
        <w:rPr>
          <w:rFonts w:hint="eastAsia" w:ascii="宋体" w:hAnsi="宋体"/>
          <w:color w:val="000000"/>
          <w:szCs w:val="21"/>
        </w:rPr>
        <w:t>盐城市携手阳光集中采购代理有限公司</w:t>
      </w:r>
    </w:p>
    <w:p w14:paraId="037F152D">
      <w:pPr>
        <w:keepNext w:val="0"/>
        <w:keepLines w:val="0"/>
        <w:pageBreakBefore w:val="0"/>
        <w:widowControl w:val="0"/>
        <w:kinsoku/>
        <w:wordWrap/>
        <w:overflowPunct/>
        <w:topLinePunct w:val="0"/>
        <w:autoSpaceDE/>
        <w:autoSpaceDN/>
        <w:bidi w:val="0"/>
        <w:adjustRightInd/>
        <w:snapToGrid/>
        <w:spacing w:line="500" w:lineRule="exact"/>
        <w:jc w:val="right"/>
        <w:textAlignment w:val="auto"/>
        <w:rPr>
          <w:color w:val="000000"/>
        </w:rPr>
      </w:pPr>
      <w:r>
        <w:rPr>
          <w:rFonts w:hint="eastAsia" w:ascii="宋体" w:hAnsi="宋体"/>
          <w:szCs w:val="21"/>
        </w:rPr>
        <w:t>202</w:t>
      </w:r>
      <w:r>
        <w:rPr>
          <w:rFonts w:hint="eastAsia" w:ascii="宋体" w:hAnsi="宋体"/>
          <w:szCs w:val="21"/>
          <w:lang w:val="en-US" w:eastAsia="zh-CN"/>
        </w:rPr>
        <w:t>6</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17</w:t>
      </w:r>
      <w:r>
        <w:rPr>
          <w:rFonts w:hint="eastAsia" w:ascii="宋体" w:hAnsi="宋体"/>
          <w:szCs w:val="21"/>
        </w:rPr>
        <w:t>日</w:t>
      </w:r>
      <w:bookmarkStart w:id="21" w:name="_Toc61149549"/>
      <w:bookmarkStart w:id="22" w:name="_Toc14577347"/>
      <w:bookmarkStart w:id="23" w:name="_Toc513029209"/>
    </w:p>
    <w:p w14:paraId="402BD4D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宋体" w:hAnsi="宋体"/>
          <w:b/>
          <w:color w:val="000000"/>
          <w:sz w:val="28"/>
          <w:szCs w:val="28"/>
        </w:rPr>
      </w:pPr>
      <w:bookmarkStart w:id="24" w:name="_Toc184029940"/>
    </w:p>
    <w:p w14:paraId="592BBC8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宋体" w:hAnsi="宋体"/>
          <w:b/>
          <w:color w:val="000000"/>
          <w:sz w:val="28"/>
          <w:szCs w:val="28"/>
        </w:rPr>
      </w:pPr>
    </w:p>
    <w:p w14:paraId="572738E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宋体" w:hAnsi="宋体"/>
          <w:b/>
          <w:color w:val="000000"/>
          <w:sz w:val="28"/>
          <w:szCs w:val="28"/>
        </w:rPr>
      </w:pPr>
    </w:p>
    <w:p w14:paraId="62CC7E49">
      <w:pPr>
        <w:spacing w:line="398" w:lineRule="exact"/>
        <w:jc w:val="both"/>
        <w:outlineLvl w:val="0"/>
        <w:rPr>
          <w:rFonts w:hint="eastAsia" w:ascii="宋体" w:hAnsi="宋体"/>
          <w:b/>
          <w:color w:val="000000"/>
          <w:sz w:val="28"/>
          <w:szCs w:val="28"/>
        </w:rPr>
      </w:pPr>
    </w:p>
    <w:p w14:paraId="7C13526F">
      <w:pPr>
        <w:spacing w:line="398" w:lineRule="exact"/>
        <w:jc w:val="center"/>
        <w:outlineLvl w:val="0"/>
        <w:rPr>
          <w:rFonts w:hint="eastAsia" w:ascii="宋体" w:hAnsi="宋体"/>
          <w:b/>
          <w:color w:val="000000"/>
          <w:sz w:val="28"/>
          <w:szCs w:val="28"/>
        </w:rPr>
      </w:pPr>
    </w:p>
    <w:p w14:paraId="15C9CCC2">
      <w:pPr>
        <w:spacing w:line="398" w:lineRule="exact"/>
        <w:jc w:val="center"/>
        <w:outlineLvl w:val="0"/>
        <w:rPr>
          <w:rFonts w:ascii="宋体" w:hAnsi="宋体"/>
          <w:b/>
          <w:color w:val="000000"/>
          <w:sz w:val="28"/>
          <w:szCs w:val="28"/>
        </w:rPr>
      </w:pPr>
      <w:r>
        <w:rPr>
          <w:rFonts w:hint="eastAsia" w:ascii="宋体" w:hAnsi="宋体"/>
          <w:b/>
          <w:color w:val="000000"/>
          <w:sz w:val="28"/>
          <w:szCs w:val="28"/>
        </w:rPr>
        <w:t>第二章  供货商须知</w:t>
      </w:r>
      <w:bookmarkEnd w:id="24"/>
    </w:p>
    <w:bookmarkEnd w:id="21"/>
    <w:bookmarkEnd w:id="22"/>
    <w:bookmarkEnd w:id="23"/>
    <w:tbl>
      <w:tblPr>
        <w:tblStyle w:val="27"/>
        <w:tblW w:w="9777" w:type="dxa"/>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06"/>
        <w:gridCol w:w="8471"/>
      </w:tblGrid>
      <w:tr w14:paraId="1C7912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trPr>
        <w:tc>
          <w:tcPr>
            <w:tcW w:w="1306" w:type="dxa"/>
            <w:vAlign w:val="center"/>
          </w:tcPr>
          <w:p w14:paraId="2C25BB6D">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条款号/名称</w:t>
            </w:r>
          </w:p>
        </w:tc>
        <w:tc>
          <w:tcPr>
            <w:tcW w:w="8471" w:type="dxa"/>
            <w:vAlign w:val="center"/>
          </w:tcPr>
          <w:p w14:paraId="4603880C">
            <w:pPr>
              <w:keepNext w:val="0"/>
              <w:keepLines w:val="0"/>
              <w:pageBreakBefore w:val="0"/>
              <w:widowControl w:val="0"/>
              <w:kinsoku/>
              <w:wordWrap/>
              <w:overflowPunct/>
              <w:topLinePunct w:val="0"/>
              <w:autoSpaceDE/>
              <w:autoSpaceDN/>
              <w:bidi w:val="0"/>
              <w:adjustRightInd/>
              <w:snapToGrid/>
              <w:spacing w:line="480" w:lineRule="auto"/>
              <w:ind w:firstLine="422"/>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内      容</w:t>
            </w:r>
          </w:p>
        </w:tc>
      </w:tr>
      <w:tr w14:paraId="2C8080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46" w:hRule="atLeast"/>
        </w:trPr>
        <w:tc>
          <w:tcPr>
            <w:tcW w:w="1306" w:type="dxa"/>
            <w:vAlign w:val="center"/>
          </w:tcPr>
          <w:p w14:paraId="487873B8">
            <w:pPr>
              <w:keepNext w:val="0"/>
              <w:keepLines w:val="0"/>
              <w:pageBreakBefore w:val="0"/>
              <w:widowControl w:val="0"/>
              <w:kinsoku/>
              <w:wordWrap/>
              <w:overflowPunct/>
              <w:topLinePunct w:val="0"/>
              <w:autoSpaceDE/>
              <w:autoSpaceDN/>
              <w:bidi w:val="0"/>
              <w:adjustRightInd/>
              <w:snapToGrid/>
              <w:spacing w:line="480" w:lineRule="auto"/>
              <w:ind w:firstLine="422"/>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bCs/>
                <w:sz w:val="21"/>
                <w:szCs w:val="21"/>
              </w:rPr>
              <w:t>说明</w:t>
            </w:r>
          </w:p>
        </w:tc>
        <w:tc>
          <w:tcPr>
            <w:tcW w:w="8471" w:type="dxa"/>
            <w:vAlign w:val="center"/>
          </w:tcPr>
          <w:p w14:paraId="1D4A2763">
            <w:pPr>
              <w:keepNext w:val="0"/>
              <w:keepLines w:val="0"/>
              <w:pageBreakBefore w:val="0"/>
              <w:widowControl w:val="0"/>
              <w:kinsoku/>
              <w:wordWrap/>
              <w:overflowPunct/>
              <w:topLinePunct w:val="0"/>
              <w:autoSpaceDE/>
              <w:autoSpaceDN/>
              <w:bidi w:val="0"/>
              <w:adjustRightInd/>
              <w:snapToGrid/>
              <w:spacing w:line="480" w:lineRule="auto"/>
              <w:ind w:firstLine="422" w:firstLineChars="200"/>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bCs/>
                <w:sz w:val="21"/>
                <w:szCs w:val="21"/>
              </w:rPr>
              <w:t>江苏医药职业学院是省卫健委直属全日制公办专科层次普通高等学校。本项目预算未达到现时有效的政府采购的限额标准，同时本项目的采购内容也未列入现时有效的集中采购目录，因此，本项目并不属于政府采购项目。</w:t>
            </w:r>
          </w:p>
        </w:tc>
      </w:tr>
      <w:tr w14:paraId="05DAA5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6" w:hRule="atLeast"/>
        </w:trPr>
        <w:tc>
          <w:tcPr>
            <w:tcW w:w="1306" w:type="dxa"/>
            <w:vAlign w:val="center"/>
          </w:tcPr>
          <w:p w14:paraId="26F0E3BF">
            <w:pPr>
              <w:keepNext w:val="0"/>
              <w:keepLines w:val="0"/>
              <w:pageBreakBefore w:val="0"/>
              <w:widowControl w:val="0"/>
              <w:kinsoku/>
              <w:wordWrap/>
              <w:overflowPunct/>
              <w:topLinePunct w:val="0"/>
              <w:autoSpaceDE/>
              <w:autoSpaceDN/>
              <w:bidi w:val="0"/>
              <w:adjustRightInd/>
              <w:snapToGrid/>
              <w:spacing w:line="480" w:lineRule="auto"/>
              <w:ind w:firstLine="422"/>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适用</w:t>
            </w:r>
          </w:p>
          <w:p w14:paraId="6D528BA8">
            <w:pPr>
              <w:keepNext w:val="0"/>
              <w:keepLines w:val="0"/>
              <w:pageBreakBefore w:val="0"/>
              <w:widowControl w:val="0"/>
              <w:kinsoku/>
              <w:wordWrap/>
              <w:overflowPunct/>
              <w:topLinePunct w:val="0"/>
              <w:autoSpaceDE/>
              <w:autoSpaceDN/>
              <w:bidi w:val="0"/>
              <w:adjustRightInd/>
              <w:snapToGrid/>
              <w:spacing w:line="480" w:lineRule="auto"/>
              <w:ind w:firstLine="422"/>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法律</w:t>
            </w:r>
          </w:p>
        </w:tc>
        <w:tc>
          <w:tcPr>
            <w:tcW w:w="8471" w:type="dxa"/>
            <w:vAlign w:val="center"/>
          </w:tcPr>
          <w:p w14:paraId="174B0272">
            <w:pPr>
              <w:keepNext w:val="0"/>
              <w:keepLines w:val="0"/>
              <w:pageBreakBefore w:val="0"/>
              <w:widowControl w:val="0"/>
              <w:kinsoku/>
              <w:wordWrap/>
              <w:overflowPunct/>
              <w:topLinePunct w:val="0"/>
              <w:autoSpaceDE/>
              <w:autoSpaceDN/>
              <w:bidi w:val="0"/>
              <w:adjustRightInd/>
              <w:snapToGrid/>
              <w:spacing w:line="480" w:lineRule="auto"/>
              <w:ind w:firstLine="422" w:firstLineChars="20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
                <w:bCs/>
                <w:sz w:val="21"/>
                <w:szCs w:val="21"/>
              </w:rPr>
              <w:t>本次采购适用于招标人的内控制度（政府采购限额以下项目或非必招项目）。为规范采购活动，携手阳光公司参照政府采购程序组织本次采购活动。</w:t>
            </w:r>
          </w:p>
        </w:tc>
      </w:tr>
      <w:tr w14:paraId="6925B3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6" w:hRule="atLeast"/>
        </w:trPr>
        <w:tc>
          <w:tcPr>
            <w:tcW w:w="1306" w:type="dxa"/>
            <w:vAlign w:val="center"/>
          </w:tcPr>
          <w:p w14:paraId="3024AE6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bCs/>
                <w:sz w:val="21"/>
                <w:szCs w:val="21"/>
              </w:rPr>
              <w:t>与投标人的联系</w:t>
            </w:r>
          </w:p>
        </w:tc>
        <w:tc>
          <w:tcPr>
            <w:tcW w:w="8471" w:type="dxa"/>
            <w:vAlign w:val="center"/>
          </w:tcPr>
          <w:p w14:paraId="57F10831">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法律法规中规定招标人、采购代理机构须以书面形式通知投标人的，为提高政府采购效率，招标人、采购代理机构可以以电子邮件</w:t>
            </w:r>
            <w:r>
              <w:rPr>
                <w:rFonts w:hint="eastAsia" w:asciiTheme="minorEastAsia" w:hAnsiTheme="minorEastAsia" w:eastAsiaTheme="minorEastAsia" w:cstheme="minorEastAsia"/>
                <w:b/>
                <w:sz w:val="21"/>
                <w:szCs w:val="21"/>
              </w:rPr>
              <w:t>（</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"mailto:XSYG0515@163.COM"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b/>
                <w:sz w:val="21"/>
                <w:szCs w:val="21"/>
              </w:rPr>
              <w:t>xsyg007@163.com</w:t>
            </w:r>
            <w:r>
              <w:rPr>
                <w:rFonts w:hint="eastAsia" w:asciiTheme="minorEastAsia" w:hAnsiTheme="minorEastAsia" w:eastAsiaTheme="minorEastAsia" w:cstheme="minorEastAsia"/>
                <w:b/>
                <w:sz w:val="21"/>
                <w:szCs w:val="21"/>
              </w:rPr>
              <w:fldChar w:fldCharType="end"/>
            </w:r>
            <w:r>
              <w:rPr>
                <w:rFonts w:hint="eastAsia" w:asciiTheme="minorEastAsia" w:hAnsiTheme="minorEastAsia" w:eastAsiaTheme="minorEastAsia" w:cstheme="minorEastAsia"/>
                <w:b/>
                <w:sz w:val="21"/>
                <w:szCs w:val="21"/>
              </w:rPr>
              <w:t>）</w:t>
            </w:r>
            <w:r>
              <w:rPr>
                <w:rFonts w:hint="eastAsia" w:asciiTheme="minorEastAsia" w:hAnsiTheme="minorEastAsia" w:eastAsiaTheme="minorEastAsia" w:cstheme="minorEastAsia"/>
                <w:sz w:val="21"/>
                <w:szCs w:val="21"/>
              </w:rPr>
              <w:t>方式通知投标人（视为书面通知）</w:t>
            </w:r>
          </w:p>
        </w:tc>
      </w:tr>
      <w:tr w14:paraId="39D75E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6" w:hRule="atLeast"/>
        </w:trPr>
        <w:tc>
          <w:tcPr>
            <w:tcW w:w="1306" w:type="dxa"/>
            <w:vAlign w:val="center"/>
          </w:tcPr>
          <w:p w14:paraId="6B820F42">
            <w:pPr>
              <w:keepNext w:val="0"/>
              <w:keepLines w:val="0"/>
              <w:pageBreakBefore w:val="0"/>
              <w:widowControl w:val="0"/>
              <w:kinsoku/>
              <w:wordWrap/>
              <w:overflowPunct/>
              <w:topLinePunct w:val="0"/>
              <w:autoSpaceDE/>
              <w:autoSpaceDN/>
              <w:bidi w:val="0"/>
              <w:adjustRightInd/>
              <w:snapToGrid/>
              <w:spacing w:line="480" w:lineRule="auto"/>
              <w:ind w:firstLine="211" w:firstLineChars="10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招标文件</w:t>
            </w:r>
          </w:p>
        </w:tc>
        <w:tc>
          <w:tcPr>
            <w:tcW w:w="8471" w:type="dxa"/>
            <w:vAlign w:val="center"/>
          </w:tcPr>
          <w:p w14:paraId="5E462EF5">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投标人一旦参加本项目采购活动，即代表投标人已阅读了本招标文件每一条条款，并接受了本招标文件所有的规定和约束。</w:t>
            </w:r>
          </w:p>
        </w:tc>
      </w:tr>
      <w:tr w14:paraId="198D11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6" w:hRule="atLeast"/>
        </w:trPr>
        <w:tc>
          <w:tcPr>
            <w:tcW w:w="1306" w:type="dxa"/>
            <w:vAlign w:val="center"/>
          </w:tcPr>
          <w:p w14:paraId="50730853">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投标有效期</w:t>
            </w:r>
          </w:p>
        </w:tc>
        <w:tc>
          <w:tcPr>
            <w:tcW w:w="8471" w:type="dxa"/>
            <w:vAlign w:val="center"/>
          </w:tcPr>
          <w:p w14:paraId="7DDDCA68">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自投标截止之日起60个日历日</w:t>
            </w:r>
          </w:p>
        </w:tc>
      </w:tr>
      <w:tr w14:paraId="07374A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6" w:hRule="atLeast"/>
        </w:trPr>
        <w:tc>
          <w:tcPr>
            <w:tcW w:w="1306" w:type="dxa"/>
            <w:vAlign w:val="center"/>
          </w:tcPr>
          <w:p w14:paraId="4C0DED96">
            <w:pPr>
              <w:keepNext w:val="0"/>
              <w:keepLines w:val="0"/>
              <w:pageBreakBefore w:val="0"/>
              <w:widowControl w:val="0"/>
              <w:kinsoku/>
              <w:wordWrap/>
              <w:overflowPunct/>
              <w:topLinePunct w:val="0"/>
              <w:autoSpaceDE/>
              <w:autoSpaceDN/>
              <w:bidi w:val="0"/>
              <w:adjustRightInd/>
              <w:snapToGrid/>
              <w:spacing w:line="480" w:lineRule="auto"/>
              <w:ind w:firstLine="422"/>
              <w:textAlignment w:val="auto"/>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文件</w:t>
            </w:r>
          </w:p>
        </w:tc>
        <w:tc>
          <w:tcPr>
            <w:tcW w:w="8471" w:type="dxa"/>
            <w:vAlign w:val="center"/>
          </w:tcPr>
          <w:p w14:paraId="14B44FBC">
            <w:pPr>
              <w:keepNext w:val="0"/>
              <w:keepLines w:val="0"/>
              <w:pageBreakBefore w:val="0"/>
              <w:widowControl w:val="0"/>
              <w:kinsoku/>
              <w:wordWrap/>
              <w:overflowPunct/>
              <w:topLinePunct w:val="0"/>
              <w:autoSpaceDE/>
              <w:autoSpaceDN/>
              <w:bidi w:val="0"/>
              <w:adjustRightInd/>
              <w:snapToGrid/>
              <w:spacing w:line="480" w:lineRule="auto"/>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投标文件（每个分包）：正本：1份、副本：4份（建议正本与副本分开封装），同时递交一份电子版投标文件（U盘）。</w:t>
            </w:r>
          </w:p>
        </w:tc>
      </w:tr>
      <w:tr w14:paraId="7A68AA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3" w:hRule="atLeast"/>
        </w:trPr>
        <w:tc>
          <w:tcPr>
            <w:tcW w:w="1306" w:type="dxa"/>
            <w:vAlign w:val="center"/>
          </w:tcPr>
          <w:p w14:paraId="725C04A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bCs/>
                <w:sz w:val="21"/>
                <w:szCs w:val="21"/>
              </w:rPr>
              <w:t>履约保证金</w:t>
            </w:r>
          </w:p>
        </w:tc>
        <w:tc>
          <w:tcPr>
            <w:tcW w:w="8471" w:type="dxa"/>
            <w:vAlign w:val="center"/>
          </w:tcPr>
          <w:p w14:paraId="7AE53D8A">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在签订合同前，中标人需向招标人交纳履约保证金（</w:t>
            </w:r>
            <w:r>
              <w:rPr>
                <w:rFonts w:hint="eastAsia" w:asciiTheme="minorEastAsia" w:hAnsiTheme="minorEastAsia" w:eastAsiaTheme="minorEastAsia" w:cstheme="minorEastAsia"/>
                <w:b/>
                <w:bCs/>
                <w:sz w:val="21"/>
                <w:szCs w:val="21"/>
              </w:rPr>
              <w:t>以支票、汇票、本票或者金融机构、担保机构出具的保函等非现金形式提交履约保证金。</w:t>
            </w:r>
            <w:r>
              <w:rPr>
                <w:rFonts w:hint="eastAsia" w:asciiTheme="minorEastAsia" w:hAnsiTheme="minorEastAsia" w:eastAsiaTheme="minorEastAsia" w:cstheme="minorEastAsia"/>
                <w:sz w:val="21"/>
                <w:szCs w:val="21"/>
              </w:rPr>
              <w:t>请将履约保证金相关凭证发送至QQ邮箱：</w:t>
            </w:r>
            <w:r>
              <w:rPr>
                <w:rFonts w:hint="eastAsia" w:asciiTheme="minorEastAsia" w:hAnsiTheme="minorEastAsia" w:eastAsiaTheme="minorEastAsia" w:cstheme="minorEastAsia"/>
                <w:color w:val="auto"/>
                <w:sz w:val="21"/>
                <w:szCs w:val="21"/>
                <w:u w:val="none"/>
              </w:rPr>
              <w:t>532223373@qq.com），具体金额为</w:t>
            </w:r>
            <w:r>
              <w:rPr>
                <w:rFonts w:hint="eastAsia" w:asciiTheme="minorEastAsia" w:hAnsiTheme="minorEastAsia" w:eastAsiaTheme="minorEastAsia" w:cstheme="minorEastAsia"/>
                <w:color w:val="auto"/>
                <w:sz w:val="21"/>
                <w:szCs w:val="21"/>
                <w:u w:val="none"/>
                <w:lang w:val="en-US" w:eastAsia="zh-CN"/>
              </w:rPr>
              <w:t>合同价的5%</w:t>
            </w:r>
            <w:r>
              <w:rPr>
                <w:rFonts w:hint="eastAsia" w:asciiTheme="minorEastAsia" w:hAnsiTheme="minorEastAsia" w:eastAsiaTheme="minorEastAsia" w:cstheme="minorEastAsia"/>
                <w:color w:val="auto"/>
                <w:sz w:val="21"/>
                <w:szCs w:val="21"/>
                <w:u w:val="none"/>
              </w:rPr>
              <w:t>。拟中标人应当按照招标人的要求及时、足额缴纳履约保证金，履约保证金待项目履约结束后一次性无息退还。（凭“保证金请退函”到学校国资处办理退款手续）。如果中标人不履行合同约定的义务，未能完全履行合同规定的义务或其履行不符合合同的约定，招标人有权扣除履约保证金取得补偿。</w:t>
            </w:r>
            <w:bookmarkStart w:id="25" w:name="_Toc118235408"/>
          </w:p>
          <w:p w14:paraId="7322D957">
            <w:pPr>
              <w:keepNext w:val="0"/>
              <w:keepLines w:val="0"/>
              <w:pageBreakBefore w:val="0"/>
              <w:widowControl w:val="0"/>
              <w:kinsoku/>
              <w:wordWrap/>
              <w:overflowPunct/>
              <w:topLinePunct w:val="0"/>
              <w:autoSpaceDE/>
              <w:autoSpaceDN/>
              <w:bidi w:val="0"/>
              <w:adjustRightInd/>
              <w:snapToGrid/>
              <w:spacing w:line="480" w:lineRule="auto"/>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具体履约保证金事项详见：《供货商须知》六、</w:t>
            </w:r>
            <w:r>
              <w:rPr>
                <w:rFonts w:hint="eastAsia" w:asciiTheme="minorEastAsia" w:hAnsiTheme="minorEastAsia" w:eastAsiaTheme="minorEastAsia" w:cstheme="minorEastAsia"/>
                <w:b/>
                <w:bCs/>
                <w:sz w:val="21"/>
                <w:szCs w:val="21"/>
                <w:lang w:eastAsia="zh-CN"/>
              </w:rPr>
              <w:t>履约保证金</w:t>
            </w:r>
            <w:r>
              <w:rPr>
                <w:rFonts w:hint="eastAsia" w:asciiTheme="minorEastAsia" w:hAnsiTheme="minorEastAsia" w:eastAsiaTheme="minorEastAsia" w:cstheme="minorEastAsia"/>
                <w:b/>
                <w:bCs/>
                <w:sz w:val="21"/>
                <w:szCs w:val="21"/>
              </w:rPr>
              <w:t>相关事项。</w:t>
            </w:r>
            <w:bookmarkEnd w:id="25"/>
          </w:p>
        </w:tc>
      </w:tr>
      <w:tr w14:paraId="7EEEE1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9" w:hRule="atLeast"/>
        </w:trPr>
        <w:tc>
          <w:tcPr>
            <w:tcW w:w="1306" w:type="dxa"/>
            <w:vAlign w:val="center"/>
          </w:tcPr>
          <w:p w14:paraId="7D66BBE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bCs/>
                <w:sz w:val="21"/>
                <w:szCs w:val="21"/>
              </w:rPr>
              <w:t>代理服务费</w:t>
            </w:r>
          </w:p>
        </w:tc>
        <w:tc>
          <w:tcPr>
            <w:tcW w:w="8471" w:type="dxa"/>
            <w:vAlign w:val="center"/>
          </w:tcPr>
          <w:p w14:paraId="5DA18355">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代理服务费（中标服务费）：本项目的代理服务费由中标人承担。</w:t>
            </w:r>
          </w:p>
          <w:p w14:paraId="01167198">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代理服务费收费标准：为方便计算，代理服务费参照原《招标代理服务收费管理暂行办法》（计价格[2002]1980号）收费标准40%计取，（如低于3000元的，按3000元计取）。</w:t>
            </w:r>
          </w:p>
        </w:tc>
      </w:tr>
      <w:tr w14:paraId="62C979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88" w:hRule="atLeast"/>
        </w:trPr>
        <w:tc>
          <w:tcPr>
            <w:tcW w:w="1306" w:type="dxa"/>
            <w:vAlign w:val="center"/>
          </w:tcPr>
          <w:p w14:paraId="7383A4B4">
            <w:pPr>
              <w:keepNext w:val="0"/>
              <w:keepLines w:val="0"/>
              <w:pageBreakBefore w:val="0"/>
              <w:widowControl w:val="0"/>
              <w:kinsoku/>
              <w:wordWrap/>
              <w:overflowPunct/>
              <w:topLinePunct w:val="0"/>
              <w:autoSpaceDE/>
              <w:autoSpaceDN/>
              <w:bidi w:val="0"/>
              <w:adjustRightInd/>
              <w:snapToGrid/>
              <w:spacing w:line="480" w:lineRule="auto"/>
              <w:ind w:firstLine="211" w:firstLineChars="10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sz w:val="21"/>
                <w:szCs w:val="21"/>
              </w:rPr>
              <w:t>责任说明</w:t>
            </w:r>
          </w:p>
        </w:tc>
        <w:tc>
          <w:tcPr>
            <w:tcW w:w="8471" w:type="dxa"/>
            <w:vAlign w:val="center"/>
          </w:tcPr>
          <w:p w14:paraId="2C3B2393">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所投产品除招标文件中明确规定要求提供官网截图或相应检测报告的证明材料以外，所有技术参数描述均以投标文件为准。投标人对所投产品技术参数的真实性承担法律责任。项目招标结束后、质疑期限内，如有质疑供应商认为中标供应商所投产品、投标文件技术参数与招标需求存在重大偏离、错误、甚至造假的情况，应提供具体有效的证明材料。</w:t>
            </w:r>
          </w:p>
        </w:tc>
      </w:tr>
    </w:tbl>
    <w:p w14:paraId="3A35811F">
      <w:pPr>
        <w:spacing w:line="320" w:lineRule="exact"/>
        <w:jc w:val="center"/>
        <w:rPr>
          <w:rFonts w:ascii="宋体" w:hAnsi="宋体"/>
          <w:b/>
          <w:color w:val="000000"/>
          <w:sz w:val="18"/>
          <w:szCs w:val="18"/>
        </w:rPr>
      </w:pPr>
      <w:r>
        <w:rPr>
          <w:rFonts w:hint="eastAsia" w:ascii="宋体" w:hAnsi="宋体" w:cs="宋体"/>
          <w:b/>
          <w:bCs/>
          <w:color w:val="000000"/>
          <w:sz w:val="18"/>
          <w:szCs w:val="18"/>
        </w:rPr>
        <w:t>一、</w:t>
      </w:r>
      <w:r>
        <w:rPr>
          <w:rFonts w:hint="eastAsia" w:ascii="宋体" w:hAnsi="宋体"/>
          <w:b/>
          <w:color w:val="000000"/>
          <w:sz w:val="18"/>
          <w:szCs w:val="18"/>
        </w:rPr>
        <w:t>总则</w:t>
      </w:r>
    </w:p>
    <w:p w14:paraId="4C23909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b/>
          <w:color w:val="000000"/>
          <w:szCs w:val="21"/>
        </w:rPr>
      </w:pPr>
      <w:r>
        <w:rPr>
          <w:rFonts w:hint="eastAsia" w:ascii="宋体"/>
          <w:b/>
          <w:color w:val="000000"/>
          <w:szCs w:val="21"/>
        </w:rPr>
        <w:t>1、特别说明</w:t>
      </w:r>
    </w:p>
    <w:p w14:paraId="786903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olor w:val="000000"/>
          <w:szCs w:val="21"/>
        </w:rPr>
        <w:t>1.1</w:t>
      </w:r>
      <w:r>
        <w:rPr>
          <w:rFonts w:hint="eastAsia"/>
          <w:b/>
          <w:color w:val="000000"/>
          <w:szCs w:val="21"/>
        </w:rPr>
        <w:t>本次采购适用于</w:t>
      </w:r>
      <w:r>
        <w:rPr>
          <w:rFonts w:hint="eastAsia" w:ascii="宋体"/>
          <w:b/>
          <w:color w:val="000000"/>
          <w:szCs w:val="21"/>
        </w:rPr>
        <w:t>采购人的内控制度</w:t>
      </w:r>
      <w:r>
        <w:rPr>
          <w:rFonts w:hint="eastAsia"/>
          <w:b/>
          <w:color w:val="000000"/>
          <w:szCs w:val="21"/>
        </w:rPr>
        <w:t>（政府采购限额以下项目）</w:t>
      </w:r>
      <w:r>
        <w:rPr>
          <w:rFonts w:hint="eastAsia" w:ascii="宋体"/>
          <w:b/>
          <w:color w:val="000000"/>
          <w:szCs w:val="21"/>
        </w:rPr>
        <w:t>。</w:t>
      </w:r>
      <w:r>
        <w:rPr>
          <w:rFonts w:hint="eastAsia"/>
          <w:b/>
          <w:color w:val="000000"/>
          <w:szCs w:val="21"/>
        </w:rPr>
        <w:t>为规范采购活动，</w:t>
      </w:r>
      <w:r>
        <w:rPr>
          <w:rFonts w:hint="eastAsia" w:ascii="宋体"/>
          <w:b/>
          <w:color w:val="000000"/>
          <w:szCs w:val="21"/>
        </w:rPr>
        <w:t>携手阳光公司</w:t>
      </w:r>
      <w:r>
        <w:rPr>
          <w:rFonts w:hint="eastAsia"/>
          <w:b/>
          <w:color w:val="000000"/>
          <w:szCs w:val="21"/>
        </w:rPr>
        <w:t>参照政府采购程序组织本次采购活动。</w:t>
      </w:r>
      <w:r>
        <w:rPr>
          <w:rFonts w:hint="eastAsia" w:ascii="宋体"/>
          <w:color w:val="000000"/>
          <w:szCs w:val="21"/>
        </w:rPr>
        <w:t>本次采购及由此产生的合同受中华人民共和国有关的法律法规制约和保护</w:t>
      </w:r>
      <w:r>
        <w:rPr>
          <w:rFonts w:ascii="宋体"/>
          <w:color w:val="000000"/>
          <w:szCs w:val="21"/>
        </w:rPr>
        <w:t>。</w:t>
      </w:r>
    </w:p>
    <w:p w14:paraId="1770AE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olor w:val="000000"/>
          <w:szCs w:val="21"/>
        </w:rPr>
        <w:t>1.2本采购文件采购代理机构是指盐城市携手阳光集中采购代理有限公司（本采购文件可简称：携手阳光公司）；</w:t>
      </w:r>
    </w:p>
    <w:p w14:paraId="5D561A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olor w:val="000000"/>
          <w:szCs w:val="21"/>
        </w:rPr>
        <w:t>1.3本采购文件中未尽事宜遵照《政府采购法》和国家有关规定处理；</w:t>
      </w:r>
    </w:p>
    <w:p w14:paraId="4556B9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olor w:val="000000"/>
          <w:szCs w:val="21"/>
        </w:rPr>
        <w:t>1.4</w:t>
      </w:r>
      <w:r>
        <w:rPr>
          <w:rFonts w:hint="eastAsia" w:ascii="宋体"/>
          <w:b/>
          <w:color w:val="000000"/>
          <w:szCs w:val="21"/>
        </w:rPr>
        <w:t>★特别说明（约定性条款）：供应商获取本采购文件后，必须完全阅知采购文件全部内容及相关事宜。携手阳光公司不能保证采购文件绝对的无编辑错误，如采购文件中有表述不清或不完整的（包括界定不清、形容不清、可多层理解或解释的等任何情形），供应商必须（有责任及义务）以电邮或书面方式（均须加盖公章）向携手阳光公司提出询问。如供应商投标前未向携手阳光公司提出询问的，视为供应商完全认同“本采购文件所有的理解或解释均以携手阳光公司解释为准（本采购文件所有的解释权完全归携手阳光公司所有）”</w:t>
      </w:r>
      <w:r>
        <w:rPr>
          <w:rFonts w:hint="eastAsia" w:ascii="宋体"/>
          <w:color w:val="000000"/>
          <w:szCs w:val="21"/>
        </w:rPr>
        <w:t>；在法律法规许可范围内，本采购文件的解释权属于盐城市携手阳光集中采购代理有限公司；</w:t>
      </w:r>
    </w:p>
    <w:p w14:paraId="0C2AC9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olor w:val="000000"/>
          <w:szCs w:val="21"/>
        </w:rPr>
        <w:t>1.5在法律法规许可范围内，</w:t>
      </w:r>
      <w:r>
        <w:rPr>
          <w:rFonts w:hint="eastAsia" w:ascii="宋体" w:cs="宋体"/>
          <w:color w:val="000000"/>
          <w:kern w:val="0"/>
          <w:szCs w:val="21"/>
        </w:rPr>
        <w:t>按照有利于采购人采购项目实施的原则处理本项目的所有争议。</w:t>
      </w:r>
    </w:p>
    <w:p w14:paraId="1311AF72">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ascii="宋体" w:cs="宋体"/>
          <w:color w:val="000000"/>
          <w:szCs w:val="21"/>
        </w:rPr>
      </w:pPr>
      <w:r>
        <w:rPr>
          <w:rFonts w:hint="eastAsia" w:ascii="宋体" w:cs="宋体"/>
          <w:b/>
          <w:bCs/>
          <w:color w:val="000000"/>
          <w:szCs w:val="21"/>
        </w:rPr>
        <w:t>2、投标费用：</w:t>
      </w:r>
      <w:r>
        <w:rPr>
          <w:rFonts w:hint="eastAsia" w:ascii="宋体" w:cs="宋体"/>
          <w:color w:val="000000"/>
          <w:szCs w:val="21"/>
        </w:rPr>
        <w:t>供应商应自行承担所有与参加询价响应有关的费用。无论采购过程中的做法和结果如何，采购人</w:t>
      </w:r>
      <w:r>
        <w:rPr>
          <w:rFonts w:hint="eastAsia" w:ascii="宋体"/>
          <w:color w:val="000000"/>
          <w:szCs w:val="21"/>
        </w:rPr>
        <w:t>及</w:t>
      </w:r>
      <w:r>
        <w:rPr>
          <w:rFonts w:hint="eastAsia" w:ascii="宋体" w:cs="仿宋"/>
          <w:bCs/>
          <w:color w:val="000000"/>
          <w:szCs w:val="21"/>
        </w:rPr>
        <w:t>携手阳光公司</w:t>
      </w:r>
      <w:r>
        <w:rPr>
          <w:rFonts w:hint="eastAsia" w:ascii="宋体"/>
          <w:color w:val="000000"/>
          <w:szCs w:val="21"/>
        </w:rPr>
        <w:t>在任何情况下均无义务和责任承担这些费用。</w:t>
      </w:r>
    </w:p>
    <w:p w14:paraId="3C174A4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cs="宋体"/>
          <w:b/>
          <w:bCs/>
          <w:color w:val="000000"/>
          <w:szCs w:val="21"/>
        </w:rPr>
      </w:pPr>
      <w:r>
        <w:rPr>
          <w:rFonts w:hint="eastAsia" w:ascii="宋体" w:cs="宋体"/>
          <w:b/>
          <w:bCs/>
          <w:color w:val="000000"/>
          <w:szCs w:val="21"/>
        </w:rPr>
        <w:t>3、采购文件的约束力：</w:t>
      </w:r>
      <w:r>
        <w:rPr>
          <w:rFonts w:hint="eastAsia" w:ascii="宋体" w:cs="宋体"/>
          <w:color w:val="000000"/>
          <w:spacing w:val="15"/>
          <w:kern w:val="0"/>
          <w:szCs w:val="21"/>
        </w:rPr>
        <w:t>供应商</w:t>
      </w:r>
      <w:r>
        <w:rPr>
          <w:rFonts w:hint="eastAsia" w:ascii="宋体" w:cs="宋体"/>
          <w:color w:val="000000"/>
          <w:szCs w:val="21"/>
        </w:rPr>
        <w:t>一旦下载了本采购文件并参加投标</w:t>
      </w:r>
      <w:r>
        <w:rPr>
          <w:rFonts w:hint="eastAsia" w:ascii="宋体"/>
          <w:color w:val="000000"/>
          <w:szCs w:val="21"/>
        </w:rPr>
        <w:t>（参加询价响应）</w:t>
      </w:r>
      <w:r>
        <w:rPr>
          <w:rFonts w:hint="eastAsia" w:ascii="宋体" w:cs="宋体"/>
          <w:color w:val="000000"/>
          <w:szCs w:val="21"/>
        </w:rPr>
        <w:t>，即代表供应商已阅读了本采购文件每一条条款，并接受了本采购文件所有的规定和约束。</w:t>
      </w:r>
      <w:r>
        <w:rPr>
          <w:rFonts w:hint="eastAsia" w:ascii="宋体"/>
          <w:color w:val="000000"/>
          <w:szCs w:val="21"/>
        </w:rPr>
        <w:t>并且视为自采购公告期限届满之日起已经知道或应当知道自身权益是否受到了损害。</w:t>
      </w:r>
    </w:p>
    <w:p w14:paraId="33716B7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color w:val="000000"/>
          <w:szCs w:val="21"/>
        </w:rPr>
      </w:pPr>
      <w:r>
        <w:rPr>
          <w:rFonts w:hint="eastAsia" w:ascii="宋体" w:cs="宋体"/>
          <w:b/>
          <w:bCs/>
          <w:color w:val="000000"/>
          <w:szCs w:val="21"/>
        </w:rPr>
        <w:t>4、</w:t>
      </w:r>
      <w:r>
        <w:rPr>
          <w:rFonts w:hint="eastAsia" w:ascii="宋体"/>
          <w:b/>
          <w:color w:val="000000"/>
          <w:szCs w:val="21"/>
        </w:rPr>
        <w:t>投标有效期</w:t>
      </w:r>
      <w:r>
        <w:rPr>
          <w:rFonts w:hint="eastAsia" w:ascii="宋体" w:cs="宋体"/>
          <w:color w:val="000000"/>
          <w:szCs w:val="21"/>
        </w:rPr>
        <w:t>见</w:t>
      </w:r>
      <w:r>
        <w:rPr>
          <w:rFonts w:hint="eastAsia" w:ascii="宋体" w:cs="宋体"/>
          <w:color w:val="000000"/>
          <w:szCs w:val="21"/>
          <w:u w:val="single"/>
        </w:rPr>
        <w:t>供应商须知资料表</w:t>
      </w:r>
      <w:r>
        <w:rPr>
          <w:rFonts w:hint="eastAsia" w:ascii="宋体" w:cs="宋体"/>
          <w:color w:val="000000"/>
          <w:szCs w:val="21"/>
        </w:rPr>
        <w:t>，</w:t>
      </w:r>
      <w:r>
        <w:rPr>
          <w:rFonts w:hint="eastAsia" w:ascii="宋体"/>
          <w:color w:val="000000"/>
          <w:szCs w:val="21"/>
        </w:rPr>
        <w:t>投标有效期比规定短的</w:t>
      </w:r>
      <w:r>
        <w:rPr>
          <w:rFonts w:hint="eastAsia" w:ascii="宋体"/>
          <w:b/>
          <w:color w:val="000000"/>
          <w:szCs w:val="21"/>
        </w:rPr>
        <w:t>将按无效文件处理。</w:t>
      </w:r>
    </w:p>
    <w:p w14:paraId="7765F0D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b/>
          <w:color w:val="000000"/>
          <w:szCs w:val="21"/>
        </w:rPr>
      </w:pPr>
      <w:r>
        <w:rPr>
          <w:rFonts w:hint="eastAsia" w:ascii="宋体"/>
          <w:b/>
          <w:color w:val="000000"/>
          <w:szCs w:val="21"/>
        </w:rPr>
        <w:t>5、询价响应文件编制及组成</w:t>
      </w:r>
    </w:p>
    <w:p w14:paraId="3E1040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s="宋体"/>
          <w:color w:val="000000"/>
          <w:szCs w:val="21"/>
        </w:rPr>
        <w:t>5.1</w:t>
      </w:r>
      <w:r>
        <w:rPr>
          <w:rFonts w:hint="eastAsia" w:ascii="宋体"/>
          <w:color w:val="000000"/>
          <w:szCs w:val="21"/>
        </w:rPr>
        <w:t>提交响应文件截止之日前，采购人、采购代理机构或者询价小组可以对已发出的询价通知书（采购文件）进行必要的澄清或者修改（可通过电邮发送），澄清或者修改的内容作为询价通知书（采购文件）的组成部分（对供应商具有约束力）。</w:t>
      </w:r>
    </w:p>
    <w:p w14:paraId="7059787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b/>
          <w:color w:val="000000"/>
          <w:szCs w:val="21"/>
        </w:rPr>
      </w:pPr>
      <w:r>
        <w:rPr>
          <w:rFonts w:hint="eastAsia" w:ascii="宋体" w:cs="宋体"/>
          <w:b/>
          <w:color w:val="000000"/>
          <w:szCs w:val="21"/>
        </w:rPr>
        <w:t>5.2证明投标标的的合格性和符合招标文件规定的技术文件</w:t>
      </w:r>
      <w:r>
        <w:rPr>
          <w:rFonts w:hint="eastAsia" w:ascii="宋体"/>
          <w:b/>
          <w:color w:val="000000"/>
          <w:szCs w:val="21"/>
        </w:rPr>
        <w:t>（响应文件）</w:t>
      </w:r>
    </w:p>
    <w:p w14:paraId="351789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s="宋体"/>
          <w:color w:val="000000"/>
          <w:szCs w:val="21"/>
        </w:rPr>
      </w:pPr>
      <w:r>
        <w:rPr>
          <w:rFonts w:hint="eastAsia" w:ascii="宋体" w:cs="宋体"/>
          <w:color w:val="000000"/>
          <w:szCs w:val="21"/>
        </w:rPr>
        <w:t>5.2.1</w:t>
      </w:r>
      <w:r>
        <w:rPr>
          <w:rFonts w:hint="eastAsia" w:ascii="宋体"/>
          <w:color w:val="000000"/>
          <w:szCs w:val="21"/>
        </w:rPr>
        <w:t>供应商</w:t>
      </w:r>
      <w:r>
        <w:rPr>
          <w:rFonts w:hint="eastAsia" w:ascii="宋体" w:cs="宋体"/>
          <w:color w:val="000000"/>
          <w:szCs w:val="21"/>
        </w:rPr>
        <w:t>应提交证明文件，证明其投标内容符合采购文件规定。该证明文件是投标（响应）文件的一部分。</w:t>
      </w:r>
    </w:p>
    <w:p w14:paraId="51C283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s="宋体"/>
          <w:color w:val="000000"/>
          <w:szCs w:val="21"/>
        </w:rPr>
      </w:pPr>
      <w:r>
        <w:rPr>
          <w:rFonts w:hint="eastAsia" w:ascii="宋体" w:cs="宋体"/>
          <w:color w:val="000000"/>
          <w:szCs w:val="21"/>
        </w:rPr>
        <w:t>5.2.2上款所述的证明文件，可以是文字资料、图纸和数据，它包括：</w:t>
      </w:r>
    </w:p>
    <w:p w14:paraId="38194D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s="宋体"/>
          <w:color w:val="000000"/>
          <w:szCs w:val="21"/>
        </w:rPr>
      </w:pPr>
      <w:r>
        <w:rPr>
          <w:rFonts w:hint="eastAsia" w:ascii="宋体" w:cs="宋体"/>
          <w:color w:val="000000"/>
          <w:szCs w:val="21"/>
        </w:rPr>
        <w:t>5.2.2.1货物主要技术指标和性能的详细说明；</w:t>
      </w:r>
    </w:p>
    <w:p w14:paraId="4E4E11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s="宋体"/>
          <w:color w:val="000000"/>
          <w:szCs w:val="21"/>
        </w:rPr>
      </w:pPr>
      <w:r>
        <w:rPr>
          <w:rFonts w:hint="eastAsia" w:ascii="宋体" w:cs="宋体"/>
          <w:color w:val="000000"/>
          <w:szCs w:val="21"/>
        </w:rPr>
        <w:t>5.2.2.2货物从买方开始使用至招标文件规定的保质期内正常、连续地使用所必须的备件和专用工具清单，包括备件和专用工具的货源及现行价格；</w:t>
      </w:r>
    </w:p>
    <w:p w14:paraId="7A480C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s="宋体"/>
          <w:color w:val="000000"/>
          <w:szCs w:val="21"/>
        </w:rPr>
      </w:pPr>
      <w:r>
        <w:rPr>
          <w:rFonts w:hint="eastAsia" w:ascii="宋体" w:cs="宋体"/>
          <w:color w:val="000000"/>
          <w:szCs w:val="21"/>
        </w:rPr>
        <w:t>5.2.2.3对照招标文件技术规格，逐条说明所提供货物及伴随的工程和服务已对招标文件的技术规格做出了实质性的响应，或申明与技术规格条文的偏差和例外。</w:t>
      </w:r>
    </w:p>
    <w:p w14:paraId="0D7521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s="宋体"/>
          <w:color w:val="000000"/>
          <w:szCs w:val="21"/>
        </w:rPr>
      </w:pPr>
      <w:r>
        <w:rPr>
          <w:rFonts w:hint="eastAsia" w:ascii="宋体" w:cs="宋体"/>
          <w:color w:val="000000"/>
          <w:szCs w:val="21"/>
        </w:rPr>
        <w:t>5.2.3</w:t>
      </w:r>
      <w:r>
        <w:rPr>
          <w:rFonts w:hint="eastAsia" w:ascii="宋体"/>
          <w:color w:val="000000"/>
          <w:szCs w:val="21"/>
        </w:rPr>
        <w:t>供应商</w:t>
      </w:r>
      <w:r>
        <w:rPr>
          <w:rFonts w:hint="eastAsia" w:ascii="宋体" w:cs="宋体"/>
          <w:color w:val="000000"/>
          <w:szCs w:val="21"/>
        </w:rPr>
        <w:t>证明材料非简体中文的，</w:t>
      </w:r>
      <w:r>
        <w:rPr>
          <w:rFonts w:hint="eastAsia" w:ascii="宋体"/>
          <w:color w:val="000000"/>
          <w:szCs w:val="21"/>
        </w:rPr>
        <w:t>供应商</w:t>
      </w:r>
      <w:r>
        <w:rPr>
          <w:rFonts w:hint="eastAsia" w:ascii="宋体" w:cs="宋体"/>
          <w:color w:val="000000"/>
          <w:szCs w:val="21"/>
        </w:rPr>
        <w:t>须同时提供简体中文翻译说明并加盖公章，否评审人员有权仅按简体中文部分评审。</w:t>
      </w:r>
    </w:p>
    <w:p w14:paraId="1BE5E6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s="宋体"/>
          <w:color w:val="000000"/>
          <w:szCs w:val="21"/>
        </w:rPr>
      </w:pPr>
      <w:r>
        <w:rPr>
          <w:rFonts w:hint="eastAsia" w:ascii="宋体" w:cs="宋体"/>
          <w:color w:val="000000"/>
          <w:szCs w:val="21"/>
        </w:rPr>
        <w:t>5.2.4</w:t>
      </w:r>
      <w:r>
        <w:rPr>
          <w:rFonts w:hint="eastAsia" w:ascii="宋体"/>
          <w:color w:val="000000"/>
          <w:szCs w:val="21"/>
        </w:rPr>
        <w:t>供应商</w:t>
      </w:r>
      <w:r>
        <w:rPr>
          <w:rFonts w:hint="eastAsia" w:ascii="宋体" w:cs="宋体"/>
          <w:color w:val="000000"/>
          <w:szCs w:val="21"/>
        </w:rPr>
        <w:t>应当以详细具体的内容证明投标（响应）文件响应采购文件，以“完全响应”等简单文字而无具体内容的，按未提供处理（无效内容）。</w:t>
      </w:r>
    </w:p>
    <w:p w14:paraId="52017F3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cs="宋体"/>
          <w:color w:val="000000"/>
          <w:szCs w:val="21"/>
        </w:rPr>
      </w:pPr>
      <w:r>
        <w:rPr>
          <w:rFonts w:hint="eastAsia" w:ascii="宋体" w:cs="宋体"/>
          <w:b/>
          <w:color w:val="000000"/>
          <w:szCs w:val="21"/>
        </w:rPr>
        <w:t xml:space="preserve">5.2.5 </w:t>
      </w:r>
      <w:r>
        <w:rPr>
          <w:rFonts w:hint="eastAsia" w:ascii="宋体"/>
          <w:b/>
          <w:color w:val="000000"/>
          <w:szCs w:val="21"/>
        </w:rPr>
        <w:t>供应商提交的证明应当证明</w:t>
      </w:r>
      <w:r>
        <w:rPr>
          <w:rFonts w:ascii="宋体"/>
          <w:b/>
          <w:color w:val="000000"/>
          <w:szCs w:val="21"/>
        </w:rPr>
        <w:t>提供的产品质量和服务均能满足采购文件规定的实质性要求</w:t>
      </w:r>
      <w:r>
        <w:rPr>
          <w:rFonts w:hint="eastAsia" w:ascii="宋体"/>
          <w:b/>
          <w:color w:val="000000"/>
          <w:szCs w:val="21"/>
        </w:rPr>
        <w:t>。</w:t>
      </w:r>
    </w:p>
    <w:p w14:paraId="64F8BF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s="仿宋"/>
          <w:color w:val="000000"/>
          <w:szCs w:val="21"/>
        </w:rPr>
      </w:pPr>
      <w:r>
        <w:rPr>
          <w:rFonts w:hint="eastAsia" w:ascii="宋体" w:cs="仿宋"/>
          <w:bCs/>
          <w:color w:val="000000"/>
          <w:szCs w:val="21"/>
        </w:rPr>
        <w:t>5.3</w:t>
      </w:r>
      <w:r>
        <w:rPr>
          <w:rFonts w:hint="eastAsia" w:ascii="宋体" w:cs="仿宋"/>
          <w:color w:val="000000"/>
          <w:szCs w:val="21"/>
        </w:rPr>
        <w:t>投标文件必须打印或复印（建议使用</w:t>
      </w:r>
      <w:r>
        <w:rPr>
          <w:rFonts w:ascii="宋体" w:cs="仿宋"/>
          <w:color w:val="000000"/>
          <w:szCs w:val="21"/>
        </w:rPr>
        <w:t>A4</w:t>
      </w:r>
      <w:r>
        <w:rPr>
          <w:rFonts w:hint="eastAsia" w:ascii="宋体" w:cs="仿宋"/>
          <w:color w:val="000000"/>
          <w:szCs w:val="21"/>
        </w:rPr>
        <w:t>纸）。供应商应当编制投标文件资料目录，并按顺序装订成册</w:t>
      </w:r>
      <w:r>
        <w:rPr>
          <w:rFonts w:hint="eastAsia" w:ascii="宋体" w:cs="仿宋"/>
          <w:color w:val="000000"/>
          <w:szCs w:val="21"/>
          <w:u w:val="single"/>
        </w:rPr>
        <w:t>☆投标文件请不要使用活页装订（建议胶装或订书钉装订）</w:t>
      </w:r>
      <w:r>
        <w:rPr>
          <w:rFonts w:hint="eastAsia" w:ascii="宋体" w:cs="仿宋"/>
          <w:color w:val="000000"/>
          <w:szCs w:val="21"/>
        </w:rPr>
        <w:t>。如投标文件出现漏页或缺页等情况，由此产生的一切后果由供应商自行承担。</w:t>
      </w:r>
    </w:p>
    <w:p w14:paraId="2D74C4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s="仿宋"/>
          <w:b/>
          <w:bCs/>
          <w:color w:val="000000"/>
          <w:szCs w:val="21"/>
        </w:rPr>
      </w:pPr>
      <w:r>
        <w:rPr>
          <w:rFonts w:hint="eastAsia" w:ascii="宋体" w:cs="仿宋"/>
          <w:color w:val="000000"/>
          <w:szCs w:val="21"/>
        </w:rPr>
        <w:t>5.4除投标人对错漏处做必要修改外，投标文件不得行间插字、涂改或增删，如有修改错漏处，必须由投标文件签署人（法定代表人或授权代表）签字或盖章。</w:t>
      </w:r>
    </w:p>
    <w:p w14:paraId="4EB5D62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b/>
          <w:color w:val="000000"/>
          <w:szCs w:val="21"/>
        </w:rPr>
      </w:pPr>
      <w:r>
        <w:rPr>
          <w:rFonts w:hint="eastAsia" w:ascii="宋体"/>
          <w:b/>
          <w:color w:val="000000"/>
          <w:szCs w:val="21"/>
        </w:rPr>
        <w:t>6、报价要求（价格构成）</w:t>
      </w:r>
    </w:p>
    <w:p w14:paraId="67AC39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s="宋体"/>
          <w:color w:val="000000"/>
          <w:szCs w:val="21"/>
        </w:rPr>
        <w:t>6.1</w:t>
      </w:r>
      <w:r>
        <w:rPr>
          <w:rFonts w:hint="eastAsia" w:ascii="宋体"/>
          <w:color w:val="000000"/>
          <w:szCs w:val="21"/>
        </w:rPr>
        <w:t>询价响应文件须使用中文简体。参加询价采购活动的供应商，应当按照询价通知书的规定一次报出不得更改的价格（其报价一次报出不得更改）。如报价表中的报价</w:t>
      </w:r>
      <w:r>
        <w:rPr>
          <w:rFonts w:hint="eastAsia" w:ascii="宋体" w:cs="宋体"/>
          <w:color w:val="000000"/>
          <w:szCs w:val="21"/>
        </w:rPr>
        <w:t>大写金额和小写金额不一致的，以大写金额为准</w:t>
      </w:r>
      <w:r>
        <w:rPr>
          <w:rFonts w:hint="eastAsia" w:ascii="宋体" w:cs="宋体"/>
          <w:color w:val="000000"/>
          <w:szCs w:val="21"/>
          <w:lang w:eastAsia="zh-CN"/>
        </w:rPr>
        <w:t>（如有需要大小写的）</w:t>
      </w:r>
      <w:r>
        <w:rPr>
          <w:rFonts w:hint="eastAsia" w:ascii="宋体" w:cs="宋体"/>
          <w:color w:val="000000"/>
          <w:szCs w:val="21"/>
        </w:rPr>
        <w:t>。</w:t>
      </w:r>
    </w:p>
    <w:p w14:paraId="05F776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000000"/>
          <w:szCs w:val="21"/>
        </w:rPr>
      </w:pPr>
      <w:r>
        <w:rPr>
          <w:rFonts w:hint="eastAsia" w:ascii="宋体" w:cs="宋体"/>
          <w:color w:val="000000"/>
          <w:szCs w:val="21"/>
        </w:rPr>
        <w:t>6.2</w:t>
      </w:r>
      <w:r>
        <w:rPr>
          <w:rFonts w:hint="eastAsia" w:ascii="宋体"/>
          <w:color w:val="000000"/>
          <w:szCs w:val="21"/>
        </w:rPr>
        <w:t>本次询价不允许采用选择性报价(如有备选配件，备选配件的报价不属于选择的报价)。</w:t>
      </w:r>
    </w:p>
    <w:p w14:paraId="4B342C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s="宋体"/>
          <w:color w:val="000000"/>
          <w:szCs w:val="21"/>
        </w:rPr>
      </w:pPr>
      <w:r>
        <w:rPr>
          <w:rFonts w:hint="eastAsia" w:ascii="宋体" w:cs="宋体"/>
          <w:color w:val="000000"/>
          <w:szCs w:val="21"/>
        </w:rPr>
        <w:t>6.3供应商投标（响应）分项报价表内容应当全面完整，充分体现其报价的组成。如：投标货物（包括备品备件、专用工具等）的出厂价（包括已在中国国内的进口货物完税后的仓库交货价、展室交货价或货架交货价），投标货物安装、调试、检验、技术服务和培训费用、货物运至最终目的地的运输费和保险费用以及</w:t>
      </w:r>
      <w:r>
        <w:rPr>
          <w:rFonts w:hint="eastAsia" w:ascii="宋体"/>
          <w:color w:val="000000"/>
          <w:szCs w:val="21"/>
        </w:rPr>
        <w:t>相关税费</w:t>
      </w:r>
      <w:r>
        <w:rPr>
          <w:rFonts w:hint="eastAsia" w:ascii="宋体" w:cs="宋体"/>
          <w:color w:val="000000"/>
          <w:szCs w:val="21"/>
        </w:rPr>
        <w:t>等。</w:t>
      </w:r>
    </w:p>
    <w:p w14:paraId="4C84EC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s="宋体"/>
          <w:color w:val="000000"/>
          <w:szCs w:val="21"/>
        </w:rPr>
      </w:pPr>
      <w:r>
        <w:rPr>
          <w:rFonts w:hint="eastAsia" w:ascii="宋体"/>
          <w:color w:val="000000"/>
          <w:szCs w:val="21"/>
        </w:rPr>
        <w:t>本次招标采用总承包方式，因此供应商的报价应包括全部产品（货物、工程、服务）的价格、相关税费以及履行合同产生的所有费用等（在合同履行过程中，采购人不再增加任何费用）。</w:t>
      </w:r>
    </w:p>
    <w:p w14:paraId="552EBC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s="宋体"/>
          <w:color w:val="000000"/>
          <w:szCs w:val="21"/>
        </w:rPr>
        <w:t>6.</w:t>
      </w:r>
      <w:r>
        <w:rPr>
          <w:rFonts w:hint="eastAsia" w:ascii="宋体"/>
          <w:color w:val="000000"/>
          <w:szCs w:val="21"/>
        </w:rPr>
        <w:t>4其它费用处理：采购文件未列明，而供应商认为必需的费用也需列入报价。</w:t>
      </w:r>
    </w:p>
    <w:p w14:paraId="75FF829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b/>
          <w:color w:val="000000"/>
          <w:szCs w:val="21"/>
        </w:rPr>
      </w:pPr>
      <w:r>
        <w:rPr>
          <w:rFonts w:hint="eastAsia" w:ascii="宋体" w:cs="宋体"/>
          <w:b/>
          <w:color w:val="000000"/>
          <w:szCs w:val="21"/>
        </w:rPr>
        <w:t>6.</w:t>
      </w:r>
      <w:r>
        <w:rPr>
          <w:rFonts w:hint="eastAsia" w:ascii="宋体"/>
          <w:b/>
          <w:color w:val="000000"/>
          <w:szCs w:val="21"/>
        </w:rPr>
        <w:t>5投标人的投标报价应遵守《中华人民共和国价格法》。同时，根据《中华人民共和国政府采购法》第二条的规定，为保证公平竞争，如有货物主体部分，服务过程应当支出的人员工资，法定加班费（如果有），主要的必然支出等主体投标标的的赠与行为（含主体投标标的低于商品进价的报价等），其投标将被认定为</w:t>
      </w:r>
      <w:r>
        <w:rPr>
          <w:rFonts w:hint="eastAsia" w:ascii="宋体"/>
          <w:b/>
          <w:bCs/>
          <w:color w:val="000000"/>
          <w:szCs w:val="21"/>
        </w:rPr>
        <w:t>投标无效</w:t>
      </w:r>
      <w:r>
        <w:rPr>
          <w:rFonts w:hint="eastAsia" w:ascii="宋体"/>
          <w:b/>
          <w:color w:val="000000"/>
          <w:szCs w:val="21"/>
        </w:rPr>
        <w:t>。采购人也不接受明显不合理或者低于成本的报价（有可能影响商品质量和不能诚信履约的报价）。</w:t>
      </w:r>
    </w:p>
    <w:p w14:paraId="17BE7F5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b/>
          <w:color w:val="000000"/>
          <w:szCs w:val="21"/>
        </w:rPr>
      </w:pPr>
      <w:r>
        <w:rPr>
          <w:rFonts w:hint="eastAsia" w:ascii="宋体"/>
          <w:b/>
          <w:color w:val="000000"/>
          <w:szCs w:val="21"/>
        </w:rPr>
        <w:t>7、投标（响应）文件份数</w:t>
      </w:r>
      <w:r>
        <w:rPr>
          <w:rFonts w:hint="eastAsia" w:ascii="宋体" w:cs="仿宋"/>
          <w:b/>
          <w:bCs/>
          <w:color w:val="000000"/>
          <w:szCs w:val="21"/>
        </w:rPr>
        <w:t>及密封与标记</w:t>
      </w:r>
    </w:p>
    <w:p w14:paraId="7AB4EE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s="宋体"/>
          <w:color w:val="000000"/>
          <w:szCs w:val="21"/>
        </w:rPr>
      </w:pPr>
      <w:r>
        <w:rPr>
          <w:rFonts w:hint="eastAsia" w:ascii="宋体"/>
          <w:color w:val="000000"/>
          <w:szCs w:val="21"/>
        </w:rPr>
        <w:t>7.1</w:t>
      </w:r>
      <w:r>
        <w:rPr>
          <w:rFonts w:hint="eastAsia" w:ascii="宋体" w:cs="宋体"/>
          <w:color w:val="000000"/>
          <w:szCs w:val="21"/>
        </w:rPr>
        <w:t>供应商应按</w:t>
      </w:r>
      <w:r>
        <w:rPr>
          <w:rFonts w:hint="eastAsia" w:ascii="宋体" w:cs="宋体"/>
          <w:color w:val="000000"/>
          <w:szCs w:val="21"/>
          <w:u w:val="single"/>
        </w:rPr>
        <w:t>采购文件</w:t>
      </w:r>
      <w:r>
        <w:rPr>
          <w:rFonts w:hint="eastAsia" w:ascii="宋体" w:cs="宋体"/>
          <w:color w:val="000000"/>
          <w:szCs w:val="21"/>
        </w:rPr>
        <w:t>中的规定，准备和递交投标（响应）文件正本、副本和电子文档，每份投标（响应）文件封皮须清楚地标明“正本”或“副本”。若正本和副本不符，以正本为准。如投标（响应）文件未标明或未清楚标准明正本或副本的，所引起的后果由供应商负责。</w:t>
      </w:r>
    </w:p>
    <w:p w14:paraId="5F8FD4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olor w:val="000000"/>
          <w:szCs w:val="21"/>
        </w:rPr>
        <w:t>7.2供应商应当在采购文件要求的截止时间前，将响应文件密封（在不破坏外包装的情况下，无法直接取出响应文件即可）送达指定地点[按采购公告（采购邀请）中注明的地点及时送达]。在截止时间后送达的响应文件为无效文件，并予以拒收。</w:t>
      </w:r>
    </w:p>
    <w:p w14:paraId="5C65B7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olor w:val="000000"/>
          <w:szCs w:val="21"/>
        </w:rPr>
        <w:t>请供应商在密封包装上注明供应商名称、项目名称（编号）以及参加的分包号等相关信息，以便采购代理机构接受（识别）。</w:t>
      </w:r>
    </w:p>
    <w:p w14:paraId="766835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s="仿宋"/>
          <w:color w:val="000000"/>
          <w:szCs w:val="21"/>
        </w:rPr>
      </w:pPr>
      <w:r>
        <w:rPr>
          <w:rFonts w:hint="eastAsia" w:ascii="宋体" w:cs="仿宋"/>
          <w:bCs/>
          <w:color w:val="000000"/>
          <w:szCs w:val="21"/>
        </w:rPr>
        <w:t>7.3不论供应商是否成交，</w:t>
      </w:r>
      <w:r>
        <w:rPr>
          <w:rFonts w:hint="eastAsia" w:ascii="宋体"/>
          <w:color w:val="000000"/>
          <w:szCs w:val="21"/>
        </w:rPr>
        <w:t>响应文件</w:t>
      </w:r>
      <w:r>
        <w:rPr>
          <w:rFonts w:hint="eastAsia" w:ascii="宋体" w:cs="仿宋"/>
          <w:bCs/>
          <w:color w:val="000000"/>
          <w:szCs w:val="21"/>
        </w:rPr>
        <w:t>均不退回（依法保存）。</w:t>
      </w:r>
    </w:p>
    <w:p w14:paraId="4264FDF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b/>
          <w:color w:val="000000"/>
          <w:szCs w:val="21"/>
        </w:rPr>
      </w:pPr>
      <w:r>
        <w:rPr>
          <w:rFonts w:hint="eastAsia" w:ascii="宋体"/>
          <w:b/>
          <w:color w:val="000000"/>
          <w:szCs w:val="21"/>
        </w:rPr>
        <w:t>8、询价采购程序</w:t>
      </w:r>
    </w:p>
    <w:p w14:paraId="3C4C672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cs="宋体"/>
          <w:color w:val="000000"/>
          <w:spacing w:val="15"/>
          <w:kern w:val="0"/>
          <w:szCs w:val="21"/>
        </w:rPr>
      </w:pPr>
      <w:r>
        <w:rPr>
          <w:rFonts w:hint="eastAsia" w:ascii="宋体"/>
          <w:b/>
          <w:color w:val="000000"/>
          <w:szCs w:val="21"/>
        </w:rPr>
        <w:t>8.1</w:t>
      </w:r>
      <w:r>
        <w:rPr>
          <w:rFonts w:hint="eastAsia" w:ascii="宋体" w:cs="宋体"/>
          <w:b/>
          <w:color w:val="000000"/>
          <w:spacing w:val="15"/>
          <w:kern w:val="0"/>
          <w:szCs w:val="21"/>
        </w:rPr>
        <w:t>采取询价方式采购的，应当遵循下列程序：</w:t>
      </w:r>
      <w:r>
        <w:rPr>
          <w:rFonts w:hint="eastAsia" w:ascii="宋体" w:cs="宋体"/>
          <w:color w:val="000000"/>
          <w:spacing w:val="15"/>
          <w:kern w:val="0"/>
          <w:szCs w:val="21"/>
        </w:rPr>
        <w:t> </w:t>
      </w:r>
    </w:p>
    <w:p w14:paraId="4AC6F8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000000"/>
          <w:szCs w:val="21"/>
        </w:rPr>
      </w:pPr>
      <w:r>
        <w:rPr>
          <w:rFonts w:hint="eastAsia" w:ascii="宋体"/>
          <w:color w:val="000000"/>
          <w:szCs w:val="21"/>
        </w:rPr>
        <w:t>　　（一）成立询价小组。询价小组由采购人的代表和有关专家共三人以上的单数组成，其中专家的人数不得少于成员总数的三分之二。询价小组应当对采购项目的价格构成和评定成交的标准等事项作出规定。 </w:t>
      </w:r>
    </w:p>
    <w:p w14:paraId="637ADF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000000"/>
          <w:szCs w:val="21"/>
        </w:rPr>
      </w:pPr>
      <w:r>
        <w:rPr>
          <w:rFonts w:hint="eastAsia" w:ascii="宋体"/>
          <w:color w:val="000000"/>
          <w:szCs w:val="21"/>
        </w:rPr>
        <w:t>　　（二）确定被询价的供应商名单。询价小组根据采购需求，从符合相应资格条件的供应商名单中确定不少于三家的供应商，并向其发出询价通知书让其报价。 </w:t>
      </w:r>
    </w:p>
    <w:p w14:paraId="3E5C1E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000000"/>
          <w:szCs w:val="21"/>
        </w:rPr>
      </w:pPr>
      <w:r>
        <w:rPr>
          <w:rFonts w:hint="eastAsia" w:ascii="宋体"/>
          <w:color w:val="000000"/>
          <w:szCs w:val="21"/>
        </w:rPr>
        <w:t>　　（三）询价。询价小组要求被询价的供应商一次报出不得更改的价格。 </w:t>
      </w:r>
    </w:p>
    <w:p w14:paraId="137CD0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000000"/>
          <w:szCs w:val="21"/>
        </w:rPr>
      </w:pPr>
      <w:r>
        <w:rPr>
          <w:rFonts w:hint="eastAsia" w:ascii="宋体"/>
          <w:color w:val="000000"/>
          <w:szCs w:val="21"/>
        </w:rPr>
        <w:t>　　（四）确定成交供应商。采购人根据符合采购需求、质量和服务相等且报价</w:t>
      </w:r>
      <w:r>
        <w:rPr>
          <w:rFonts w:hint="eastAsia" w:ascii="宋体"/>
          <w:color w:val="000000"/>
          <w:szCs w:val="21"/>
          <w:lang w:eastAsia="zh-CN"/>
        </w:rPr>
        <w:t>最低</w:t>
      </w:r>
      <w:r>
        <w:rPr>
          <w:rFonts w:hint="eastAsia" w:ascii="宋体"/>
          <w:color w:val="000000"/>
          <w:szCs w:val="21"/>
        </w:rPr>
        <w:t>的原则确定成交供应商（如</w:t>
      </w:r>
      <w:r>
        <w:rPr>
          <w:rFonts w:hint="eastAsia" w:ascii="宋体"/>
          <w:color w:val="000000"/>
          <w:szCs w:val="21"/>
          <w:lang w:eastAsia="zh-CN"/>
        </w:rPr>
        <w:t>出现</w:t>
      </w:r>
      <w:r>
        <w:rPr>
          <w:rFonts w:hint="eastAsia" w:ascii="宋体"/>
          <w:color w:val="000000"/>
          <w:szCs w:val="21"/>
        </w:rPr>
        <w:t>并列情形的，采购人将授权询价小组</w:t>
      </w:r>
      <w:r>
        <w:rPr>
          <w:rFonts w:hint="eastAsia" w:ascii="宋体"/>
          <w:color w:val="000000"/>
          <w:szCs w:val="21"/>
          <w:lang w:eastAsia="zh-CN"/>
        </w:rPr>
        <w:t>现场抽签</w:t>
      </w:r>
      <w:r>
        <w:rPr>
          <w:rFonts w:hint="eastAsia" w:ascii="宋体"/>
          <w:color w:val="000000"/>
          <w:szCs w:val="21"/>
        </w:rPr>
        <w:t>确定成交供应商</w:t>
      </w:r>
      <w:r>
        <w:rPr>
          <w:rFonts w:hint="eastAsia" w:ascii="宋体"/>
          <w:color w:val="000000"/>
          <w:szCs w:val="21"/>
          <w:lang w:eastAsia="zh-CN"/>
        </w:rPr>
        <w:t>）；</w:t>
      </w:r>
      <w:r>
        <w:rPr>
          <w:rFonts w:hint="eastAsia" w:ascii="宋体"/>
          <w:color w:val="000000"/>
          <w:szCs w:val="21"/>
        </w:rPr>
        <w:t>并将结果通知所有被询价的未成交的供应商。</w:t>
      </w:r>
    </w:p>
    <w:p w14:paraId="344CEFB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cs="宋体"/>
          <w:b/>
          <w:color w:val="000000"/>
          <w:szCs w:val="21"/>
        </w:rPr>
      </w:pPr>
      <w:r>
        <w:rPr>
          <w:rFonts w:hint="eastAsia" w:ascii="宋体" w:cs="宋体"/>
          <w:b/>
          <w:color w:val="000000"/>
          <w:spacing w:val="15"/>
          <w:kern w:val="0"/>
          <w:szCs w:val="21"/>
        </w:rPr>
        <w:t>8.2</w:t>
      </w:r>
      <w:r>
        <w:rPr>
          <w:rFonts w:hint="eastAsia" w:ascii="宋体" w:cs="宋体"/>
          <w:b/>
          <w:bCs/>
          <w:color w:val="000000"/>
          <w:szCs w:val="21"/>
        </w:rPr>
        <w:t>供应商</w:t>
      </w:r>
      <w:r>
        <w:rPr>
          <w:rFonts w:hint="eastAsia" w:ascii="宋体" w:cs="宋体"/>
          <w:b/>
          <w:color w:val="000000"/>
          <w:szCs w:val="21"/>
        </w:rPr>
        <w:t>存在不良信用记录的，其投标将被认定为</w:t>
      </w:r>
      <w:r>
        <w:rPr>
          <w:rFonts w:hint="eastAsia" w:ascii="宋体" w:cs="宋体"/>
          <w:b/>
          <w:bCs/>
          <w:color w:val="000000"/>
          <w:szCs w:val="21"/>
        </w:rPr>
        <w:t>投标</w:t>
      </w:r>
      <w:r>
        <w:rPr>
          <w:rFonts w:hint="eastAsia" w:ascii="宋体" w:cs="宋体"/>
          <w:b/>
          <w:color w:val="000000"/>
          <w:szCs w:val="21"/>
        </w:rPr>
        <w:t>（报价）</w:t>
      </w:r>
      <w:r>
        <w:rPr>
          <w:rFonts w:hint="eastAsia" w:ascii="宋体" w:cs="宋体"/>
          <w:b/>
          <w:bCs/>
          <w:color w:val="000000"/>
          <w:szCs w:val="21"/>
        </w:rPr>
        <w:t>无效</w:t>
      </w:r>
      <w:r>
        <w:rPr>
          <w:rFonts w:hint="eastAsia" w:ascii="宋体" w:cs="宋体"/>
          <w:b/>
          <w:color w:val="000000"/>
          <w:szCs w:val="21"/>
        </w:rPr>
        <w:t>。</w:t>
      </w:r>
    </w:p>
    <w:p w14:paraId="3A5DAE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b/>
          <w:color w:val="000000"/>
          <w:szCs w:val="21"/>
        </w:rPr>
      </w:pPr>
      <w:r>
        <w:rPr>
          <w:rFonts w:hint="eastAsia" w:ascii="宋体"/>
          <w:color w:val="000000"/>
          <w:szCs w:val="21"/>
        </w:rPr>
        <w:t>不良信用记录指：供应商在中国政府采购网（www.ccgp.gov.cn）被列入政府采购严重违法失信行为记录名单，或在“信用中国”网站（www.creditchina.gov.cn）被列入失信被执行人、重大税收违法案件当事人名单。以联合体形式参加投标的，联合体任何成员存在以上不良信用记录的，联合体投标将被认定为投标无效。</w:t>
      </w:r>
    </w:p>
    <w:p w14:paraId="7C59A89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cs="宋体"/>
          <w:b/>
          <w:color w:val="000000"/>
          <w:szCs w:val="21"/>
        </w:rPr>
      </w:pPr>
      <w:r>
        <w:rPr>
          <w:rFonts w:hint="eastAsia" w:ascii="宋体" w:cs="宋体"/>
          <w:b/>
          <w:color w:val="000000"/>
          <w:szCs w:val="21"/>
        </w:rPr>
        <w:t>8.3</w:t>
      </w:r>
      <w:r>
        <w:rPr>
          <w:rFonts w:hint="eastAsia" w:ascii="宋体"/>
          <w:b/>
          <w:color w:val="000000"/>
          <w:szCs w:val="21"/>
        </w:rPr>
        <w:t>询价小组将对响应文件的有效性、完整性和响应程度进行审查 (只根据响应文件本身的内容，而不寻求外部的证据)。</w:t>
      </w:r>
    </w:p>
    <w:p w14:paraId="254F75B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cs="宋体"/>
          <w:b/>
          <w:color w:val="000000"/>
          <w:kern w:val="0"/>
          <w:szCs w:val="21"/>
        </w:rPr>
      </w:pPr>
      <w:r>
        <w:rPr>
          <w:rFonts w:hint="eastAsia" w:ascii="宋体" w:cs="宋体"/>
          <w:b/>
          <w:color w:val="000000"/>
          <w:szCs w:val="21"/>
        </w:rPr>
        <w:t>8.4</w:t>
      </w:r>
      <w:r>
        <w:rPr>
          <w:rFonts w:hint="eastAsia" w:ascii="宋体"/>
          <w:b/>
          <w:color w:val="000000"/>
          <w:szCs w:val="21"/>
        </w:rPr>
        <w:t>各供应商应当以合理的报价参加竞争。</w:t>
      </w:r>
      <w:r>
        <w:rPr>
          <w:rFonts w:hint="eastAsia" w:ascii="宋体" w:cs="宋体"/>
          <w:b/>
          <w:color w:val="000000"/>
          <w:kern w:val="0"/>
          <w:szCs w:val="21"/>
        </w:rPr>
        <w:t>询价小组认为供应商的报价明显低于其他通过符合性审查供应商的报价，有可能影响产品质量或者不能诚信履约的，</w:t>
      </w:r>
      <w:r>
        <w:rPr>
          <w:rFonts w:hint="eastAsia" w:ascii="宋体"/>
          <w:b/>
          <w:color w:val="000000"/>
          <w:szCs w:val="21"/>
        </w:rPr>
        <w:t>询价小组有权要求该供应商在接到通知半小时内向询价小组提供书面说明及相关证明材料原件（请在递交报价文件时一同携带相关证明材料原件）</w:t>
      </w:r>
      <w:r>
        <w:rPr>
          <w:rFonts w:hint="eastAsia" w:ascii="宋体" w:cs="宋体"/>
          <w:b/>
          <w:color w:val="000000"/>
          <w:kern w:val="0"/>
          <w:szCs w:val="21"/>
        </w:rPr>
        <w:t>；供应商不能证明</w:t>
      </w:r>
      <w:r>
        <w:rPr>
          <w:rFonts w:hint="eastAsia" w:ascii="宋体"/>
          <w:b/>
          <w:color w:val="000000"/>
          <w:szCs w:val="21"/>
        </w:rPr>
        <w:t>（未能及时证明）</w:t>
      </w:r>
      <w:r>
        <w:rPr>
          <w:rFonts w:hint="eastAsia" w:ascii="宋体" w:cs="宋体"/>
          <w:b/>
          <w:color w:val="000000"/>
          <w:kern w:val="0"/>
          <w:szCs w:val="21"/>
        </w:rPr>
        <w:t>其报价合理性的，</w:t>
      </w:r>
      <w:r>
        <w:rPr>
          <w:rFonts w:hint="eastAsia" w:ascii="宋体"/>
          <w:b/>
          <w:color w:val="000000"/>
          <w:szCs w:val="21"/>
        </w:rPr>
        <w:t>询价小组有权视为“报价明显不合理或者低于成本，有可能影响商品质量和不能诚信履约的（本采购文件约定条款）”</w:t>
      </w:r>
      <w:r>
        <w:rPr>
          <w:rFonts w:hint="eastAsia" w:ascii="宋体" w:cs="宋体"/>
          <w:b/>
          <w:color w:val="000000"/>
          <w:kern w:val="0"/>
          <w:szCs w:val="21"/>
        </w:rPr>
        <w:t>，将其作为无效投标（报价）处理。</w:t>
      </w:r>
    </w:p>
    <w:p w14:paraId="1877B58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cs="宋体"/>
          <w:b/>
          <w:bCs/>
          <w:color w:val="000000"/>
          <w:kern w:val="0"/>
          <w:szCs w:val="21"/>
        </w:rPr>
      </w:pPr>
      <w:r>
        <w:rPr>
          <w:rFonts w:hint="eastAsia" w:ascii="宋体" w:cs="宋体"/>
          <w:b/>
          <w:bCs/>
          <w:color w:val="000000"/>
          <w:kern w:val="0"/>
          <w:szCs w:val="21"/>
        </w:rPr>
        <w:t>8.5成交原则</w:t>
      </w:r>
    </w:p>
    <w:p w14:paraId="2E3ABFB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b/>
          <w:color w:val="000000"/>
          <w:szCs w:val="21"/>
        </w:rPr>
      </w:pPr>
      <w:r>
        <w:rPr>
          <w:rFonts w:hint="eastAsia" w:ascii="宋体"/>
          <w:b/>
          <w:color w:val="000000"/>
          <w:szCs w:val="21"/>
        </w:rPr>
        <w:t>最低评标价法：询价小组应当从质量和服务（</w:t>
      </w:r>
      <w:r>
        <w:rPr>
          <w:rFonts w:ascii="宋体"/>
          <w:b/>
          <w:color w:val="000000"/>
          <w:szCs w:val="21"/>
        </w:rPr>
        <w:t>供应商提供的产品质量和服务</w:t>
      </w:r>
      <w:r>
        <w:rPr>
          <w:rFonts w:hint="eastAsia" w:ascii="宋体"/>
          <w:b/>
          <w:color w:val="000000"/>
          <w:szCs w:val="21"/>
        </w:rPr>
        <w:t>）均能满足采购文件实质性响应要求的供应商中，按照报价由</w:t>
      </w:r>
      <w:r>
        <w:rPr>
          <w:rFonts w:hint="eastAsia" w:ascii="宋体"/>
          <w:b/>
          <w:color w:val="000000"/>
          <w:szCs w:val="21"/>
          <w:lang w:eastAsia="zh-CN"/>
        </w:rPr>
        <w:t>低</w:t>
      </w:r>
      <w:r>
        <w:rPr>
          <w:rFonts w:hint="eastAsia" w:ascii="宋体"/>
          <w:b/>
          <w:color w:val="000000"/>
          <w:szCs w:val="21"/>
        </w:rPr>
        <w:t>到</w:t>
      </w:r>
      <w:r>
        <w:rPr>
          <w:rFonts w:hint="eastAsia" w:ascii="宋体"/>
          <w:b/>
          <w:color w:val="000000"/>
          <w:szCs w:val="21"/>
          <w:lang w:eastAsia="zh-CN"/>
        </w:rPr>
        <w:t>高</w:t>
      </w:r>
      <w:r>
        <w:rPr>
          <w:rFonts w:hint="eastAsia" w:ascii="宋体"/>
          <w:b/>
          <w:color w:val="000000"/>
          <w:szCs w:val="21"/>
        </w:rPr>
        <w:t>的顺序（</w:t>
      </w:r>
      <w:r>
        <w:rPr>
          <w:rFonts w:hint="eastAsia" w:ascii="宋体" w:cs="宋体"/>
          <w:b/>
          <w:color w:val="000000"/>
          <w:kern w:val="0"/>
          <w:szCs w:val="21"/>
        </w:rPr>
        <w:t>报价相同的并列</w:t>
      </w:r>
      <w:r>
        <w:rPr>
          <w:rFonts w:hint="eastAsia" w:ascii="宋体" w:cs="宋体"/>
          <w:b/>
          <w:color w:val="000000"/>
          <w:szCs w:val="21"/>
        </w:rPr>
        <w:t>）</w:t>
      </w:r>
      <w:r>
        <w:rPr>
          <w:rFonts w:hint="eastAsia" w:ascii="宋体"/>
          <w:b/>
          <w:color w:val="000000"/>
          <w:szCs w:val="21"/>
        </w:rPr>
        <w:t>提出成交候选人。</w:t>
      </w:r>
    </w:p>
    <w:p w14:paraId="6277BF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s="宋体"/>
          <w:color w:val="000000"/>
          <w:szCs w:val="21"/>
        </w:rPr>
        <w:t>8.6</w:t>
      </w:r>
      <w:r>
        <w:rPr>
          <w:rFonts w:hint="eastAsia" w:ascii="宋体"/>
          <w:color w:val="000000"/>
          <w:szCs w:val="21"/>
        </w:rPr>
        <w:t>采购代理机构应当在评审结束后2个工作日内将评审报告送采购人确认。</w:t>
      </w:r>
    </w:p>
    <w:p w14:paraId="028938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s="宋体"/>
          <w:color w:val="000000"/>
          <w:szCs w:val="21"/>
        </w:rPr>
      </w:pPr>
      <w:r>
        <w:rPr>
          <w:rFonts w:hint="eastAsia" w:ascii="宋体"/>
          <w:color w:val="000000"/>
          <w:szCs w:val="21"/>
        </w:rPr>
        <w:t>采购人应当在收到评审报告后5个工作日内，从评审报告提出的成交候选人中，根据质量和服务均能满足采购文件实质性响应要求且</w:t>
      </w:r>
      <w:r>
        <w:rPr>
          <w:rFonts w:hint="eastAsia" w:ascii="宋体"/>
          <w:b/>
          <w:color w:val="000000"/>
          <w:szCs w:val="21"/>
        </w:rPr>
        <w:t>报价</w:t>
      </w:r>
      <w:r>
        <w:rPr>
          <w:rFonts w:hint="eastAsia" w:ascii="宋体"/>
          <w:b/>
          <w:color w:val="000000"/>
          <w:szCs w:val="21"/>
          <w:lang w:eastAsia="zh-CN"/>
        </w:rPr>
        <w:t>最低</w:t>
      </w:r>
      <w:r>
        <w:rPr>
          <w:rFonts w:hint="eastAsia" w:ascii="宋体"/>
          <w:color w:val="000000"/>
          <w:szCs w:val="21"/>
        </w:rPr>
        <w:t>的原则确定成交供应商（如</w:t>
      </w:r>
      <w:r>
        <w:rPr>
          <w:rFonts w:hint="eastAsia" w:ascii="宋体"/>
          <w:color w:val="000000"/>
          <w:szCs w:val="21"/>
          <w:lang w:eastAsia="zh-CN"/>
        </w:rPr>
        <w:t>出现</w:t>
      </w:r>
      <w:r>
        <w:rPr>
          <w:rFonts w:hint="eastAsia" w:ascii="宋体"/>
          <w:color w:val="000000"/>
          <w:szCs w:val="21"/>
        </w:rPr>
        <w:t>并列情形的，采购人将授权询价小组</w:t>
      </w:r>
      <w:r>
        <w:rPr>
          <w:rFonts w:hint="eastAsia" w:ascii="宋体"/>
          <w:color w:val="000000"/>
          <w:szCs w:val="21"/>
          <w:lang w:eastAsia="zh-CN"/>
        </w:rPr>
        <w:t>现场抽签</w:t>
      </w:r>
      <w:r>
        <w:rPr>
          <w:rFonts w:hint="eastAsia" w:ascii="宋体"/>
          <w:color w:val="000000"/>
          <w:szCs w:val="21"/>
        </w:rPr>
        <w:t>确定成交供应商</w:t>
      </w:r>
      <w:r>
        <w:rPr>
          <w:rFonts w:hint="eastAsia" w:ascii="宋体"/>
          <w:color w:val="000000"/>
          <w:szCs w:val="21"/>
          <w:lang w:eastAsia="zh-CN"/>
        </w:rPr>
        <w:t>）</w:t>
      </w:r>
      <w:r>
        <w:rPr>
          <w:rFonts w:hint="eastAsia" w:ascii="宋体"/>
          <w:b/>
          <w:color w:val="000000"/>
          <w:szCs w:val="21"/>
        </w:rPr>
        <w:t>。</w:t>
      </w:r>
    </w:p>
    <w:p w14:paraId="17958C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olor w:val="000000"/>
          <w:szCs w:val="21"/>
        </w:rPr>
        <w:t>8.7采购人确定成交供应商后，将以电子邮件等方式通知所有参加采购的供应商。</w:t>
      </w:r>
    </w:p>
    <w:p w14:paraId="2545F5F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b/>
          <w:color w:val="000000"/>
          <w:szCs w:val="21"/>
        </w:rPr>
      </w:pPr>
      <w:r>
        <w:rPr>
          <w:rFonts w:hint="eastAsia" w:ascii="宋体"/>
          <w:b/>
          <w:color w:val="000000"/>
          <w:szCs w:val="21"/>
        </w:rPr>
        <w:t>8.8质疑与投诉</w:t>
      </w:r>
    </w:p>
    <w:p w14:paraId="4D0358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b/>
          <w:color w:val="000000"/>
          <w:szCs w:val="21"/>
        </w:rPr>
      </w:pPr>
      <w:r>
        <w:rPr>
          <w:rFonts w:hint="eastAsia" w:ascii="宋体"/>
          <w:color w:val="000000"/>
          <w:szCs w:val="21"/>
        </w:rPr>
        <w:t>供应商认为采购文件、采购过程和采购结果使自己的权益受到损害的，须在知道或者应知其权益受到损害之日起七个工作日内以书面形式送达的方式（请使用EMS等书面形式）向采购代理机构或采购人提出质疑。非书面形式、逾期（以采购代理机构或采购人收悉时间为准）提交以及匿名的质疑将不予受理。</w:t>
      </w:r>
    </w:p>
    <w:p w14:paraId="3EA374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olor w:val="000000"/>
          <w:szCs w:val="21"/>
        </w:rPr>
        <w:t>质疑函应当包括下列内容：</w:t>
      </w:r>
      <w:r>
        <w:rPr>
          <w:rFonts w:ascii="宋体"/>
          <w:color w:val="000000"/>
          <w:szCs w:val="21"/>
        </w:rPr>
        <w:t>供应商提出质疑应当提交质疑函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w:t>
      </w:r>
    </w:p>
    <w:p w14:paraId="279A54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olor w:val="000000"/>
          <w:szCs w:val="21"/>
        </w:rPr>
        <w:t>注：</w:t>
      </w:r>
      <w:r>
        <w:rPr>
          <w:rFonts w:ascii="宋体"/>
          <w:color w:val="000000"/>
          <w:szCs w:val="21"/>
        </w:rPr>
        <w:t>对可以质疑的采购文件提出质疑的，为收到采购文件之日或者采购文件公告期限届满之日</w:t>
      </w:r>
      <w:r>
        <w:rPr>
          <w:rFonts w:hint="eastAsia" w:ascii="宋体"/>
          <w:color w:val="000000"/>
          <w:szCs w:val="21"/>
        </w:rPr>
        <w:t>；</w:t>
      </w:r>
      <w:r>
        <w:rPr>
          <w:rFonts w:ascii="宋体"/>
          <w:color w:val="000000"/>
          <w:szCs w:val="21"/>
        </w:rPr>
        <w:t>对采购过程提出质疑的，为各采购程序环节结束之日；对中标或者成交结果提出质疑的，为中标或者成交结果公告期限届满之日。</w:t>
      </w:r>
      <w:r>
        <w:rPr>
          <w:rFonts w:hint="eastAsia" w:ascii="宋体"/>
          <w:color w:val="000000"/>
          <w:szCs w:val="21"/>
        </w:rPr>
        <w:t>未参加询价采购活动的供应商或在询价采购活动中自身权益未受到损害的供应商所提出的质疑不予受理。未购买采购文件的供应商，无权知道本采购文件相关内容，采购人、采购代理机构有权不予受理。</w:t>
      </w:r>
    </w:p>
    <w:p w14:paraId="7B12F2A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b/>
          <w:color w:val="000000"/>
          <w:szCs w:val="21"/>
        </w:rPr>
      </w:pPr>
      <w:r>
        <w:rPr>
          <w:rFonts w:hint="eastAsia" w:ascii="宋体"/>
          <w:b/>
          <w:color w:val="000000"/>
          <w:szCs w:val="21"/>
        </w:rPr>
        <w:t>质疑供应商对采购人、采购代理机构的答复不满意或者采购人、采购代理机构未在规定的时间内作出答复的，可以在答复期满后7个工作日内向采购人的领导班子投诉或向纪检组反映情况。</w:t>
      </w:r>
    </w:p>
    <w:p w14:paraId="19F1A11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b/>
          <w:color w:val="000000"/>
          <w:szCs w:val="21"/>
        </w:rPr>
      </w:pPr>
      <w:r>
        <w:rPr>
          <w:rFonts w:hint="eastAsia" w:ascii="宋体"/>
          <w:b/>
          <w:color w:val="000000"/>
          <w:szCs w:val="21"/>
        </w:rPr>
        <w:t>9、签订合同</w:t>
      </w:r>
    </w:p>
    <w:p w14:paraId="5A0BE8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olor w:val="000000"/>
          <w:szCs w:val="21"/>
        </w:rPr>
        <w:t>9.1采购人与成交供应商应当在成交通知书发出之日起30日内，按照采购文件确定的合同文本以及采购标的、采购金额、采购数量、技术和服务要求等事项签订政府采购合同。</w:t>
      </w:r>
    </w:p>
    <w:p w14:paraId="683451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s="宋体"/>
          <w:color w:val="000000"/>
          <w:kern w:val="0"/>
          <w:szCs w:val="21"/>
        </w:rPr>
      </w:pPr>
      <w:r>
        <w:rPr>
          <w:rFonts w:hint="eastAsia" w:ascii="宋体"/>
          <w:color w:val="000000"/>
          <w:szCs w:val="21"/>
        </w:rPr>
        <w:t>　　9.2采购人与成交供应商所签订的合同不得对采购文件确定</w:t>
      </w:r>
      <w:r>
        <w:rPr>
          <w:rFonts w:hint="eastAsia" w:ascii="宋体" w:cs="宋体"/>
          <w:color w:val="000000"/>
          <w:kern w:val="0"/>
          <w:szCs w:val="21"/>
        </w:rPr>
        <w:t>事项和</w:t>
      </w:r>
      <w:r>
        <w:rPr>
          <w:rFonts w:hint="eastAsia" w:ascii="宋体"/>
          <w:color w:val="000000"/>
          <w:szCs w:val="21"/>
        </w:rPr>
        <w:t>成交供应商</w:t>
      </w:r>
      <w:r>
        <w:rPr>
          <w:rFonts w:hint="eastAsia" w:ascii="宋体" w:cs="宋体"/>
          <w:color w:val="000000"/>
          <w:kern w:val="0"/>
          <w:szCs w:val="21"/>
        </w:rPr>
        <w:t>投标文件作实质性修改。</w:t>
      </w:r>
    </w:p>
    <w:p w14:paraId="2CE964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olor w:val="000000"/>
          <w:szCs w:val="21"/>
        </w:rPr>
        <w:t>9.3除不可抗力等因素外，成交通知书发出后，成交供应商拒绝签订政府采购合同的，应当承担相应的法律责任。</w:t>
      </w:r>
    </w:p>
    <w:p w14:paraId="3A39D4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olor w:val="000000"/>
          <w:szCs w:val="21"/>
        </w:rPr>
        <w:t>9.4成交供应商拒绝签订采购合同的，采购人可以确定其他供应商作为成交供应商并签订采购合同，也可以重新开展采购活动。拒绝签订采购合同的成交供应商不得参加对该项目重新开展的采购活动。</w:t>
      </w:r>
    </w:p>
    <w:p w14:paraId="3F51247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cs="宋体"/>
          <w:b/>
          <w:bCs/>
          <w:color w:val="000000"/>
          <w:szCs w:val="21"/>
        </w:rPr>
      </w:pPr>
      <w:r>
        <w:rPr>
          <w:rFonts w:hint="eastAsia" w:ascii="宋体"/>
          <w:b/>
          <w:color w:val="000000"/>
          <w:szCs w:val="21"/>
        </w:rPr>
        <w:t>10、投标保证金（询价响应保证金）、履约保证金</w:t>
      </w:r>
    </w:p>
    <w:p w14:paraId="1B3FA58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b/>
          <w:color w:val="000000"/>
          <w:szCs w:val="21"/>
        </w:rPr>
      </w:pPr>
      <w:r>
        <w:rPr>
          <w:rFonts w:hint="eastAsia" w:ascii="宋体" w:cs="宋体"/>
          <w:b/>
          <w:color w:val="000000"/>
          <w:szCs w:val="21"/>
        </w:rPr>
        <w:t>10.1</w:t>
      </w:r>
      <w:r>
        <w:rPr>
          <w:rFonts w:hint="eastAsia" w:ascii="宋体"/>
          <w:b/>
          <w:color w:val="000000"/>
          <w:szCs w:val="21"/>
        </w:rPr>
        <w:t>供应商在投标时，须按采购文件的要求交纳投标保证金（部分项目不须要交，请看采购公告）。</w:t>
      </w:r>
    </w:p>
    <w:p w14:paraId="13F1E1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b/>
          <w:color w:val="000000"/>
          <w:szCs w:val="21"/>
        </w:rPr>
      </w:pPr>
      <w:r>
        <w:rPr>
          <w:rFonts w:hint="eastAsia" w:ascii="宋体"/>
          <w:color w:val="000000"/>
          <w:szCs w:val="21"/>
        </w:rPr>
        <w:t>10.1.1采购文件要求供应商交纳保证金的，供应商应当及时提交。对于未按要求及时提交保证金的询价响应文件，</w:t>
      </w:r>
      <w:r>
        <w:rPr>
          <w:rFonts w:hint="eastAsia" w:ascii="宋体"/>
          <w:b/>
          <w:color w:val="000000"/>
          <w:szCs w:val="21"/>
        </w:rPr>
        <w:t>将被视为无效文件而予以拒绝</w:t>
      </w:r>
      <w:r>
        <w:rPr>
          <w:rFonts w:hint="eastAsia" w:ascii="宋体"/>
          <w:color w:val="000000"/>
          <w:szCs w:val="21"/>
        </w:rPr>
        <w:t>。</w:t>
      </w:r>
      <w:r>
        <w:rPr>
          <w:rFonts w:hint="eastAsia" w:ascii="宋体" w:cs="宋体"/>
          <w:color w:val="000000"/>
          <w:szCs w:val="21"/>
        </w:rPr>
        <w:t>联合体以一方名义提交保证金的，对联合体各方均具有约束力。</w:t>
      </w:r>
    </w:p>
    <w:p w14:paraId="0F6854B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b/>
          <w:bCs/>
          <w:color w:val="000000"/>
          <w:szCs w:val="21"/>
        </w:rPr>
      </w:pPr>
      <w:r>
        <w:rPr>
          <w:rFonts w:hint="eastAsia" w:ascii="宋体"/>
          <w:b/>
          <w:bCs/>
          <w:color w:val="000000"/>
          <w:szCs w:val="21"/>
        </w:rPr>
        <w:t>10.1.2履约保证金</w:t>
      </w:r>
    </w:p>
    <w:p w14:paraId="1CDED122">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ascii="宋体" w:hAnsi="宋体" w:cs="宋体"/>
          <w:b/>
          <w:bCs/>
          <w:szCs w:val="21"/>
        </w:rPr>
      </w:pPr>
      <w:r>
        <w:rPr>
          <w:rFonts w:hint="eastAsia" w:ascii="宋体" w:hAnsi="宋体" w:cs="宋体"/>
          <w:b/>
          <w:bCs/>
          <w:szCs w:val="21"/>
        </w:rPr>
        <w:t>⑴</w:t>
      </w:r>
      <w:r>
        <w:rPr>
          <w:rFonts w:hint="eastAsia" w:asciiTheme="minorEastAsia" w:hAnsiTheme="minorEastAsia" w:eastAsiaTheme="minorEastAsia" w:cstheme="minorEastAsia"/>
          <w:sz w:val="21"/>
          <w:szCs w:val="21"/>
        </w:rPr>
        <w:t>在签订合同前，中标人需向招标人交纳履约保证金（</w:t>
      </w:r>
      <w:r>
        <w:rPr>
          <w:rFonts w:hint="eastAsia" w:asciiTheme="minorEastAsia" w:hAnsiTheme="minorEastAsia" w:eastAsiaTheme="minorEastAsia" w:cstheme="minorEastAsia"/>
          <w:b/>
          <w:bCs/>
          <w:sz w:val="21"/>
          <w:szCs w:val="21"/>
        </w:rPr>
        <w:t>以支票、汇票、本票或者金融机构、担保机构出具的保函等非现金形式提交履约保证金。</w:t>
      </w:r>
      <w:r>
        <w:rPr>
          <w:rFonts w:hint="eastAsia" w:asciiTheme="minorEastAsia" w:hAnsiTheme="minorEastAsia" w:eastAsiaTheme="minorEastAsia" w:cstheme="minorEastAsia"/>
          <w:sz w:val="21"/>
          <w:szCs w:val="21"/>
        </w:rPr>
        <w:t>请将履约保证金相关凭证发送至QQ邮箱：</w:t>
      </w:r>
      <w:r>
        <w:rPr>
          <w:rFonts w:hint="eastAsia" w:asciiTheme="minorEastAsia" w:hAnsiTheme="minorEastAsia" w:eastAsiaTheme="minorEastAsia" w:cstheme="minorEastAsia"/>
          <w:color w:val="auto"/>
          <w:sz w:val="21"/>
          <w:szCs w:val="21"/>
          <w:u w:val="none"/>
        </w:rPr>
        <w:t>532223373@qq.com），具体金额为</w:t>
      </w:r>
      <w:r>
        <w:rPr>
          <w:rFonts w:hint="eastAsia" w:asciiTheme="minorEastAsia" w:hAnsiTheme="minorEastAsia" w:eastAsiaTheme="minorEastAsia" w:cstheme="minorEastAsia"/>
          <w:color w:val="auto"/>
          <w:sz w:val="21"/>
          <w:szCs w:val="21"/>
          <w:u w:val="none"/>
          <w:lang w:val="en-US" w:eastAsia="zh-CN"/>
        </w:rPr>
        <w:t>合同价的5%</w:t>
      </w:r>
      <w:r>
        <w:rPr>
          <w:rFonts w:hint="eastAsia" w:asciiTheme="minorEastAsia" w:hAnsiTheme="minorEastAsia" w:eastAsiaTheme="minorEastAsia" w:cstheme="minorEastAsia"/>
          <w:color w:val="auto"/>
          <w:sz w:val="21"/>
          <w:szCs w:val="21"/>
          <w:u w:val="none"/>
        </w:rPr>
        <w:t>。拟中标人应当按照招标人的要求及时、足额缴纳履约保证金，履约保证金待项目履约结束后一次性无息退还。（凭“保证金请退函”到学校国资处办理退款手续）。如果中标人不履行合同约定的义务，未能完全履行合同规定的义务或其履行不符合合同的约定，招标人有权扣除履约保证金取得补偿。</w:t>
      </w:r>
    </w:p>
    <w:p w14:paraId="5266810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b/>
          <w:bCs/>
          <w:szCs w:val="21"/>
        </w:rPr>
      </w:pPr>
      <w:r>
        <w:rPr>
          <w:rFonts w:hint="eastAsia" w:ascii="宋体" w:hAnsi="宋体" w:cs="宋体"/>
          <w:b/>
          <w:bCs/>
          <w:szCs w:val="21"/>
        </w:rPr>
        <w:t>⑵履约保证金专户帐户信息</w:t>
      </w:r>
    </w:p>
    <w:p w14:paraId="4F28F18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b/>
          <w:bCs/>
          <w:szCs w:val="21"/>
        </w:rPr>
      </w:pPr>
      <w:r>
        <w:rPr>
          <w:rFonts w:hint="eastAsia" w:ascii="宋体" w:hAnsi="宋体" w:cs="宋体"/>
          <w:b/>
          <w:bCs/>
          <w:szCs w:val="21"/>
        </w:rPr>
        <w:t>单位名称：江苏医药职业学院</w:t>
      </w:r>
    </w:p>
    <w:p w14:paraId="09C5F55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b/>
          <w:bCs/>
          <w:szCs w:val="21"/>
        </w:rPr>
      </w:pPr>
      <w:r>
        <w:rPr>
          <w:rFonts w:hint="eastAsia" w:ascii="宋体" w:hAnsi="宋体" w:cs="宋体"/>
          <w:b/>
          <w:bCs/>
          <w:szCs w:val="21"/>
        </w:rPr>
        <w:t>开户行名称：建行盐城市城南支行</w:t>
      </w:r>
    </w:p>
    <w:p w14:paraId="2A21BF0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b/>
          <w:bCs/>
          <w:szCs w:val="21"/>
        </w:rPr>
      </w:pPr>
      <w:r>
        <w:rPr>
          <w:rFonts w:hint="eastAsia" w:ascii="宋体" w:hAnsi="宋体" w:cs="宋体"/>
          <w:b/>
          <w:bCs/>
          <w:szCs w:val="21"/>
        </w:rPr>
        <w:t>银行帐号：32001735038052500575</w:t>
      </w:r>
    </w:p>
    <w:p w14:paraId="78E82EC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b/>
          <w:bCs/>
          <w:szCs w:val="21"/>
        </w:rPr>
      </w:pPr>
      <w:r>
        <w:rPr>
          <w:rFonts w:hint="eastAsia" w:ascii="宋体" w:hAnsi="宋体" w:cs="宋体"/>
          <w:b/>
          <w:bCs/>
          <w:szCs w:val="21"/>
        </w:rPr>
        <w:t>地    址：江苏省盐城市解放南路283号</w:t>
      </w:r>
    </w:p>
    <w:p w14:paraId="3F9E251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b/>
          <w:bCs/>
          <w:szCs w:val="21"/>
        </w:rPr>
      </w:pPr>
      <w:r>
        <w:rPr>
          <w:rFonts w:hint="eastAsia" w:ascii="宋体" w:hAnsi="宋体" w:cs="宋体"/>
          <w:b/>
          <w:bCs/>
          <w:szCs w:val="21"/>
        </w:rPr>
        <w:t>电    话：0515-88550311</w:t>
      </w:r>
    </w:p>
    <w:p w14:paraId="7430830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b/>
          <w:bCs/>
          <w:szCs w:val="21"/>
        </w:rPr>
      </w:pPr>
      <w:r>
        <w:rPr>
          <w:rFonts w:hint="eastAsia" w:ascii="宋体" w:hAnsi="宋体" w:cs="宋体"/>
          <w:b/>
          <w:bCs/>
          <w:szCs w:val="21"/>
        </w:rPr>
        <w:t>⑶如果拟中标人没有在规定的时间内交纳履约保证金，或放弃中标、或被查实存在影响中标结果的违法行为、或其他供应商对招标项目的质疑（投诉）成立、或拒绝遵守招标文件规定、响应承诺，或拒绝签订合同、或虽签署合同但不予履行等，则取消（拟）中标人资格，已经缴纳的履约保证金作为违约金不予退还。</w:t>
      </w:r>
    </w:p>
    <w:p w14:paraId="75B73B3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b/>
          <w:bCs/>
          <w:szCs w:val="21"/>
        </w:rPr>
      </w:pPr>
      <w:r>
        <w:rPr>
          <w:rFonts w:hint="eastAsia" w:ascii="宋体" w:hAnsi="宋体" w:cs="宋体"/>
          <w:b/>
          <w:bCs/>
          <w:szCs w:val="21"/>
        </w:rPr>
        <w:t>⑷履约保证金退还：中标人缴纳的履约保证金待项目验收结束后无质量问题一次性无息退还，（凭“保证金请退函”到学校国资处办理退款手续）。如果中标人不履行合同约定的义务，未能完全履行合同规定的义务或其履行不符合合同的约定，招标人有权扣除履约保证金取得补偿。</w:t>
      </w:r>
    </w:p>
    <w:p w14:paraId="3027A30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b/>
          <w:bCs/>
          <w:szCs w:val="21"/>
        </w:rPr>
      </w:pPr>
      <w:r>
        <w:rPr>
          <w:rFonts w:hint="eastAsia" w:ascii="宋体" w:hAnsi="宋体" w:cs="宋体"/>
          <w:b/>
          <w:bCs/>
          <w:szCs w:val="21"/>
        </w:rPr>
        <w:t>⑸履约保证金用以约束成交供应商在合同履行中的行为，弥补合同执行中由于自身行为可能给采购人带来的各种损失（履约保证金将不予退还）。</w:t>
      </w:r>
    </w:p>
    <w:p w14:paraId="168FBAC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b/>
          <w:bCs/>
          <w:szCs w:val="21"/>
        </w:rPr>
      </w:pPr>
      <w:r>
        <w:rPr>
          <w:rFonts w:hint="eastAsia" w:ascii="宋体" w:hAnsi="宋体" w:cs="宋体"/>
          <w:b/>
          <w:bCs/>
          <w:szCs w:val="21"/>
        </w:rPr>
        <w:t>⑹如中标人信用报告为AA评级及以上的，减半或免收履约保证金（需提供信用管理部门备案的第三方信用报告）；中标人的信用报告应满足盐城市信用办《关于执行&lt;江苏省企业信用评价指引（试行）落实信用报告互认互用的通知》（盐信用办〔2021〕16号）规定，且信用报告概述页等内容通过“信用盐城”网站可查实。</w:t>
      </w:r>
    </w:p>
    <w:p w14:paraId="12758B5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b/>
          <w:color w:val="000000"/>
          <w:szCs w:val="21"/>
        </w:rPr>
      </w:pPr>
      <w:r>
        <w:rPr>
          <w:rFonts w:hint="eastAsia" w:ascii="宋体" w:cs="宋体"/>
          <w:b/>
          <w:color w:val="000000"/>
          <w:szCs w:val="21"/>
        </w:rPr>
        <w:t>10.2</w:t>
      </w:r>
      <w:r>
        <w:rPr>
          <w:rFonts w:hint="eastAsia" w:ascii="宋体"/>
          <w:b/>
          <w:color w:val="000000"/>
          <w:szCs w:val="21"/>
        </w:rPr>
        <w:t>下列任何情况发生时，采购代理机构有权没收其保证金（作为预定的损害赔偿而非罚款）：</w:t>
      </w:r>
    </w:p>
    <w:p w14:paraId="654F89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olor w:val="000000"/>
          <w:szCs w:val="21"/>
        </w:rPr>
        <w:t>10.2.1供应商在提交响应文件截止时间后撤回响应文件的；</w:t>
      </w:r>
    </w:p>
    <w:p w14:paraId="2604AC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olor w:val="000000"/>
          <w:szCs w:val="21"/>
        </w:rPr>
        <w:t>10.2.2供应商在响应文件中提供虚假材料的；</w:t>
      </w:r>
    </w:p>
    <w:p w14:paraId="1D9788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olor w:val="000000"/>
          <w:szCs w:val="21"/>
        </w:rPr>
        <w:t>10.2.3除因不可抗力或采购文件认可的情形以外，成交供应商不与采购人签订合同的；</w:t>
      </w:r>
    </w:p>
    <w:p w14:paraId="6B997D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olor w:val="000000"/>
          <w:szCs w:val="21"/>
        </w:rPr>
        <w:t>10.2.4供应商与采购人、其他供应商或者采购代理机构恶意串通的；</w:t>
      </w:r>
    </w:p>
    <w:p w14:paraId="57667C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olor w:val="000000"/>
          <w:szCs w:val="21"/>
        </w:rPr>
        <w:t>10.2.5采购文件规定的其他情形</w:t>
      </w:r>
      <w:r>
        <w:rPr>
          <w:rFonts w:hint="eastAsia" w:ascii="宋体"/>
          <w:b/>
          <w:color w:val="000000"/>
          <w:szCs w:val="21"/>
        </w:rPr>
        <w:t>：</w:t>
      </w:r>
    </w:p>
    <w:p w14:paraId="171F0D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olor w:val="000000"/>
          <w:szCs w:val="21"/>
        </w:rPr>
        <w:t>（1）供应商报名后未参加投标的（在报名时间内撤回的除外）；</w:t>
      </w:r>
    </w:p>
    <w:p w14:paraId="126BC8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olor w:val="000000"/>
          <w:szCs w:val="21"/>
        </w:rPr>
        <w:t>（2）供应商提供的有关资料（含质疑材料）不真实或</w:t>
      </w:r>
      <w:r>
        <w:rPr>
          <w:rFonts w:ascii="宋体" w:cs="Arial"/>
          <w:color w:val="000000"/>
          <w:kern w:val="0"/>
          <w:szCs w:val="21"/>
        </w:rPr>
        <w:t>以非法手段取得。</w:t>
      </w:r>
    </w:p>
    <w:p w14:paraId="1E7185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olor w:val="000000"/>
          <w:szCs w:val="21"/>
        </w:rPr>
        <w:t>（3）成交供应商在规定期限内未能根据规定交纳代理服务费、履约保证金的。</w:t>
      </w:r>
    </w:p>
    <w:p w14:paraId="159706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olor w:val="000000"/>
          <w:szCs w:val="21"/>
        </w:rPr>
        <w:t>10.2.6法律、法规规定的其他情况。</w:t>
      </w:r>
    </w:p>
    <w:p w14:paraId="0D175E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s="宋体"/>
          <w:color w:val="000000"/>
          <w:szCs w:val="21"/>
        </w:rPr>
        <w:t>10.3成交供应商的需向</w:t>
      </w:r>
      <w:r>
        <w:rPr>
          <w:rFonts w:hint="eastAsia" w:ascii="宋体" w:cs="宋体"/>
          <w:color w:val="000000"/>
          <w:kern w:val="0"/>
          <w:szCs w:val="21"/>
        </w:rPr>
        <w:t>采购人或者携手阳光公司</w:t>
      </w:r>
      <w:r>
        <w:rPr>
          <w:rFonts w:hint="eastAsia" w:ascii="宋体"/>
          <w:color w:val="000000"/>
          <w:szCs w:val="21"/>
        </w:rPr>
        <w:t>（以采购人要求为准）</w:t>
      </w:r>
      <w:r>
        <w:rPr>
          <w:rFonts w:hint="eastAsia" w:ascii="宋体" w:cs="宋体"/>
          <w:color w:val="000000"/>
          <w:szCs w:val="21"/>
        </w:rPr>
        <w:t>缴纳履约保证金。履约保证金</w:t>
      </w:r>
      <w:r>
        <w:rPr>
          <w:rFonts w:hint="eastAsia" w:ascii="宋体"/>
          <w:color w:val="000000"/>
          <w:szCs w:val="21"/>
        </w:rPr>
        <w:t>于合同履行完毕后无息退还（如在携手阳光公司账上的，退还时须提供采购人书面同意退还的证明材料）。</w:t>
      </w:r>
    </w:p>
    <w:p w14:paraId="6AD8EA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olor w:val="000000"/>
          <w:szCs w:val="21"/>
        </w:rPr>
        <w:t>履约保证金用以约束成交供应商在合同履行中的行为，弥补合同执行中由于自身行为可能给采购人带来的各种损失。如果成交供应商不同意按照规定去做，采购代理机构有权取消本次采购成交决定，并没收其</w:t>
      </w:r>
      <w:r>
        <w:rPr>
          <w:rFonts w:hint="eastAsia" w:ascii="宋体" w:cs="宋体"/>
          <w:color w:val="000000"/>
          <w:szCs w:val="21"/>
        </w:rPr>
        <w:t>履约保证金</w:t>
      </w:r>
      <w:r>
        <w:rPr>
          <w:rFonts w:hint="eastAsia" w:ascii="宋体"/>
          <w:color w:val="000000"/>
          <w:szCs w:val="21"/>
        </w:rPr>
        <w:t>。</w:t>
      </w:r>
    </w:p>
    <w:p w14:paraId="57B95E9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b/>
          <w:color w:val="000000"/>
          <w:szCs w:val="21"/>
        </w:rPr>
      </w:pPr>
      <w:r>
        <w:rPr>
          <w:rFonts w:hint="eastAsia" w:ascii="宋体"/>
          <w:b/>
          <w:color w:val="000000"/>
          <w:szCs w:val="21"/>
        </w:rPr>
        <w:t>10、终止询价采购活动</w:t>
      </w:r>
    </w:p>
    <w:p w14:paraId="19C5F8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olor w:val="000000"/>
          <w:szCs w:val="21"/>
        </w:rPr>
        <w:t>出现下列情形之一的，采购人或者采购代理机构应当终止询价采购活动，重新开展采购活动：</w:t>
      </w:r>
    </w:p>
    <w:p w14:paraId="5C592F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olor w:val="000000"/>
          <w:szCs w:val="21"/>
        </w:rPr>
        <w:t>10.1因情况变化，不再符合规定的询价采购方式适用情形的；</w:t>
      </w:r>
    </w:p>
    <w:p w14:paraId="776760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olor w:val="000000"/>
          <w:szCs w:val="21"/>
        </w:rPr>
        <w:t>10.2出现影响采购公正的违法、违规行为的；</w:t>
      </w:r>
    </w:p>
    <w:p w14:paraId="18115D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b/>
          <w:color w:val="000000"/>
          <w:szCs w:val="21"/>
        </w:rPr>
      </w:pPr>
      <w:r>
        <w:rPr>
          <w:rFonts w:hint="eastAsia" w:ascii="宋体"/>
          <w:color w:val="000000"/>
          <w:szCs w:val="21"/>
        </w:rPr>
        <w:t>在采购过程中符合竞争要求的供应商或者报价未超过采购预算的供应商不足3家的，采购人可以终止采购活动，也可以按照“以合理的价格购买数量、质量合适的产品”的原则继续评审（须符合质优价廉，且价格低于市场平均价）。</w:t>
      </w:r>
    </w:p>
    <w:p w14:paraId="292384C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b/>
          <w:color w:val="000000"/>
          <w:szCs w:val="21"/>
        </w:rPr>
      </w:pPr>
      <w:r>
        <w:rPr>
          <w:rFonts w:hint="eastAsia" w:ascii="宋体"/>
          <w:b/>
          <w:color w:val="000000"/>
          <w:szCs w:val="21"/>
        </w:rPr>
        <w:t>11、代理服务费</w:t>
      </w:r>
    </w:p>
    <w:p w14:paraId="5A8369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b/>
          <w:color w:val="000000"/>
          <w:szCs w:val="21"/>
        </w:rPr>
      </w:pPr>
      <w:r>
        <w:rPr>
          <w:rFonts w:hint="eastAsia" w:ascii="宋体"/>
          <w:color w:val="000000"/>
          <w:szCs w:val="21"/>
        </w:rPr>
        <w:t>11.1</w:t>
      </w:r>
      <w:r>
        <w:rPr>
          <w:rFonts w:hint="eastAsia" w:ascii="宋体"/>
          <w:bCs/>
          <w:color w:val="000000"/>
          <w:szCs w:val="21"/>
        </w:rPr>
        <w:t>代理服务费收费标准：</w:t>
      </w:r>
      <w:r>
        <w:rPr>
          <w:rFonts w:hint="eastAsia" w:ascii="宋体" w:cs="宋体"/>
          <w:bCs/>
          <w:color w:val="000000"/>
          <w:szCs w:val="21"/>
        </w:rPr>
        <w:t>见</w:t>
      </w:r>
      <w:r>
        <w:rPr>
          <w:rFonts w:hint="eastAsia" w:ascii="宋体" w:cs="宋体"/>
          <w:bCs/>
          <w:color w:val="000000"/>
          <w:szCs w:val="21"/>
          <w:u w:val="single"/>
        </w:rPr>
        <w:t>供应商须知资料表</w:t>
      </w:r>
      <w:r>
        <w:rPr>
          <w:rFonts w:hint="eastAsia" w:ascii="宋体"/>
          <w:color w:val="000000"/>
          <w:szCs w:val="21"/>
        </w:rPr>
        <w:t>（如</w:t>
      </w:r>
      <w:r>
        <w:rPr>
          <w:rFonts w:hint="eastAsia" w:ascii="宋体"/>
          <w:bCs/>
          <w:color w:val="000000"/>
          <w:szCs w:val="21"/>
        </w:rPr>
        <w:t>代理服务费</w:t>
      </w:r>
      <w:r>
        <w:rPr>
          <w:rFonts w:hint="eastAsia" w:ascii="宋体"/>
          <w:color w:val="000000"/>
          <w:szCs w:val="21"/>
        </w:rPr>
        <w:t>低于最低标准的，按最低标准计收）。</w:t>
      </w:r>
    </w:p>
    <w:p w14:paraId="091647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b/>
          <w:color w:val="000000"/>
          <w:szCs w:val="21"/>
        </w:rPr>
      </w:pPr>
      <w:r>
        <w:rPr>
          <w:rFonts w:hint="eastAsia" w:ascii="宋体" w:cs="宋体"/>
          <w:bCs/>
          <w:color w:val="000000"/>
          <w:szCs w:val="21"/>
        </w:rPr>
        <w:t>11.2如</w:t>
      </w:r>
      <w:r>
        <w:rPr>
          <w:rFonts w:hint="eastAsia" w:ascii="宋体" w:cs="宋体"/>
          <w:bCs/>
          <w:color w:val="000000"/>
          <w:szCs w:val="21"/>
          <w:u w:val="single"/>
        </w:rPr>
        <w:t>供应商须知资料表</w:t>
      </w:r>
      <w:r>
        <w:rPr>
          <w:rFonts w:hint="eastAsia" w:ascii="宋体" w:cs="宋体"/>
          <w:bCs/>
          <w:color w:val="000000"/>
          <w:szCs w:val="21"/>
        </w:rPr>
        <w:t>规定</w:t>
      </w:r>
      <w:r>
        <w:rPr>
          <w:rFonts w:hint="eastAsia" w:ascii="宋体"/>
          <w:bCs/>
          <w:color w:val="000000"/>
          <w:szCs w:val="21"/>
        </w:rPr>
        <w:t>代理服务费由成交供应商承担的。</w:t>
      </w:r>
      <w:r>
        <w:rPr>
          <w:rFonts w:hint="eastAsia" w:ascii="宋体" w:cs="宋体"/>
          <w:bCs/>
          <w:color w:val="000000"/>
          <w:szCs w:val="21"/>
        </w:rPr>
        <w:t>成交供应商须在领取成交通知书时，按照</w:t>
      </w:r>
      <w:r>
        <w:rPr>
          <w:rFonts w:hint="eastAsia" w:ascii="宋体" w:cs="宋体"/>
          <w:bCs/>
          <w:color w:val="000000"/>
          <w:szCs w:val="21"/>
          <w:u w:val="single"/>
        </w:rPr>
        <w:t>供应商须知资料表</w:t>
      </w:r>
      <w:r>
        <w:rPr>
          <w:rFonts w:hint="eastAsia" w:ascii="宋体" w:cs="宋体"/>
          <w:bCs/>
          <w:color w:val="000000"/>
          <w:szCs w:val="21"/>
        </w:rPr>
        <w:t>规定的</w:t>
      </w:r>
      <w:r>
        <w:rPr>
          <w:rFonts w:hint="eastAsia" w:ascii="宋体"/>
          <w:bCs/>
          <w:color w:val="000000"/>
          <w:szCs w:val="21"/>
        </w:rPr>
        <w:t>收费标准</w:t>
      </w:r>
      <w:r>
        <w:rPr>
          <w:rFonts w:hint="eastAsia" w:ascii="宋体" w:cs="宋体"/>
          <w:bCs/>
          <w:color w:val="000000"/>
          <w:szCs w:val="21"/>
        </w:rPr>
        <w:t>向携手阳光公司支付</w:t>
      </w:r>
      <w:r>
        <w:rPr>
          <w:rFonts w:hint="eastAsia" w:ascii="宋体"/>
          <w:bCs/>
          <w:color w:val="000000"/>
          <w:szCs w:val="21"/>
        </w:rPr>
        <w:t>代理服务费</w:t>
      </w:r>
      <w:r>
        <w:rPr>
          <w:rFonts w:hint="eastAsia" w:ascii="宋体" w:cs="宋体"/>
          <w:bCs/>
          <w:color w:val="000000"/>
          <w:szCs w:val="21"/>
        </w:rPr>
        <w:t>（一次性付清）。</w:t>
      </w:r>
      <w:r>
        <w:rPr>
          <w:rFonts w:hint="eastAsia" w:ascii="宋体"/>
          <w:color w:val="000000"/>
          <w:szCs w:val="21"/>
        </w:rPr>
        <w:t>该费用折算在供应商报价中，不在投标文件中单独列出。</w:t>
      </w:r>
    </w:p>
    <w:p w14:paraId="0EA1C4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b/>
          <w:color w:val="000000"/>
          <w:szCs w:val="21"/>
        </w:rPr>
      </w:pPr>
      <w:r>
        <w:rPr>
          <w:rFonts w:hint="eastAsia" w:ascii="宋体"/>
          <w:bCs/>
          <w:color w:val="000000"/>
          <w:szCs w:val="21"/>
        </w:rPr>
        <w:t>11.3代理服务费支付形式为：电款、转账等；发票为</w:t>
      </w:r>
      <w:r>
        <w:rPr>
          <w:rFonts w:hint="eastAsia" w:ascii="宋体" w:cs="宋体"/>
          <w:color w:val="000000"/>
          <w:szCs w:val="21"/>
        </w:rPr>
        <w:t>普通发票。账户信息：开户名：盐城市携手阳光集中采购代理有限公司；开户行：兴业银行盐城分行；帐号：402010100100119375）。如中标单位逾期未支持中标服务费的，携手阳光公司有权全额没收其相关保证金作为预定的损害赔偿（超出收费标准部分作为资金占用赔偿），并保留诉讼的权利。</w:t>
      </w:r>
    </w:p>
    <w:p w14:paraId="59B9EEC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b/>
          <w:color w:val="000000"/>
          <w:szCs w:val="21"/>
        </w:rPr>
      </w:pPr>
      <w:r>
        <w:rPr>
          <w:rFonts w:hint="eastAsia" w:ascii="宋体"/>
          <w:b/>
          <w:color w:val="000000"/>
          <w:szCs w:val="21"/>
        </w:rPr>
        <w:t>12、成交供应商违约、违规责任</w:t>
      </w:r>
    </w:p>
    <w:p w14:paraId="4C3D2C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s="宋体"/>
          <w:color w:val="000000"/>
          <w:spacing w:val="15"/>
          <w:kern w:val="0"/>
          <w:szCs w:val="21"/>
        </w:rPr>
      </w:pPr>
      <w:r>
        <w:rPr>
          <w:rFonts w:hint="eastAsia" w:ascii="宋体" w:cs="宋体"/>
          <w:color w:val="000000"/>
          <w:szCs w:val="21"/>
        </w:rPr>
        <w:t>12.1</w:t>
      </w:r>
      <w:r>
        <w:rPr>
          <w:rFonts w:hint="eastAsia" w:ascii="宋体" w:cs="宋体"/>
          <w:color w:val="000000"/>
          <w:spacing w:val="15"/>
          <w:kern w:val="0"/>
          <w:szCs w:val="21"/>
        </w:rPr>
        <w:t>政府采购遵循诚实信用原则。为保证政府采购效率及采购人的合法权益，</w:t>
      </w:r>
      <w:r>
        <w:rPr>
          <w:rFonts w:hint="eastAsia" w:ascii="宋体"/>
          <w:color w:val="000000"/>
          <w:szCs w:val="21"/>
        </w:rPr>
        <w:t>成交供应商出现违约、违规的，按照有利于采购人的原则处理。即：如采购文件、投标（响应）文件及合同条款约定中对成交供应商有不同违约、违规规定的，按照处罚最高的规定处理（供应商承担）。</w:t>
      </w:r>
    </w:p>
    <w:p w14:paraId="7E3344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olor w:val="000000"/>
          <w:szCs w:val="21"/>
        </w:rPr>
        <w:t>12.2如成交供应商出现下例情况的，采购人或采购代理机构有权拒绝其供应商参加采购代理机构代理的或采购人的各类招标采购活动（视为没有良好的商业信誉而拒绝参加）：</w:t>
      </w:r>
    </w:p>
    <w:p w14:paraId="4E3622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olor w:val="000000"/>
          <w:szCs w:val="21"/>
        </w:rPr>
        <w:t>1、逾期未与采购人签订合同（放弃成交）；2、未能在规定的时间内完成施工或达到采购人的验收；3、未按照采购文件、投标（响应）文件及合同条款履约；4、成交供应商逾期未向携手阳光公司支持招标代理服务费的（视为没有良好的商业信誉）；5、出现其它违法、违规、违约行为的。</w:t>
      </w:r>
    </w:p>
    <w:p w14:paraId="76866B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olor w:val="000000"/>
          <w:szCs w:val="21"/>
        </w:rPr>
        <w:t>以上情节严重的，将报请政府采购监督管理部门进行相应的行政处罚。造成采购人损失的，成交供应商须承担全部赔偿责任，采购人保留诉讼的权利。</w:t>
      </w:r>
      <w:r>
        <w:rPr>
          <w:rFonts w:hint="eastAsia" w:ascii="宋体" w:cs="宋体"/>
          <w:color w:val="000000"/>
          <w:spacing w:val="15"/>
          <w:kern w:val="0"/>
          <w:szCs w:val="21"/>
        </w:rPr>
        <w:t> </w:t>
      </w:r>
    </w:p>
    <w:p w14:paraId="56F13C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color w:val="000000"/>
          <w:szCs w:val="21"/>
        </w:rPr>
        <w:t>12</w:t>
      </w:r>
      <w:r>
        <w:rPr>
          <w:rFonts w:hint="eastAsia" w:ascii="宋体" w:cs="宋体"/>
          <w:color w:val="000000"/>
          <w:szCs w:val="21"/>
        </w:rPr>
        <w:t>.3</w:t>
      </w:r>
      <w:r>
        <w:rPr>
          <w:rFonts w:hint="eastAsia" w:ascii="宋体"/>
          <w:color w:val="000000"/>
          <w:szCs w:val="21"/>
        </w:rPr>
        <w:t>法律法规规定的其它违约、违规责任。</w:t>
      </w:r>
    </w:p>
    <w:p w14:paraId="39B5BE7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b/>
          <w:color w:val="000000"/>
          <w:szCs w:val="21"/>
        </w:rPr>
      </w:pPr>
      <w:r>
        <w:rPr>
          <w:rFonts w:hint="eastAsia" w:ascii="宋体"/>
          <w:b/>
          <w:color w:val="000000"/>
          <w:szCs w:val="21"/>
        </w:rPr>
        <w:t>13、解释（定义）及其它：</w:t>
      </w:r>
    </w:p>
    <w:p w14:paraId="185A76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b/>
          <w:color w:val="000000"/>
          <w:szCs w:val="21"/>
        </w:rPr>
      </w:pPr>
      <w:r>
        <w:rPr>
          <w:rFonts w:hint="eastAsia" w:ascii="宋体" w:cs="宋体"/>
          <w:color w:val="000000"/>
          <w:kern w:val="0"/>
          <w:szCs w:val="21"/>
        </w:rPr>
        <w:t>采购邀请：略，本项目的采购邀请书同采购公告。</w:t>
      </w:r>
    </w:p>
    <w:p w14:paraId="1CF78C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s="宋体"/>
          <w:color w:val="000000"/>
          <w:szCs w:val="21"/>
        </w:rPr>
      </w:pPr>
      <w:r>
        <w:rPr>
          <w:rFonts w:hint="eastAsia" w:ascii="宋体"/>
          <w:color w:val="000000"/>
          <w:szCs w:val="21"/>
        </w:rPr>
        <w:t>本次采购活动（含采购文件）中的“货物”包</w:t>
      </w:r>
      <w:r>
        <w:rPr>
          <w:rFonts w:hint="eastAsia" w:ascii="宋体" w:cs="宋体"/>
          <w:color w:val="000000"/>
          <w:szCs w:val="21"/>
        </w:rPr>
        <w:t>含需要涉及（使用）的服务、工程等有关的所有事宜，</w:t>
      </w:r>
      <w:r>
        <w:rPr>
          <w:rFonts w:hint="eastAsia" w:ascii="宋体"/>
          <w:color w:val="000000"/>
          <w:szCs w:val="21"/>
        </w:rPr>
        <w:t>“服务”包</w:t>
      </w:r>
      <w:r>
        <w:rPr>
          <w:rFonts w:hint="eastAsia" w:ascii="宋体" w:cs="宋体"/>
          <w:color w:val="000000"/>
          <w:szCs w:val="21"/>
        </w:rPr>
        <w:t>含需要涉及（使用）的货物、工程等有关的所有事宜，</w:t>
      </w:r>
      <w:r>
        <w:rPr>
          <w:rFonts w:hint="eastAsia" w:ascii="宋体"/>
          <w:color w:val="000000"/>
          <w:szCs w:val="21"/>
        </w:rPr>
        <w:t>“</w:t>
      </w:r>
      <w:r>
        <w:rPr>
          <w:rFonts w:hint="eastAsia" w:ascii="宋体" w:cs="宋体"/>
          <w:color w:val="000000"/>
          <w:szCs w:val="21"/>
        </w:rPr>
        <w:t>工程</w:t>
      </w:r>
      <w:r>
        <w:rPr>
          <w:rFonts w:hint="eastAsia" w:ascii="宋体"/>
          <w:color w:val="000000"/>
          <w:szCs w:val="21"/>
        </w:rPr>
        <w:t>”包</w:t>
      </w:r>
      <w:r>
        <w:rPr>
          <w:rFonts w:hint="eastAsia" w:ascii="宋体" w:cs="宋体"/>
          <w:color w:val="000000"/>
          <w:szCs w:val="21"/>
        </w:rPr>
        <w:t>含需要涉及（使用）的货物、服务等有关的所有事宜。</w:t>
      </w:r>
    </w:p>
    <w:p w14:paraId="18AE72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b/>
          <w:color w:val="000000"/>
          <w:szCs w:val="21"/>
        </w:rPr>
      </w:pPr>
      <w:r>
        <w:rPr>
          <w:rFonts w:hint="eastAsia" w:ascii="宋体" w:cs="宋体"/>
          <w:color w:val="000000"/>
          <w:szCs w:val="21"/>
        </w:rPr>
        <w:t>如无特殊说明，本次招标使用时间为北京时间（24小时制）、日历天；使用货币单位为人民币。</w:t>
      </w:r>
    </w:p>
    <w:p w14:paraId="01431A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s="宋体"/>
          <w:b/>
          <w:color w:val="000000"/>
          <w:szCs w:val="21"/>
        </w:rPr>
      </w:pPr>
      <w:r>
        <w:rPr>
          <w:rFonts w:hint="eastAsia" w:ascii="宋体" w:cs="宋体"/>
          <w:color w:val="000000"/>
          <w:szCs w:val="21"/>
        </w:rPr>
        <w:t>如无特殊说明，本招标文件中近三个月、近三年等时间均以投标文件递交截止时间（当年或当月）为准[例：递交截止时间为2020年7月1日，近三个月以来是指2020年4月（含）以来；近三年以来是指2017年（含）以来]。如为2018年以来的，是指2018年1月1日以来。如设定年龄的，以出生当年计[不以具体出生月日计。例：递交截止时间为2020年，50岁以下是指1970年1月1日（含）以后出生]。</w:t>
      </w:r>
    </w:p>
    <w:p w14:paraId="5B45C7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s="宋体"/>
          <w:b/>
          <w:color w:val="000000"/>
          <w:szCs w:val="21"/>
        </w:rPr>
      </w:pPr>
      <w:r>
        <w:rPr>
          <w:rFonts w:hint="eastAsia" w:ascii="宋体" w:cs="宋体"/>
          <w:color w:val="000000"/>
          <w:szCs w:val="21"/>
        </w:rPr>
        <w:t>如投标人为非法人单位的，“法定代表人”可为自然人本人、经营者本人、负责人。</w:t>
      </w:r>
    </w:p>
    <w:p w14:paraId="2B090F0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cs="宋体"/>
          <w:color w:val="000000"/>
          <w:szCs w:val="21"/>
        </w:rPr>
      </w:pPr>
      <w:r>
        <w:rPr>
          <w:rFonts w:hint="eastAsia" w:ascii="宋体" w:cs="宋体"/>
          <w:color w:val="000000"/>
          <w:szCs w:val="21"/>
        </w:rPr>
        <w:t>如招标文件中要求提供原件的，原件须与投标文件一起递交，否视为未提供（未响应）。如相关原件以装订等方式装订在投标文件中的，视为一次性证明，不再退还给投标人。</w:t>
      </w:r>
      <w:r>
        <w:rPr>
          <w:rFonts w:hint="eastAsia" w:ascii="宋体"/>
          <w:color w:val="000000"/>
          <w:szCs w:val="21"/>
        </w:rPr>
        <w:t>“原件备查”</w:t>
      </w:r>
      <w:r>
        <w:rPr>
          <w:rFonts w:hint="eastAsia" w:ascii="宋体" w:cs="宋体"/>
          <w:color w:val="000000"/>
          <w:szCs w:val="21"/>
        </w:rPr>
        <w:t>是指原件须与投标文件一起携带到</w:t>
      </w:r>
      <w:r>
        <w:rPr>
          <w:rFonts w:hint="eastAsia" w:ascii="宋体"/>
          <w:color w:val="000000"/>
          <w:szCs w:val="21"/>
        </w:rPr>
        <w:t>投标文件递交地点直至评审结束</w:t>
      </w:r>
      <w:r>
        <w:rPr>
          <w:rFonts w:hint="eastAsia" w:ascii="宋体" w:cs="宋体"/>
          <w:color w:val="000000"/>
          <w:szCs w:val="21"/>
        </w:rPr>
        <w:t>。评审期间，如评委需要核查原件时，携手阳光公司工作人员将以电话方式通知投标人代表</w:t>
      </w:r>
      <w:r>
        <w:rPr>
          <w:rFonts w:hint="eastAsia" w:ascii="宋体" w:cs="宋体"/>
          <w:bCs/>
          <w:color w:val="000000"/>
          <w:szCs w:val="21"/>
        </w:rPr>
        <w:t>（以投标文件为准）</w:t>
      </w:r>
      <w:r>
        <w:rPr>
          <w:rFonts w:hint="eastAsia" w:ascii="宋体" w:cs="宋体"/>
          <w:color w:val="000000"/>
          <w:szCs w:val="21"/>
        </w:rPr>
        <w:t>，投标人代表必须在接到通知15分钟以内向评委提供（可由携手阳光公司工作人员转交），否视为未提供。</w:t>
      </w:r>
    </w:p>
    <w:p w14:paraId="3BA26FB2">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ascii="宋体" w:cs="宋体"/>
          <w:b/>
          <w:color w:val="000000"/>
          <w:szCs w:val="21"/>
        </w:rPr>
      </w:pPr>
      <w:r>
        <w:rPr>
          <w:rFonts w:hint="eastAsia" w:ascii="宋体" w:cs="宋体"/>
          <w:b/>
          <w:color w:val="000000"/>
          <w:szCs w:val="21"/>
        </w:rPr>
        <w:t>投标人应确保相关证书的有效性（如：证书所注明的有效时间在投标文件递交时间之后）。如证书有效性可以不受证书时间限制的，投标人应当在投标文件中进行说明并提供相关法律依据，以便评委评审。</w:t>
      </w:r>
    </w:p>
    <w:p w14:paraId="467DE05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cs="宋体"/>
          <w:color w:val="000000"/>
          <w:szCs w:val="21"/>
        </w:rPr>
      </w:pPr>
      <w:r>
        <w:rPr>
          <w:rFonts w:hint="eastAsia"/>
          <w:color w:val="000000"/>
          <w:szCs w:val="21"/>
        </w:rPr>
        <w:t>1、本采购文件中所称的“以上”、“以下”、“内”、“以内”，包括本数；所称的“不足”，不包括本数。如无特殊说明，近三个月等时间均以投标文件递交截止时间为准。</w:t>
      </w:r>
    </w:p>
    <w:p w14:paraId="7644B1D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cs="宋体"/>
          <w:color w:val="000000"/>
          <w:szCs w:val="21"/>
        </w:rPr>
      </w:pPr>
      <w:r>
        <w:rPr>
          <w:rFonts w:hint="eastAsia"/>
          <w:color w:val="000000"/>
          <w:szCs w:val="21"/>
        </w:rPr>
        <w:t>2、本采购文件当中“投标”、“投标人”、“投标文件”、“中标”、“中标人”，分别是指（本次采购活动中可以称为）“参加询价响应”、“参加询价响应单位”、“询价响应文件”、“成交”、“成交供应商”</w:t>
      </w:r>
    </w:p>
    <w:p w14:paraId="5C2B10D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cs="宋体"/>
          <w:b/>
          <w:color w:val="000000"/>
          <w:szCs w:val="21"/>
        </w:rPr>
      </w:pPr>
      <w:r>
        <w:rPr>
          <w:rFonts w:hint="eastAsia" w:ascii="宋体"/>
          <w:color w:val="000000"/>
        </w:rPr>
        <w:t>3、如投标人为非法人单位的，“法定代表人”可为自然人本人、经营者本人、负责人。</w:t>
      </w:r>
    </w:p>
    <w:p w14:paraId="764E4E5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b/>
          <w:color w:val="000000"/>
          <w:sz w:val="28"/>
          <w:szCs w:val="28"/>
        </w:rPr>
      </w:pPr>
      <w:r>
        <w:rPr>
          <w:rFonts w:hint="eastAsia" w:ascii="宋体"/>
          <w:b/>
          <w:color w:val="000000"/>
          <w:szCs w:val="21"/>
        </w:rPr>
        <w:t>特别说明：采购文件如有异议或表达不准，供应商应当在获取采购文件后及时（3个工作日内）与采购代理机构联系。由此导致投标（响应）文件无效，由各供应商自行承担责任。</w:t>
      </w:r>
    </w:p>
    <w:p w14:paraId="67CBB4EC">
      <w:pPr>
        <w:spacing w:line="398" w:lineRule="exact"/>
        <w:jc w:val="center"/>
        <w:outlineLvl w:val="0"/>
        <w:rPr>
          <w:rFonts w:hint="eastAsia" w:ascii="宋体" w:hAnsi="宋体"/>
          <w:b/>
          <w:color w:val="000000"/>
          <w:sz w:val="28"/>
          <w:szCs w:val="28"/>
        </w:rPr>
      </w:pPr>
      <w:bookmarkStart w:id="26" w:name="_Toc184029941"/>
    </w:p>
    <w:p w14:paraId="7733688F">
      <w:pPr>
        <w:spacing w:line="398" w:lineRule="exact"/>
        <w:jc w:val="center"/>
        <w:outlineLvl w:val="0"/>
        <w:rPr>
          <w:rFonts w:hint="eastAsia" w:ascii="宋体" w:hAnsi="宋体"/>
          <w:b/>
          <w:color w:val="000000"/>
          <w:sz w:val="28"/>
          <w:szCs w:val="28"/>
        </w:rPr>
      </w:pPr>
    </w:p>
    <w:p w14:paraId="11F83033">
      <w:pPr>
        <w:spacing w:line="398" w:lineRule="exact"/>
        <w:jc w:val="center"/>
        <w:outlineLvl w:val="0"/>
        <w:rPr>
          <w:rFonts w:hint="eastAsia" w:ascii="宋体" w:hAnsi="宋体"/>
          <w:b/>
          <w:color w:val="000000"/>
          <w:sz w:val="28"/>
          <w:szCs w:val="28"/>
        </w:rPr>
      </w:pPr>
    </w:p>
    <w:p w14:paraId="3B23917C">
      <w:pPr>
        <w:spacing w:line="398" w:lineRule="exact"/>
        <w:jc w:val="center"/>
        <w:outlineLvl w:val="0"/>
        <w:rPr>
          <w:rFonts w:hint="eastAsia" w:ascii="宋体" w:hAnsi="宋体"/>
          <w:b/>
          <w:color w:val="000000"/>
          <w:sz w:val="28"/>
          <w:szCs w:val="28"/>
        </w:rPr>
      </w:pPr>
    </w:p>
    <w:p w14:paraId="0D74965C">
      <w:pPr>
        <w:spacing w:line="398" w:lineRule="exact"/>
        <w:jc w:val="center"/>
        <w:outlineLvl w:val="0"/>
        <w:rPr>
          <w:rFonts w:hint="eastAsia" w:ascii="宋体" w:hAnsi="宋体"/>
          <w:b/>
          <w:color w:val="000000"/>
          <w:sz w:val="28"/>
          <w:szCs w:val="28"/>
        </w:rPr>
      </w:pPr>
    </w:p>
    <w:p w14:paraId="2976DF99">
      <w:pPr>
        <w:spacing w:line="398" w:lineRule="exact"/>
        <w:jc w:val="both"/>
        <w:outlineLvl w:val="0"/>
        <w:rPr>
          <w:rFonts w:hint="eastAsia" w:ascii="宋体" w:hAnsi="宋体"/>
          <w:b/>
          <w:color w:val="000000"/>
          <w:sz w:val="28"/>
          <w:szCs w:val="28"/>
        </w:rPr>
      </w:pPr>
    </w:p>
    <w:p w14:paraId="1D019B5D">
      <w:pPr>
        <w:spacing w:line="398" w:lineRule="exact"/>
        <w:jc w:val="center"/>
        <w:outlineLvl w:val="0"/>
        <w:rPr>
          <w:rFonts w:ascii="宋体" w:hAnsi="宋体"/>
          <w:b/>
          <w:color w:val="000000"/>
          <w:sz w:val="28"/>
          <w:szCs w:val="28"/>
        </w:rPr>
      </w:pPr>
      <w:r>
        <w:rPr>
          <w:rFonts w:hint="eastAsia" w:ascii="宋体" w:hAnsi="宋体"/>
          <w:b/>
          <w:color w:val="000000"/>
          <w:sz w:val="28"/>
          <w:szCs w:val="28"/>
        </w:rPr>
        <w:t>第三章  采购需求及政府采购合同（拟签订的合同文本）</w:t>
      </w:r>
      <w:bookmarkEnd w:id="26"/>
    </w:p>
    <w:tbl>
      <w:tblPr>
        <w:tblStyle w:val="27"/>
        <w:tblW w:w="98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840"/>
        <w:gridCol w:w="7019"/>
      </w:tblGrid>
      <w:tr w14:paraId="7E68BD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9" w:hRule="atLeast"/>
          <w:jc w:val="center"/>
        </w:trPr>
        <w:tc>
          <w:tcPr>
            <w:tcW w:w="2840" w:type="dxa"/>
            <w:noWrap/>
            <w:vAlign w:val="center"/>
          </w:tcPr>
          <w:p w14:paraId="69785740">
            <w:pPr>
              <w:spacing w:line="276" w:lineRule="auto"/>
              <w:ind w:firstLine="422"/>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内容</w:t>
            </w:r>
          </w:p>
        </w:tc>
        <w:tc>
          <w:tcPr>
            <w:tcW w:w="7019" w:type="dxa"/>
            <w:noWrap/>
            <w:vAlign w:val="center"/>
          </w:tcPr>
          <w:p w14:paraId="174E501A">
            <w:pPr>
              <w:spacing w:line="276" w:lineRule="auto"/>
              <w:ind w:firstLine="422"/>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相关要求（说明）</w:t>
            </w:r>
          </w:p>
        </w:tc>
      </w:tr>
      <w:tr w14:paraId="6438F8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80" w:hRule="atLeast"/>
          <w:jc w:val="center"/>
        </w:trPr>
        <w:tc>
          <w:tcPr>
            <w:tcW w:w="2840" w:type="dxa"/>
            <w:noWrap/>
            <w:vAlign w:val="center"/>
          </w:tcPr>
          <w:p w14:paraId="4F06133F">
            <w:pPr>
              <w:ind w:firstLine="422"/>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采购标的需实现的功能或者目标，采购标的的数量，所有技术、服务、安全等要求</w:t>
            </w:r>
          </w:p>
        </w:tc>
        <w:tc>
          <w:tcPr>
            <w:tcW w:w="7019" w:type="dxa"/>
            <w:noWrap/>
            <w:vAlign w:val="center"/>
          </w:tcPr>
          <w:p w14:paraId="734A8A94">
            <w:pPr>
              <w:spacing w:line="276" w:lineRule="auto"/>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略，详见“采购需求”部分</w:t>
            </w:r>
          </w:p>
        </w:tc>
      </w:tr>
      <w:tr w14:paraId="7C631C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0" w:hRule="atLeast"/>
          <w:jc w:val="center"/>
        </w:trPr>
        <w:tc>
          <w:tcPr>
            <w:tcW w:w="2840" w:type="dxa"/>
            <w:noWrap/>
            <w:vAlign w:val="center"/>
          </w:tcPr>
          <w:p w14:paraId="6C78D3CE">
            <w:pPr>
              <w:ind w:firstLine="422"/>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★工程保修期</w:t>
            </w:r>
          </w:p>
        </w:tc>
        <w:tc>
          <w:tcPr>
            <w:tcW w:w="7019" w:type="dxa"/>
            <w:noWrap/>
            <w:vAlign w:val="center"/>
          </w:tcPr>
          <w:p w14:paraId="1966DF0A">
            <w:pPr>
              <w:spacing w:line="400" w:lineRule="exact"/>
              <w:ind w:firstLine="422"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u w:val="single"/>
                <w:lang w:val="en-US" w:eastAsia="zh-CN"/>
              </w:rPr>
              <w:t>1</w:t>
            </w:r>
            <w:r>
              <w:rPr>
                <w:rFonts w:hint="eastAsia" w:asciiTheme="minorEastAsia" w:hAnsiTheme="minorEastAsia" w:eastAsiaTheme="minorEastAsia" w:cstheme="minorEastAsia"/>
                <w:b/>
                <w:color w:val="auto"/>
                <w:sz w:val="21"/>
                <w:szCs w:val="21"/>
                <w:u w:val="single"/>
              </w:rPr>
              <w:t>年</w:t>
            </w:r>
            <w:r>
              <w:rPr>
                <w:rFonts w:hint="eastAsia" w:asciiTheme="minorEastAsia" w:hAnsiTheme="minorEastAsia" w:eastAsiaTheme="minorEastAsia" w:cstheme="minorEastAsia"/>
                <w:b/>
                <w:color w:val="auto"/>
                <w:sz w:val="21"/>
                <w:szCs w:val="21"/>
              </w:rPr>
              <w:t>（质保期自验收合格之日起算，质保要求：工程因自然力等主客观因素出现松动、脱落等现象，供应商需在3日内到场免费维修）</w:t>
            </w:r>
          </w:p>
        </w:tc>
      </w:tr>
      <w:tr w14:paraId="7002F8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62" w:hRule="atLeast"/>
          <w:jc w:val="center"/>
        </w:trPr>
        <w:tc>
          <w:tcPr>
            <w:tcW w:w="2840" w:type="dxa"/>
            <w:noWrap/>
            <w:vAlign w:val="center"/>
          </w:tcPr>
          <w:p w14:paraId="6FBF61FB">
            <w:pPr>
              <w:spacing w:line="276" w:lineRule="auto"/>
              <w:ind w:firstLine="422"/>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★工期</w:t>
            </w:r>
          </w:p>
        </w:tc>
        <w:tc>
          <w:tcPr>
            <w:tcW w:w="7019" w:type="dxa"/>
            <w:noWrap/>
            <w:vAlign w:val="center"/>
          </w:tcPr>
          <w:p w14:paraId="4E65C411">
            <w:pPr>
              <w:spacing w:line="276" w:lineRule="auto"/>
              <w:ind w:firstLine="422" w:firstLineChars="200"/>
              <w:jc w:val="left"/>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u w:val="single"/>
                <w:lang w:val="en-US" w:eastAsia="zh-CN"/>
              </w:rPr>
              <w:t>20</w:t>
            </w:r>
            <w:r>
              <w:rPr>
                <w:rFonts w:hint="eastAsia" w:asciiTheme="minorEastAsia" w:hAnsiTheme="minorEastAsia" w:eastAsiaTheme="minorEastAsia" w:cstheme="minorEastAsia"/>
                <w:b/>
                <w:color w:val="auto"/>
                <w:sz w:val="21"/>
                <w:szCs w:val="21"/>
              </w:rPr>
              <w:t>日历天（具体开工日期以采购人的通知为准）。</w:t>
            </w:r>
          </w:p>
          <w:p w14:paraId="6C2CC642">
            <w:pPr>
              <w:spacing w:line="440" w:lineRule="exact"/>
              <w:ind w:firstLine="422"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供应商须按时施工结束（交付）并达到招标人的验收标准。防腐涂层厚度第一次检测费用由校方承担，如检测不合格，整改后再次复检费用由施工单位承担，因复检不合格整改造成的工期延误按合同约定处罚。【如因施工单位自身施工组织问题造成工期延误的，每延误一天，处罚1000元，如因工期延误，造成学校重大影响的，学校有权追究责任。（工程延误处罚款项在审计时直接扣除）】</w:t>
            </w:r>
          </w:p>
        </w:tc>
      </w:tr>
      <w:tr w14:paraId="675677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5" w:hRule="atLeast"/>
          <w:jc w:val="center"/>
        </w:trPr>
        <w:tc>
          <w:tcPr>
            <w:tcW w:w="2840" w:type="dxa"/>
            <w:noWrap/>
            <w:vAlign w:val="center"/>
          </w:tcPr>
          <w:p w14:paraId="0AB03DD6">
            <w:pPr>
              <w:spacing w:line="276" w:lineRule="auto"/>
              <w:ind w:firstLine="422"/>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★交付或者实施的地点</w:t>
            </w:r>
          </w:p>
          <w:p w14:paraId="1BEDB729">
            <w:pPr>
              <w:spacing w:line="276" w:lineRule="auto"/>
              <w:ind w:firstLine="422"/>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（交付地点或施工地点）</w:t>
            </w:r>
          </w:p>
        </w:tc>
        <w:tc>
          <w:tcPr>
            <w:tcW w:w="7019" w:type="dxa"/>
            <w:noWrap/>
            <w:vAlign w:val="center"/>
          </w:tcPr>
          <w:p w14:paraId="27ECDADD">
            <w:pPr>
              <w:spacing w:line="276" w:lineRule="auto"/>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江苏医药职业学院指定地点（具体地点以采购人另行通知的为准）</w:t>
            </w:r>
          </w:p>
        </w:tc>
      </w:tr>
      <w:tr w14:paraId="18CD0C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24" w:hRule="atLeast"/>
          <w:jc w:val="center"/>
        </w:trPr>
        <w:tc>
          <w:tcPr>
            <w:tcW w:w="2840" w:type="dxa"/>
            <w:noWrap/>
            <w:vAlign w:val="center"/>
          </w:tcPr>
          <w:p w14:paraId="2191943F">
            <w:pPr>
              <w:spacing w:line="276" w:lineRule="auto"/>
              <w:ind w:firstLine="422"/>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现场踏勘</w:t>
            </w:r>
          </w:p>
        </w:tc>
        <w:tc>
          <w:tcPr>
            <w:tcW w:w="7019" w:type="dxa"/>
            <w:noWrap/>
            <w:vAlign w:val="center"/>
          </w:tcPr>
          <w:p w14:paraId="74BA6FE5">
            <w:pPr>
              <w:pStyle w:val="3"/>
              <w:topLinePunct/>
              <w:spacing w:before="0" w:after="0" w:line="276" w:lineRule="auto"/>
              <w:ind w:firstLine="420" w:firstLineChars="200"/>
              <w:jc w:val="both"/>
              <w:rPr>
                <w:rFonts w:hint="eastAsia" w:asciiTheme="minorEastAsia" w:hAnsiTheme="minorEastAsia" w:eastAsiaTheme="minorEastAsia" w:cstheme="minorEastAsia"/>
                <w:b w:val="0"/>
                <w:kern w:val="2"/>
                <w:sz w:val="21"/>
                <w:szCs w:val="21"/>
                <w:lang w:val="zh-TW" w:eastAsia="zh-TW"/>
              </w:rPr>
            </w:pPr>
            <w:bookmarkStart w:id="27" w:name="_Toc19189"/>
            <w:bookmarkStart w:id="28" w:name="_Toc8514"/>
            <w:bookmarkStart w:id="29" w:name="_Toc24774"/>
            <w:r>
              <w:rPr>
                <w:rFonts w:hint="eastAsia" w:asciiTheme="minorEastAsia" w:hAnsiTheme="minorEastAsia" w:eastAsiaTheme="minorEastAsia" w:cstheme="minorEastAsia"/>
                <w:b w:val="0"/>
                <w:kern w:val="2"/>
                <w:sz w:val="21"/>
                <w:szCs w:val="21"/>
                <w:lang w:val="zh-TW" w:eastAsia="zh-TW"/>
              </w:rPr>
              <w:t>自行进行现场勘查</w:t>
            </w:r>
            <w:bookmarkEnd w:id="27"/>
            <w:bookmarkEnd w:id="28"/>
            <w:bookmarkEnd w:id="29"/>
          </w:p>
          <w:p w14:paraId="786BEE93">
            <w:pPr>
              <w:spacing w:line="276"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TW"/>
              </w:rPr>
              <w:t>踏勘现场</w:t>
            </w:r>
            <w:r>
              <w:rPr>
                <w:rFonts w:hint="eastAsia" w:asciiTheme="minorEastAsia" w:hAnsiTheme="minorEastAsia" w:eastAsiaTheme="minorEastAsia" w:cstheme="minorEastAsia"/>
                <w:sz w:val="21"/>
                <w:szCs w:val="21"/>
                <w:lang w:val="zh-TW" w:eastAsia="zh-TW"/>
              </w:rPr>
              <w:t>人</w:t>
            </w:r>
            <w:r>
              <w:rPr>
                <w:rFonts w:hint="eastAsia" w:asciiTheme="minorEastAsia" w:hAnsiTheme="minorEastAsia" w:eastAsiaTheme="minorEastAsia" w:cstheme="minorEastAsia"/>
                <w:sz w:val="21"/>
                <w:szCs w:val="21"/>
                <w:lang w:val="zh-TW"/>
              </w:rPr>
              <w:t>员</w:t>
            </w:r>
            <w:r>
              <w:rPr>
                <w:rFonts w:hint="eastAsia" w:asciiTheme="minorEastAsia" w:hAnsiTheme="minorEastAsia" w:eastAsiaTheme="minorEastAsia" w:cstheme="minorEastAsia"/>
                <w:sz w:val="21"/>
                <w:szCs w:val="21"/>
                <w:lang w:val="zh-TW" w:eastAsia="zh-TW"/>
              </w:rPr>
              <w:t>（仅限1人）</w:t>
            </w:r>
            <w:r>
              <w:rPr>
                <w:rFonts w:hint="eastAsia" w:asciiTheme="minorEastAsia" w:hAnsiTheme="minorEastAsia" w:eastAsiaTheme="minorEastAsia" w:cstheme="minorEastAsia"/>
                <w:sz w:val="21"/>
                <w:szCs w:val="21"/>
                <w:lang w:val="zh-TW"/>
              </w:rPr>
              <w:t>须</w:t>
            </w:r>
            <w:r>
              <w:rPr>
                <w:rFonts w:hint="eastAsia" w:asciiTheme="minorEastAsia" w:hAnsiTheme="minorEastAsia" w:eastAsiaTheme="minorEastAsia" w:cstheme="minorEastAsia"/>
                <w:sz w:val="21"/>
                <w:szCs w:val="21"/>
                <w:lang w:val="zh-TW" w:eastAsia="zh-TW"/>
              </w:rPr>
              <w:t>从位于盐城市解放南路283号，江苏医药职业学院南门进入，请联系：贾老师；电话：18262395908</w:t>
            </w:r>
            <w:r>
              <w:rPr>
                <w:rFonts w:hint="eastAsia" w:asciiTheme="minorEastAsia" w:hAnsiTheme="minorEastAsia" w:eastAsiaTheme="minorEastAsia" w:cstheme="minorEastAsia"/>
                <w:sz w:val="21"/>
                <w:szCs w:val="21"/>
                <w:lang w:val="zh-TW"/>
              </w:rPr>
              <w:t>。</w:t>
            </w:r>
          </w:p>
        </w:tc>
      </w:tr>
      <w:tr w14:paraId="0D61EE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38" w:hRule="atLeast"/>
          <w:jc w:val="center"/>
        </w:trPr>
        <w:tc>
          <w:tcPr>
            <w:tcW w:w="2840" w:type="dxa"/>
            <w:noWrap/>
            <w:vAlign w:val="center"/>
          </w:tcPr>
          <w:p w14:paraId="1CA1437B">
            <w:pPr>
              <w:spacing w:line="276" w:lineRule="auto"/>
              <w:ind w:firstLine="422"/>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工程结算</w:t>
            </w:r>
          </w:p>
        </w:tc>
        <w:tc>
          <w:tcPr>
            <w:tcW w:w="7019" w:type="dxa"/>
            <w:noWrap/>
            <w:vAlign w:val="center"/>
          </w:tcPr>
          <w:p w14:paraId="3B83E183">
            <w:pPr>
              <w:spacing w:line="276" w:lineRule="auto"/>
              <w:ind w:firstLine="420" w:firstLineChars="200"/>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1.本工程采用限定总价审计结算方法，按合同以中标单价和实际工作量计算总价，经审计后确认合同审计总价，但合同审计总价不得高于中标总价（不包含签证变更部分）。</w:t>
            </w:r>
          </w:p>
          <w:p w14:paraId="7282E3C6">
            <w:pPr>
              <w:spacing w:line="276" w:lineRule="auto"/>
              <w:ind w:firstLine="420" w:firstLineChars="200"/>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2.结算总价=合同审计总价+签证变更的审计总价。</w:t>
            </w:r>
          </w:p>
          <w:p w14:paraId="466DF357">
            <w:pPr>
              <w:spacing w:line="276"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3.工程竣工验收合格后乙方应提交工程结算资料，要求资料齐全，计算准确，若本工程审计核减率(含复审)达10%(含10%以上的)，全部审计费用由施工单位承担，并由学校从施工单位的工程款中扣除；若核减率在5%-10%之间的，其审计费用由施工单位和建设单位各承担50%；若核减率(含复审)为5%及其以下的审计费用，由学校承担。</w:t>
            </w:r>
          </w:p>
        </w:tc>
      </w:tr>
      <w:tr w14:paraId="59B395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61" w:hRule="atLeast"/>
          <w:jc w:val="center"/>
        </w:trPr>
        <w:tc>
          <w:tcPr>
            <w:tcW w:w="2840" w:type="dxa"/>
            <w:noWrap/>
            <w:vAlign w:val="center"/>
          </w:tcPr>
          <w:p w14:paraId="430C4524">
            <w:pPr>
              <w:spacing w:line="276" w:lineRule="auto"/>
              <w:ind w:firstLine="422"/>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★采购资金的支付方式、时间、条件（付款方式）</w:t>
            </w:r>
          </w:p>
        </w:tc>
        <w:tc>
          <w:tcPr>
            <w:tcW w:w="7019" w:type="dxa"/>
            <w:noWrap/>
            <w:vAlign w:val="center"/>
          </w:tcPr>
          <w:p w14:paraId="7997DA5E">
            <w:pPr>
              <w:spacing w:line="276"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1.支付方式：电汇或转账等非现金方式  </w:t>
            </w:r>
          </w:p>
          <w:p w14:paraId="0B550805">
            <w:pPr>
              <w:spacing w:line="276" w:lineRule="auto"/>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2.支付时间、条件付款方式：</w:t>
            </w:r>
          </w:p>
          <w:p w14:paraId="005A2BE7">
            <w:pPr>
              <w:spacing w:line="276" w:lineRule="auto"/>
              <w:ind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rPr>
              <w:t>项目验收合格后无质量问题支付合同价的60%款项；审计合格后付至审计价的90%，余款待验收合格质保结束后无质量问题一次性无息付清。</w:t>
            </w:r>
          </w:p>
        </w:tc>
      </w:tr>
      <w:tr w14:paraId="3A12AC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1" w:hRule="atLeast"/>
          <w:jc w:val="center"/>
        </w:trPr>
        <w:tc>
          <w:tcPr>
            <w:tcW w:w="9859" w:type="dxa"/>
            <w:gridSpan w:val="2"/>
            <w:noWrap/>
            <w:vAlign w:val="center"/>
          </w:tcPr>
          <w:p w14:paraId="0951F004">
            <w:pPr>
              <w:spacing w:line="276" w:lineRule="auto"/>
              <w:ind w:firstLine="422"/>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本表当中，加★部分为实质性要求，不接受负偏离。</w:t>
            </w:r>
          </w:p>
        </w:tc>
      </w:tr>
    </w:tbl>
    <w:p w14:paraId="4ED4B5D1">
      <w:pPr>
        <w:pStyle w:val="8"/>
        <w:rPr>
          <w:color w:val="000000"/>
        </w:rPr>
      </w:pPr>
    </w:p>
    <w:p w14:paraId="01F9EA16">
      <w:pPr>
        <w:pStyle w:val="8"/>
        <w:keepNext w:val="0"/>
        <w:keepLines w:val="0"/>
        <w:pageBreakBefore w:val="0"/>
        <w:widowControl w:val="0"/>
        <w:kinsoku/>
        <w:wordWrap/>
        <w:overflowPunct/>
        <w:topLinePunct w:val="0"/>
        <w:autoSpaceDE/>
        <w:autoSpaceDN/>
        <w:bidi w:val="0"/>
        <w:adjustRightInd/>
        <w:snapToGrid/>
        <w:spacing w:line="432" w:lineRule="auto"/>
        <w:ind w:left="0" w:leftChars="0" w:firstLine="0" w:firstLineChars="0"/>
        <w:jc w:val="center"/>
        <w:textAlignment w:val="auto"/>
        <w:rPr>
          <w:rFonts w:hint="eastAsia" w:asciiTheme="minorEastAsia" w:hAnsiTheme="minorEastAsia" w:eastAsiaTheme="minorEastAsia" w:cstheme="minorEastAsia"/>
          <w:b/>
          <w:bCs/>
          <w:sz w:val="28"/>
          <w:szCs w:val="28"/>
        </w:rPr>
      </w:pPr>
      <w:bookmarkStart w:id="30" w:name="_Toc17460"/>
      <w:r>
        <w:rPr>
          <w:rFonts w:hint="eastAsia" w:asciiTheme="minorEastAsia" w:hAnsiTheme="minorEastAsia" w:eastAsiaTheme="minorEastAsia" w:cstheme="minorEastAsia"/>
          <w:b/>
          <w:bCs/>
          <w:sz w:val="28"/>
          <w:szCs w:val="28"/>
        </w:rPr>
        <w:t>一</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rPr>
        <w:t>采购需求及参数要求</w:t>
      </w:r>
      <w:bookmarkEnd w:id="30"/>
    </w:p>
    <w:p w14:paraId="4D52E731">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Theme="minorEastAsia" w:hAnsiTheme="minorEastAsia" w:eastAsiaTheme="minorEastAsia" w:cstheme="minorEastAsia"/>
          <w:b/>
          <w:sz w:val="21"/>
          <w:szCs w:val="21"/>
          <w:lang w:eastAsia="zh-CN"/>
        </w:rPr>
      </w:pPr>
      <w:bookmarkStart w:id="31" w:name="_Toc108041647"/>
      <w:bookmarkStart w:id="32" w:name="_Toc108881185"/>
      <w:r>
        <w:rPr>
          <w:rFonts w:hint="eastAsia" w:asciiTheme="minorEastAsia" w:hAnsiTheme="minorEastAsia" w:eastAsiaTheme="minorEastAsia" w:cstheme="minorEastAsia"/>
          <w:b/>
          <w:sz w:val="21"/>
          <w:szCs w:val="21"/>
        </w:rPr>
        <w:t>一、</w:t>
      </w:r>
      <w:r>
        <w:rPr>
          <w:rFonts w:hint="eastAsia" w:asciiTheme="minorEastAsia" w:hAnsiTheme="minorEastAsia" w:eastAsiaTheme="minorEastAsia" w:cstheme="minorEastAsia"/>
          <w:b/>
          <w:sz w:val="21"/>
          <w:szCs w:val="21"/>
          <w:lang w:eastAsia="zh-CN"/>
        </w:rPr>
        <w:t>项目范围</w:t>
      </w:r>
    </w:p>
    <w:p w14:paraId="265611F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本项目位于江苏医药职业学院西园风雨操场</w:t>
      </w:r>
      <w:r>
        <w:rPr>
          <w:rFonts w:hint="eastAsia" w:asciiTheme="minorEastAsia" w:hAnsiTheme="minorEastAsia" w:eastAsiaTheme="minorEastAsia" w:cstheme="minorEastAsia"/>
          <w:sz w:val="21"/>
          <w:szCs w:val="21"/>
          <w:lang w:eastAsia="zh-CN"/>
        </w:rPr>
        <w:t>。</w:t>
      </w:r>
    </w:p>
    <w:p w14:paraId="62E45C3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color w:val="252525"/>
          <w:sz w:val="21"/>
          <w:szCs w:val="21"/>
          <w:lang w:eastAsia="zh-CN"/>
        </w:rPr>
        <w:t>二</w:t>
      </w:r>
      <w:r>
        <w:rPr>
          <w:rFonts w:hint="eastAsia" w:asciiTheme="minorEastAsia" w:hAnsiTheme="minorEastAsia" w:eastAsiaTheme="minorEastAsia" w:cstheme="minorEastAsia"/>
          <w:b/>
          <w:sz w:val="21"/>
          <w:szCs w:val="21"/>
        </w:rPr>
        <w:t>、项目</w:t>
      </w:r>
      <w:r>
        <w:rPr>
          <w:rFonts w:hint="eastAsia" w:asciiTheme="minorEastAsia" w:hAnsiTheme="minorEastAsia" w:eastAsiaTheme="minorEastAsia" w:cstheme="minorEastAsia"/>
          <w:b/>
          <w:sz w:val="21"/>
          <w:szCs w:val="21"/>
          <w:lang w:eastAsia="zh-CN"/>
        </w:rPr>
        <w:t>要求</w:t>
      </w:r>
    </w:p>
    <w:p w14:paraId="7265BB88">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1、施工工艺要求</w:t>
      </w:r>
    </w:p>
    <w:p w14:paraId="13D59CD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地面、顶面、墙面</w:t>
      </w:r>
      <w:r>
        <w:rPr>
          <w:rFonts w:hint="eastAsia" w:asciiTheme="minorEastAsia" w:hAnsiTheme="minorEastAsia" w:eastAsiaTheme="minorEastAsia" w:cstheme="minorEastAsia"/>
          <w:sz w:val="21"/>
          <w:szCs w:val="21"/>
          <w:lang w:val="en-US" w:eastAsia="zh-CN"/>
        </w:rPr>
        <w:t>成品</w:t>
      </w:r>
      <w:r>
        <w:rPr>
          <w:rFonts w:hint="eastAsia" w:asciiTheme="minorEastAsia" w:hAnsiTheme="minorEastAsia" w:eastAsiaTheme="minorEastAsia" w:cstheme="minorEastAsia"/>
          <w:sz w:val="21"/>
          <w:szCs w:val="21"/>
        </w:rPr>
        <w:t>保护</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如成品保护不到位，由施工单位后期修复或保洁到位</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风雨操场网架具体部位不限于（杆件、球节点、支座节点、主檩条、付檩条）等打磨清理浮点，裂缝用腻子填补，干燥</w:t>
      </w:r>
      <w:r>
        <w:rPr>
          <w:rFonts w:hint="eastAsia" w:asciiTheme="minorEastAsia" w:hAnsiTheme="minorEastAsia" w:eastAsiaTheme="minorEastAsia" w:cstheme="minorEastAsia"/>
          <w:sz w:val="21"/>
          <w:szCs w:val="21"/>
          <w:lang w:eastAsia="zh-CN"/>
        </w:rPr>
        <w:t>后</w:t>
      </w:r>
      <w:r>
        <w:rPr>
          <w:rFonts w:hint="eastAsia" w:asciiTheme="minorEastAsia" w:hAnsiTheme="minorEastAsia" w:eastAsiaTheme="minorEastAsia" w:cstheme="minorEastAsia"/>
          <w:sz w:val="21"/>
          <w:szCs w:val="21"/>
          <w:lang w:val="en-US" w:eastAsia="zh-CN"/>
        </w:rPr>
        <w:t>刷防腐油漆</w:t>
      </w:r>
      <w:r>
        <w:rPr>
          <w:rFonts w:hint="eastAsia" w:asciiTheme="minorEastAsia" w:hAnsiTheme="minorEastAsia" w:eastAsiaTheme="minorEastAsia" w:cstheme="minorEastAsia"/>
          <w:sz w:val="21"/>
          <w:szCs w:val="21"/>
          <w:lang w:eastAsia="zh-CN"/>
        </w:rPr>
        <w:t>底漆1道，中间漆1道，面漆2道；设计总干膜厚度（250um）必须达标。</w:t>
      </w:r>
    </w:p>
    <w:p w14:paraId="633A21C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2"/>
          <w:sz w:val="21"/>
          <w:szCs w:val="21"/>
          <w:lang w:val="en-US" w:eastAsia="zh-CN" w:bidi="ar-SA"/>
        </w:rPr>
        <w:t>2、</w:t>
      </w:r>
      <w:r>
        <w:rPr>
          <w:rFonts w:hint="eastAsia" w:asciiTheme="minorEastAsia" w:hAnsiTheme="minorEastAsia" w:eastAsiaTheme="minorEastAsia" w:cstheme="minorEastAsia"/>
          <w:b/>
          <w:bCs/>
          <w:sz w:val="21"/>
          <w:szCs w:val="21"/>
          <w:lang w:val="en-US" w:eastAsia="zh-CN"/>
        </w:rPr>
        <w:t>地面投影面积：</w:t>
      </w:r>
      <w:r>
        <w:rPr>
          <w:rFonts w:hint="eastAsia" w:asciiTheme="minorEastAsia" w:hAnsiTheme="minorEastAsia" w:eastAsiaTheme="minorEastAsia" w:cstheme="minorEastAsia"/>
          <w:sz w:val="21"/>
          <w:szCs w:val="21"/>
          <w:lang w:val="en-US" w:eastAsia="zh-CN"/>
        </w:rPr>
        <w:t>1360.6平方米；</w:t>
      </w:r>
    </w:p>
    <w:p w14:paraId="1A9AAED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2" w:firstLineChars="200"/>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b/>
          <w:bCs/>
          <w:kern w:val="2"/>
          <w:sz w:val="21"/>
          <w:szCs w:val="21"/>
          <w:lang w:val="en-US" w:eastAsia="zh-CN" w:bidi="ar-SA"/>
        </w:rPr>
        <w:t>3、</w:t>
      </w:r>
      <w:r>
        <w:rPr>
          <w:rFonts w:hint="eastAsia" w:asciiTheme="minorEastAsia" w:hAnsiTheme="minorEastAsia" w:eastAsiaTheme="minorEastAsia" w:cstheme="minorEastAsia"/>
          <w:b/>
          <w:bCs/>
          <w:sz w:val="21"/>
          <w:szCs w:val="21"/>
          <w:lang w:val="en-US" w:eastAsia="zh-CN"/>
        </w:rPr>
        <w:t>网架防腐油漆施工展开面积：</w:t>
      </w:r>
      <w:r>
        <w:rPr>
          <w:rFonts w:hint="eastAsia" w:asciiTheme="minorEastAsia" w:hAnsiTheme="minorEastAsia" w:eastAsiaTheme="minorEastAsia" w:cstheme="minorEastAsia"/>
          <w:sz w:val="21"/>
          <w:szCs w:val="21"/>
          <w:lang w:val="en-US" w:eastAsia="zh-CN"/>
        </w:rPr>
        <w:t>1613.13平方米；</w:t>
      </w:r>
    </w:p>
    <w:p w14:paraId="765CF4B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防腐油漆参照或相当于品牌：江苏金陵、江苏兰陵、立邦、三棵树、山东聚东、三棵树等同等品牌。</w:t>
      </w:r>
    </w:p>
    <w:p w14:paraId="74CE1F0B">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注：</w:t>
      </w:r>
    </w:p>
    <w:p w14:paraId="2602033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2" w:firstLineChars="200"/>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kern w:val="2"/>
          <w:sz w:val="21"/>
          <w:szCs w:val="21"/>
          <w:lang w:val="en-US" w:eastAsia="zh-CN" w:bidi="ar-SA"/>
        </w:rPr>
        <w:t>1、</w:t>
      </w:r>
      <w:r>
        <w:rPr>
          <w:rFonts w:hint="eastAsia" w:asciiTheme="minorEastAsia" w:hAnsiTheme="minorEastAsia" w:eastAsiaTheme="minorEastAsia" w:cstheme="minorEastAsia"/>
          <w:b/>
          <w:bCs/>
          <w:sz w:val="21"/>
          <w:szCs w:val="21"/>
        </w:rPr>
        <w:t>以上工艺为参考工艺，如复检厚度仍未达标，由</w:t>
      </w:r>
      <w:r>
        <w:rPr>
          <w:rFonts w:hint="eastAsia" w:asciiTheme="minorEastAsia" w:hAnsiTheme="minorEastAsia" w:eastAsiaTheme="minorEastAsia" w:cstheme="minorEastAsia"/>
          <w:b/>
          <w:bCs/>
          <w:sz w:val="21"/>
          <w:szCs w:val="21"/>
          <w:lang w:val="en-US" w:eastAsia="zh-CN"/>
        </w:rPr>
        <w:t>投标人</w:t>
      </w:r>
      <w:r>
        <w:rPr>
          <w:rFonts w:hint="eastAsia" w:asciiTheme="minorEastAsia" w:hAnsiTheme="minorEastAsia" w:eastAsiaTheme="minorEastAsia" w:cstheme="minorEastAsia"/>
          <w:b/>
          <w:bCs/>
          <w:sz w:val="21"/>
          <w:szCs w:val="21"/>
        </w:rPr>
        <w:t>增加防腐材料涂刷遍数，不另行计算工程量和费用，请</w:t>
      </w:r>
      <w:r>
        <w:rPr>
          <w:rFonts w:hint="eastAsia" w:asciiTheme="minorEastAsia" w:hAnsiTheme="minorEastAsia" w:eastAsiaTheme="minorEastAsia" w:cstheme="minorEastAsia"/>
          <w:b/>
          <w:bCs/>
          <w:sz w:val="21"/>
          <w:szCs w:val="21"/>
          <w:lang w:val="en-US" w:eastAsia="zh-CN"/>
        </w:rPr>
        <w:t>投标人</w:t>
      </w:r>
      <w:r>
        <w:rPr>
          <w:rFonts w:hint="eastAsia" w:asciiTheme="minorEastAsia" w:hAnsiTheme="minorEastAsia" w:eastAsiaTheme="minorEastAsia" w:cstheme="minorEastAsia"/>
          <w:b/>
          <w:bCs/>
          <w:sz w:val="21"/>
          <w:szCs w:val="21"/>
        </w:rPr>
        <w:t>综合考虑施工费用后报价</w:t>
      </w:r>
      <w:r>
        <w:rPr>
          <w:rFonts w:hint="eastAsia" w:asciiTheme="minorEastAsia" w:hAnsiTheme="minorEastAsia" w:eastAsiaTheme="minorEastAsia" w:cstheme="minorEastAsia"/>
          <w:b/>
          <w:bCs/>
          <w:sz w:val="21"/>
          <w:szCs w:val="21"/>
          <w:lang w:eastAsia="zh-CN"/>
        </w:rPr>
        <w:t>；</w:t>
      </w:r>
    </w:p>
    <w:p w14:paraId="4451120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11" w:firstLineChars="100"/>
        <w:textAlignment w:val="auto"/>
        <w:rPr>
          <w:rFonts w:hint="eastAsia" w:asciiTheme="minorEastAsia" w:hAnsiTheme="minorEastAsia" w:eastAsiaTheme="minorEastAsia" w:cstheme="minorEastAsia"/>
          <w:b/>
          <w:bCs/>
          <w:sz w:val="21"/>
          <w:szCs w:val="21"/>
          <w:lang w:val="en-US" w:eastAsia="zh-CN"/>
        </w:rPr>
      </w:pPr>
      <w:r>
        <w:rPr>
          <w:rFonts w:hint="eastAsia" w:ascii="宋体" w:hAnsi="宋体" w:eastAsia="宋体" w:cs="宋体"/>
          <w:b/>
          <w:bCs/>
          <w:kern w:val="2"/>
          <w:sz w:val="21"/>
          <w:szCs w:val="21"/>
          <w:lang w:val="en-US" w:eastAsia="zh-CN" w:bidi="ar-SA"/>
        </w:rPr>
        <w:t>★</w:t>
      </w:r>
      <w:r>
        <w:rPr>
          <w:rFonts w:hint="eastAsia" w:asciiTheme="minorEastAsia" w:hAnsiTheme="minorEastAsia" w:eastAsiaTheme="minorEastAsia" w:cstheme="minorEastAsia"/>
          <w:b/>
          <w:bCs/>
          <w:sz w:val="21"/>
          <w:szCs w:val="21"/>
          <w:lang w:val="en-US" w:eastAsia="zh-CN"/>
        </w:rPr>
        <w:t>2、投标时投标人必须注明所投产品品牌（投标文件格式附表），否则按未实质性响应处理；</w:t>
      </w:r>
    </w:p>
    <w:p w14:paraId="2728A58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2" w:firstLineChars="200"/>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3</w:t>
      </w:r>
      <w:r>
        <w:rPr>
          <w:rFonts w:hint="eastAsia" w:asciiTheme="minorEastAsia" w:hAnsiTheme="minorEastAsia" w:eastAsiaTheme="minorEastAsia" w:cstheme="minorEastAsia"/>
          <w:b/>
          <w:bCs/>
          <w:sz w:val="21"/>
          <w:szCs w:val="21"/>
        </w:rPr>
        <w:t>、以上材料在进场前须经</w:t>
      </w:r>
      <w:r>
        <w:rPr>
          <w:rFonts w:hint="eastAsia" w:asciiTheme="minorEastAsia" w:hAnsiTheme="minorEastAsia" w:eastAsiaTheme="minorEastAsia" w:cstheme="minorEastAsia"/>
          <w:b/>
          <w:bCs/>
          <w:sz w:val="21"/>
          <w:szCs w:val="21"/>
          <w:lang w:eastAsia="zh-CN"/>
        </w:rPr>
        <w:t>招标人</w:t>
      </w:r>
      <w:r>
        <w:rPr>
          <w:rFonts w:hint="eastAsia" w:asciiTheme="minorEastAsia" w:hAnsiTheme="minorEastAsia" w:eastAsiaTheme="minorEastAsia" w:cstheme="minorEastAsia"/>
          <w:b/>
          <w:bCs/>
          <w:sz w:val="21"/>
          <w:szCs w:val="21"/>
        </w:rPr>
        <w:t>和设计单位认可，</w:t>
      </w:r>
      <w:r>
        <w:rPr>
          <w:rFonts w:hint="eastAsia" w:asciiTheme="minorEastAsia" w:hAnsiTheme="minorEastAsia" w:eastAsiaTheme="minorEastAsia" w:cstheme="minorEastAsia"/>
          <w:b/>
          <w:bCs/>
          <w:sz w:val="21"/>
          <w:szCs w:val="21"/>
          <w:lang w:eastAsia="zh-CN"/>
        </w:rPr>
        <w:t>招标人</w:t>
      </w:r>
      <w:r>
        <w:rPr>
          <w:rFonts w:hint="eastAsia" w:asciiTheme="minorEastAsia" w:hAnsiTheme="minorEastAsia" w:eastAsiaTheme="minorEastAsia" w:cstheme="minorEastAsia"/>
          <w:b/>
          <w:bCs/>
          <w:sz w:val="21"/>
          <w:szCs w:val="21"/>
        </w:rPr>
        <w:t>有权在颜色、样式、用量、材质、配置等方面做出适当调整，但价格不予调整</w:t>
      </w:r>
      <w:r>
        <w:rPr>
          <w:rFonts w:hint="eastAsia" w:asciiTheme="minorEastAsia" w:hAnsiTheme="minorEastAsia" w:eastAsiaTheme="minorEastAsia" w:cstheme="minorEastAsia"/>
          <w:b/>
          <w:bCs/>
          <w:sz w:val="21"/>
          <w:szCs w:val="21"/>
          <w:lang w:eastAsia="zh-CN"/>
        </w:rPr>
        <w:t>；</w:t>
      </w:r>
    </w:p>
    <w:p w14:paraId="455B1689">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4</w:t>
      </w:r>
      <w:r>
        <w:rPr>
          <w:rFonts w:hint="eastAsia" w:asciiTheme="minorEastAsia" w:hAnsiTheme="minorEastAsia" w:eastAsiaTheme="minorEastAsia" w:cstheme="minorEastAsia"/>
          <w:b/>
          <w:bCs/>
          <w:sz w:val="21"/>
          <w:szCs w:val="21"/>
        </w:rPr>
        <w:t>、如投标人采用推荐品牌以外的其他产品</w:t>
      </w:r>
      <w:r>
        <w:rPr>
          <w:rFonts w:hint="eastAsia" w:asciiTheme="minorEastAsia" w:hAnsiTheme="minorEastAsia" w:eastAsiaTheme="minorEastAsia" w:cstheme="minorEastAsia"/>
          <w:b/>
          <w:bCs/>
          <w:sz w:val="21"/>
          <w:szCs w:val="21"/>
          <w:lang w:eastAsia="zh-CN"/>
        </w:rPr>
        <w:t>施工</w:t>
      </w:r>
      <w:r>
        <w:rPr>
          <w:rFonts w:hint="eastAsia" w:asciiTheme="minorEastAsia" w:hAnsiTheme="minorEastAsia" w:eastAsiaTheme="minorEastAsia" w:cstheme="minorEastAsia"/>
          <w:b/>
          <w:bCs/>
          <w:sz w:val="21"/>
          <w:szCs w:val="21"/>
        </w:rPr>
        <w:t>的，质量和性能等技术指标必须优于或者相当于</w:t>
      </w:r>
      <w:r>
        <w:rPr>
          <w:rFonts w:hint="eastAsia" w:asciiTheme="minorEastAsia" w:hAnsiTheme="minorEastAsia" w:eastAsiaTheme="minorEastAsia" w:cstheme="minorEastAsia"/>
          <w:b/>
          <w:bCs/>
          <w:sz w:val="21"/>
          <w:szCs w:val="21"/>
          <w:lang w:eastAsia="zh-CN"/>
        </w:rPr>
        <w:t>参照</w:t>
      </w:r>
      <w:r>
        <w:rPr>
          <w:rFonts w:hint="eastAsia" w:asciiTheme="minorEastAsia" w:hAnsiTheme="minorEastAsia" w:eastAsiaTheme="minorEastAsia" w:cstheme="minorEastAsia"/>
          <w:b/>
          <w:bCs/>
          <w:sz w:val="21"/>
          <w:szCs w:val="21"/>
        </w:rPr>
        <w:t>品牌。一旦中标，中标人不得以任何理由</w:t>
      </w:r>
      <w:r>
        <w:rPr>
          <w:rFonts w:hint="eastAsia" w:asciiTheme="minorEastAsia" w:hAnsiTheme="minorEastAsia" w:eastAsiaTheme="minorEastAsia" w:cstheme="minorEastAsia"/>
          <w:b/>
          <w:bCs/>
          <w:sz w:val="21"/>
          <w:szCs w:val="21"/>
          <w:lang w:eastAsia="zh-CN"/>
        </w:rPr>
        <w:t>再</w:t>
      </w:r>
      <w:r>
        <w:rPr>
          <w:rFonts w:hint="eastAsia" w:asciiTheme="minorEastAsia" w:hAnsiTheme="minorEastAsia" w:eastAsiaTheme="minorEastAsia" w:cstheme="minorEastAsia"/>
          <w:b/>
          <w:bCs/>
          <w:sz w:val="21"/>
          <w:szCs w:val="21"/>
        </w:rPr>
        <w:t>更换选定品牌,并于领取中标通知书后三天内向</w:t>
      </w:r>
      <w:r>
        <w:rPr>
          <w:rFonts w:hint="eastAsia" w:asciiTheme="minorEastAsia" w:hAnsiTheme="minorEastAsia" w:eastAsiaTheme="minorEastAsia" w:cstheme="minorEastAsia"/>
          <w:b/>
          <w:bCs/>
          <w:sz w:val="21"/>
          <w:szCs w:val="21"/>
          <w:lang w:eastAsia="zh-CN"/>
        </w:rPr>
        <w:t>招标人</w:t>
      </w:r>
      <w:r>
        <w:rPr>
          <w:rFonts w:hint="eastAsia" w:asciiTheme="minorEastAsia" w:hAnsiTheme="minorEastAsia" w:eastAsiaTheme="minorEastAsia" w:cstheme="minorEastAsia"/>
          <w:b/>
          <w:bCs/>
          <w:sz w:val="21"/>
          <w:szCs w:val="21"/>
        </w:rPr>
        <w:t>提供样品，经</w:t>
      </w:r>
      <w:r>
        <w:rPr>
          <w:rFonts w:hint="eastAsia" w:asciiTheme="minorEastAsia" w:hAnsiTheme="minorEastAsia" w:eastAsiaTheme="minorEastAsia" w:cstheme="minorEastAsia"/>
          <w:b/>
          <w:bCs/>
          <w:sz w:val="21"/>
          <w:szCs w:val="21"/>
          <w:lang w:eastAsia="zh-CN"/>
        </w:rPr>
        <w:t>招标人</w:t>
      </w:r>
      <w:r>
        <w:rPr>
          <w:rFonts w:hint="eastAsia" w:asciiTheme="minorEastAsia" w:hAnsiTheme="minorEastAsia" w:eastAsiaTheme="minorEastAsia" w:cstheme="minorEastAsia"/>
          <w:b/>
          <w:bCs/>
          <w:sz w:val="21"/>
          <w:szCs w:val="21"/>
        </w:rPr>
        <w:t>认可后方可签订合同。</w:t>
      </w:r>
    </w:p>
    <w:p w14:paraId="35AD853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2" w:firstLineChars="200"/>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kern w:val="2"/>
          <w:sz w:val="21"/>
          <w:szCs w:val="21"/>
          <w:lang w:val="en-US" w:eastAsia="zh-CN" w:bidi="ar-SA"/>
        </w:rPr>
        <w:t>三、</w:t>
      </w:r>
      <w:r>
        <w:rPr>
          <w:rFonts w:hint="eastAsia" w:asciiTheme="minorEastAsia" w:hAnsiTheme="minorEastAsia" w:eastAsiaTheme="minorEastAsia" w:cstheme="minorEastAsia"/>
          <w:b/>
          <w:bCs/>
          <w:sz w:val="21"/>
          <w:szCs w:val="21"/>
          <w:lang w:eastAsia="zh-CN"/>
        </w:rPr>
        <w:t>施工相关依据及报价、验收要求</w:t>
      </w:r>
    </w:p>
    <w:p w14:paraId="3D6A569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本工程需严格遵守国家相关规定进行安全文明施工</w:t>
      </w:r>
      <w:r>
        <w:rPr>
          <w:rFonts w:hint="eastAsia" w:asciiTheme="minorEastAsia" w:hAnsiTheme="minorEastAsia" w:eastAsiaTheme="minorEastAsia" w:cstheme="minorEastAsia"/>
          <w:sz w:val="21"/>
          <w:szCs w:val="21"/>
          <w:lang w:eastAsia="zh-CN"/>
        </w:rPr>
        <w:t>；</w:t>
      </w:r>
    </w:p>
    <w:p w14:paraId="652D065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本次报价为综合报价，损耗费、税金等不另行测算，由</w:t>
      </w:r>
      <w:r>
        <w:rPr>
          <w:rFonts w:hint="eastAsia" w:asciiTheme="minorEastAsia" w:hAnsiTheme="minorEastAsia" w:eastAsiaTheme="minorEastAsia" w:cstheme="minorEastAsia"/>
          <w:sz w:val="21"/>
          <w:szCs w:val="21"/>
          <w:lang w:val="en-US" w:eastAsia="zh-CN"/>
        </w:rPr>
        <w:t>投标人</w:t>
      </w:r>
      <w:r>
        <w:rPr>
          <w:rFonts w:hint="eastAsia" w:asciiTheme="minorEastAsia" w:hAnsiTheme="minorEastAsia" w:eastAsiaTheme="minorEastAsia" w:cstheme="minorEastAsia"/>
          <w:sz w:val="21"/>
          <w:szCs w:val="21"/>
        </w:rPr>
        <w:t>在总费用中自行消化解决</w:t>
      </w:r>
      <w:r>
        <w:rPr>
          <w:rFonts w:hint="eastAsia" w:asciiTheme="minorEastAsia" w:hAnsiTheme="minorEastAsia" w:eastAsiaTheme="minorEastAsia" w:cstheme="minorEastAsia"/>
          <w:sz w:val="21"/>
          <w:szCs w:val="21"/>
          <w:lang w:eastAsia="zh-CN"/>
        </w:rPr>
        <w:t>；</w:t>
      </w:r>
    </w:p>
    <w:p w14:paraId="71F1A3A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防腐涂层厚度第一次检测费用由校方承担，如检测不合格，整改后再次复检费用由</w:t>
      </w:r>
      <w:r>
        <w:rPr>
          <w:rFonts w:hint="eastAsia" w:asciiTheme="minorEastAsia" w:hAnsiTheme="minorEastAsia" w:eastAsiaTheme="minorEastAsia" w:cstheme="minorEastAsia"/>
          <w:sz w:val="21"/>
          <w:szCs w:val="21"/>
          <w:lang w:val="en-US" w:eastAsia="zh-CN"/>
        </w:rPr>
        <w:t>投标人</w:t>
      </w:r>
      <w:r>
        <w:rPr>
          <w:rFonts w:hint="eastAsia" w:asciiTheme="minorEastAsia" w:hAnsiTheme="minorEastAsia" w:eastAsiaTheme="minorEastAsia" w:cstheme="minorEastAsia"/>
          <w:sz w:val="21"/>
          <w:szCs w:val="21"/>
        </w:rPr>
        <w:t>承担，因复检不合格整改造成的工期延误按合同约定处罚。</w:t>
      </w:r>
    </w:p>
    <w:p w14:paraId="055BF13F">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四</w:t>
      </w:r>
      <w:r>
        <w:rPr>
          <w:rFonts w:hint="eastAsia" w:asciiTheme="minorEastAsia" w:hAnsiTheme="minorEastAsia" w:eastAsiaTheme="minorEastAsia" w:cstheme="minorEastAsia"/>
          <w:b/>
          <w:bCs/>
          <w:sz w:val="21"/>
          <w:szCs w:val="21"/>
        </w:rPr>
        <w:t>、附件：</w:t>
      </w:r>
      <w:r>
        <w:rPr>
          <w:rFonts w:hint="eastAsia" w:asciiTheme="minorEastAsia" w:hAnsiTheme="minorEastAsia" w:eastAsiaTheme="minorEastAsia" w:cstheme="minorEastAsia"/>
          <w:b/>
          <w:bCs/>
          <w:sz w:val="21"/>
          <w:szCs w:val="21"/>
          <w:lang w:eastAsia="zh-CN"/>
        </w:rPr>
        <w:t>详见公告附件，自行下载</w:t>
      </w:r>
      <w:r>
        <w:rPr>
          <w:rFonts w:hint="eastAsia" w:asciiTheme="minorEastAsia" w:hAnsiTheme="minorEastAsia" w:eastAsiaTheme="minorEastAsia" w:cstheme="minorEastAsia"/>
          <w:b/>
          <w:bCs/>
          <w:sz w:val="21"/>
          <w:szCs w:val="21"/>
        </w:rPr>
        <w:t>图纸及工程量清单（电子版）</w:t>
      </w:r>
      <w:r>
        <w:rPr>
          <w:rFonts w:hint="eastAsia" w:asciiTheme="minorEastAsia" w:hAnsiTheme="minorEastAsia" w:eastAsiaTheme="minorEastAsia" w:cstheme="minorEastAsia"/>
          <w:b/>
          <w:bCs/>
          <w:sz w:val="21"/>
          <w:szCs w:val="21"/>
          <w:lang w:eastAsia="zh-CN"/>
        </w:rPr>
        <w:t>。</w:t>
      </w:r>
    </w:p>
    <w:bookmarkEnd w:id="31"/>
    <w:bookmarkEnd w:id="32"/>
    <w:p w14:paraId="38B74BDB">
      <w:pPr>
        <w:pStyle w:val="8"/>
        <w:keepNext w:val="0"/>
        <w:keepLines w:val="0"/>
        <w:pageBreakBefore w:val="0"/>
        <w:widowControl w:val="0"/>
        <w:kinsoku/>
        <w:wordWrap/>
        <w:overflowPunct/>
        <w:topLinePunct w:val="0"/>
        <w:autoSpaceDE/>
        <w:autoSpaceDN/>
        <w:bidi w:val="0"/>
        <w:adjustRightInd/>
        <w:snapToGrid/>
        <w:spacing w:line="500" w:lineRule="exact"/>
        <w:textAlignment w:val="auto"/>
        <w:rPr>
          <w:color w:val="000000"/>
        </w:rPr>
      </w:pPr>
    </w:p>
    <w:p w14:paraId="6410F794">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b/>
          <w:color w:val="000000"/>
          <w:sz w:val="28"/>
          <w:szCs w:val="28"/>
        </w:rPr>
      </w:pPr>
    </w:p>
    <w:p w14:paraId="7B2C3CCC">
      <w:pPr>
        <w:spacing w:line="360" w:lineRule="auto"/>
        <w:jc w:val="center"/>
        <w:outlineLvl w:val="1"/>
        <w:rPr>
          <w:rFonts w:hint="eastAsia" w:ascii="宋体" w:hAnsi="宋体"/>
          <w:b/>
          <w:color w:val="000000"/>
          <w:sz w:val="28"/>
          <w:szCs w:val="28"/>
        </w:rPr>
      </w:pPr>
      <w:bookmarkStart w:id="33" w:name="_Toc184029945"/>
    </w:p>
    <w:p w14:paraId="5ECAB632">
      <w:pPr>
        <w:spacing w:line="360" w:lineRule="auto"/>
        <w:jc w:val="center"/>
        <w:outlineLvl w:val="1"/>
        <w:rPr>
          <w:rFonts w:ascii="宋体" w:hAnsi="宋体"/>
          <w:b/>
          <w:color w:val="000000"/>
          <w:sz w:val="28"/>
          <w:szCs w:val="28"/>
        </w:rPr>
      </w:pPr>
      <w:bookmarkStart w:id="480" w:name="_GoBack"/>
      <w:bookmarkEnd w:id="480"/>
      <w:r>
        <w:rPr>
          <w:rFonts w:hint="eastAsia" w:ascii="宋体" w:hAnsi="宋体"/>
          <w:b/>
          <w:color w:val="000000"/>
          <w:sz w:val="28"/>
          <w:szCs w:val="28"/>
        </w:rPr>
        <w:t>二、政府采购合同（拟签订的合同文本）</w:t>
      </w:r>
      <w:bookmarkEnd w:id="33"/>
    </w:p>
    <w:p w14:paraId="2663992E">
      <w:pPr>
        <w:spacing w:line="400" w:lineRule="exact"/>
        <w:jc w:val="center"/>
        <w:rPr>
          <w:rFonts w:hint="eastAsia" w:ascii="黑体" w:hAnsi="黑体" w:eastAsia="黑体" w:cs="Arial Unicode MS"/>
          <w:sz w:val="32"/>
          <w:szCs w:val="32"/>
          <w:highlight w:val="yellow"/>
        </w:rPr>
      </w:pPr>
    </w:p>
    <w:p w14:paraId="721AFAE8">
      <w:pPr>
        <w:spacing w:line="400" w:lineRule="exact"/>
        <w:jc w:val="center"/>
        <w:rPr>
          <w:rFonts w:ascii="黑体" w:hAnsi="黑体" w:eastAsia="黑体" w:cs="Arial Unicode MS"/>
          <w:sz w:val="32"/>
          <w:szCs w:val="32"/>
          <w:highlight w:val="none"/>
        </w:rPr>
      </w:pPr>
      <w:r>
        <w:rPr>
          <w:rFonts w:hint="eastAsia" w:ascii="黑体" w:hAnsi="黑体" w:eastAsia="黑体" w:cs="Arial Unicode MS"/>
          <w:sz w:val="32"/>
          <w:szCs w:val="32"/>
          <w:highlight w:val="none"/>
        </w:rPr>
        <w:t>采购合同</w:t>
      </w:r>
    </w:p>
    <w:p w14:paraId="0EFB5EDF">
      <w:pPr>
        <w:snapToGrid w:val="0"/>
        <w:spacing w:before="50" w:line="440" w:lineRule="exact"/>
        <w:jc w:val="center"/>
        <w:rPr>
          <w:rFonts w:hint="eastAsia" w:ascii="宋体" w:hAnsi="宋体" w:cs="宋体"/>
          <w:b/>
          <w:bCs/>
          <w:color w:val="000000"/>
          <w:szCs w:val="21"/>
        </w:rPr>
      </w:pPr>
      <w:r>
        <w:rPr>
          <w:rFonts w:hint="eastAsia" w:ascii="宋体" w:hAnsi="宋体" w:cs="宋体"/>
          <w:b/>
          <w:bCs/>
          <w:color w:val="000000"/>
          <w:szCs w:val="21"/>
        </w:rPr>
        <w:t>（在未改变实质性条件下，可双方协商确定）</w:t>
      </w:r>
    </w:p>
    <w:p w14:paraId="2F87CFF5">
      <w:pPr>
        <w:spacing w:line="400" w:lineRule="exact"/>
        <w:jc w:val="center"/>
        <w:rPr>
          <w:rFonts w:hint="eastAsia" w:ascii="黑体" w:hAnsi="黑体" w:eastAsia="黑体" w:cs="Arial Unicode MS"/>
          <w:sz w:val="32"/>
          <w:szCs w:val="32"/>
        </w:rPr>
      </w:pPr>
    </w:p>
    <w:p w14:paraId="33D76C13">
      <w:pPr>
        <w:spacing w:line="400" w:lineRule="exact"/>
        <w:jc w:val="center"/>
        <w:rPr>
          <w:rFonts w:ascii="楷体_GB2312" w:hAnsi="宋体" w:eastAsia="楷体_GB2312" w:cs="Arial Unicode MS"/>
          <w:szCs w:val="21"/>
        </w:rPr>
      </w:pPr>
      <w:r>
        <w:rPr>
          <w:rFonts w:ascii="楷体_GB2312" w:hAnsi="宋体" w:eastAsia="楷体_GB2312" w:cs="Arial Unicode MS"/>
          <w:sz w:val="18"/>
          <w:szCs w:val="18"/>
        </w:rPr>
        <w:t xml:space="preserve">                                                          </w:t>
      </w:r>
      <w:r>
        <w:rPr>
          <w:rFonts w:hint="eastAsia" w:ascii="楷体_GB2312" w:hAnsi="宋体" w:eastAsia="楷体_GB2312" w:cs="Arial Unicode MS"/>
          <w:sz w:val="18"/>
          <w:szCs w:val="18"/>
        </w:rPr>
        <w:t xml:space="preserve">    </w:t>
      </w:r>
      <w:r>
        <w:rPr>
          <w:rFonts w:hint="eastAsia" w:ascii="楷体_GB2312" w:hAnsi="宋体" w:eastAsia="楷体_GB2312" w:cs="Arial Unicode MS"/>
          <w:szCs w:val="21"/>
        </w:rPr>
        <w:t>合同编号：（采购编号）</w:t>
      </w:r>
    </w:p>
    <w:p w14:paraId="5FFABB65">
      <w:pPr>
        <w:spacing w:line="400" w:lineRule="exact"/>
        <w:jc w:val="left"/>
        <w:rPr>
          <w:rFonts w:ascii="楷体_GB2312" w:hAnsi="宋体" w:eastAsia="楷体_GB2312" w:cs="Arial Unicode MS"/>
          <w:szCs w:val="21"/>
        </w:rPr>
      </w:pPr>
      <w:r>
        <w:rPr>
          <w:rFonts w:hint="eastAsia" w:ascii="楷体_GB2312" w:hAnsi="宋体" w:eastAsia="楷体_GB2312" w:cs="Arial Unicode MS"/>
          <w:szCs w:val="21"/>
        </w:rPr>
        <w:t xml:space="preserve">                                                               签署地点：江苏医药职业学院</w:t>
      </w:r>
    </w:p>
    <w:p w14:paraId="6BB74919">
      <w:pPr>
        <w:pageBreakBefore w:val="0"/>
        <w:kinsoku/>
        <w:wordWrap/>
        <w:overflowPunct/>
        <w:topLinePunct w:val="0"/>
        <w:autoSpaceDE/>
        <w:autoSpaceDN/>
        <w:bidi w:val="0"/>
        <w:adjustRightInd/>
        <w:snapToGrid/>
        <w:spacing w:line="500" w:lineRule="exact"/>
        <w:textAlignment w:val="auto"/>
        <w:rPr>
          <w:rFonts w:ascii="宋体" w:hAnsi="宋体" w:cs="Arial Unicode MS"/>
          <w:szCs w:val="21"/>
        </w:rPr>
      </w:pPr>
    </w:p>
    <w:p w14:paraId="7689D97E">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发包人（甲方全称）：</w:t>
      </w:r>
      <w:r>
        <w:rPr>
          <w:rFonts w:hint="eastAsia" w:asciiTheme="minorEastAsia" w:hAnsiTheme="minorEastAsia" w:eastAsiaTheme="minorEastAsia" w:cstheme="minorEastAsia"/>
          <w:b/>
          <w:bCs/>
          <w:sz w:val="21"/>
          <w:szCs w:val="21"/>
          <w:u w:val="single"/>
        </w:rPr>
        <w:t>江苏医药职业学院</w:t>
      </w:r>
    </w:p>
    <w:p w14:paraId="2A7E9A3D">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承包人（乙方全称）：</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3049E178">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根据《中华人民共和国民法典》《中华人民共和国建筑法》及有关法律规定，遵循平等、自愿、公平和诚实信用的原则，甲乙双方就施工及有关事项协商一致，共同达成如下协议：</w:t>
      </w:r>
    </w:p>
    <w:p w14:paraId="1F4E1439">
      <w:pPr>
        <w:pageBreakBefore w:val="0"/>
        <w:widowControl w:val="0"/>
        <w:kinsoku/>
        <w:wordWrap/>
        <w:overflowPunct/>
        <w:topLinePunct w:val="0"/>
        <w:autoSpaceDE/>
        <w:autoSpaceDN/>
        <w:bidi w:val="0"/>
        <w:adjustRightInd/>
        <w:snapToGrid/>
        <w:spacing w:line="500" w:lineRule="exact"/>
        <w:ind w:firstLine="482"/>
        <w:jc w:val="left"/>
        <w:textAlignment w:val="auto"/>
        <w:rPr>
          <w:rFonts w:hint="eastAsia" w:asciiTheme="minorEastAsia" w:hAnsiTheme="minorEastAsia" w:eastAsiaTheme="minorEastAsia" w:cstheme="minorEastAsia"/>
          <w:b/>
          <w:bCs/>
          <w:sz w:val="21"/>
          <w:szCs w:val="21"/>
        </w:rPr>
      </w:pPr>
      <w:bookmarkStart w:id="34" w:name="_Toc351203481"/>
      <w:r>
        <w:rPr>
          <w:rFonts w:hint="eastAsia" w:asciiTheme="minorEastAsia" w:hAnsiTheme="minorEastAsia" w:eastAsiaTheme="minorEastAsia" w:cstheme="minorEastAsia"/>
          <w:b/>
          <w:bCs/>
          <w:sz w:val="21"/>
          <w:szCs w:val="21"/>
        </w:rPr>
        <w:t>一、工程概况</w:t>
      </w:r>
      <w:bookmarkEnd w:id="34"/>
    </w:p>
    <w:p w14:paraId="46632BFF">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1.工程名称：</w:t>
      </w:r>
      <w:r>
        <w:rPr>
          <w:rFonts w:hint="eastAsia" w:asciiTheme="minorEastAsia" w:hAnsiTheme="minorEastAsia" w:eastAsiaTheme="minorEastAsia" w:cstheme="minorEastAsia"/>
          <w:sz w:val="21"/>
          <w:szCs w:val="21"/>
          <w:u w:val="single"/>
        </w:rPr>
        <w:t xml:space="preserve">西园风雨操场屋面钢结构防腐涂层施工项目  </w:t>
      </w:r>
      <w:r>
        <w:rPr>
          <w:rFonts w:hint="eastAsia" w:asciiTheme="minorEastAsia" w:hAnsiTheme="minorEastAsia" w:eastAsiaTheme="minorEastAsia" w:cstheme="minorEastAsia"/>
          <w:sz w:val="21"/>
          <w:szCs w:val="21"/>
        </w:rPr>
        <w:t>。</w:t>
      </w:r>
    </w:p>
    <w:p w14:paraId="2861AE9F">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2.工程地点：</w:t>
      </w:r>
      <w:r>
        <w:rPr>
          <w:rFonts w:hint="eastAsia" w:asciiTheme="minorEastAsia" w:hAnsiTheme="minorEastAsia" w:eastAsiaTheme="minorEastAsia" w:cstheme="minorEastAsia"/>
          <w:sz w:val="21"/>
          <w:szCs w:val="21"/>
          <w:u w:val="single"/>
        </w:rPr>
        <w:t xml:space="preserve"> 江苏医药职业学院西校区  </w:t>
      </w:r>
      <w:r>
        <w:rPr>
          <w:rFonts w:hint="eastAsia" w:asciiTheme="minorEastAsia" w:hAnsiTheme="minorEastAsia" w:eastAsiaTheme="minorEastAsia" w:cstheme="minorEastAsia"/>
          <w:sz w:val="21"/>
          <w:szCs w:val="21"/>
        </w:rPr>
        <w:t>。</w:t>
      </w:r>
    </w:p>
    <w:p w14:paraId="0E4D4FC2">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.资金来源：自筹。</w:t>
      </w:r>
    </w:p>
    <w:p w14:paraId="1FB84E39">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.工程内容：</w:t>
      </w:r>
      <w:r>
        <w:rPr>
          <w:rFonts w:hint="eastAsia" w:asciiTheme="minorEastAsia" w:hAnsiTheme="minorEastAsia" w:eastAsiaTheme="minorEastAsia" w:cstheme="minorEastAsia"/>
          <w:sz w:val="21"/>
          <w:szCs w:val="21"/>
          <w:u w:val="single"/>
        </w:rPr>
        <w:t xml:space="preserve">                                            </w:t>
      </w:r>
      <w:r>
        <w:rPr>
          <w:rFonts w:hint="eastAsia" w:asciiTheme="minorEastAsia" w:hAnsiTheme="minorEastAsia" w:eastAsiaTheme="minorEastAsia" w:cstheme="minorEastAsia"/>
          <w:sz w:val="21"/>
          <w:szCs w:val="21"/>
        </w:rPr>
        <w:t xml:space="preserve"> </w:t>
      </w:r>
    </w:p>
    <w:p w14:paraId="28ED3587">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6.工程承包范围：</w:t>
      </w:r>
      <w:r>
        <w:rPr>
          <w:rFonts w:hint="eastAsia" w:asciiTheme="minorEastAsia" w:hAnsiTheme="minorEastAsia" w:eastAsiaTheme="minorEastAsia" w:cstheme="minorEastAsia"/>
          <w:b/>
          <w:bCs/>
          <w:sz w:val="21"/>
          <w:szCs w:val="21"/>
        </w:rPr>
        <w:t>招标文件、图纸、工程量清单及补充通知、承诺函中包含的所有工程。</w:t>
      </w:r>
    </w:p>
    <w:p w14:paraId="3DA4AC8F">
      <w:pPr>
        <w:pageBreakBefore w:val="0"/>
        <w:widowControl w:val="0"/>
        <w:kinsoku/>
        <w:wordWrap/>
        <w:overflowPunct/>
        <w:topLinePunct w:val="0"/>
        <w:autoSpaceDE/>
        <w:autoSpaceDN/>
        <w:bidi w:val="0"/>
        <w:adjustRightInd/>
        <w:snapToGrid/>
        <w:spacing w:line="500" w:lineRule="exact"/>
        <w:ind w:firstLine="482"/>
        <w:jc w:val="left"/>
        <w:textAlignment w:val="auto"/>
        <w:rPr>
          <w:rFonts w:hint="eastAsia" w:asciiTheme="minorEastAsia" w:hAnsiTheme="minorEastAsia" w:eastAsiaTheme="minorEastAsia" w:cstheme="minorEastAsia"/>
          <w:b/>
          <w:bCs/>
          <w:sz w:val="21"/>
          <w:szCs w:val="21"/>
        </w:rPr>
      </w:pPr>
      <w:bookmarkStart w:id="35" w:name="_Toc351203482"/>
      <w:r>
        <w:rPr>
          <w:rFonts w:hint="eastAsia" w:asciiTheme="minorEastAsia" w:hAnsiTheme="minorEastAsia" w:eastAsiaTheme="minorEastAsia" w:cstheme="minorEastAsia"/>
          <w:b/>
          <w:bCs/>
          <w:sz w:val="21"/>
          <w:szCs w:val="21"/>
        </w:rPr>
        <w:t>二、合同工期</w:t>
      </w:r>
      <w:bookmarkEnd w:id="35"/>
    </w:p>
    <w:p w14:paraId="69D9BA56">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计划开工日期：</w:t>
      </w:r>
      <w:r>
        <w:rPr>
          <w:rFonts w:hint="eastAsia" w:asciiTheme="minorEastAsia" w:hAnsiTheme="minorEastAsia" w:eastAsiaTheme="minorEastAsia" w:cstheme="minorEastAsia"/>
          <w:sz w:val="21"/>
          <w:szCs w:val="21"/>
          <w:u w:val="single"/>
        </w:rPr>
        <w:t xml:space="preserve">     年  月日</w:t>
      </w:r>
      <w:r>
        <w:rPr>
          <w:rFonts w:hint="eastAsia" w:asciiTheme="minorEastAsia" w:hAnsiTheme="minorEastAsia" w:eastAsiaTheme="minorEastAsia" w:cstheme="minorEastAsia"/>
          <w:sz w:val="21"/>
          <w:szCs w:val="21"/>
        </w:rPr>
        <w:t>。</w:t>
      </w:r>
    </w:p>
    <w:p w14:paraId="2D6FC0C9">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计划竣工日期： </w:t>
      </w:r>
      <w:r>
        <w:rPr>
          <w:rFonts w:hint="eastAsia" w:asciiTheme="minorEastAsia" w:hAnsiTheme="minorEastAsia" w:eastAsiaTheme="minorEastAsia" w:cstheme="minorEastAsia"/>
          <w:sz w:val="21"/>
          <w:szCs w:val="21"/>
          <w:u w:val="single"/>
        </w:rPr>
        <w:t xml:space="preserve">    年  月日。</w:t>
      </w:r>
    </w:p>
    <w:p w14:paraId="37E0DB60">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工期总日历天数：</w:t>
      </w: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rPr>
        <w:t>日历天。工期总日历天数与根据前述计划开竣工日期计算的工期天数不一致的，以工期总日历天数为准。</w:t>
      </w:r>
    </w:p>
    <w:p w14:paraId="56E300F9">
      <w:pPr>
        <w:pageBreakBefore w:val="0"/>
        <w:widowControl w:val="0"/>
        <w:kinsoku/>
        <w:wordWrap/>
        <w:overflowPunct/>
        <w:topLinePunct w:val="0"/>
        <w:autoSpaceDE/>
        <w:autoSpaceDN/>
        <w:bidi w:val="0"/>
        <w:adjustRightInd/>
        <w:snapToGrid/>
        <w:spacing w:line="500" w:lineRule="exact"/>
        <w:ind w:firstLine="482"/>
        <w:jc w:val="left"/>
        <w:textAlignment w:val="auto"/>
        <w:rPr>
          <w:rFonts w:hint="eastAsia" w:asciiTheme="minorEastAsia" w:hAnsiTheme="minorEastAsia" w:eastAsiaTheme="minorEastAsia" w:cstheme="minorEastAsia"/>
          <w:b/>
          <w:bCs/>
          <w:sz w:val="21"/>
          <w:szCs w:val="21"/>
        </w:rPr>
      </w:pPr>
      <w:bookmarkStart w:id="36" w:name="_Toc351203483"/>
      <w:r>
        <w:rPr>
          <w:rFonts w:hint="eastAsia" w:asciiTheme="minorEastAsia" w:hAnsiTheme="minorEastAsia" w:eastAsiaTheme="minorEastAsia" w:cstheme="minorEastAsia"/>
          <w:b/>
          <w:bCs/>
          <w:sz w:val="21"/>
          <w:szCs w:val="21"/>
        </w:rPr>
        <w:t>三、质量标准</w:t>
      </w:r>
      <w:bookmarkEnd w:id="36"/>
    </w:p>
    <w:p w14:paraId="1026B031">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工程质量符合合格标准。</w:t>
      </w:r>
    </w:p>
    <w:p w14:paraId="67607CB3">
      <w:pPr>
        <w:pageBreakBefore w:val="0"/>
        <w:widowControl w:val="0"/>
        <w:kinsoku/>
        <w:wordWrap/>
        <w:overflowPunct/>
        <w:topLinePunct w:val="0"/>
        <w:autoSpaceDE/>
        <w:autoSpaceDN/>
        <w:bidi w:val="0"/>
        <w:adjustRightInd/>
        <w:snapToGrid/>
        <w:spacing w:line="500" w:lineRule="exact"/>
        <w:ind w:firstLine="482"/>
        <w:jc w:val="left"/>
        <w:textAlignment w:val="auto"/>
        <w:rPr>
          <w:rFonts w:hint="eastAsia" w:asciiTheme="minorEastAsia" w:hAnsiTheme="minorEastAsia" w:eastAsiaTheme="minorEastAsia" w:cstheme="minorEastAsia"/>
          <w:b/>
          <w:bCs/>
          <w:sz w:val="21"/>
          <w:szCs w:val="21"/>
        </w:rPr>
      </w:pPr>
      <w:bookmarkStart w:id="37" w:name="_Toc351203484"/>
      <w:r>
        <w:rPr>
          <w:rFonts w:hint="eastAsia" w:asciiTheme="minorEastAsia" w:hAnsiTheme="minorEastAsia" w:eastAsiaTheme="minorEastAsia" w:cstheme="minorEastAsia"/>
          <w:b/>
          <w:bCs/>
          <w:sz w:val="21"/>
          <w:szCs w:val="21"/>
        </w:rPr>
        <w:t>四、签约合同价与合同价格形式</w:t>
      </w:r>
      <w:bookmarkEnd w:id="37"/>
      <w:r>
        <w:rPr>
          <w:rFonts w:hint="eastAsia" w:asciiTheme="minorEastAsia" w:hAnsiTheme="minorEastAsia" w:eastAsiaTheme="minorEastAsia" w:cstheme="minorEastAsia"/>
          <w:b/>
          <w:bCs/>
          <w:sz w:val="21"/>
          <w:szCs w:val="21"/>
        </w:rPr>
        <w:tab/>
      </w:r>
    </w:p>
    <w:p w14:paraId="055129CB">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1.签约合同价为：人民币（大写）</w:t>
      </w:r>
      <w:r>
        <w:rPr>
          <w:rFonts w:hint="eastAsia" w:asciiTheme="minorEastAsia" w:hAnsiTheme="minorEastAsia" w:eastAsiaTheme="minorEastAsia" w:cstheme="minorEastAsia"/>
          <w:sz w:val="21"/>
          <w:szCs w:val="21"/>
          <w:u w:val="single"/>
        </w:rPr>
        <w:t xml:space="preserve">                  (¥       </w:t>
      </w:r>
      <w:r>
        <w:rPr>
          <w:rFonts w:hint="eastAsia" w:asciiTheme="minorEastAsia" w:hAnsiTheme="minorEastAsia" w:eastAsiaTheme="minorEastAsia" w:cstheme="minorEastAsia"/>
          <w:sz w:val="21"/>
          <w:szCs w:val="21"/>
        </w:rPr>
        <w:t>元)；</w:t>
      </w:r>
    </w:p>
    <w:p w14:paraId="666BF440">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2.合同价格形式：限定总价审计结算，本工程中工程量清单项目的综合单价按承包人己标价工程量清单下浮之后的综合单价执行。</w:t>
      </w:r>
    </w:p>
    <w:p w14:paraId="55405C3C">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3.付款方式：</w:t>
      </w:r>
    </w:p>
    <w:p w14:paraId="437A0586">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lang w:eastAsia="zh-CN"/>
        </w:rPr>
      </w:pPr>
      <w:bookmarkStart w:id="38" w:name="_Toc351203485"/>
      <w:r>
        <w:rPr>
          <w:rFonts w:hint="eastAsia" w:asciiTheme="minorEastAsia" w:hAnsiTheme="minorEastAsia" w:eastAsiaTheme="minorEastAsia" w:cstheme="minorEastAsia"/>
          <w:sz w:val="21"/>
          <w:szCs w:val="21"/>
        </w:rPr>
        <w:t xml:space="preserve"> 项目验收合格后无质量问题支付合同价的60%款项；审计合格后付至审计价的90%，余款待验收合格质保结束后无质量问题一次性无息付清</w:t>
      </w:r>
      <w:r>
        <w:rPr>
          <w:rFonts w:hint="eastAsia" w:asciiTheme="minorEastAsia" w:hAnsiTheme="minorEastAsia" w:eastAsiaTheme="minorEastAsia" w:cstheme="minorEastAsia"/>
          <w:sz w:val="21"/>
          <w:szCs w:val="21"/>
          <w:lang w:eastAsia="zh-CN"/>
        </w:rPr>
        <w:t>。</w:t>
      </w:r>
    </w:p>
    <w:p w14:paraId="4BE32624">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五、</w:t>
      </w:r>
      <w:bookmarkEnd w:id="38"/>
      <w:r>
        <w:rPr>
          <w:rFonts w:hint="eastAsia" w:asciiTheme="minorEastAsia" w:hAnsiTheme="minorEastAsia" w:eastAsiaTheme="minorEastAsia" w:cstheme="minorEastAsia"/>
          <w:b/>
          <w:bCs/>
          <w:sz w:val="21"/>
          <w:szCs w:val="21"/>
        </w:rPr>
        <w:t>项目经理</w:t>
      </w:r>
    </w:p>
    <w:p w14:paraId="0A59356B">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承包人项目经理</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。执业证书信息</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49D03E07">
      <w:pPr>
        <w:pageBreakBefore w:val="0"/>
        <w:widowControl w:val="0"/>
        <w:kinsoku/>
        <w:wordWrap/>
        <w:overflowPunct/>
        <w:topLinePunct w:val="0"/>
        <w:autoSpaceDE/>
        <w:autoSpaceDN/>
        <w:bidi w:val="0"/>
        <w:adjustRightInd/>
        <w:snapToGrid/>
        <w:spacing w:line="500" w:lineRule="exact"/>
        <w:ind w:firstLine="482"/>
        <w:jc w:val="left"/>
        <w:textAlignment w:val="auto"/>
        <w:rPr>
          <w:rFonts w:hint="eastAsia" w:asciiTheme="minorEastAsia" w:hAnsiTheme="minorEastAsia" w:eastAsiaTheme="minorEastAsia" w:cstheme="minorEastAsia"/>
          <w:b/>
          <w:bCs/>
          <w:sz w:val="21"/>
          <w:szCs w:val="21"/>
        </w:rPr>
      </w:pPr>
      <w:bookmarkStart w:id="39" w:name="_Toc351203486"/>
      <w:r>
        <w:rPr>
          <w:rFonts w:hint="eastAsia" w:asciiTheme="minorEastAsia" w:hAnsiTheme="minorEastAsia" w:eastAsiaTheme="minorEastAsia" w:cstheme="minorEastAsia"/>
          <w:b/>
          <w:bCs/>
          <w:sz w:val="21"/>
          <w:szCs w:val="21"/>
        </w:rPr>
        <w:t>六、合同文件构成</w:t>
      </w:r>
      <w:bookmarkEnd w:id="39"/>
    </w:p>
    <w:p w14:paraId="647DBA60">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本协议书与下列文件一起构成合同文件：</w:t>
      </w:r>
    </w:p>
    <w:p w14:paraId="5E63F112">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（1）中标通知书（如果有）；</w:t>
      </w:r>
    </w:p>
    <w:p w14:paraId="780487B5">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（2）招标文件与答疑纪要；</w:t>
      </w:r>
    </w:p>
    <w:p w14:paraId="71DD18DA">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（3）投标函及其附录（如果有）；</w:t>
      </w:r>
    </w:p>
    <w:p w14:paraId="15F4F85F">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（4）专用合同条款及其附件；</w:t>
      </w:r>
    </w:p>
    <w:p w14:paraId="28A70DD1">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（5）通用合同条款；</w:t>
      </w:r>
    </w:p>
    <w:p w14:paraId="2B541992">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（6）技术标准和要求；</w:t>
      </w:r>
    </w:p>
    <w:p w14:paraId="4FE68374">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（7）图纸及图纸答疑；</w:t>
      </w:r>
    </w:p>
    <w:p w14:paraId="17768259">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（8）已标价工程量清单或预算书；</w:t>
      </w:r>
    </w:p>
    <w:p w14:paraId="509B4AC0">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（9）其他合同文件。</w:t>
      </w:r>
    </w:p>
    <w:p w14:paraId="253D5CB5">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在合同订立及履行过程中形成的与合同有关的文件均构成合同文件的组成部分。</w:t>
      </w:r>
    </w:p>
    <w:p w14:paraId="723D8780">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上述各项合同文件包括合同当事人就该项合同文件所作出的补充和修改，属于同一类内容的文件，应以最新签署的为准。专用合同条款及其附件须经合同当事人签字或盖章。</w:t>
      </w:r>
    </w:p>
    <w:p w14:paraId="4ECA3FED">
      <w:pPr>
        <w:pageBreakBefore w:val="0"/>
        <w:widowControl w:val="0"/>
        <w:kinsoku/>
        <w:wordWrap/>
        <w:overflowPunct/>
        <w:topLinePunct w:val="0"/>
        <w:autoSpaceDE/>
        <w:autoSpaceDN/>
        <w:bidi w:val="0"/>
        <w:adjustRightInd/>
        <w:snapToGrid/>
        <w:spacing w:line="500" w:lineRule="exact"/>
        <w:ind w:firstLine="482"/>
        <w:jc w:val="left"/>
        <w:textAlignment w:val="auto"/>
        <w:rPr>
          <w:rFonts w:hint="eastAsia" w:asciiTheme="minorEastAsia" w:hAnsiTheme="minorEastAsia" w:eastAsiaTheme="minorEastAsia" w:cstheme="minorEastAsia"/>
          <w:b/>
          <w:bCs/>
          <w:sz w:val="21"/>
          <w:szCs w:val="21"/>
        </w:rPr>
      </w:pPr>
      <w:bookmarkStart w:id="40" w:name="_Toc351203487"/>
      <w:r>
        <w:rPr>
          <w:rFonts w:hint="eastAsia" w:asciiTheme="minorEastAsia" w:hAnsiTheme="minorEastAsia" w:eastAsiaTheme="minorEastAsia" w:cstheme="minorEastAsia"/>
          <w:b/>
          <w:bCs/>
          <w:sz w:val="21"/>
          <w:szCs w:val="21"/>
        </w:rPr>
        <w:t>七、承诺</w:t>
      </w:r>
      <w:bookmarkEnd w:id="40"/>
    </w:p>
    <w:p w14:paraId="00F44878">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1.发包人承诺按照法律规定履行项目审批手续、筹集工程建设资金并按照合同约定的期限和方式支付合同价款。</w:t>
      </w:r>
    </w:p>
    <w:p w14:paraId="001FEABE">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2.承包人承诺按照法律规定及合同约定组织完成工程施工，确保工程质量和安全，不进行转包及违法分包，并在缺陷责任期及保修期内承担相应的工程维修责任。</w:t>
      </w:r>
    </w:p>
    <w:p w14:paraId="58A17A1B">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3.发包人和承包人通过招投标形式签订合同的，双方理解并承诺严格按照招标合同执行，不再就同一工程另行签订与合同实质性内容相背离的协议。</w:t>
      </w:r>
    </w:p>
    <w:p w14:paraId="2CDCCBC3">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bookmarkStart w:id="41" w:name="_Toc351203488"/>
      <w:r>
        <w:rPr>
          <w:rFonts w:hint="eastAsia" w:asciiTheme="minorEastAsia" w:hAnsiTheme="minorEastAsia" w:eastAsiaTheme="minorEastAsia" w:cstheme="minorEastAsia"/>
          <w:sz w:val="21"/>
          <w:szCs w:val="21"/>
        </w:rPr>
        <w:t>4.本项目完工后设备在保修期内出现故障，承包人负责抢修，且抢修响应及到场时间在</w:t>
      </w:r>
      <w:r>
        <w:rPr>
          <w:rFonts w:hint="eastAsia" w:asciiTheme="minorEastAsia" w:hAnsiTheme="minorEastAsia" w:eastAsiaTheme="minorEastAsia" w:cstheme="minorEastAsia"/>
          <w:sz w:val="21"/>
          <w:szCs w:val="21"/>
          <w:lang w:val="en-US" w:eastAsia="zh-CN"/>
        </w:rPr>
        <w:t>24</w:t>
      </w:r>
      <w:r>
        <w:rPr>
          <w:rFonts w:hint="eastAsia" w:asciiTheme="minorEastAsia" w:hAnsiTheme="minorEastAsia" w:eastAsiaTheme="minorEastAsia" w:cstheme="minorEastAsia"/>
          <w:sz w:val="21"/>
          <w:szCs w:val="21"/>
        </w:rPr>
        <w:t>小时以内，相关费用含在总价中。</w:t>
      </w:r>
    </w:p>
    <w:p w14:paraId="7AA82A74">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5.伴随服务：本项目竣工后承包人需负责对采购人使用部门人员培训工作。</w:t>
      </w:r>
    </w:p>
    <w:p w14:paraId="74EE61DB">
      <w:pPr>
        <w:pageBreakBefore w:val="0"/>
        <w:widowControl w:val="0"/>
        <w:kinsoku/>
        <w:wordWrap/>
        <w:overflowPunct/>
        <w:topLinePunct w:val="0"/>
        <w:autoSpaceDE/>
        <w:autoSpaceDN/>
        <w:bidi w:val="0"/>
        <w:adjustRightInd/>
        <w:snapToGrid/>
        <w:spacing w:line="500" w:lineRule="exact"/>
        <w:ind w:firstLine="482"/>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八、词语含义</w:t>
      </w:r>
      <w:bookmarkEnd w:id="41"/>
    </w:p>
    <w:p w14:paraId="51DD193F">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本协议书中词语含义与第二部分通用合同条款中赋予的含义相同。</w:t>
      </w:r>
    </w:p>
    <w:p w14:paraId="5500C422">
      <w:pPr>
        <w:pageBreakBefore w:val="0"/>
        <w:widowControl w:val="0"/>
        <w:kinsoku/>
        <w:wordWrap/>
        <w:overflowPunct/>
        <w:topLinePunct w:val="0"/>
        <w:autoSpaceDE/>
        <w:autoSpaceDN/>
        <w:bidi w:val="0"/>
        <w:adjustRightInd/>
        <w:snapToGrid/>
        <w:spacing w:line="500" w:lineRule="exact"/>
        <w:ind w:firstLine="482"/>
        <w:jc w:val="left"/>
        <w:textAlignment w:val="auto"/>
        <w:rPr>
          <w:rFonts w:hint="eastAsia" w:asciiTheme="minorEastAsia" w:hAnsiTheme="minorEastAsia" w:eastAsiaTheme="minorEastAsia" w:cstheme="minorEastAsia"/>
          <w:b/>
          <w:bCs/>
          <w:sz w:val="21"/>
          <w:szCs w:val="21"/>
        </w:rPr>
      </w:pPr>
      <w:bookmarkStart w:id="42" w:name="_Toc351203489"/>
      <w:r>
        <w:rPr>
          <w:rFonts w:hint="eastAsia" w:asciiTheme="minorEastAsia" w:hAnsiTheme="minorEastAsia" w:eastAsiaTheme="minorEastAsia" w:cstheme="minorEastAsia"/>
          <w:b/>
          <w:bCs/>
          <w:sz w:val="21"/>
          <w:szCs w:val="21"/>
        </w:rPr>
        <w:t>九、签订时间</w:t>
      </w:r>
      <w:bookmarkEnd w:id="42"/>
    </w:p>
    <w:p w14:paraId="29140559">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本合同于202</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u w:val="single"/>
        </w:rPr>
        <w:t xml:space="preserve">   月    </w:t>
      </w:r>
      <w:r>
        <w:rPr>
          <w:rFonts w:hint="eastAsia" w:asciiTheme="minorEastAsia" w:hAnsiTheme="minorEastAsia" w:eastAsiaTheme="minorEastAsia" w:cstheme="minorEastAsia"/>
          <w:sz w:val="21"/>
          <w:szCs w:val="21"/>
        </w:rPr>
        <w:t>日签订。</w:t>
      </w:r>
      <w:bookmarkStart w:id="43" w:name="_Toc351203490"/>
    </w:p>
    <w:p w14:paraId="432B5E16">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十、签订地点</w:t>
      </w:r>
      <w:bookmarkEnd w:id="43"/>
    </w:p>
    <w:p w14:paraId="3F30D5D9">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本合同在江苏医药职业学院签订。</w:t>
      </w:r>
      <w:bookmarkStart w:id="44" w:name="_Toc351203491"/>
    </w:p>
    <w:p w14:paraId="4FC9A910">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十一、补充协议</w:t>
      </w:r>
      <w:bookmarkEnd w:id="44"/>
    </w:p>
    <w:p w14:paraId="7678854B">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合同未尽事宜，合同当事人另行签订补充协议，补充协议是合同的组成部分。</w:t>
      </w:r>
      <w:bookmarkStart w:id="45" w:name="_Toc351203492"/>
    </w:p>
    <w:p w14:paraId="6425B058">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十二、合同生效</w:t>
      </w:r>
      <w:bookmarkEnd w:id="45"/>
    </w:p>
    <w:p w14:paraId="7EA98F45">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本合同自发包方和承包方的法定代表人或其委托代理人签字并加盖单位公章后生效。</w:t>
      </w:r>
      <w:bookmarkStart w:id="46" w:name="_Toc351203493"/>
    </w:p>
    <w:p w14:paraId="199E9F94">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十三、合同份数</w:t>
      </w:r>
      <w:bookmarkEnd w:id="46"/>
    </w:p>
    <w:p w14:paraId="57BC577B">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本合同一式</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份，均具有同等法律效力，发包人执</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份，承包人执</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份</w:t>
      </w:r>
      <w:r>
        <w:rPr>
          <w:rFonts w:hint="eastAsia" w:asciiTheme="minorEastAsia" w:hAnsiTheme="minorEastAsia" w:eastAsiaTheme="minorEastAsia" w:cstheme="minorEastAsia"/>
          <w:sz w:val="21"/>
          <w:szCs w:val="21"/>
          <w:lang w:val="zh-CN"/>
        </w:rPr>
        <w:t>。</w:t>
      </w:r>
      <w:bookmarkStart w:id="47" w:name="_Hlk101386310"/>
    </w:p>
    <w:p w14:paraId="0C514F81">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  (公章)                       承包人：  (公章)</w:t>
      </w:r>
    </w:p>
    <w:p w14:paraId="02E21445">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法定代表人：                       法定代表人：             </w:t>
      </w:r>
    </w:p>
    <w:p w14:paraId="301CFB1F">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委托代理人：                       委托代理人：             </w:t>
      </w:r>
    </w:p>
    <w:p w14:paraId="466162AB">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组织机构代码：                   组织机构代码：           </w:t>
      </w:r>
    </w:p>
    <w:p w14:paraId="65288D97">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地  址：                 地  址：        </w:t>
      </w:r>
    </w:p>
    <w:p w14:paraId="1D624E08">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邮政编码：                 邮政编码：   </w:t>
      </w:r>
    </w:p>
    <w:p w14:paraId="0B0F9A97">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电  话：               电  话：     </w:t>
      </w:r>
    </w:p>
    <w:p w14:paraId="43E84F09">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传  真：               传  真：     </w:t>
      </w:r>
    </w:p>
    <w:p w14:paraId="6B779E74">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电子信箱：                             电子信箱：   </w:t>
      </w:r>
    </w:p>
    <w:p w14:paraId="20B56E9F">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开户银行：               开户银行：   </w:t>
      </w:r>
    </w:p>
    <w:p w14:paraId="38F5A3C6">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账  号：                   账  号：     </w:t>
      </w:r>
    </w:p>
    <w:p w14:paraId="539E078E">
      <w:pPr>
        <w:pageBreakBefore w:val="0"/>
        <w:widowControl w:val="0"/>
        <w:kinsoku/>
        <w:wordWrap/>
        <w:overflowPunct/>
        <w:topLinePunct w:val="0"/>
        <w:autoSpaceDE/>
        <w:autoSpaceDN/>
        <w:bidi w:val="0"/>
        <w:adjustRightInd/>
        <w:snapToGrid/>
        <w:spacing w:line="500" w:lineRule="exact"/>
        <w:ind w:firstLine="480"/>
        <w:jc w:val="righ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合同签订日期：</w:t>
      </w:r>
      <w:bookmarkEnd w:id="47"/>
    </w:p>
    <w:p w14:paraId="5E19C6D1">
      <w:pPr>
        <w:pStyle w:val="3"/>
        <w:pageBreakBefore w:val="0"/>
        <w:kinsoku/>
        <w:wordWrap/>
        <w:overflowPunct/>
        <w:topLinePunct w:val="0"/>
        <w:autoSpaceDE/>
        <w:autoSpaceDN/>
        <w:bidi w:val="0"/>
        <w:adjustRightInd/>
        <w:snapToGrid/>
        <w:spacing w:line="500" w:lineRule="exact"/>
        <w:ind w:firstLine="482"/>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br w:type="page" w:clear="all"/>
      </w:r>
      <w:bookmarkStart w:id="48" w:name="_Toc351203494"/>
      <w:r>
        <w:rPr>
          <w:rFonts w:hint="eastAsia" w:asciiTheme="minorEastAsia" w:hAnsiTheme="minorEastAsia" w:eastAsiaTheme="minorEastAsia" w:cstheme="minorEastAsia"/>
          <w:bCs/>
          <w:sz w:val="21"/>
          <w:szCs w:val="21"/>
        </w:rPr>
        <w:t>第二部分 通用合同条款</w:t>
      </w:r>
      <w:bookmarkEnd w:id="48"/>
      <w:bookmarkStart w:id="49" w:name="_Toc337558727"/>
      <w:bookmarkEnd w:id="49"/>
    </w:p>
    <w:p w14:paraId="5C260C07">
      <w:pPr>
        <w:pageBreakBefore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000000"/>
          <w:sz w:val="21"/>
          <w:szCs w:val="21"/>
        </w:rPr>
      </w:pPr>
      <w:bookmarkStart w:id="50" w:name="_Toc351203632"/>
      <w:r>
        <w:rPr>
          <w:rFonts w:hint="eastAsia" w:asciiTheme="minorEastAsia" w:hAnsiTheme="minorEastAsia" w:eastAsiaTheme="minorEastAsia" w:cstheme="minorEastAsia"/>
          <w:color w:val="000000"/>
          <w:sz w:val="21"/>
          <w:szCs w:val="21"/>
        </w:rPr>
        <w:t>详见“《建设工程施工合同（示范文本）》（GF-2017-0201）”通用合同条款</w:t>
      </w:r>
    </w:p>
    <w:p w14:paraId="405B1490">
      <w:pPr>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p>
    <w:p w14:paraId="26D204F7">
      <w:pPr>
        <w:pStyle w:val="3"/>
        <w:pageBreakBefore w:val="0"/>
        <w:kinsoku/>
        <w:wordWrap/>
        <w:overflowPunct/>
        <w:topLinePunct w:val="0"/>
        <w:autoSpaceDE/>
        <w:autoSpaceDN/>
        <w:bidi w:val="0"/>
        <w:adjustRightInd/>
        <w:snapToGrid/>
        <w:spacing w:line="500" w:lineRule="exact"/>
        <w:ind w:firstLine="482"/>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第三部分 专用合同条款</w:t>
      </w:r>
      <w:bookmarkEnd w:id="50"/>
    </w:p>
    <w:p w14:paraId="6AB3C3C8">
      <w:pPr>
        <w:pStyle w:val="12"/>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bookmarkStart w:id="51" w:name="_Toc351203633"/>
      <w:bookmarkStart w:id="52" w:name="_Toc351203652"/>
      <w:r>
        <w:rPr>
          <w:rFonts w:hint="eastAsia" w:asciiTheme="minorEastAsia" w:hAnsiTheme="minorEastAsia" w:eastAsiaTheme="minorEastAsia" w:cstheme="minorEastAsia"/>
          <w:sz w:val="21"/>
          <w:szCs w:val="21"/>
        </w:rPr>
        <w:t>1</w:t>
      </w:r>
      <w:bookmarkStart w:id="53" w:name="_Toc292559361"/>
      <w:bookmarkStart w:id="54" w:name="_Toc297120456"/>
      <w:bookmarkStart w:id="55" w:name="_Toc296503156"/>
      <w:bookmarkStart w:id="56" w:name="_Toc292559866"/>
      <w:bookmarkStart w:id="57" w:name="_Toc296890984"/>
      <w:bookmarkStart w:id="58" w:name="_Toc297048342"/>
      <w:bookmarkStart w:id="59" w:name="_Toc296347155"/>
      <w:bookmarkStart w:id="60" w:name="_Toc296346657"/>
      <w:bookmarkStart w:id="61" w:name="_Toc296891196"/>
      <w:bookmarkStart w:id="62" w:name="_Toc296944495"/>
      <w:r>
        <w:rPr>
          <w:rFonts w:hint="eastAsia" w:asciiTheme="minorEastAsia" w:hAnsiTheme="minorEastAsia" w:eastAsiaTheme="minorEastAsia" w:cstheme="minorEastAsia"/>
          <w:sz w:val="21"/>
          <w:szCs w:val="21"/>
        </w:rPr>
        <w:t>. 一般约定</w:t>
      </w:r>
      <w:bookmarkEnd w:id="51"/>
      <w:bookmarkEnd w:id="53"/>
      <w:bookmarkEnd w:id="54"/>
      <w:bookmarkEnd w:id="55"/>
      <w:bookmarkEnd w:id="56"/>
      <w:bookmarkEnd w:id="57"/>
      <w:bookmarkEnd w:id="58"/>
      <w:bookmarkEnd w:id="59"/>
      <w:bookmarkEnd w:id="60"/>
      <w:bookmarkEnd w:id="61"/>
      <w:bookmarkEnd w:id="62"/>
    </w:p>
    <w:p w14:paraId="4AEEA92A">
      <w:pPr>
        <w:pageBreakBefore w:val="0"/>
        <w:kinsoku/>
        <w:wordWrap/>
        <w:overflowPunct/>
        <w:topLinePunct w:val="0"/>
        <w:autoSpaceDE/>
        <w:autoSpaceDN/>
        <w:bidi w:val="0"/>
        <w:adjustRightInd/>
        <w:snapToGrid/>
        <w:spacing w:after="120"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 词语定义</w:t>
      </w:r>
    </w:p>
    <w:p w14:paraId="6C714868">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1.1.1合同</w:t>
      </w:r>
    </w:p>
    <w:p w14:paraId="4C667F76">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color w:val="000000"/>
          <w:sz w:val="21"/>
          <w:szCs w:val="21"/>
        </w:rPr>
        <w:t>1.1.1.1其他合同文件包括：</w:t>
      </w:r>
      <w:r>
        <w:rPr>
          <w:rFonts w:hint="eastAsia" w:asciiTheme="minorEastAsia" w:hAnsiTheme="minorEastAsia" w:eastAsiaTheme="minorEastAsia" w:cstheme="minorEastAsia"/>
          <w:b/>
          <w:color w:val="000000"/>
          <w:sz w:val="21"/>
          <w:szCs w:val="21"/>
          <w:u w:val="single"/>
        </w:rPr>
        <w:t>中标通知书、招标文件、投标响应文件，以及在履行合同过程中，双方具有相应权限的管理人员书面确认的对合同内容有实质性影响的会议纪要、签证、设计变更等资料 。</w:t>
      </w:r>
    </w:p>
    <w:p w14:paraId="355C9F39">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1.1.2 合同当事人及其他相关方</w:t>
      </w:r>
    </w:p>
    <w:p w14:paraId="40F50478">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1.1.2.1监理人：</w:t>
      </w:r>
    </w:p>
    <w:p w14:paraId="7F0CCD75">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名    称：</w:t>
      </w:r>
      <w:r>
        <w:rPr>
          <w:rFonts w:hint="eastAsia" w:asciiTheme="minorEastAsia" w:hAnsiTheme="minorEastAsia" w:eastAsiaTheme="minorEastAsia" w:cstheme="minorEastAsia"/>
          <w:b/>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30F4424A">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资质类别和等级：</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1923AF68">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联系电话：</w:t>
      </w:r>
      <w:r>
        <w:rPr>
          <w:rFonts w:hint="eastAsia" w:asciiTheme="minorEastAsia" w:hAnsiTheme="minorEastAsia" w:eastAsiaTheme="minorEastAsia" w:cstheme="minorEastAsia"/>
          <w:b/>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69736AB3">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1.1.2.2 设计人：</w:t>
      </w:r>
    </w:p>
    <w:p w14:paraId="6FE01123">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名    称：</w:t>
      </w:r>
      <w:r>
        <w:rPr>
          <w:rFonts w:hint="eastAsia" w:asciiTheme="minorEastAsia" w:hAnsiTheme="minorEastAsia" w:eastAsiaTheme="minorEastAsia" w:cstheme="minorEastAsia"/>
          <w:b/>
          <w:sz w:val="21"/>
          <w:szCs w:val="21"/>
          <w:u w:val="single"/>
        </w:rPr>
        <w:t xml:space="preserve">             </w:t>
      </w:r>
      <w:r>
        <w:rPr>
          <w:rFonts w:hint="eastAsia" w:asciiTheme="minorEastAsia" w:hAnsiTheme="minorEastAsia" w:eastAsiaTheme="minorEastAsia" w:cstheme="minorEastAsia"/>
          <w:sz w:val="21"/>
          <w:szCs w:val="21"/>
        </w:rPr>
        <w:t>；</w:t>
      </w:r>
    </w:p>
    <w:p w14:paraId="7FF7C9A2">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资质类别和等级：</w:t>
      </w:r>
      <w:r>
        <w:rPr>
          <w:rFonts w:hint="eastAsia" w:asciiTheme="minorEastAsia" w:hAnsiTheme="minorEastAsia" w:eastAsiaTheme="minorEastAsia" w:cstheme="minorEastAsia"/>
          <w:b/>
          <w:sz w:val="21"/>
          <w:szCs w:val="21"/>
          <w:u w:val="single"/>
        </w:rPr>
        <w:t xml:space="preserve">           </w:t>
      </w:r>
      <w:r>
        <w:rPr>
          <w:rFonts w:hint="eastAsia" w:asciiTheme="minorEastAsia" w:hAnsiTheme="minorEastAsia" w:eastAsiaTheme="minorEastAsia" w:cstheme="minorEastAsia"/>
          <w:sz w:val="21"/>
          <w:szCs w:val="21"/>
        </w:rPr>
        <w:t>；</w:t>
      </w:r>
    </w:p>
    <w:p w14:paraId="756ECAFB">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32ECB575">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1.2法律 </w:t>
      </w:r>
    </w:p>
    <w:p w14:paraId="02FD48B5">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适用于合同的其他规范性文件：</w:t>
      </w:r>
      <w:r>
        <w:rPr>
          <w:rFonts w:hint="eastAsia" w:asciiTheme="minorEastAsia" w:hAnsiTheme="minorEastAsia" w:eastAsiaTheme="minorEastAsia" w:cstheme="minorEastAsia"/>
          <w:color w:val="000000"/>
          <w:sz w:val="21"/>
          <w:szCs w:val="21"/>
          <w:u w:val="single"/>
        </w:rPr>
        <w:t xml:space="preserve">《中华人民共和国建筑法》《中华人民共和国安全生产法》《中华人民共和国消防法》《中华人民共和国政府采购法》《中华人民共和国政府采购法实施条例》 等 </w:t>
      </w:r>
      <w:r>
        <w:rPr>
          <w:rFonts w:hint="eastAsia" w:asciiTheme="minorEastAsia" w:hAnsiTheme="minorEastAsia" w:eastAsiaTheme="minorEastAsia" w:cstheme="minorEastAsia"/>
          <w:color w:val="000000"/>
          <w:sz w:val="21"/>
          <w:szCs w:val="21"/>
        </w:rPr>
        <w:t xml:space="preserve">； </w:t>
      </w:r>
    </w:p>
    <w:p w14:paraId="413438FE">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 标准和规范</w:t>
      </w:r>
    </w:p>
    <w:p w14:paraId="4F7FFF0F">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1.3.1适用于工程的标准规范包括：</w:t>
      </w:r>
      <w:r>
        <w:rPr>
          <w:rFonts w:hint="eastAsia" w:asciiTheme="minorEastAsia" w:hAnsiTheme="minorEastAsia" w:eastAsiaTheme="minorEastAsia" w:cstheme="minorEastAsia"/>
          <w:color w:val="000000"/>
          <w:sz w:val="21"/>
          <w:szCs w:val="21"/>
          <w:u w:val="single"/>
        </w:rPr>
        <w:t></w:t>
      </w:r>
      <w:r>
        <w:rPr>
          <w:rFonts w:hint="eastAsia" w:asciiTheme="minorEastAsia" w:hAnsiTheme="minorEastAsia" w:eastAsiaTheme="minorEastAsia" w:cstheme="minorEastAsia"/>
          <w:b/>
          <w:color w:val="000000"/>
          <w:sz w:val="21"/>
          <w:szCs w:val="21"/>
          <w:u w:val="single"/>
        </w:rPr>
        <w:t xml:space="preserve">      /       </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 xml:space="preserve">； </w:t>
      </w:r>
    </w:p>
    <w:p w14:paraId="2472165E">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1.3.2发包人对工程的技术标准和功能要求的特殊要求：</w:t>
      </w:r>
      <w:r>
        <w:rPr>
          <w:rFonts w:hint="eastAsia" w:asciiTheme="minorEastAsia" w:hAnsiTheme="minorEastAsia" w:eastAsiaTheme="minorEastAsia" w:cstheme="minorEastAsia"/>
          <w:color w:val="000000"/>
          <w:sz w:val="21"/>
          <w:szCs w:val="21"/>
          <w:u w:val="single"/>
        </w:rPr>
        <w:t xml:space="preserve">     /       </w:t>
      </w:r>
    </w:p>
    <w:p w14:paraId="28894208">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b/>
          <w:color w:val="000000"/>
          <w:sz w:val="21"/>
          <w:szCs w:val="21"/>
          <w:u w:val="single"/>
        </w:rPr>
      </w:pPr>
      <w:r>
        <w:rPr>
          <w:rFonts w:hint="eastAsia" w:asciiTheme="minorEastAsia" w:hAnsiTheme="minorEastAsia" w:eastAsiaTheme="minorEastAsia" w:cstheme="minorEastAsia"/>
          <w:color w:val="000000"/>
          <w:sz w:val="21"/>
          <w:szCs w:val="21"/>
        </w:rPr>
        <w:t>合同文件组成及优先顺序为：</w:t>
      </w:r>
      <w:r>
        <w:rPr>
          <w:rFonts w:hint="eastAsia" w:asciiTheme="minorEastAsia" w:hAnsiTheme="minorEastAsia" w:eastAsiaTheme="minorEastAsia" w:cstheme="minorEastAsia"/>
          <w:color w:val="000000"/>
          <w:sz w:val="21"/>
          <w:szCs w:val="21"/>
          <w:u w:val="single"/>
        </w:rPr>
        <w:t>（</w:t>
      </w:r>
      <w:r>
        <w:rPr>
          <w:rFonts w:hint="eastAsia" w:asciiTheme="minorEastAsia" w:hAnsiTheme="minorEastAsia" w:eastAsiaTheme="minorEastAsia" w:cstheme="minorEastAsia"/>
          <w:b/>
          <w:color w:val="000000"/>
          <w:sz w:val="21"/>
          <w:szCs w:val="21"/>
          <w:u w:val="single"/>
        </w:rPr>
        <w:t>1）合同协议书；（2）中标通知书；（3）招标文件与答疑纪要（4）投标函及其附录；（5）专用合同条款及其附件；（6）通用合同条款；（7）技术标准和要求；（8）图纸及图纸答疑；（9）已标价工程量清单或预算书；（10）其他合同文件。</w:t>
      </w:r>
    </w:p>
    <w:p w14:paraId="5D7484C6">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1.5 图纸和承包人文件</w:t>
      </w:r>
      <w:r>
        <w:rPr>
          <w:rFonts w:hint="eastAsia" w:asciiTheme="minorEastAsia" w:hAnsiTheme="minorEastAsia" w:eastAsiaTheme="minorEastAsia" w:cstheme="minorEastAsia"/>
          <w:color w:val="000000"/>
          <w:sz w:val="21"/>
          <w:szCs w:val="21"/>
        </w:rPr>
        <w:tab/>
      </w:r>
    </w:p>
    <w:p w14:paraId="5EEAB0D0">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1.5.1 图纸的提供</w:t>
      </w:r>
    </w:p>
    <w:p w14:paraId="6E3705BA">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发包人向承包人提供图纸的期限：</w:t>
      </w:r>
      <w:r>
        <w:rPr>
          <w:rFonts w:hint="eastAsia" w:asciiTheme="minorEastAsia" w:hAnsiTheme="minorEastAsia" w:eastAsiaTheme="minorEastAsia" w:cstheme="minorEastAsia"/>
          <w:sz w:val="21"/>
          <w:szCs w:val="21"/>
          <w:u w:val="single"/>
        </w:rPr>
        <w:t>按发包人要求</w:t>
      </w:r>
      <w:r>
        <w:rPr>
          <w:rFonts w:hint="eastAsia" w:asciiTheme="minorEastAsia" w:hAnsiTheme="minorEastAsia" w:eastAsiaTheme="minorEastAsia" w:cstheme="minorEastAsia"/>
          <w:sz w:val="21"/>
          <w:szCs w:val="21"/>
        </w:rPr>
        <w:t>；</w:t>
      </w:r>
    </w:p>
    <w:p w14:paraId="2C3576CA">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发包人向承包人提供图纸的数量：</w:t>
      </w:r>
      <w:r>
        <w:rPr>
          <w:rFonts w:hint="eastAsia" w:asciiTheme="minorEastAsia" w:hAnsiTheme="minorEastAsia" w:eastAsiaTheme="minorEastAsia" w:cstheme="minorEastAsia"/>
          <w:b/>
          <w:bCs/>
          <w:sz w:val="21"/>
          <w:szCs w:val="21"/>
          <w:u w:val="single"/>
        </w:rPr>
        <w:t>3份</w:t>
      </w:r>
      <w:r>
        <w:rPr>
          <w:rFonts w:hint="eastAsia" w:asciiTheme="minorEastAsia" w:hAnsiTheme="minorEastAsia" w:eastAsiaTheme="minorEastAsia" w:cstheme="minorEastAsia"/>
          <w:sz w:val="21"/>
          <w:szCs w:val="21"/>
        </w:rPr>
        <w:t>；</w:t>
      </w:r>
    </w:p>
    <w:p w14:paraId="531B73C1">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发包人向承包人提供图纸的内容：</w:t>
      </w:r>
      <w:r>
        <w:rPr>
          <w:rFonts w:hint="eastAsia" w:asciiTheme="minorEastAsia" w:hAnsiTheme="minorEastAsia" w:eastAsiaTheme="minorEastAsia" w:cstheme="minorEastAsia"/>
          <w:b/>
          <w:color w:val="000000"/>
          <w:sz w:val="21"/>
          <w:szCs w:val="21"/>
          <w:u w:val="single"/>
        </w:rPr>
        <w:t>全部施工图纸</w:t>
      </w:r>
      <w:r>
        <w:rPr>
          <w:rFonts w:hint="eastAsia" w:asciiTheme="minorEastAsia" w:hAnsiTheme="minorEastAsia" w:eastAsiaTheme="minorEastAsia" w:cstheme="minorEastAsia"/>
          <w:color w:val="000000"/>
          <w:sz w:val="21"/>
          <w:szCs w:val="21"/>
        </w:rPr>
        <w:t>。</w:t>
      </w:r>
    </w:p>
    <w:p w14:paraId="5C4B4013">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1.5.2 承包人文件</w:t>
      </w:r>
    </w:p>
    <w:p w14:paraId="1A65E62B">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承包人向发包人提供的文件，包括：</w:t>
      </w:r>
      <w:r>
        <w:rPr>
          <w:rFonts w:hint="eastAsia" w:asciiTheme="minorEastAsia" w:hAnsiTheme="minorEastAsia" w:eastAsiaTheme="minorEastAsia" w:cstheme="minorEastAsia"/>
          <w:b/>
          <w:sz w:val="21"/>
          <w:szCs w:val="21"/>
          <w:u w:val="single"/>
        </w:rPr>
        <w:t>实施性施工组织设计及方案、进度计划、安全防护方案等</w:t>
      </w:r>
      <w:r>
        <w:rPr>
          <w:rFonts w:hint="eastAsia" w:asciiTheme="minorEastAsia" w:hAnsiTheme="minorEastAsia" w:eastAsiaTheme="minorEastAsia" w:cstheme="minorEastAsia"/>
          <w:sz w:val="21"/>
          <w:szCs w:val="21"/>
        </w:rPr>
        <w:t>；</w:t>
      </w:r>
    </w:p>
    <w:p w14:paraId="3F5F3932">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u w:val="single"/>
        </w:rPr>
        <w:t>与工程实施相关的开工报审表、施工组织设计、进度计划、质量安全措施等各类资料，并符合档案管理要求；</w:t>
      </w:r>
    </w:p>
    <w:p w14:paraId="6A731090">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承包人提供的文件的期限为：</w:t>
      </w:r>
      <w:r>
        <w:rPr>
          <w:rFonts w:hint="eastAsia" w:asciiTheme="minorEastAsia" w:hAnsiTheme="minorEastAsia" w:eastAsiaTheme="minorEastAsia" w:cstheme="minorEastAsia"/>
          <w:color w:val="000000"/>
          <w:sz w:val="21"/>
          <w:szCs w:val="21"/>
          <w:u w:val="single"/>
        </w:rPr>
        <w:t>按发包人要求</w:t>
      </w:r>
      <w:r>
        <w:rPr>
          <w:rFonts w:hint="eastAsia" w:asciiTheme="minorEastAsia" w:hAnsiTheme="minorEastAsia" w:eastAsiaTheme="minorEastAsia" w:cstheme="minorEastAsia"/>
          <w:color w:val="000000"/>
          <w:sz w:val="21"/>
          <w:szCs w:val="21"/>
        </w:rPr>
        <w:t>；</w:t>
      </w:r>
    </w:p>
    <w:p w14:paraId="2D3532AB">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承包人提供的文件的数量为：</w:t>
      </w:r>
      <w:r>
        <w:rPr>
          <w:rFonts w:hint="eastAsia" w:asciiTheme="minorEastAsia" w:hAnsiTheme="minorEastAsia" w:eastAsiaTheme="minorEastAsia" w:cstheme="minorEastAsia"/>
          <w:b/>
          <w:color w:val="000000"/>
          <w:sz w:val="21"/>
          <w:szCs w:val="21"/>
          <w:u w:val="single"/>
        </w:rPr>
        <w:t>3份</w:t>
      </w:r>
      <w:r>
        <w:rPr>
          <w:rFonts w:hint="eastAsia" w:asciiTheme="minorEastAsia" w:hAnsiTheme="minorEastAsia" w:eastAsiaTheme="minorEastAsia" w:cstheme="minorEastAsia"/>
          <w:color w:val="000000"/>
          <w:sz w:val="21"/>
          <w:szCs w:val="21"/>
        </w:rPr>
        <w:t>；</w:t>
      </w:r>
    </w:p>
    <w:p w14:paraId="4DB4C1ED">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承包人提供的文件的形式为：</w:t>
      </w:r>
      <w:r>
        <w:rPr>
          <w:rFonts w:hint="eastAsia" w:asciiTheme="minorEastAsia" w:hAnsiTheme="minorEastAsia" w:eastAsiaTheme="minorEastAsia" w:cstheme="minorEastAsia"/>
          <w:b/>
          <w:color w:val="000000"/>
          <w:sz w:val="21"/>
          <w:szCs w:val="21"/>
          <w:u w:val="single"/>
        </w:rPr>
        <w:t>书面文件</w:t>
      </w:r>
      <w:r>
        <w:rPr>
          <w:rFonts w:hint="eastAsia" w:asciiTheme="minorEastAsia" w:hAnsiTheme="minorEastAsia" w:eastAsiaTheme="minorEastAsia" w:cstheme="minorEastAsia"/>
          <w:color w:val="000000"/>
          <w:sz w:val="21"/>
          <w:szCs w:val="21"/>
        </w:rPr>
        <w:t>；</w:t>
      </w:r>
    </w:p>
    <w:p w14:paraId="57F80CAE">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1.5.3 现场图纸准备</w:t>
      </w:r>
    </w:p>
    <w:p w14:paraId="58E9A452">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b/>
          <w:color w:val="000000"/>
          <w:sz w:val="21"/>
          <w:szCs w:val="21"/>
          <w:u w:val="single"/>
        </w:rPr>
      </w:pPr>
      <w:r>
        <w:rPr>
          <w:rFonts w:hint="eastAsia" w:asciiTheme="minorEastAsia" w:hAnsiTheme="minorEastAsia" w:eastAsiaTheme="minorEastAsia" w:cstheme="minorEastAsia"/>
          <w:color w:val="000000"/>
          <w:sz w:val="21"/>
          <w:szCs w:val="21"/>
        </w:rPr>
        <w:t>关于现场图纸准备的约定：</w:t>
      </w:r>
      <w:r>
        <w:rPr>
          <w:rFonts w:hint="eastAsia" w:asciiTheme="minorEastAsia" w:hAnsiTheme="minorEastAsia" w:eastAsiaTheme="minorEastAsia" w:cstheme="minorEastAsia"/>
          <w:b/>
          <w:color w:val="000000"/>
          <w:sz w:val="21"/>
          <w:szCs w:val="21"/>
          <w:u w:val="single"/>
        </w:rPr>
        <w:t>承包人应在施工现场另外保存一套完整的图纸和承包人文件，供发包人、监理人及有关人员进行工程检查时使用。</w:t>
      </w:r>
    </w:p>
    <w:p w14:paraId="343E53DB">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 知识产权</w:t>
      </w:r>
    </w:p>
    <w:p w14:paraId="5615F0DC">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1.6.1关于发包人提供给承包人的图纸、发包人为实施工程自行编制或委托编制的技术规范以及反映发包人关于合同要求或其他类似性质的文件的著作权的归属：</w:t>
      </w:r>
      <w:r>
        <w:rPr>
          <w:rFonts w:hint="eastAsia" w:asciiTheme="minorEastAsia" w:hAnsiTheme="minorEastAsia" w:eastAsiaTheme="minorEastAsia" w:cstheme="minorEastAsia"/>
          <w:b/>
          <w:color w:val="000000"/>
          <w:sz w:val="21"/>
          <w:szCs w:val="21"/>
          <w:u w:val="single"/>
        </w:rPr>
        <w:t>属于发包人</w:t>
      </w:r>
      <w:r>
        <w:rPr>
          <w:rFonts w:hint="eastAsia" w:asciiTheme="minorEastAsia" w:hAnsiTheme="minorEastAsia" w:eastAsiaTheme="minorEastAsia" w:cstheme="minorEastAsia"/>
          <w:color w:val="000000"/>
          <w:sz w:val="21"/>
          <w:szCs w:val="21"/>
        </w:rPr>
        <w:t>。</w:t>
      </w:r>
    </w:p>
    <w:p w14:paraId="59D46650">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1.6.2 关于承包人为实施工程所编制文件的著作权的归属：</w:t>
      </w:r>
      <w:r>
        <w:rPr>
          <w:rFonts w:hint="eastAsia" w:asciiTheme="minorEastAsia" w:hAnsiTheme="minorEastAsia" w:eastAsiaTheme="minorEastAsia" w:cstheme="minorEastAsia"/>
          <w:b/>
          <w:color w:val="000000"/>
          <w:sz w:val="21"/>
          <w:szCs w:val="21"/>
          <w:u w:val="single"/>
        </w:rPr>
        <w:t>除署名权以外的著作权属于发包人</w:t>
      </w:r>
      <w:r>
        <w:rPr>
          <w:rFonts w:hint="eastAsia" w:asciiTheme="minorEastAsia" w:hAnsiTheme="minorEastAsia" w:eastAsiaTheme="minorEastAsia" w:cstheme="minorEastAsia"/>
          <w:color w:val="000000"/>
          <w:sz w:val="21"/>
          <w:szCs w:val="21"/>
        </w:rPr>
        <w:t>。</w:t>
      </w:r>
    </w:p>
    <w:p w14:paraId="165A5C30">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1.6.3 承包人在施工过程中所采用的专利、专有技术、技术秘密的使用费的承担方式：</w:t>
      </w:r>
      <w:r>
        <w:rPr>
          <w:rFonts w:hint="eastAsia" w:asciiTheme="minorEastAsia" w:hAnsiTheme="minorEastAsia" w:eastAsiaTheme="minorEastAsia" w:cstheme="minorEastAsia"/>
          <w:b/>
          <w:color w:val="000000"/>
          <w:sz w:val="21"/>
          <w:szCs w:val="21"/>
          <w:u w:val="single"/>
        </w:rPr>
        <w:t>按通用条款执行</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78F4EBBB">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b/>
          <w:sz w:val="21"/>
          <w:szCs w:val="21"/>
        </w:rPr>
      </w:pPr>
      <w:bookmarkStart w:id="63" w:name="_Toc351203634"/>
      <w:r>
        <w:rPr>
          <w:rFonts w:hint="eastAsia" w:asciiTheme="minorEastAsia" w:hAnsiTheme="minorEastAsia" w:eastAsiaTheme="minorEastAsia" w:cstheme="minorEastAsia"/>
          <w:sz w:val="21"/>
          <w:szCs w:val="21"/>
        </w:rPr>
        <w:t>1.7工程量清单错误的修正</w:t>
      </w:r>
    </w:p>
    <w:p w14:paraId="5F38DCCD">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出现工程量清单错误时，是否调整合同价格：</w:t>
      </w:r>
      <w:r>
        <w:rPr>
          <w:rFonts w:hint="eastAsia" w:asciiTheme="minorEastAsia" w:hAnsiTheme="minorEastAsia" w:eastAsiaTheme="minorEastAsia" w:cstheme="minorEastAsia"/>
          <w:sz w:val="21"/>
          <w:szCs w:val="21"/>
          <w:u w:val="single"/>
        </w:rPr>
        <w:t>根据情况双方协商确定</w:t>
      </w:r>
      <w:r>
        <w:rPr>
          <w:rFonts w:hint="eastAsia" w:asciiTheme="minorEastAsia" w:hAnsiTheme="minorEastAsia" w:eastAsiaTheme="minorEastAsia" w:cstheme="minorEastAsia"/>
          <w:sz w:val="21"/>
          <w:szCs w:val="21"/>
        </w:rPr>
        <w:t>。</w:t>
      </w:r>
    </w:p>
    <w:p w14:paraId="2E24769F">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允许调整合同价格的工程量偏差范围：增加工程量不得超过原工程量清单工程量10%，且不得超过现合同价的10%。最终价格以审计为准。</w:t>
      </w:r>
    </w:p>
    <w:p w14:paraId="2343CAD4">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2</w:t>
      </w:r>
      <w:bookmarkStart w:id="64" w:name="_Toc296891197"/>
      <w:bookmarkStart w:id="65" w:name="_Toc296346658"/>
      <w:bookmarkStart w:id="66" w:name="_Toc296503157"/>
      <w:bookmarkStart w:id="67" w:name="_Toc296890985"/>
      <w:bookmarkStart w:id="68" w:name="_Toc296347156"/>
      <w:bookmarkStart w:id="69" w:name="_Toc297120457"/>
      <w:bookmarkStart w:id="70" w:name="_Toc292559867"/>
      <w:bookmarkStart w:id="71" w:name="_Toc292559362"/>
      <w:bookmarkStart w:id="72" w:name="_Toc296944496"/>
      <w:bookmarkStart w:id="73" w:name="_Toc297048343"/>
      <w:r>
        <w:rPr>
          <w:rFonts w:hint="eastAsia" w:asciiTheme="minorEastAsia" w:hAnsiTheme="minorEastAsia" w:eastAsiaTheme="minorEastAsia" w:cstheme="minorEastAsia"/>
          <w:sz w:val="21"/>
          <w:szCs w:val="21"/>
        </w:rPr>
        <w:t>. 发包人</w:t>
      </w:r>
      <w:bookmarkEnd w:id="63"/>
      <w:bookmarkEnd w:id="64"/>
      <w:bookmarkEnd w:id="65"/>
      <w:bookmarkEnd w:id="66"/>
      <w:bookmarkEnd w:id="67"/>
      <w:bookmarkEnd w:id="68"/>
      <w:bookmarkEnd w:id="69"/>
      <w:bookmarkEnd w:id="70"/>
      <w:bookmarkEnd w:id="71"/>
      <w:bookmarkEnd w:id="72"/>
      <w:bookmarkEnd w:id="73"/>
    </w:p>
    <w:p w14:paraId="15AB09D5">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 发包人代表</w:t>
      </w:r>
    </w:p>
    <w:p w14:paraId="46B36365">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发包人代表：</w:t>
      </w:r>
    </w:p>
    <w:p w14:paraId="72BE2010">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姓    名：</w:t>
      </w:r>
      <w:r>
        <w:rPr>
          <w:rFonts w:hint="eastAsia" w:asciiTheme="minorEastAsia" w:hAnsiTheme="minorEastAsia" w:eastAsiaTheme="minorEastAsia" w:cstheme="minorEastAsia"/>
          <w:b/>
          <w:sz w:val="21"/>
          <w:szCs w:val="21"/>
          <w:u w:val="single"/>
        </w:rPr>
        <w:t xml:space="preserve">       </w:t>
      </w:r>
      <w:r>
        <w:rPr>
          <w:rFonts w:hint="eastAsia" w:asciiTheme="minorEastAsia" w:hAnsiTheme="minorEastAsia" w:eastAsiaTheme="minorEastAsia" w:cstheme="minorEastAsia"/>
          <w:color w:val="000000"/>
          <w:sz w:val="21"/>
          <w:szCs w:val="21"/>
        </w:rPr>
        <w:t>；</w:t>
      </w:r>
    </w:p>
    <w:p w14:paraId="527862FD">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联系电话：</w:t>
      </w:r>
      <w:r>
        <w:rPr>
          <w:rFonts w:hint="eastAsia" w:asciiTheme="minorEastAsia" w:hAnsiTheme="minorEastAsia" w:eastAsiaTheme="minorEastAsia" w:cstheme="minorEastAsia"/>
          <w:b/>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306C2699">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b/>
          <w:sz w:val="21"/>
          <w:szCs w:val="21"/>
          <w:u w:val="single"/>
        </w:rPr>
      </w:pPr>
      <w:r>
        <w:rPr>
          <w:rFonts w:hint="eastAsia" w:asciiTheme="minorEastAsia" w:hAnsiTheme="minorEastAsia" w:eastAsiaTheme="minorEastAsia" w:cstheme="minorEastAsia"/>
          <w:color w:val="000000"/>
          <w:sz w:val="21"/>
          <w:szCs w:val="21"/>
        </w:rPr>
        <w:t>发包人对发包人代表的授权范围如下：</w:t>
      </w:r>
      <w:r>
        <w:rPr>
          <w:rFonts w:hint="eastAsia" w:asciiTheme="minorEastAsia" w:hAnsiTheme="minorEastAsia" w:eastAsiaTheme="minorEastAsia" w:cstheme="minorEastAsia"/>
          <w:b/>
          <w:sz w:val="21"/>
          <w:szCs w:val="21"/>
          <w:u w:val="single"/>
        </w:rPr>
        <w:t>施工过程中协调工作，监督工程质量、进度和安全及与本工程建设有关的事宜。</w:t>
      </w:r>
    </w:p>
    <w:p w14:paraId="200D1835">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 施工现场、施工条件和基础资料的提供</w:t>
      </w:r>
    </w:p>
    <w:p w14:paraId="0841581F">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2.2.1 提供施工现场</w:t>
      </w:r>
    </w:p>
    <w:p w14:paraId="0540EB54">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关于发包人移交施工现场的期限要求：</w:t>
      </w:r>
      <w:r>
        <w:rPr>
          <w:rFonts w:hint="eastAsia" w:asciiTheme="minorEastAsia" w:hAnsiTheme="minorEastAsia" w:eastAsiaTheme="minorEastAsia" w:cstheme="minorEastAsia"/>
          <w:b/>
          <w:color w:val="000000"/>
          <w:sz w:val="21"/>
          <w:szCs w:val="21"/>
          <w:u w:val="single"/>
        </w:rPr>
        <w:t>开工前7天</w:t>
      </w:r>
      <w:r>
        <w:rPr>
          <w:rFonts w:hint="eastAsia" w:asciiTheme="minorEastAsia" w:hAnsiTheme="minorEastAsia" w:eastAsiaTheme="minorEastAsia" w:cstheme="minorEastAsia"/>
          <w:color w:val="000000"/>
          <w:sz w:val="21"/>
          <w:szCs w:val="21"/>
        </w:rPr>
        <w:t>。</w:t>
      </w:r>
    </w:p>
    <w:p w14:paraId="7D6AC3A2">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2.2.2 提供施工条件</w:t>
      </w:r>
    </w:p>
    <w:p w14:paraId="2687BDBC">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color w:val="000000"/>
          <w:sz w:val="21"/>
          <w:szCs w:val="21"/>
        </w:rPr>
        <w:t>关于发包人应负责提供施工所需要的条件，包括：</w:t>
      </w:r>
      <w:r>
        <w:rPr>
          <w:rFonts w:hint="eastAsia" w:asciiTheme="minorEastAsia" w:hAnsiTheme="minorEastAsia" w:eastAsiaTheme="minorEastAsia" w:cstheme="minorEastAsia"/>
          <w:sz w:val="21"/>
          <w:szCs w:val="21"/>
        </w:rPr>
        <w:t>施工所需的水、电、电讯线路、道路均已提供，相关费用由承包人承担</w:t>
      </w:r>
      <w:r>
        <w:rPr>
          <w:rFonts w:hint="eastAsia" w:asciiTheme="minorEastAsia" w:hAnsiTheme="minorEastAsia" w:eastAsiaTheme="minorEastAsia" w:cstheme="minorEastAsia"/>
          <w:b/>
          <w:color w:val="000000"/>
          <w:sz w:val="21"/>
          <w:szCs w:val="21"/>
        </w:rPr>
        <w:t>。</w:t>
      </w:r>
    </w:p>
    <w:p w14:paraId="71F55E3E">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b/>
          <w:sz w:val="21"/>
          <w:szCs w:val="21"/>
        </w:rPr>
      </w:pPr>
      <w:bookmarkStart w:id="74" w:name="_Toc351203635"/>
      <w:r>
        <w:rPr>
          <w:rFonts w:hint="eastAsia" w:asciiTheme="minorEastAsia" w:hAnsiTheme="minorEastAsia" w:eastAsiaTheme="minorEastAsia" w:cstheme="minorEastAsia"/>
          <w:sz w:val="21"/>
          <w:szCs w:val="21"/>
        </w:rPr>
        <w:t>3</w:t>
      </w:r>
      <w:bookmarkStart w:id="75" w:name="_Toc292559868"/>
      <w:bookmarkStart w:id="76" w:name="_Toc297048344"/>
      <w:bookmarkStart w:id="77" w:name="_Toc296346659"/>
      <w:bookmarkStart w:id="78" w:name="_Toc297120458"/>
      <w:bookmarkStart w:id="79" w:name="_Toc296347157"/>
      <w:bookmarkStart w:id="80" w:name="_Toc296944497"/>
      <w:bookmarkStart w:id="81" w:name="_Toc296890986"/>
      <w:bookmarkStart w:id="82" w:name="_Toc296891198"/>
      <w:bookmarkStart w:id="83" w:name="_Toc296503158"/>
      <w:bookmarkStart w:id="84" w:name="_Toc292559363"/>
      <w:r>
        <w:rPr>
          <w:rFonts w:hint="eastAsia" w:asciiTheme="minorEastAsia" w:hAnsiTheme="minorEastAsia" w:eastAsiaTheme="minorEastAsia" w:cstheme="minorEastAsia"/>
          <w:sz w:val="21"/>
          <w:szCs w:val="21"/>
        </w:rPr>
        <w:t>. 承包人</w:t>
      </w:r>
      <w:bookmarkEnd w:id="74"/>
      <w:bookmarkEnd w:id="75"/>
      <w:bookmarkEnd w:id="76"/>
      <w:bookmarkEnd w:id="77"/>
      <w:bookmarkEnd w:id="78"/>
      <w:bookmarkEnd w:id="79"/>
      <w:bookmarkEnd w:id="80"/>
      <w:bookmarkEnd w:id="81"/>
      <w:bookmarkEnd w:id="82"/>
      <w:bookmarkEnd w:id="83"/>
      <w:bookmarkEnd w:id="84"/>
    </w:p>
    <w:p w14:paraId="17EBC75C">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 承包人的一般义务:</w:t>
      </w:r>
      <w:r>
        <w:rPr>
          <w:rFonts w:hint="eastAsia" w:asciiTheme="minorEastAsia" w:hAnsiTheme="minorEastAsia" w:eastAsiaTheme="minorEastAsia" w:cstheme="minorEastAsia"/>
          <w:b/>
          <w:sz w:val="21"/>
          <w:szCs w:val="21"/>
          <w:u w:val="single"/>
        </w:rPr>
        <w:t>按通用条款执行</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354BFDA9">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承包人提交的竣工资料的内容：</w:t>
      </w:r>
      <w:r>
        <w:rPr>
          <w:rFonts w:hint="eastAsia" w:asciiTheme="minorEastAsia" w:hAnsiTheme="minorEastAsia" w:eastAsiaTheme="minorEastAsia" w:cstheme="minorEastAsia"/>
          <w:sz w:val="21"/>
          <w:szCs w:val="21"/>
        </w:rPr>
        <w:t>提供符合要求的竣工图及竣工资料</w:t>
      </w:r>
    </w:p>
    <w:p w14:paraId="28890BFE">
      <w:pPr>
        <w:pageBreakBefore w:val="0"/>
        <w:kinsoku/>
        <w:wordWrap/>
        <w:overflowPunct/>
        <w:topLinePunct w:val="0"/>
        <w:autoSpaceDE/>
        <w:autoSpaceDN/>
        <w:bidi w:val="0"/>
        <w:adjustRightInd/>
        <w:snapToGrid/>
        <w:spacing w:line="500" w:lineRule="exact"/>
        <w:ind w:firstLine="482"/>
        <w:jc w:val="left"/>
        <w:textAlignment w:val="auto"/>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b/>
          <w:color w:val="000000"/>
          <w:sz w:val="21"/>
          <w:szCs w:val="21"/>
          <w:u w:val="single"/>
        </w:rPr>
        <w:t>书面正式验收申请并提供竣工图纸、文字资料和工程照片</w:t>
      </w:r>
      <w:r>
        <w:rPr>
          <w:rFonts w:hint="eastAsia" w:asciiTheme="minorEastAsia" w:hAnsiTheme="minorEastAsia" w:eastAsiaTheme="minorEastAsia" w:cstheme="minorEastAsia"/>
          <w:color w:val="000000"/>
          <w:sz w:val="21"/>
          <w:szCs w:val="21"/>
        </w:rPr>
        <w:t>。</w:t>
      </w:r>
    </w:p>
    <w:p w14:paraId="3EC195AD">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承包人需要提交的竣工资料套数：</w:t>
      </w:r>
      <w:r>
        <w:rPr>
          <w:rFonts w:hint="eastAsia" w:asciiTheme="minorEastAsia" w:hAnsiTheme="minorEastAsia" w:eastAsiaTheme="minorEastAsia" w:cstheme="minorEastAsia"/>
          <w:b/>
          <w:sz w:val="21"/>
          <w:szCs w:val="21"/>
          <w:u w:val="single"/>
        </w:rPr>
        <w:t>3套</w:t>
      </w:r>
      <w:r>
        <w:rPr>
          <w:rFonts w:hint="eastAsia" w:asciiTheme="minorEastAsia" w:hAnsiTheme="minorEastAsia" w:eastAsiaTheme="minorEastAsia" w:cstheme="minorEastAsia"/>
          <w:color w:val="000000"/>
          <w:sz w:val="21"/>
          <w:szCs w:val="21"/>
        </w:rPr>
        <w:t>。</w:t>
      </w:r>
    </w:p>
    <w:p w14:paraId="5D88B6AC">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承包人提交的竣工资料的费用承担：</w:t>
      </w:r>
      <w:r>
        <w:rPr>
          <w:rFonts w:hint="eastAsia" w:asciiTheme="minorEastAsia" w:hAnsiTheme="minorEastAsia" w:eastAsiaTheme="minorEastAsia" w:cstheme="minorEastAsia"/>
          <w:b/>
          <w:color w:val="000000"/>
          <w:sz w:val="21"/>
          <w:szCs w:val="21"/>
          <w:u w:val="single"/>
        </w:rPr>
        <w:t>承包人承担</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4BFAC71F">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承包人提交的竣工资料移交时间：</w:t>
      </w:r>
      <w:r>
        <w:rPr>
          <w:rFonts w:hint="eastAsia" w:asciiTheme="minorEastAsia" w:hAnsiTheme="minorEastAsia" w:eastAsiaTheme="minorEastAsia" w:cstheme="minorEastAsia"/>
          <w:b/>
          <w:sz w:val="21"/>
          <w:szCs w:val="21"/>
          <w:u w:val="single"/>
        </w:rPr>
        <w:t>本工程验收前7日内</w:t>
      </w:r>
      <w:r>
        <w:rPr>
          <w:rFonts w:hint="eastAsia" w:asciiTheme="minorEastAsia" w:hAnsiTheme="minorEastAsia" w:eastAsiaTheme="minorEastAsia" w:cstheme="minorEastAsia"/>
          <w:color w:val="000000"/>
          <w:sz w:val="21"/>
          <w:szCs w:val="21"/>
        </w:rPr>
        <w:t>。</w:t>
      </w:r>
    </w:p>
    <w:p w14:paraId="2413DE9F">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承包人提交的竣工资料形式要求：</w:t>
      </w:r>
      <w:r>
        <w:rPr>
          <w:rFonts w:hint="eastAsia" w:asciiTheme="minorEastAsia" w:hAnsiTheme="minorEastAsia" w:eastAsiaTheme="minorEastAsia" w:cstheme="minorEastAsia"/>
          <w:b/>
          <w:color w:val="000000"/>
          <w:sz w:val="21"/>
          <w:szCs w:val="21"/>
          <w:u w:val="single"/>
        </w:rPr>
        <w:t>书面及电子文档</w:t>
      </w:r>
      <w:r>
        <w:rPr>
          <w:rFonts w:hint="eastAsia" w:asciiTheme="minorEastAsia" w:hAnsiTheme="minorEastAsia" w:eastAsiaTheme="minorEastAsia" w:cstheme="minorEastAsia"/>
          <w:color w:val="000000"/>
          <w:sz w:val="21"/>
          <w:szCs w:val="21"/>
        </w:rPr>
        <w:t>。</w:t>
      </w:r>
    </w:p>
    <w:p w14:paraId="28B6790B">
      <w:pPr>
        <w:pStyle w:val="70"/>
        <w:pageBreakBefore w:val="0"/>
        <w:kinsoku/>
        <w:wordWrap/>
        <w:overflowPunct/>
        <w:topLinePunct w:val="0"/>
        <w:autoSpaceDE/>
        <w:autoSpaceDN/>
        <w:bidi w:val="0"/>
        <w:adjustRightInd/>
        <w:snapToGrid/>
        <w:spacing w:before="0" w:after="0" w:line="500" w:lineRule="exact"/>
        <w:ind w:left="0" w:right="0" w:firstLine="480"/>
        <w:jc w:val="both"/>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color w:val="000000"/>
          <w:sz w:val="21"/>
          <w:szCs w:val="21"/>
        </w:rPr>
        <w:t>承包人应履行的其他义务：</w:t>
      </w:r>
      <w:r>
        <w:rPr>
          <w:rFonts w:hint="eastAsia" w:asciiTheme="minorEastAsia" w:hAnsiTheme="minorEastAsia" w:eastAsiaTheme="minorEastAsia" w:cstheme="minorEastAsia"/>
          <w:b/>
          <w:color w:val="000000"/>
          <w:sz w:val="21"/>
          <w:szCs w:val="21"/>
        </w:rPr>
        <w:t>承包人应按建筑行政管理部门和相关部门的要求，设置护板、围栏等设施，以保护公共安全，费用自理。杜绝重大人身伤亡及设备事故，如有发生，损失由责任方承担。由承包人负责重要地段、路口道路畅通，处理好与周边居民的关系，并承担费用及与此相关的所有责任。施工场地周围地下管线和邻近建筑物、构筑物（含文物保护建筑）、古树名木的保护均由承包人负责，费用承包人自理，因调查不详造成防护不当的责任和损失由承包人负责。承包人负责施工用水、电、通讯、道路等设施日常维护工作，以确保施工正常安全进行，费用自理。</w:t>
      </w:r>
    </w:p>
    <w:p w14:paraId="27B91C04">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 项目经理</w:t>
      </w:r>
    </w:p>
    <w:p w14:paraId="021EE367">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3.2.1 项目经理：</w:t>
      </w:r>
    </w:p>
    <w:p w14:paraId="71CAC16D">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    名：</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w:t>
      </w:r>
    </w:p>
    <w:p w14:paraId="73815163">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建造师注册证书号：</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6CF4F967">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安全生产考核合格证书号：</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697CE649">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5B699FAF">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承包人对项目经理的授权范围如下：</w:t>
      </w:r>
      <w:r>
        <w:rPr>
          <w:rFonts w:hint="eastAsia" w:asciiTheme="minorEastAsia" w:hAnsiTheme="minorEastAsia" w:eastAsiaTheme="minorEastAsia" w:cstheme="minorEastAsia"/>
          <w:b/>
          <w:color w:val="000000"/>
          <w:sz w:val="21"/>
          <w:szCs w:val="21"/>
          <w:u w:val="single"/>
        </w:rPr>
        <w:t>全权处理本项目的一切事务</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1A14A68F">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关于项目经理每月在施工现场的时间要求：</w:t>
      </w:r>
      <w:r>
        <w:rPr>
          <w:rFonts w:hint="eastAsia" w:asciiTheme="minorEastAsia" w:hAnsiTheme="minorEastAsia" w:eastAsiaTheme="minorEastAsia" w:cstheme="minorEastAsia"/>
          <w:b/>
          <w:sz w:val="21"/>
          <w:szCs w:val="21"/>
          <w:u w:val="single"/>
        </w:rPr>
        <w:t>开工之日起到竣工结束，项目经理每周至少5日，每天必须不少于8小时在现场组织施工。</w:t>
      </w:r>
    </w:p>
    <w:p w14:paraId="725454A1">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承包人未提交劳动合同，以及没有为项目经理缴纳社会保险证明的违约责任：</w:t>
      </w:r>
      <w:r>
        <w:rPr>
          <w:rFonts w:hint="eastAsia" w:asciiTheme="minorEastAsia" w:hAnsiTheme="minorEastAsia" w:eastAsiaTheme="minorEastAsia" w:cstheme="minorEastAsia"/>
          <w:b/>
          <w:sz w:val="21"/>
          <w:szCs w:val="21"/>
          <w:u w:val="single"/>
        </w:rPr>
        <w:t>责令限期提交劳动合同并补缴社会保险</w:t>
      </w:r>
      <w:r>
        <w:rPr>
          <w:rFonts w:hint="eastAsia" w:asciiTheme="minorEastAsia" w:hAnsiTheme="minorEastAsia" w:eastAsiaTheme="minorEastAsia" w:cstheme="minorEastAsia"/>
          <w:color w:val="000000"/>
          <w:sz w:val="21"/>
          <w:szCs w:val="21"/>
        </w:rPr>
        <w:t>。</w:t>
      </w:r>
    </w:p>
    <w:p w14:paraId="74F4141C">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项目经理未经批准，擅自离开施工现场的违约责任：</w:t>
      </w:r>
      <w:r>
        <w:rPr>
          <w:rFonts w:hint="eastAsia" w:asciiTheme="minorEastAsia" w:hAnsiTheme="minorEastAsia" w:eastAsiaTheme="minorEastAsia" w:cstheme="minorEastAsia"/>
          <w:b/>
          <w:sz w:val="21"/>
          <w:szCs w:val="21"/>
          <w:u w:val="single"/>
        </w:rPr>
        <w:t>发包人有权要求承包人承担1000元/天的违约金。</w:t>
      </w:r>
    </w:p>
    <w:p w14:paraId="3724AC94">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3.2.2 承包人擅自更换项目经理的违约责任：</w:t>
      </w:r>
      <w:r>
        <w:rPr>
          <w:rFonts w:hint="eastAsia" w:asciiTheme="minorEastAsia" w:hAnsiTheme="minorEastAsia" w:eastAsiaTheme="minorEastAsia" w:cstheme="minorEastAsia"/>
          <w:b/>
          <w:sz w:val="21"/>
          <w:szCs w:val="21"/>
          <w:u w:val="single"/>
        </w:rPr>
        <w:t>承包人在投标书中承诺的项目经理必须到位，无论任何原因，不得擅自更换项目经理，承包人提出更换时，须经发包人和监理工程师书面同意，且每更换一次需先提交1万元的违约金后予以更换 。</w:t>
      </w:r>
    </w:p>
    <w:p w14:paraId="6626084E">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3.2.3 承包人无正当理由拒绝更换项目经理的违约责任：</w:t>
      </w:r>
      <w:r>
        <w:rPr>
          <w:rFonts w:hint="eastAsia" w:asciiTheme="minorEastAsia" w:hAnsiTheme="minorEastAsia" w:eastAsiaTheme="minorEastAsia" w:cstheme="minorEastAsia"/>
          <w:b/>
          <w:sz w:val="21"/>
          <w:szCs w:val="21"/>
          <w:u w:val="single"/>
        </w:rPr>
        <w:t>在施工过程中未经发包人同意不得在其他项目工地兼职、更换。对不称职的项目经理，发包人有权要求承包人更换，承包人必须在3日内更换。承包人如未按时更换，须向发包人交纳1万元/人（天）的违约金</w:t>
      </w:r>
      <w:r>
        <w:rPr>
          <w:rFonts w:hint="eastAsia" w:asciiTheme="minorEastAsia" w:hAnsiTheme="minorEastAsia" w:eastAsiaTheme="minorEastAsia" w:cstheme="minorEastAsia"/>
          <w:color w:val="000000"/>
          <w:sz w:val="21"/>
          <w:szCs w:val="21"/>
        </w:rPr>
        <w:t>。</w:t>
      </w:r>
    </w:p>
    <w:p w14:paraId="0BEA41A8">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 承包人人员</w:t>
      </w:r>
    </w:p>
    <w:p w14:paraId="34613C32">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3.3.1 承包人提交项目管理机构及施工现场管理人员安排报告的期限：</w:t>
      </w:r>
      <w:r>
        <w:rPr>
          <w:rFonts w:hint="eastAsia" w:asciiTheme="minorEastAsia" w:hAnsiTheme="minorEastAsia" w:eastAsiaTheme="minorEastAsia" w:cstheme="minorEastAsia"/>
          <w:b/>
          <w:color w:val="000000"/>
          <w:sz w:val="21"/>
          <w:szCs w:val="21"/>
          <w:u w:val="single"/>
        </w:rPr>
        <w:t>开工前2天内</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0B2DCE65">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3.3.2 承包人无正当理由拒绝撤换主要施工管理人员的违约责任：</w:t>
      </w:r>
      <w:r>
        <w:rPr>
          <w:rFonts w:hint="eastAsia" w:asciiTheme="minorEastAsia" w:hAnsiTheme="minorEastAsia" w:eastAsiaTheme="minorEastAsia" w:cstheme="minorEastAsia"/>
          <w:b/>
          <w:sz w:val="21"/>
          <w:szCs w:val="21"/>
          <w:u w:val="single"/>
        </w:rPr>
        <w:t>发包人有权要求承包人承担3000元/人的违约金。并有权解除合同并责令承包人退场，由此产生的一切损失及后果由承包人承担</w:t>
      </w:r>
      <w:r>
        <w:rPr>
          <w:rFonts w:hint="eastAsia" w:asciiTheme="minorEastAsia" w:hAnsiTheme="minorEastAsia" w:eastAsiaTheme="minorEastAsia" w:cstheme="minorEastAsia"/>
          <w:color w:val="000000"/>
          <w:sz w:val="21"/>
          <w:szCs w:val="21"/>
        </w:rPr>
        <w:t>。</w:t>
      </w:r>
    </w:p>
    <w:p w14:paraId="2FB776A5">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b/>
          <w:color w:val="000000"/>
          <w:sz w:val="21"/>
          <w:szCs w:val="21"/>
          <w:u w:val="single"/>
        </w:rPr>
      </w:pPr>
      <w:r>
        <w:rPr>
          <w:rFonts w:hint="eastAsia" w:asciiTheme="minorEastAsia" w:hAnsiTheme="minorEastAsia" w:eastAsiaTheme="minorEastAsia" w:cstheme="minorEastAsia"/>
          <w:color w:val="000000"/>
          <w:sz w:val="21"/>
          <w:szCs w:val="21"/>
        </w:rPr>
        <w:t>3.3.3 承包人主要施工管理人员离开施工现场的批准要求：</w:t>
      </w:r>
      <w:r>
        <w:rPr>
          <w:rFonts w:hint="eastAsia" w:asciiTheme="minorEastAsia" w:hAnsiTheme="minorEastAsia" w:eastAsiaTheme="minorEastAsia" w:cstheme="minorEastAsia"/>
          <w:b/>
          <w:color w:val="000000"/>
          <w:sz w:val="21"/>
          <w:szCs w:val="21"/>
          <w:u w:val="single"/>
        </w:rPr>
        <w:t xml:space="preserve"> 由总监理工程师批准，发包人认可方可离开 。</w:t>
      </w:r>
    </w:p>
    <w:p w14:paraId="1455CABC">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3.3.4承包人擅自更换主要施工管理人员的违约责任：</w:t>
      </w:r>
      <w:r>
        <w:rPr>
          <w:rFonts w:hint="eastAsia" w:asciiTheme="minorEastAsia" w:hAnsiTheme="minorEastAsia" w:eastAsiaTheme="minorEastAsia" w:cstheme="minorEastAsia"/>
          <w:b/>
          <w:sz w:val="21"/>
          <w:szCs w:val="21"/>
          <w:u w:val="single"/>
        </w:rPr>
        <w:t>发包人有权要求承包人承担3000元/人的违约金。并有权解除合同并责令承包人退场，由此产生的一切损失及后果由承包人承担</w:t>
      </w:r>
      <w:r>
        <w:rPr>
          <w:rFonts w:hint="eastAsia" w:asciiTheme="minorEastAsia" w:hAnsiTheme="minorEastAsia" w:eastAsiaTheme="minorEastAsia" w:cstheme="minorEastAsia"/>
          <w:color w:val="000000"/>
          <w:sz w:val="21"/>
          <w:szCs w:val="21"/>
        </w:rPr>
        <w:t>。</w:t>
      </w:r>
    </w:p>
    <w:p w14:paraId="5AF7AE44">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承包人主要施工管理人员擅自离开施工现场的违约责任：</w:t>
      </w:r>
      <w:r>
        <w:rPr>
          <w:rFonts w:hint="eastAsia" w:asciiTheme="minorEastAsia" w:hAnsiTheme="minorEastAsia" w:eastAsiaTheme="minorEastAsia" w:cstheme="minorEastAsia"/>
          <w:b/>
          <w:sz w:val="21"/>
          <w:szCs w:val="21"/>
          <w:u w:val="single"/>
        </w:rPr>
        <w:t>承包人承担1000元/次的违约金</w:t>
      </w:r>
      <w:r>
        <w:rPr>
          <w:rFonts w:hint="eastAsia" w:asciiTheme="minorEastAsia" w:hAnsiTheme="minorEastAsia" w:eastAsiaTheme="minorEastAsia" w:cstheme="minorEastAsia"/>
          <w:color w:val="000000"/>
          <w:sz w:val="21"/>
          <w:szCs w:val="21"/>
        </w:rPr>
        <w:t>。</w:t>
      </w:r>
    </w:p>
    <w:p w14:paraId="5906C60F">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bookmarkStart w:id="85" w:name="_Toc297048345"/>
      <w:bookmarkStart w:id="86" w:name="_Toc296944498"/>
      <w:bookmarkStart w:id="87" w:name="_Toc300934945"/>
      <w:bookmarkStart w:id="88" w:name="_Toc296891199"/>
      <w:bookmarkStart w:id="89" w:name="_Toc304295523"/>
      <w:bookmarkStart w:id="90" w:name="_Toc296346660"/>
      <w:bookmarkStart w:id="91" w:name="_Toc303539102"/>
      <w:bookmarkStart w:id="92" w:name="_Toc297120459"/>
      <w:bookmarkStart w:id="93" w:name="_Toc297216151"/>
      <w:bookmarkStart w:id="94" w:name="_Toc297123492"/>
      <w:bookmarkStart w:id="95" w:name="_Toc296503159"/>
      <w:bookmarkStart w:id="96" w:name="_Toc292559869"/>
      <w:bookmarkStart w:id="97" w:name="_Toc292559364"/>
      <w:bookmarkStart w:id="98" w:name="_Toc312677988"/>
      <w:bookmarkStart w:id="99" w:name="_Toc296890987"/>
      <w:bookmarkStart w:id="100" w:name="_Toc296347158"/>
      <w:r>
        <w:rPr>
          <w:rFonts w:hint="eastAsia" w:asciiTheme="minorEastAsia" w:hAnsiTheme="minorEastAsia" w:eastAsiaTheme="minorEastAsia" w:cstheme="minorEastAsia"/>
          <w:sz w:val="21"/>
          <w:szCs w:val="21"/>
        </w:rPr>
        <w:t>.4 分包</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4CA7E75A">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bookmarkStart w:id="101" w:name="_Toc304295524"/>
      <w:bookmarkStart w:id="102" w:name="_Toc297216152"/>
      <w:bookmarkStart w:id="103" w:name="_Toc292559870"/>
      <w:bookmarkStart w:id="104" w:name="_Toc296503160"/>
      <w:bookmarkStart w:id="105" w:name="_Toc292559365"/>
      <w:bookmarkStart w:id="106" w:name="_Toc296890988"/>
      <w:bookmarkStart w:id="107" w:name="_Toc318581158"/>
      <w:bookmarkStart w:id="108" w:name="_Toc296346661"/>
      <w:bookmarkStart w:id="109" w:name="_Toc312677989"/>
      <w:bookmarkStart w:id="110" w:name="_Toc296944499"/>
      <w:bookmarkStart w:id="111" w:name="_Toc303539103"/>
      <w:bookmarkStart w:id="112" w:name="_Toc296891200"/>
      <w:bookmarkStart w:id="113" w:name="_Toc297048346"/>
      <w:bookmarkStart w:id="114" w:name="_Toc297120460"/>
      <w:bookmarkStart w:id="115" w:name="_Toc296347159"/>
      <w:bookmarkStart w:id="116" w:name="_Toc297123493"/>
      <w:bookmarkStart w:id="117" w:name="_Toc300934946"/>
      <w:r>
        <w:rPr>
          <w:rFonts w:hint="eastAsia" w:asciiTheme="minorEastAsia" w:hAnsiTheme="minorEastAsia" w:eastAsiaTheme="minorEastAsia" w:cstheme="minorEastAsia"/>
          <w:sz w:val="21"/>
          <w:szCs w:val="21"/>
        </w:rPr>
        <w:t>.4.1 分包的一般约定</w:t>
      </w:r>
    </w:p>
    <w:p w14:paraId="72B28676">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禁止分包的工程包括：</w:t>
      </w:r>
      <w:r>
        <w:rPr>
          <w:rFonts w:hint="eastAsia" w:asciiTheme="minorEastAsia" w:hAnsiTheme="minorEastAsia" w:eastAsiaTheme="minorEastAsia" w:cstheme="minorEastAsia"/>
          <w:b/>
          <w:color w:val="000000"/>
          <w:sz w:val="21"/>
          <w:szCs w:val="21"/>
          <w:u w:val="single"/>
        </w:rPr>
        <w:t xml:space="preserve">本工程不允许分包 </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31C812D1">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不允许</w:t>
      </w:r>
      <w:bookmarkStart w:id="118" w:name="OLE_LINK32"/>
      <w:r>
        <w:rPr>
          <w:rFonts w:hint="eastAsia" w:asciiTheme="minorEastAsia" w:hAnsiTheme="minorEastAsia" w:eastAsiaTheme="minorEastAsia" w:cstheme="minorEastAsia"/>
          <w:color w:val="000000"/>
          <w:sz w:val="21"/>
          <w:szCs w:val="21"/>
          <w:highlight w:val="none"/>
        </w:rPr>
        <w:t>承包人</w:t>
      </w:r>
      <w:bookmarkEnd w:id="118"/>
      <w:r>
        <w:rPr>
          <w:rFonts w:hint="eastAsia" w:asciiTheme="minorEastAsia" w:hAnsiTheme="minorEastAsia" w:eastAsiaTheme="minorEastAsia" w:cstheme="minorEastAsia"/>
          <w:color w:val="000000"/>
          <w:sz w:val="21"/>
          <w:szCs w:val="21"/>
          <w:highlight w:val="none"/>
        </w:rPr>
        <w:t>将工程转包和违法分包给任何第三方，如发现转包或违法分包行为，限令改正，否则发包人有权立即中止合同，扣除履约担保，承包人负违约责任。</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1FB8E199">
      <w:pPr>
        <w:pStyle w:val="12"/>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3.5 工程照管与成品、半成品保护</w:t>
      </w:r>
    </w:p>
    <w:p w14:paraId="047F11DD">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承包人负责照管工程及工程相关的材料、工程设备的起始时间：</w:t>
      </w:r>
      <w:r>
        <w:rPr>
          <w:rFonts w:hint="eastAsia" w:asciiTheme="minorEastAsia" w:hAnsiTheme="minorEastAsia" w:eastAsiaTheme="minorEastAsia" w:cstheme="minorEastAsia"/>
          <w:b/>
          <w:sz w:val="21"/>
          <w:szCs w:val="21"/>
          <w:u w:val="single"/>
        </w:rPr>
        <w:t>按通用条款执行</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46D09A27">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3.6 履约担保</w:t>
      </w:r>
    </w:p>
    <w:p w14:paraId="1CD8693A">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承包人是否提供履约担保：</w:t>
      </w:r>
      <w:r>
        <w:rPr>
          <w:rFonts w:hint="eastAsia" w:asciiTheme="minorEastAsia" w:hAnsiTheme="minorEastAsia" w:eastAsiaTheme="minorEastAsia" w:cstheme="minorEastAsia"/>
          <w:sz w:val="21"/>
          <w:szCs w:val="21"/>
          <w:u w:val="single"/>
        </w:rPr>
        <w:t>是</w:t>
      </w:r>
      <w:r>
        <w:rPr>
          <w:rFonts w:hint="eastAsia" w:asciiTheme="minorEastAsia" w:hAnsiTheme="minorEastAsia" w:eastAsiaTheme="minorEastAsia" w:cstheme="minorEastAsia"/>
          <w:sz w:val="21"/>
          <w:szCs w:val="21"/>
        </w:rPr>
        <w:t>。</w:t>
      </w:r>
    </w:p>
    <w:p w14:paraId="23EEC182">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承包人提供履约担保的形式、金额及期限的：</w:t>
      </w:r>
      <w:r>
        <w:rPr>
          <w:rFonts w:hint="eastAsia" w:asciiTheme="minorEastAsia" w:hAnsiTheme="minorEastAsia" w:eastAsiaTheme="minorEastAsia" w:cstheme="minorEastAsia"/>
          <w:sz w:val="21"/>
          <w:szCs w:val="21"/>
          <w:u w:val="single"/>
        </w:rPr>
        <w:t>合同总价款的履约担保金额为合同总额的  %。履约担保方式：承包人以履约保证金方式在合同签订前向发包人提供履约担保，验收合格，正式交付使用后退还。</w:t>
      </w:r>
    </w:p>
    <w:p w14:paraId="7E286471">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b/>
          <w:sz w:val="21"/>
          <w:szCs w:val="21"/>
        </w:rPr>
      </w:pPr>
      <w:bookmarkStart w:id="119" w:name="_Toc351203636"/>
      <w:r>
        <w:rPr>
          <w:rFonts w:hint="eastAsia" w:asciiTheme="minorEastAsia" w:hAnsiTheme="minorEastAsia" w:eastAsiaTheme="minorEastAsia" w:cstheme="minorEastAsia"/>
          <w:sz w:val="21"/>
          <w:szCs w:val="21"/>
        </w:rPr>
        <w:t>4</w:t>
      </w:r>
      <w:bookmarkStart w:id="120" w:name="_Toc296503162"/>
      <w:bookmarkStart w:id="121" w:name="_Toc296944501"/>
      <w:bookmarkStart w:id="122" w:name="_Toc297048348"/>
      <w:bookmarkStart w:id="123" w:name="_Toc292559366"/>
      <w:bookmarkStart w:id="124" w:name="_Toc292559871"/>
      <w:bookmarkStart w:id="125" w:name="_Toc296346663"/>
      <w:bookmarkStart w:id="126" w:name="_Toc296891202"/>
      <w:bookmarkStart w:id="127" w:name="_Toc296890990"/>
      <w:bookmarkStart w:id="128" w:name="_Toc297120462"/>
      <w:bookmarkStart w:id="129" w:name="_Toc296347161"/>
      <w:bookmarkStart w:id="130" w:name="_Toc267251413"/>
      <w:r>
        <w:rPr>
          <w:rFonts w:hint="eastAsia" w:asciiTheme="minorEastAsia" w:hAnsiTheme="minorEastAsia" w:eastAsiaTheme="minorEastAsia" w:cstheme="minorEastAsia"/>
          <w:sz w:val="21"/>
          <w:szCs w:val="21"/>
        </w:rPr>
        <w:t>. 监</w:t>
      </w:r>
      <w:bookmarkEnd w:id="120"/>
      <w:bookmarkEnd w:id="121"/>
      <w:bookmarkEnd w:id="122"/>
      <w:bookmarkEnd w:id="123"/>
      <w:bookmarkEnd w:id="124"/>
      <w:bookmarkEnd w:id="125"/>
      <w:bookmarkEnd w:id="126"/>
      <w:bookmarkEnd w:id="127"/>
      <w:bookmarkEnd w:id="128"/>
      <w:bookmarkEnd w:id="129"/>
      <w:bookmarkEnd w:id="130"/>
      <w:r>
        <w:rPr>
          <w:rFonts w:hint="eastAsia" w:asciiTheme="minorEastAsia" w:hAnsiTheme="minorEastAsia" w:eastAsiaTheme="minorEastAsia" w:cstheme="minorEastAsia"/>
          <w:sz w:val="21"/>
          <w:szCs w:val="21"/>
        </w:rPr>
        <w:t>理人</w:t>
      </w:r>
      <w:bookmarkEnd w:id="119"/>
    </w:p>
    <w:p w14:paraId="54C178A0">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4.1监理人的一般规定</w:t>
      </w:r>
    </w:p>
    <w:p w14:paraId="3C49CDA3">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关于监理人的监理内容：</w:t>
      </w:r>
      <w:r>
        <w:rPr>
          <w:rFonts w:hint="eastAsia" w:asciiTheme="minorEastAsia" w:hAnsiTheme="minorEastAsia" w:eastAsiaTheme="minorEastAsia" w:cstheme="minorEastAsia"/>
          <w:b/>
          <w:color w:val="000000"/>
          <w:sz w:val="21"/>
          <w:szCs w:val="21"/>
          <w:u w:val="single"/>
        </w:rPr>
        <w:t>见监理合同</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2BCC87AE">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关于监理人的监理权限：</w:t>
      </w:r>
      <w:r>
        <w:rPr>
          <w:rFonts w:hint="eastAsia" w:asciiTheme="minorEastAsia" w:hAnsiTheme="minorEastAsia" w:eastAsiaTheme="minorEastAsia" w:cstheme="minorEastAsia"/>
          <w:b/>
          <w:color w:val="000000"/>
          <w:sz w:val="21"/>
          <w:szCs w:val="21"/>
          <w:u w:val="single"/>
        </w:rPr>
        <w:t>见监理合同</w:t>
      </w:r>
      <w:r>
        <w:rPr>
          <w:rFonts w:hint="eastAsia" w:asciiTheme="minorEastAsia" w:hAnsiTheme="minorEastAsia" w:eastAsiaTheme="minorEastAsia" w:cstheme="minorEastAsia"/>
          <w:color w:val="000000"/>
          <w:sz w:val="21"/>
          <w:szCs w:val="21"/>
          <w:u w:val="single"/>
        </w:rPr>
        <w:t>。</w:t>
      </w:r>
      <w:r>
        <w:rPr>
          <w:rFonts w:hint="eastAsia" w:asciiTheme="minorEastAsia" w:hAnsiTheme="minorEastAsia" w:eastAsiaTheme="minorEastAsia" w:cstheme="minorEastAsia"/>
          <w:b/>
          <w:sz w:val="21"/>
          <w:szCs w:val="21"/>
          <w:u w:val="single"/>
        </w:rPr>
        <w:t>凡涉及工程价款及工期调整的，须经发包人书面确认后方为有效。</w:t>
      </w:r>
      <w:r>
        <w:rPr>
          <w:rFonts w:hint="eastAsia" w:asciiTheme="minorEastAsia" w:hAnsiTheme="minorEastAsia" w:eastAsiaTheme="minorEastAsia" w:cstheme="minorEastAsia"/>
          <w:color w:val="000000"/>
          <w:sz w:val="21"/>
          <w:szCs w:val="21"/>
        </w:rPr>
        <w:t xml:space="preserve"> </w:t>
      </w:r>
    </w:p>
    <w:p w14:paraId="46218D58">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关于监理人在施工现场的办公场所、生活场所的提供和费用承担的约定：</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b/>
          <w:color w:val="000000"/>
          <w:sz w:val="21"/>
          <w:szCs w:val="21"/>
          <w:u w:val="single"/>
        </w:rPr>
        <w:t>由承包人承担。</w:t>
      </w:r>
    </w:p>
    <w:p w14:paraId="084498AD">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 监理人员</w:t>
      </w:r>
    </w:p>
    <w:p w14:paraId="0430C01E">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总监理工程师：</w:t>
      </w:r>
    </w:p>
    <w:p w14:paraId="38AC4BF5">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姓    名：</w:t>
      </w:r>
      <w:r>
        <w:rPr>
          <w:rFonts w:hint="eastAsia" w:asciiTheme="minorEastAsia" w:hAnsiTheme="minorEastAsia" w:eastAsiaTheme="minorEastAsia" w:cstheme="minorEastAsia"/>
          <w:color w:val="000000"/>
          <w:sz w:val="21"/>
          <w:szCs w:val="21"/>
          <w:u w:val="single"/>
        </w:rPr>
        <w:t></w:t>
      </w:r>
      <w:r>
        <w:rPr>
          <w:rFonts w:hint="eastAsia" w:asciiTheme="minorEastAsia" w:hAnsiTheme="minorEastAsia" w:eastAsiaTheme="minorEastAsia" w:cstheme="minorEastAsia"/>
          <w:b/>
          <w:sz w:val="21"/>
          <w:szCs w:val="21"/>
          <w:u w:val="single"/>
        </w:rPr>
        <w:t xml:space="preserve">           </w:t>
      </w:r>
      <w:r>
        <w:rPr>
          <w:rFonts w:hint="eastAsia" w:asciiTheme="minorEastAsia" w:hAnsiTheme="minorEastAsia" w:eastAsiaTheme="minorEastAsia" w:cstheme="minorEastAsia"/>
          <w:color w:val="000000"/>
          <w:sz w:val="21"/>
          <w:szCs w:val="21"/>
          <w:u w:val="single"/>
        </w:rPr>
        <w:t></w:t>
      </w:r>
      <w:r>
        <w:rPr>
          <w:rFonts w:hint="eastAsia" w:asciiTheme="minorEastAsia" w:hAnsiTheme="minorEastAsia" w:eastAsiaTheme="minorEastAsia" w:cstheme="minorEastAsia"/>
          <w:color w:val="000000"/>
          <w:sz w:val="21"/>
          <w:szCs w:val="21"/>
        </w:rPr>
        <w:t>；</w:t>
      </w:r>
    </w:p>
    <w:p w14:paraId="27E74429">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职    务：</w:t>
      </w:r>
      <w:r>
        <w:rPr>
          <w:rFonts w:hint="eastAsia" w:asciiTheme="minorEastAsia" w:hAnsiTheme="minorEastAsia" w:eastAsiaTheme="minorEastAsia" w:cstheme="minorEastAsia"/>
          <w:color w:val="000000"/>
          <w:sz w:val="21"/>
          <w:szCs w:val="21"/>
          <w:u w:val="single"/>
        </w:rPr>
        <w:t></w:t>
      </w:r>
      <w:r>
        <w:rPr>
          <w:rFonts w:hint="eastAsia" w:asciiTheme="minorEastAsia" w:hAnsiTheme="minorEastAsia" w:eastAsiaTheme="minorEastAsia" w:cstheme="minorEastAsia"/>
          <w:b/>
          <w:color w:val="000000"/>
          <w:sz w:val="21"/>
          <w:szCs w:val="21"/>
          <w:u w:val="single"/>
        </w:rPr>
        <w:t xml:space="preserve">      </w:t>
      </w:r>
      <w:r>
        <w:rPr>
          <w:rFonts w:hint="eastAsia" w:asciiTheme="minorEastAsia" w:hAnsiTheme="minorEastAsia" w:eastAsiaTheme="minorEastAsia" w:cstheme="minorEastAsia"/>
          <w:color w:val="000000"/>
          <w:sz w:val="21"/>
          <w:szCs w:val="21"/>
          <w:u w:val="single"/>
        </w:rPr>
        <w:t></w:t>
      </w:r>
      <w:r>
        <w:rPr>
          <w:rFonts w:hint="eastAsia" w:asciiTheme="minorEastAsia" w:hAnsiTheme="minorEastAsia" w:eastAsiaTheme="minorEastAsia" w:cstheme="minorEastAsia"/>
          <w:color w:val="000000"/>
          <w:sz w:val="21"/>
          <w:szCs w:val="21"/>
        </w:rPr>
        <w:t>；</w:t>
      </w:r>
    </w:p>
    <w:p w14:paraId="55F1F5E0">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监理工程师执业资格证书号：</w:t>
      </w:r>
      <w:r>
        <w:rPr>
          <w:rFonts w:hint="eastAsia" w:asciiTheme="minorEastAsia" w:hAnsiTheme="minorEastAsia" w:eastAsiaTheme="minorEastAsia" w:cstheme="minorEastAsia"/>
          <w:color w:val="000000"/>
          <w:sz w:val="21"/>
          <w:szCs w:val="21"/>
          <w:u w:val="single"/>
        </w:rPr>
        <w:t></w:t>
      </w:r>
      <w:r>
        <w:rPr>
          <w:rFonts w:hint="eastAsia" w:asciiTheme="minorEastAsia" w:hAnsiTheme="minorEastAsia" w:eastAsiaTheme="minorEastAsia" w:cstheme="minorEastAsia"/>
          <w:b/>
          <w:sz w:val="21"/>
          <w:szCs w:val="21"/>
          <w:u w:val="single"/>
        </w:rPr>
        <w:t xml:space="preserve">         </w:t>
      </w:r>
      <w:r>
        <w:rPr>
          <w:rFonts w:hint="eastAsia" w:asciiTheme="minorEastAsia" w:hAnsiTheme="minorEastAsia" w:eastAsiaTheme="minorEastAsia" w:cstheme="minorEastAsia"/>
          <w:color w:val="000000"/>
          <w:sz w:val="21"/>
          <w:szCs w:val="21"/>
          <w:u w:val="single"/>
        </w:rPr>
        <w:t></w:t>
      </w:r>
      <w:r>
        <w:rPr>
          <w:rFonts w:hint="eastAsia" w:asciiTheme="minorEastAsia" w:hAnsiTheme="minorEastAsia" w:eastAsiaTheme="minorEastAsia" w:cstheme="minorEastAsia"/>
          <w:color w:val="000000"/>
          <w:sz w:val="21"/>
          <w:szCs w:val="21"/>
        </w:rPr>
        <w:t>；</w:t>
      </w:r>
    </w:p>
    <w:p w14:paraId="383C79B1">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联系电话：</w:t>
      </w:r>
      <w:r>
        <w:rPr>
          <w:rFonts w:hint="eastAsia" w:asciiTheme="minorEastAsia" w:hAnsiTheme="minorEastAsia" w:eastAsiaTheme="minorEastAsia" w:cstheme="minorEastAsia"/>
          <w:color w:val="000000"/>
          <w:sz w:val="21"/>
          <w:szCs w:val="21"/>
          <w:u w:val="single"/>
        </w:rPr>
        <w:t></w:t>
      </w:r>
      <w:r>
        <w:rPr>
          <w:rFonts w:hint="eastAsia" w:asciiTheme="minorEastAsia" w:hAnsiTheme="minorEastAsia" w:eastAsiaTheme="minorEastAsia" w:cstheme="minorEastAsia"/>
          <w:b/>
          <w:color w:val="000000"/>
          <w:sz w:val="21"/>
          <w:szCs w:val="21"/>
          <w:u w:val="single"/>
        </w:rPr>
        <w:t xml:space="preserve">        </w:t>
      </w:r>
      <w:r>
        <w:rPr>
          <w:rFonts w:hint="eastAsia" w:asciiTheme="minorEastAsia" w:hAnsiTheme="minorEastAsia" w:eastAsiaTheme="minorEastAsia" w:cstheme="minorEastAsia"/>
          <w:color w:val="000000"/>
          <w:sz w:val="21"/>
          <w:szCs w:val="21"/>
          <w:u w:val="single"/>
        </w:rPr>
        <w:t></w:t>
      </w:r>
      <w:r>
        <w:rPr>
          <w:rFonts w:hint="eastAsia" w:asciiTheme="minorEastAsia" w:hAnsiTheme="minorEastAsia" w:eastAsiaTheme="minorEastAsia" w:cstheme="minorEastAsia"/>
          <w:color w:val="000000"/>
          <w:sz w:val="21"/>
          <w:szCs w:val="21"/>
        </w:rPr>
        <w:t>；</w:t>
      </w:r>
    </w:p>
    <w:p w14:paraId="6AC4F16A">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关于监理人的其他约定：</w:t>
      </w:r>
      <w:r>
        <w:rPr>
          <w:rFonts w:hint="eastAsia" w:asciiTheme="minorEastAsia" w:hAnsiTheme="minorEastAsia" w:eastAsiaTheme="minorEastAsia" w:cstheme="minorEastAsia"/>
          <w:color w:val="000000"/>
          <w:sz w:val="21"/>
          <w:szCs w:val="21"/>
          <w:u w:val="single"/>
        </w:rPr>
        <w:t></w:t>
      </w:r>
      <w:r>
        <w:rPr>
          <w:rFonts w:hint="eastAsia" w:asciiTheme="minorEastAsia" w:hAnsiTheme="minorEastAsia" w:eastAsiaTheme="minorEastAsia" w:cstheme="minorEastAsia"/>
          <w:b/>
          <w:color w:val="000000"/>
          <w:sz w:val="21"/>
          <w:szCs w:val="21"/>
          <w:u w:val="single"/>
        </w:rPr>
        <w:t xml:space="preserve">  /</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7F70D289">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b/>
          <w:sz w:val="21"/>
          <w:szCs w:val="21"/>
        </w:rPr>
      </w:pPr>
      <w:bookmarkStart w:id="131" w:name="_Toc267251418"/>
      <w:bookmarkStart w:id="132" w:name="_Toc351203637"/>
      <w:r>
        <w:rPr>
          <w:rFonts w:hint="eastAsia" w:asciiTheme="minorEastAsia" w:hAnsiTheme="minorEastAsia" w:eastAsiaTheme="minorEastAsia" w:cstheme="minorEastAsia"/>
          <w:sz w:val="21"/>
          <w:szCs w:val="21"/>
        </w:rPr>
        <w:t>5</w:t>
      </w:r>
      <w:bookmarkEnd w:id="131"/>
      <w:bookmarkStart w:id="133" w:name="_Toc297120463"/>
      <w:bookmarkStart w:id="134" w:name="_Toc292559367"/>
      <w:bookmarkStart w:id="135" w:name="_Toc296347162"/>
      <w:bookmarkStart w:id="136" w:name="_Toc296944502"/>
      <w:bookmarkStart w:id="137" w:name="_Toc296890991"/>
      <w:bookmarkStart w:id="138" w:name="_Toc297048349"/>
      <w:bookmarkStart w:id="139" w:name="_Toc296891203"/>
      <w:bookmarkStart w:id="140" w:name="_Toc296503163"/>
      <w:bookmarkStart w:id="141" w:name="_Toc296346664"/>
      <w:bookmarkStart w:id="142" w:name="_Toc292559872"/>
      <w:r>
        <w:rPr>
          <w:rFonts w:hint="eastAsia" w:asciiTheme="minorEastAsia" w:hAnsiTheme="minorEastAsia" w:eastAsiaTheme="minorEastAsia" w:cstheme="minorEastAsia"/>
          <w:sz w:val="21"/>
          <w:szCs w:val="21"/>
        </w:rPr>
        <w:t>. 工程质量</w:t>
      </w:r>
      <w:bookmarkEnd w:id="132"/>
    </w:p>
    <w:p w14:paraId="2E996D8D">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5.1 质量要求</w:t>
      </w:r>
    </w:p>
    <w:p w14:paraId="41CE6893">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bookmarkStart w:id="143" w:name="_Toc297216155"/>
      <w:bookmarkStart w:id="144" w:name="_Toc297123496"/>
      <w:bookmarkStart w:id="145" w:name="_Toc300934949"/>
      <w:bookmarkStart w:id="146" w:name="_Toc312677997"/>
      <w:bookmarkStart w:id="147" w:name="_Toc318581164"/>
      <w:bookmarkStart w:id="148" w:name="_Toc304295527"/>
      <w:bookmarkStart w:id="149" w:name="_Toc303539106"/>
      <w:r>
        <w:rPr>
          <w:rFonts w:hint="eastAsia" w:asciiTheme="minorEastAsia" w:hAnsiTheme="minorEastAsia" w:eastAsiaTheme="minorEastAsia" w:cstheme="minorEastAsia"/>
          <w:sz w:val="21"/>
          <w:szCs w:val="21"/>
        </w:rPr>
        <w:t>.1.1 特殊质量标准和要求：</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b/>
          <w:sz w:val="21"/>
          <w:szCs w:val="21"/>
          <w:u w:val="single"/>
        </w:rPr>
        <w:t>合格，因承包人原因所承包工程未能达到其所投报质量标准等级视为违约：扣罚合同总金额的2.5%，并由承包人负责采取返工、返修或其他弥补措施，由此引起的工期延误及费用由承包人承担；如果经采取措施加以弥补后仍不能达到质量标准时，扣罚合同总金额的5%，并承担修复所发生的全部费用。</w:t>
      </w:r>
    </w:p>
    <w:p w14:paraId="32AB4B44">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 隐蔽工程检查</w:t>
      </w:r>
    </w:p>
    <w:p w14:paraId="67221FA3">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5.2.1承包人提前通知监理人隐蔽工程检查的期限的约定：</w:t>
      </w:r>
      <w:r>
        <w:rPr>
          <w:rFonts w:hint="eastAsia" w:asciiTheme="minorEastAsia" w:hAnsiTheme="minorEastAsia" w:eastAsiaTheme="minorEastAsia" w:cstheme="minorEastAsia"/>
          <w:b/>
          <w:color w:val="000000"/>
          <w:sz w:val="21"/>
          <w:szCs w:val="21"/>
          <w:u w:val="single"/>
        </w:rPr>
        <w:t>共同检查前48小时书面通知监理人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69258C31">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监理人不能按时进行检查时，应提前</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b/>
          <w:sz w:val="21"/>
          <w:szCs w:val="21"/>
          <w:u w:val="single"/>
        </w:rPr>
        <w:t>12</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小时提交书面延期要求。</w:t>
      </w:r>
    </w:p>
    <w:p w14:paraId="223D86FC">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关于延期最长不得超过：</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b/>
          <w:sz w:val="21"/>
          <w:szCs w:val="21"/>
          <w:u w:val="single"/>
        </w:rPr>
        <w:t>24</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小时。</w:t>
      </w:r>
    </w:p>
    <w:p w14:paraId="456F3840">
      <w:pPr>
        <w:pageBreakBefore w:val="0"/>
        <w:kinsoku/>
        <w:wordWrap/>
        <w:overflowPunct/>
        <w:topLinePunct w:val="0"/>
        <w:autoSpaceDE/>
        <w:autoSpaceDN/>
        <w:bidi w:val="0"/>
        <w:adjustRightInd/>
        <w:snapToGrid/>
        <w:spacing w:line="500" w:lineRule="exact"/>
        <w:ind w:firstLine="482"/>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sz w:val="21"/>
          <w:szCs w:val="21"/>
          <w:u w:val="single"/>
        </w:rPr>
        <w:t>未尽事宜按通用条款执行</w:t>
      </w:r>
      <w:r>
        <w:rPr>
          <w:rFonts w:hint="eastAsia" w:asciiTheme="minorEastAsia" w:hAnsiTheme="minorEastAsia" w:eastAsiaTheme="minorEastAsia" w:cstheme="minorEastAsia"/>
          <w:sz w:val="21"/>
          <w:szCs w:val="21"/>
        </w:rPr>
        <w:t>。</w:t>
      </w:r>
    </w:p>
    <w:p w14:paraId="07F8B29C">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b/>
          <w:sz w:val="21"/>
          <w:szCs w:val="21"/>
        </w:rPr>
      </w:pPr>
      <w:bookmarkStart w:id="150" w:name="_Toc351203638"/>
      <w:r>
        <w:rPr>
          <w:rFonts w:hint="eastAsia" w:asciiTheme="minorEastAsia" w:hAnsiTheme="minorEastAsia" w:eastAsiaTheme="minorEastAsia" w:cstheme="minorEastAsia"/>
          <w:sz w:val="21"/>
          <w:szCs w:val="21"/>
        </w:rPr>
        <w:t>6. 安全文明施工与环境保护</w:t>
      </w:r>
      <w:bookmarkEnd w:id="150"/>
    </w:p>
    <w:p w14:paraId="4CF08F3A">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6.1安全文明施工</w:t>
      </w:r>
    </w:p>
    <w:p w14:paraId="18665BAA">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6.1.1</w:t>
      </w:r>
      <w:r>
        <w:rPr>
          <w:rFonts w:hint="eastAsia" w:asciiTheme="minorEastAsia" w:hAnsiTheme="minorEastAsia" w:eastAsiaTheme="minorEastAsia" w:cstheme="minorEastAsia"/>
          <w:color w:val="000000"/>
          <w:sz w:val="21"/>
          <w:szCs w:val="21"/>
        </w:rPr>
        <w:t xml:space="preserve"> 项目安全生产的达标目标及相应事项的约定：</w:t>
      </w:r>
      <w:r>
        <w:rPr>
          <w:rFonts w:hint="eastAsia" w:asciiTheme="minorEastAsia" w:hAnsiTheme="minorEastAsia" w:eastAsiaTheme="minorEastAsia" w:cstheme="minorEastAsia"/>
          <w:sz w:val="21"/>
          <w:szCs w:val="21"/>
          <w:u w:val="single"/>
        </w:rPr>
        <w:t>承包人应遵守工程建设安全生产有关管理规定，严格按现行安全标准组织施工，并随时接受行业安全检查人员依法实施的监督检查，采取必要的安全防护措施，消除事故隐患。其安全施工防护费用已经含在合同价款内。承包方在施工生产过程中违反有关安全操作规程、消防条例，导致发生人员伤亡或火灾事故，承包方应承担由此引发的一切损失和责任。</w:t>
      </w:r>
    </w:p>
    <w:p w14:paraId="0A6E1C0E">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b/>
          <w:sz w:val="21"/>
          <w:szCs w:val="21"/>
          <w:u w:val="single"/>
        </w:rPr>
      </w:pPr>
      <w:r>
        <w:rPr>
          <w:rFonts w:hint="eastAsia" w:asciiTheme="minorEastAsia" w:hAnsiTheme="minorEastAsia" w:eastAsiaTheme="minorEastAsia" w:cstheme="minorEastAsia"/>
          <w:sz w:val="21"/>
          <w:szCs w:val="21"/>
        </w:rPr>
        <w:t>6.1.2 关于治安保卫的特别约定：</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b/>
          <w:color w:val="000000"/>
          <w:sz w:val="21"/>
          <w:szCs w:val="21"/>
          <w:u w:val="single"/>
        </w:rPr>
        <w:t>按通用条款执行</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0A10E1FD">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关于编制施工场地治安管理计划的约定：</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b/>
          <w:sz w:val="21"/>
          <w:szCs w:val="21"/>
          <w:u w:val="single"/>
        </w:rPr>
        <w:t>开工前提供</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3458F96F">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6.1.3 文明施工</w:t>
      </w:r>
    </w:p>
    <w:p w14:paraId="615CE62E">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合同当事人对文明施工的要求：</w:t>
      </w:r>
      <w:r>
        <w:rPr>
          <w:rFonts w:hint="eastAsia" w:asciiTheme="minorEastAsia" w:hAnsiTheme="minorEastAsia" w:eastAsiaTheme="minorEastAsia" w:cstheme="minorEastAsia"/>
          <w:b/>
          <w:color w:val="000000"/>
          <w:sz w:val="21"/>
          <w:szCs w:val="21"/>
          <w:u w:val="single"/>
        </w:rPr>
        <w:t>按通用条款执行</w:t>
      </w:r>
      <w:r>
        <w:rPr>
          <w:rFonts w:hint="eastAsia" w:asciiTheme="minorEastAsia" w:hAnsiTheme="minorEastAsia" w:eastAsiaTheme="minorEastAsia" w:cstheme="minorEastAsia"/>
          <w:sz w:val="21"/>
          <w:szCs w:val="21"/>
        </w:rPr>
        <w:t>。</w:t>
      </w:r>
      <w:bookmarkEnd w:id="143"/>
      <w:bookmarkEnd w:id="144"/>
      <w:bookmarkEnd w:id="145"/>
      <w:bookmarkEnd w:id="146"/>
      <w:bookmarkEnd w:id="147"/>
      <w:bookmarkEnd w:id="148"/>
      <w:bookmarkEnd w:id="149"/>
    </w:p>
    <w:p w14:paraId="2E0A842F">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b/>
          <w:sz w:val="21"/>
          <w:szCs w:val="21"/>
        </w:rPr>
      </w:pPr>
      <w:bookmarkStart w:id="151" w:name="_Toc351203639"/>
      <w:r>
        <w:rPr>
          <w:rFonts w:hint="eastAsia" w:asciiTheme="minorEastAsia" w:hAnsiTheme="minorEastAsia" w:eastAsiaTheme="minorEastAsia" w:cstheme="minorEastAsia"/>
          <w:sz w:val="21"/>
          <w:szCs w:val="21"/>
        </w:rPr>
        <w:t>7. 工期和进度</w:t>
      </w:r>
      <w:bookmarkEnd w:id="151"/>
    </w:p>
    <w:p w14:paraId="7A948860">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 施工组织设计</w:t>
      </w:r>
    </w:p>
    <w:p w14:paraId="70D26D14">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 xml:space="preserve">7.1.1 </w:t>
      </w:r>
      <w:r>
        <w:rPr>
          <w:rFonts w:hint="eastAsia" w:asciiTheme="minorEastAsia" w:hAnsiTheme="minorEastAsia" w:eastAsiaTheme="minorEastAsia" w:cstheme="minorEastAsia"/>
          <w:color w:val="000000"/>
          <w:sz w:val="21"/>
          <w:szCs w:val="21"/>
        </w:rPr>
        <w:t>合同当事人约定的施工组织设计应包括的其他内容：</w:t>
      </w:r>
      <w:r>
        <w:rPr>
          <w:rFonts w:hint="eastAsia" w:asciiTheme="minorEastAsia" w:hAnsiTheme="minorEastAsia" w:eastAsiaTheme="minorEastAsia" w:cstheme="minorEastAsia"/>
          <w:b/>
          <w:color w:val="000000"/>
          <w:sz w:val="21"/>
          <w:szCs w:val="21"/>
          <w:u w:val="single"/>
        </w:rPr>
        <w:t>按通用条款执行</w:t>
      </w:r>
      <w:r>
        <w:rPr>
          <w:rFonts w:hint="eastAsia" w:asciiTheme="minorEastAsia" w:hAnsiTheme="minorEastAsia" w:eastAsiaTheme="minorEastAsia" w:cstheme="minorEastAsia"/>
          <w:sz w:val="21"/>
          <w:szCs w:val="21"/>
        </w:rPr>
        <w:t>。</w:t>
      </w:r>
    </w:p>
    <w:p w14:paraId="7204031F">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7.1.2</w:t>
      </w:r>
      <w:r>
        <w:rPr>
          <w:rFonts w:hint="eastAsia" w:asciiTheme="minorEastAsia" w:hAnsiTheme="minorEastAsia" w:eastAsiaTheme="minorEastAsia" w:cstheme="minorEastAsia"/>
          <w:color w:val="000000"/>
          <w:sz w:val="21"/>
          <w:szCs w:val="21"/>
        </w:rPr>
        <w:t xml:space="preserve"> 施工组织设计的提交和修改</w:t>
      </w:r>
    </w:p>
    <w:p w14:paraId="0577501E">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color w:val="000000"/>
          <w:sz w:val="21"/>
          <w:szCs w:val="21"/>
        </w:rPr>
        <w:t>承包人提交详细施工组织设计的期限的约定：</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b/>
          <w:sz w:val="21"/>
          <w:szCs w:val="21"/>
          <w:u w:val="single"/>
        </w:rPr>
        <w:t>开工前7天</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5D611A2E">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发包人和监理人在收到详细的施工组织设计后确认或提出修改意见的期限：</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b/>
          <w:sz w:val="21"/>
          <w:szCs w:val="21"/>
          <w:u w:val="single"/>
        </w:rPr>
        <w:t xml:space="preserve">收到后7天内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3E227F0D">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bookmarkStart w:id="152" w:name="_Toc297123514"/>
      <w:bookmarkStart w:id="153" w:name="_Toc297216173"/>
      <w:bookmarkStart w:id="154" w:name="_Toc304295541"/>
      <w:bookmarkStart w:id="155" w:name="_Toc312677479"/>
      <w:bookmarkStart w:id="156" w:name="_Toc300934966"/>
      <w:bookmarkStart w:id="157" w:name="_Toc312678005"/>
      <w:bookmarkStart w:id="158" w:name="_Toc303539123"/>
      <w:r>
        <w:rPr>
          <w:rFonts w:hint="eastAsia" w:asciiTheme="minorEastAsia" w:hAnsiTheme="minorEastAsia" w:eastAsiaTheme="minorEastAsia" w:cstheme="minorEastAsia"/>
          <w:sz w:val="21"/>
          <w:szCs w:val="21"/>
        </w:rPr>
        <w:t>.2 施工进度计划</w:t>
      </w:r>
    </w:p>
    <w:p w14:paraId="0F6E02F1">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7.2.1 施工进度计划的修订</w:t>
      </w:r>
    </w:p>
    <w:p w14:paraId="792E3153">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发包人和监理人在收到修订的施工进度计划后确认或提出修改意见的期限：</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b/>
          <w:sz w:val="21"/>
          <w:szCs w:val="21"/>
          <w:u w:val="single"/>
        </w:rPr>
        <w:t>收到后7天内</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3840251E">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7.3 开工</w:t>
      </w:r>
    </w:p>
    <w:p w14:paraId="1FE21B48">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7.3.1 开工准备</w:t>
      </w:r>
    </w:p>
    <w:p w14:paraId="697F477C">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color w:val="000000"/>
          <w:sz w:val="21"/>
          <w:szCs w:val="21"/>
        </w:rPr>
        <w:t>关于承包人提交工程开工报审表的期限：</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b/>
          <w:sz w:val="21"/>
          <w:szCs w:val="21"/>
          <w:u w:val="single"/>
        </w:rPr>
        <w:t>开工前</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5C8E6293">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7.3.2开工通知</w:t>
      </w:r>
    </w:p>
    <w:p w14:paraId="0DF75735">
      <w:pPr>
        <w:pageBreakBefore w:val="0"/>
        <w:kinsoku/>
        <w:wordWrap/>
        <w:overflowPunct/>
        <w:topLinePunct w:val="0"/>
        <w:autoSpaceDE/>
        <w:autoSpaceDN/>
        <w:bidi w:val="0"/>
        <w:adjustRightInd/>
        <w:snapToGrid/>
        <w:spacing w:line="500" w:lineRule="exact"/>
        <w:ind w:firstLine="482"/>
        <w:jc w:val="left"/>
        <w:textAlignment w:val="auto"/>
        <w:rPr>
          <w:rFonts w:hint="eastAsia" w:asciiTheme="minorEastAsia" w:hAnsiTheme="minorEastAsia" w:eastAsiaTheme="minorEastAsia" w:cstheme="minorEastAsia"/>
          <w:b/>
          <w:color w:val="000000"/>
          <w:sz w:val="21"/>
          <w:szCs w:val="21"/>
          <w:u w:val="single"/>
        </w:rPr>
      </w:pPr>
      <w:r>
        <w:rPr>
          <w:rFonts w:hint="eastAsia" w:asciiTheme="minorEastAsia" w:hAnsiTheme="minorEastAsia" w:eastAsiaTheme="minorEastAsia" w:cstheme="minorEastAsia"/>
          <w:b/>
          <w:color w:val="000000"/>
          <w:sz w:val="21"/>
          <w:szCs w:val="21"/>
          <w:u w:val="single"/>
        </w:rPr>
        <w:t>因发包人原因未能在计划开工日期之日起</w:t>
      </w:r>
      <w:r>
        <w:rPr>
          <w:rFonts w:hint="eastAsia" w:asciiTheme="minorEastAsia" w:hAnsiTheme="minorEastAsia" w:eastAsiaTheme="minorEastAsia" w:cstheme="minorEastAsia"/>
          <w:b/>
          <w:sz w:val="21"/>
          <w:szCs w:val="21"/>
          <w:u w:val="single"/>
        </w:rPr>
        <w:t>180</w:t>
      </w:r>
      <w:r>
        <w:rPr>
          <w:rFonts w:hint="eastAsia" w:asciiTheme="minorEastAsia" w:hAnsiTheme="minorEastAsia" w:eastAsiaTheme="minorEastAsia" w:cstheme="minorEastAsia"/>
          <w:b/>
          <w:color w:val="000000"/>
          <w:sz w:val="21"/>
          <w:szCs w:val="21"/>
          <w:u w:val="single"/>
        </w:rPr>
        <w:t>天内发出开工通知的，承包人有权提出价格调整要求，或者解除合同。</w:t>
      </w:r>
      <w:bookmarkEnd w:id="152"/>
      <w:bookmarkEnd w:id="153"/>
      <w:bookmarkEnd w:id="154"/>
      <w:bookmarkEnd w:id="155"/>
      <w:bookmarkEnd w:id="156"/>
      <w:bookmarkEnd w:id="157"/>
      <w:bookmarkEnd w:id="158"/>
    </w:p>
    <w:p w14:paraId="2F797005">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7.4 测量放线</w:t>
      </w:r>
    </w:p>
    <w:p w14:paraId="1D7277AE">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7.4.1发包人通过监理人向承包人提供测量基准点、基准线和水准点及其书面资料的期限：</w:t>
      </w:r>
      <w:r>
        <w:rPr>
          <w:rFonts w:hint="eastAsia" w:asciiTheme="minorEastAsia" w:hAnsiTheme="minorEastAsia" w:eastAsiaTheme="minorEastAsia" w:cstheme="minorEastAsia"/>
          <w:b/>
          <w:sz w:val="21"/>
          <w:szCs w:val="21"/>
          <w:u w:val="single"/>
        </w:rPr>
        <w:t>开工前7天</w:t>
      </w:r>
      <w:r>
        <w:rPr>
          <w:rFonts w:hint="eastAsia" w:asciiTheme="minorEastAsia" w:hAnsiTheme="minorEastAsia" w:eastAsiaTheme="minorEastAsia" w:cstheme="minorEastAsia"/>
          <w:sz w:val="21"/>
          <w:szCs w:val="21"/>
        </w:rPr>
        <w:t>。</w:t>
      </w:r>
    </w:p>
    <w:p w14:paraId="5E626AF4">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bookmarkStart w:id="159" w:name="_Toc303539125"/>
      <w:bookmarkStart w:id="160" w:name="_Toc297123516"/>
      <w:bookmarkStart w:id="161" w:name="_Toc297216175"/>
      <w:bookmarkStart w:id="162" w:name="_Toc312678010"/>
      <w:bookmarkStart w:id="163" w:name="_Toc300934968"/>
      <w:bookmarkStart w:id="164" w:name="_Toc304295546"/>
      <w:bookmarkStart w:id="165" w:name="_Toc312677484"/>
      <w:r>
        <w:rPr>
          <w:rFonts w:hint="eastAsia" w:asciiTheme="minorEastAsia" w:hAnsiTheme="minorEastAsia" w:eastAsiaTheme="minorEastAsia" w:cstheme="minorEastAsia"/>
          <w:sz w:val="21"/>
          <w:szCs w:val="21"/>
        </w:rPr>
        <w:t>.5 工期延误</w:t>
      </w:r>
      <w:bookmarkEnd w:id="159"/>
      <w:bookmarkEnd w:id="160"/>
      <w:bookmarkEnd w:id="161"/>
      <w:bookmarkEnd w:id="162"/>
      <w:bookmarkEnd w:id="163"/>
      <w:bookmarkEnd w:id="164"/>
      <w:bookmarkEnd w:id="165"/>
    </w:p>
    <w:p w14:paraId="7847CEF7">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7.5.1 因发包人原因导致工期延误</w:t>
      </w:r>
    </w:p>
    <w:p w14:paraId="7AEEE422">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（7）因发包人原因导致工期延误的其他情形：如果发包人的现场交付发生延误，则实际开工日和工期应由发包人代表核准后顺延，但承包人不对这类开工的延误而引起的任何损失或损坏提出费用索赔。  </w:t>
      </w:r>
    </w:p>
    <w:p w14:paraId="3F71F509">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bookmarkStart w:id="166" w:name="_Toc312677486"/>
      <w:bookmarkStart w:id="167" w:name="_Toc297216177"/>
      <w:bookmarkStart w:id="168" w:name="_Toc318581169"/>
      <w:bookmarkStart w:id="169" w:name="_Toc312678012"/>
      <w:bookmarkStart w:id="170" w:name="_Toc297123518"/>
      <w:bookmarkStart w:id="171" w:name="_Toc300934970"/>
      <w:bookmarkStart w:id="172" w:name="_Toc304295548"/>
      <w:bookmarkStart w:id="173" w:name="_Toc303539127"/>
      <w:r>
        <w:rPr>
          <w:rFonts w:hint="eastAsia" w:asciiTheme="minorEastAsia" w:hAnsiTheme="minorEastAsia" w:eastAsiaTheme="minorEastAsia" w:cstheme="minorEastAsia"/>
          <w:sz w:val="21"/>
          <w:szCs w:val="21"/>
        </w:rPr>
        <w:t>.5.2 因承包人原因导致工期延误</w:t>
      </w:r>
      <w:bookmarkEnd w:id="166"/>
      <w:bookmarkEnd w:id="167"/>
      <w:bookmarkEnd w:id="168"/>
      <w:bookmarkEnd w:id="169"/>
      <w:bookmarkEnd w:id="170"/>
      <w:bookmarkEnd w:id="171"/>
      <w:bookmarkEnd w:id="172"/>
      <w:bookmarkEnd w:id="173"/>
    </w:p>
    <w:p w14:paraId="7A1E1F31">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如因施工单位自身施工组织问题造成工期延误的，延误时间如超过3天，每延误一天，处罚300元，如因工期延误，造成学校重大影响的，学校有权追究责任。（工程延误处罚款项在审计时直接扣除）7</w:t>
      </w:r>
      <w:bookmarkStart w:id="174" w:name="_Toc297123521"/>
      <w:bookmarkStart w:id="175" w:name="_Toc303539130"/>
      <w:bookmarkStart w:id="176" w:name="_Toc312678017"/>
      <w:bookmarkStart w:id="177" w:name="_Toc300934973"/>
      <w:bookmarkStart w:id="178" w:name="_Toc304295551"/>
      <w:bookmarkStart w:id="179" w:name="_Toc297216180"/>
      <w:r>
        <w:rPr>
          <w:rFonts w:hint="eastAsia" w:asciiTheme="minorEastAsia" w:hAnsiTheme="minorEastAsia" w:eastAsiaTheme="minorEastAsia" w:cstheme="minorEastAsia"/>
          <w:sz w:val="21"/>
          <w:szCs w:val="21"/>
        </w:rPr>
        <w:t>.6异常恶劣的气候条件</w:t>
      </w:r>
      <w:bookmarkEnd w:id="174"/>
      <w:bookmarkEnd w:id="175"/>
      <w:bookmarkEnd w:id="176"/>
      <w:bookmarkEnd w:id="177"/>
      <w:bookmarkEnd w:id="178"/>
      <w:bookmarkEnd w:id="179"/>
    </w:p>
    <w:p w14:paraId="499CCE5B">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发包人和承包人同意以下情形视为异常恶劣的气候条件：</w:t>
      </w:r>
    </w:p>
    <w:p w14:paraId="74CADA7B">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（1）因甲方要求的设计变更或非乙方原因造成停电、停水、停气及不可抗力因素影响，导致停工8小时以上（一周内累计计算），工期相应顺延。       </w:t>
      </w:r>
    </w:p>
    <w:p w14:paraId="7268CA46">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u w:val="single"/>
        </w:rPr>
        <w:t>地震、暴风雪</w:t>
      </w:r>
      <w:r>
        <w:rPr>
          <w:rFonts w:hint="eastAsia" w:asciiTheme="minorEastAsia" w:hAnsiTheme="minorEastAsia" w:eastAsiaTheme="minorEastAsia" w:cstheme="minorEastAsia"/>
          <w:sz w:val="21"/>
          <w:szCs w:val="21"/>
        </w:rPr>
        <w:t>。</w:t>
      </w:r>
    </w:p>
    <w:p w14:paraId="17CC55AF">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b/>
          <w:sz w:val="21"/>
          <w:szCs w:val="21"/>
        </w:rPr>
      </w:pPr>
      <w:bookmarkStart w:id="180" w:name="_Toc351203640"/>
      <w:r>
        <w:rPr>
          <w:rFonts w:hint="eastAsia" w:asciiTheme="minorEastAsia" w:hAnsiTheme="minorEastAsia" w:eastAsiaTheme="minorEastAsia" w:cstheme="minorEastAsia"/>
          <w:sz w:val="21"/>
          <w:szCs w:val="21"/>
        </w:rPr>
        <w:t>8. 材料与设备</w:t>
      </w:r>
      <w:bookmarkEnd w:id="180"/>
    </w:p>
    <w:p w14:paraId="7C80E801">
      <w:pPr>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8</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sz w:val="21"/>
          <w:szCs w:val="21"/>
        </w:rPr>
        <w:t>1材料及设备的进场验收：承包人应按投标样品或投标文件和招标文件有关标准要求采购</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工程所需材料设备，并提供产品合格证明，对材料设备质量负责。承包人在采购前和材料设备进场前必须得到发包人和本工程监理工程师的认可，未经认可不得进场。</w:t>
      </w:r>
      <w:bookmarkEnd w:id="133"/>
      <w:bookmarkEnd w:id="134"/>
      <w:bookmarkEnd w:id="135"/>
      <w:bookmarkEnd w:id="136"/>
      <w:bookmarkEnd w:id="137"/>
      <w:bookmarkEnd w:id="138"/>
      <w:bookmarkEnd w:id="139"/>
      <w:bookmarkEnd w:id="140"/>
      <w:bookmarkEnd w:id="141"/>
      <w:bookmarkEnd w:id="142"/>
    </w:p>
    <w:p w14:paraId="08FF49D6">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bookmarkStart w:id="181" w:name="_Toc296347166"/>
      <w:bookmarkStart w:id="182" w:name="_Toc296346668"/>
      <w:bookmarkStart w:id="183" w:name="_Toc303539136"/>
      <w:bookmarkStart w:id="184" w:name="_Toc296891207"/>
      <w:bookmarkStart w:id="185" w:name="_Toc296944506"/>
      <w:bookmarkStart w:id="186" w:name="_Toc296503167"/>
      <w:bookmarkStart w:id="187" w:name="_Toc297123527"/>
      <w:bookmarkStart w:id="188" w:name="_Toc297216186"/>
      <w:bookmarkStart w:id="189" w:name="_Toc297120467"/>
      <w:bookmarkStart w:id="190" w:name="_Toc304295556"/>
      <w:bookmarkStart w:id="191" w:name="_Toc292559877"/>
      <w:bookmarkStart w:id="192" w:name="_Toc300934979"/>
      <w:bookmarkStart w:id="193" w:name="_Toc280868654"/>
      <w:bookmarkStart w:id="194" w:name="_Toc296890995"/>
      <w:bookmarkStart w:id="195" w:name="_Toc312677493"/>
      <w:bookmarkStart w:id="196" w:name="_Toc312678019"/>
      <w:bookmarkStart w:id="197" w:name="_Toc292559372"/>
      <w:bookmarkStart w:id="198" w:name="_Toc297048353"/>
      <w:bookmarkStart w:id="199" w:name="_Toc280868655"/>
      <w:bookmarkStart w:id="200" w:name="_Toc280868656"/>
      <w:bookmarkStart w:id="201" w:name="_Toc267251424"/>
      <w:r>
        <w:rPr>
          <w:rFonts w:hint="eastAsia" w:asciiTheme="minorEastAsia" w:hAnsiTheme="minorEastAsia" w:eastAsiaTheme="minorEastAsia" w:cstheme="minorEastAsia"/>
          <w:sz w:val="21"/>
          <w:szCs w:val="21"/>
        </w:rPr>
        <w:t>.2材料与工程设备的保管与使用</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25589625">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8</w:t>
      </w:r>
      <w:bookmarkStart w:id="202" w:name="_Toc292559373"/>
      <w:bookmarkStart w:id="203" w:name="_Toc292559878"/>
      <w:bookmarkStart w:id="204" w:name="_Toc296346669"/>
      <w:bookmarkStart w:id="205" w:name="_Toc296503168"/>
      <w:bookmarkStart w:id="206" w:name="_Toc318581173"/>
      <w:bookmarkStart w:id="207" w:name="_Toc296891208"/>
      <w:bookmarkStart w:id="208" w:name="_Toc312677494"/>
      <w:bookmarkStart w:id="209" w:name="_Toc304295557"/>
      <w:bookmarkStart w:id="210" w:name="_Toc296890996"/>
      <w:bookmarkStart w:id="211" w:name="_Toc303539137"/>
      <w:bookmarkStart w:id="212" w:name="_Toc297216187"/>
      <w:bookmarkStart w:id="213" w:name="_Toc297048354"/>
      <w:bookmarkStart w:id="214" w:name="_Toc300934980"/>
      <w:bookmarkStart w:id="215" w:name="_Toc296944507"/>
      <w:bookmarkStart w:id="216" w:name="_Toc297123528"/>
      <w:bookmarkStart w:id="217" w:name="_Toc296347167"/>
      <w:bookmarkStart w:id="218" w:name="_Toc312678020"/>
      <w:bookmarkStart w:id="219" w:name="_Toc297120468"/>
      <w:r>
        <w:rPr>
          <w:rFonts w:hint="eastAsia" w:asciiTheme="minorEastAsia" w:hAnsiTheme="minorEastAsia" w:eastAsiaTheme="minorEastAsia" w:cstheme="minorEastAsia"/>
          <w:sz w:val="21"/>
          <w:szCs w:val="21"/>
        </w:rPr>
        <w:t>.2.1发包人供应的材料设备的保管费用的承担：</w:t>
      </w:r>
      <w:r>
        <w:rPr>
          <w:rFonts w:hint="eastAsia" w:asciiTheme="minorEastAsia" w:hAnsiTheme="minorEastAsia" w:eastAsiaTheme="minorEastAsia" w:cstheme="minorEastAsia"/>
          <w:b/>
          <w:sz w:val="21"/>
          <w:szCs w:val="21"/>
          <w:u w:val="single"/>
        </w:rPr>
        <w:t>由承包人承担</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bookmarkEnd w:id="202"/>
      <w:bookmarkEnd w:id="203"/>
    </w:p>
    <w:p w14:paraId="74186A3B">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8.3 样品</w:t>
      </w:r>
    </w:p>
    <w:p w14:paraId="5C5B3FCC">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8.3.1 样品的报送与封存</w:t>
      </w:r>
    </w:p>
    <w:p w14:paraId="052D54F5">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color w:val="000000"/>
          <w:sz w:val="21"/>
          <w:szCs w:val="21"/>
        </w:rPr>
        <w:t>需要承包人报送样品的材料或工程设备，样品的种类、名称、规格、数量要求：</w:t>
      </w:r>
      <w:r>
        <w:rPr>
          <w:rFonts w:hint="eastAsia" w:asciiTheme="minorEastAsia" w:hAnsiTheme="minorEastAsia" w:eastAsiaTheme="minorEastAsia" w:cstheme="minorEastAsia"/>
          <w:b/>
          <w:sz w:val="21"/>
          <w:szCs w:val="21"/>
          <w:u w:val="single"/>
        </w:rPr>
        <w:t xml:space="preserve">按管理部门及发包人要求确定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45262F75">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8.4 施工设备和临时设施</w:t>
      </w:r>
    </w:p>
    <w:p w14:paraId="4824FCB5">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8.4.1 承包人提供的施工设备和临时设施</w:t>
      </w:r>
    </w:p>
    <w:p w14:paraId="0039B279">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关于修建临时设施费用承担的约定：</w:t>
      </w:r>
      <w:r>
        <w:rPr>
          <w:rFonts w:hint="eastAsia" w:asciiTheme="minorEastAsia" w:hAnsiTheme="minorEastAsia" w:eastAsiaTheme="minorEastAsia" w:cstheme="minorEastAsia"/>
          <w:b/>
          <w:sz w:val="21"/>
          <w:szCs w:val="21"/>
          <w:u w:val="single"/>
        </w:rPr>
        <w:t>由承包人承担</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1E6E827E">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b/>
          <w:sz w:val="21"/>
          <w:szCs w:val="21"/>
        </w:rPr>
      </w:pPr>
      <w:bookmarkStart w:id="220" w:name="_Toc351203641"/>
      <w:r>
        <w:rPr>
          <w:rFonts w:hint="eastAsia" w:asciiTheme="minorEastAsia" w:hAnsiTheme="minorEastAsia" w:eastAsiaTheme="minorEastAsia" w:cstheme="minorEastAsia"/>
          <w:sz w:val="21"/>
          <w:szCs w:val="21"/>
        </w:rPr>
        <w:t>9</w:t>
      </w:r>
      <w:bookmarkEnd w:id="199"/>
      <w:bookmarkEnd w:id="200"/>
      <w:bookmarkEnd w:id="201"/>
      <w:bookmarkStart w:id="221" w:name="_Toc297123533"/>
      <w:bookmarkStart w:id="222" w:name="_Toc312678021"/>
      <w:bookmarkStart w:id="223" w:name="_Toc300934982"/>
      <w:bookmarkStart w:id="224" w:name="_Toc297216192"/>
      <w:bookmarkStart w:id="225" w:name="_Toc303539139"/>
      <w:bookmarkStart w:id="226" w:name="_Toc304295559"/>
      <w:bookmarkStart w:id="227" w:name="_Toc312677495"/>
      <w:bookmarkStart w:id="228" w:name="_Toc297120473"/>
      <w:bookmarkStart w:id="229" w:name="_Toc292559883"/>
      <w:bookmarkStart w:id="230" w:name="_Toc296891213"/>
      <w:bookmarkStart w:id="231" w:name="_Toc296944512"/>
      <w:bookmarkStart w:id="232" w:name="_Toc296347172"/>
      <w:bookmarkStart w:id="233" w:name="_Toc296346674"/>
      <w:bookmarkStart w:id="234" w:name="_Toc267251428"/>
      <w:bookmarkStart w:id="235" w:name="_Toc296503173"/>
      <w:bookmarkStart w:id="236" w:name="_Toc267251427"/>
      <w:bookmarkStart w:id="237" w:name="_Toc292559378"/>
      <w:bookmarkStart w:id="238" w:name="_Toc297048359"/>
      <w:bookmarkStart w:id="239" w:name="_Toc296891001"/>
      <w:r>
        <w:rPr>
          <w:rFonts w:hint="eastAsia" w:asciiTheme="minorEastAsia" w:hAnsiTheme="minorEastAsia" w:eastAsiaTheme="minorEastAsia" w:cstheme="minorEastAsia"/>
          <w:sz w:val="21"/>
          <w:szCs w:val="21"/>
        </w:rPr>
        <w:t>. 试验与检验</w:t>
      </w:r>
      <w:bookmarkEnd w:id="220"/>
      <w:bookmarkEnd w:id="221"/>
      <w:bookmarkEnd w:id="222"/>
      <w:bookmarkEnd w:id="223"/>
      <w:bookmarkEnd w:id="224"/>
      <w:bookmarkEnd w:id="225"/>
      <w:bookmarkEnd w:id="226"/>
      <w:bookmarkEnd w:id="227"/>
    </w:p>
    <w:p w14:paraId="567CD983">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bookmarkStart w:id="240" w:name="_Toc297216193"/>
      <w:bookmarkStart w:id="241" w:name="_Toc303539140"/>
      <w:bookmarkStart w:id="242" w:name="_Toc297123534"/>
      <w:bookmarkStart w:id="243" w:name="_Toc312677496"/>
      <w:bookmarkStart w:id="244" w:name="_Toc304295560"/>
      <w:bookmarkStart w:id="245" w:name="_Toc312678022"/>
      <w:bookmarkStart w:id="246" w:name="_Toc300934983"/>
      <w:r>
        <w:rPr>
          <w:rFonts w:hint="eastAsia" w:asciiTheme="minorEastAsia" w:hAnsiTheme="minorEastAsia" w:eastAsiaTheme="minorEastAsia" w:cstheme="minorEastAsia"/>
          <w:sz w:val="21"/>
          <w:szCs w:val="21"/>
        </w:rPr>
        <w:t>.1试验设备与试验人员</w:t>
      </w:r>
      <w:bookmarkEnd w:id="240"/>
      <w:bookmarkEnd w:id="241"/>
      <w:bookmarkEnd w:id="242"/>
      <w:bookmarkEnd w:id="243"/>
      <w:bookmarkEnd w:id="244"/>
      <w:bookmarkEnd w:id="245"/>
      <w:bookmarkEnd w:id="246"/>
    </w:p>
    <w:p w14:paraId="7A13E9AC">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bookmarkStart w:id="247" w:name="_Toc297123535"/>
      <w:bookmarkStart w:id="248" w:name="_Toc312677497"/>
      <w:bookmarkStart w:id="249" w:name="_Toc300934984"/>
      <w:bookmarkStart w:id="250" w:name="_Toc297216194"/>
      <w:bookmarkStart w:id="251" w:name="_Toc303539141"/>
      <w:bookmarkStart w:id="252" w:name="_Toc312678023"/>
      <w:bookmarkStart w:id="253" w:name="_Toc304295561"/>
      <w:bookmarkStart w:id="254" w:name="_Toc318581174"/>
      <w:r>
        <w:rPr>
          <w:rFonts w:hint="eastAsia" w:asciiTheme="minorEastAsia" w:hAnsiTheme="minorEastAsia" w:eastAsiaTheme="minorEastAsia" w:cstheme="minorEastAsia"/>
          <w:sz w:val="21"/>
          <w:szCs w:val="21"/>
        </w:rPr>
        <w:t>.1.1 试验设备</w:t>
      </w:r>
    </w:p>
    <w:p w14:paraId="0106C4D2">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施工现场需要配置的试验场所：</w:t>
      </w:r>
      <w:bookmarkEnd w:id="247"/>
      <w:bookmarkEnd w:id="248"/>
      <w:bookmarkEnd w:id="249"/>
      <w:bookmarkEnd w:id="250"/>
      <w:bookmarkEnd w:id="251"/>
      <w:bookmarkEnd w:id="252"/>
      <w:bookmarkEnd w:id="253"/>
      <w:bookmarkStart w:id="255" w:name="_Toc312677498"/>
      <w:bookmarkStart w:id="256" w:name="_Toc303539142"/>
      <w:bookmarkStart w:id="257" w:name="_Toc312678024"/>
      <w:bookmarkStart w:id="258" w:name="_Toc297216195"/>
      <w:bookmarkStart w:id="259" w:name="_Toc297123536"/>
      <w:bookmarkStart w:id="260" w:name="_Toc304295562"/>
      <w:bookmarkStart w:id="261" w:name="_Toc300934985"/>
      <w:r>
        <w:rPr>
          <w:rFonts w:hint="eastAsia" w:asciiTheme="minorEastAsia" w:hAnsiTheme="minorEastAsia" w:eastAsiaTheme="minorEastAsia" w:cstheme="minorEastAsia"/>
          <w:b/>
          <w:sz w:val="21"/>
          <w:szCs w:val="21"/>
          <w:u w:val="single"/>
        </w:rPr>
        <w:t>按相关规定执行</w:t>
      </w:r>
      <w:r>
        <w:rPr>
          <w:rFonts w:hint="eastAsia" w:asciiTheme="minorEastAsia" w:hAnsiTheme="minorEastAsia" w:eastAsiaTheme="minorEastAsia" w:cstheme="minorEastAsia"/>
          <w:sz w:val="21"/>
          <w:szCs w:val="21"/>
        </w:rPr>
        <w:t xml:space="preserve">。 </w:t>
      </w:r>
    </w:p>
    <w:p w14:paraId="00FD19FD">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施工现场需要配备的试验设备：</w:t>
      </w:r>
      <w:r>
        <w:rPr>
          <w:rFonts w:hint="eastAsia" w:asciiTheme="minorEastAsia" w:hAnsiTheme="minorEastAsia" w:eastAsiaTheme="minorEastAsia" w:cstheme="minorEastAsia"/>
          <w:b/>
          <w:sz w:val="21"/>
          <w:szCs w:val="21"/>
          <w:u w:val="single"/>
        </w:rPr>
        <w:t>按相关规定执行</w:t>
      </w:r>
      <w:r>
        <w:rPr>
          <w:rFonts w:hint="eastAsia" w:asciiTheme="minorEastAsia" w:hAnsiTheme="minorEastAsia" w:eastAsiaTheme="minorEastAsia" w:cstheme="minorEastAsia"/>
          <w:sz w:val="21"/>
          <w:szCs w:val="21"/>
        </w:rPr>
        <w:t>。</w:t>
      </w:r>
    </w:p>
    <w:p w14:paraId="57A89E74">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施工现场需要具备的其他试验条件：</w:t>
      </w:r>
      <w:r>
        <w:rPr>
          <w:rFonts w:hint="eastAsia" w:asciiTheme="minorEastAsia" w:hAnsiTheme="minorEastAsia" w:eastAsiaTheme="minorEastAsia" w:cstheme="minorEastAsia"/>
          <w:b/>
          <w:sz w:val="21"/>
          <w:szCs w:val="21"/>
          <w:u w:val="single"/>
        </w:rPr>
        <w:t>按相关规定执行</w:t>
      </w:r>
      <w:r>
        <w:rPr>
          <w:rFonts w:hint="eastAsia" w:asciiTheme="minorEastAsia" w:hAnsiTheme="minorEastAsia" w:eastAsiaTheme="minorEastAsia" w:cstheme="minorEastAsia"/>
          <w:sz w:val="21"/>
          <w:szCs w:val="21"/>
        </w:rPr>
        <w:t>。</w:t>
      </w:r>
      <w:bookmarkEnd w:id="254"/>
      <w:bookmarkEnd w:id="255"/>
      <w:bookmarkEnd w:id="256"/>
      <w:bookmarkEnd w:id="257"/>
      <w:bookmarkEnd w:id="258"/>
      <w:bookmarkEnd w:id="259"/>
      <w:bookmarkEnd w:id="260"/>
      <w:bookmarkEnd w:id="261"/>
    </w:p>
    <w:p w14:paraId="2FE81526">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b/>
          <w:sz w:val="21"/>
          <w:szCs w:val="21"/>
        </w:rPr>
      </w:pPr>
      <w:bookmarkStart w:id="262" w:name="_Toc351203642"/>
      <w:r>
        <w:rPr>
          <w:rFonts w:hint="eastAsia" w:asciiTheme="minorEastAsia" w:hAnsiTheme="minorEastAsia" w:eastAsiaTheme="minorEastAsia" w:cstheme="minorEastAsia"/>
          <w:sz w:val="21"/>
          <w:szCs w:val="21"/>
        </w:rPr>
        <w:t>1</w:t>
      </w:r>
      <w:bookmarkEnd w:id="228"/>
      <w:bookmarkEnd w:id="229"/>
      <w:bookmarkEnd w:id="230"/>
      <w:bookmarkEnd w:id="231"/>
      <w:bookmarkEnd w:id="232"/>
      <w:bookmarkEnd w:id="233"/>
      <w:bookmarkEnd w:id="234"/>
      <w:bookmarkEnd w:id="235"/>
      <w:bookmarkEnd w:id="236"/>
      <w:bookmarkEnd w:id="237"/>
      <w:bookmarkEnd w:id="238"/>
      <w:bookmarkEnd w:id="239"/>
      <w:bookmarkStart w:id="263" w:name="_Toc312678025"/>
      <w:bookmarkStart w:id="264" w:name="_Toc297120493"/>
      <w:bookmarkStart w:id="265" w:name="_Toc292559903"/>
      <w:bookmarkStart w:id="266" w:name="_Toc297048379"/>
      <w:bookmarkStart w:id="267" w:name="_Toc296346694"/>
      <w:bookmarkStart w:id="268" w:name="_Toc304295566"/>
      <w:bookmarkStart w:id="269" w:name="_Toc296891233"/>
      <w:bookmarkStart w:id="270" w:name="_Toc296944532"/>
      <w:bookmarkStart w:id="271" w:name="_Toc303539146"/>
      <w:bookmarkStart w:id="272" w:name="_Toc296347192"/>
      <w:bookmarkStart w:id="273" w:name="_Toc296891021"/>
      <w:bookmarkStart w:id="274" w:name="_Toc312677499"/>
      <w:bookmarkStart w:id="275" w:name="_Toc300934989"/>
      <w:bookmarkStart w:id="276" w:name="_Toc297216199"/>
      <w:bookmarkStart w:id="277" w:name="_Toc292559398"/>
      <w:bookmarkStart w:id="278" w:name="_Toc297123540"/>
      <w:bookmarkStart w:id="279" w:name="_Toc296503193"/>
      <w:bookmarkStart w:id="280" w:name="_Toc267251433"/>
      <w:bookmarkStart w:id="281" w:name="_Toc267251441"/>
      <w:bookmarkStart w:id="282" w:name="_Toc267251439"/>
      <w:bookmarkStart w:id="283" w:name="_Toc267251435"/>
      <w:bookmarkStart w:id="284" w:name="_Toc267251440"/>
      <w:bookmarkStart w:id="285" w:name="_Toc267251437"/>
      <w:bookmarkStart w:id="286" w:name="_Toc267251442"/>
      <w:r>
        <w:rPr>
          <w:rFonts w:hint="eastAsia" w:asciiTheme="minorEastAsia" w:hAnsiTheme="minorEastAsia" w:eastAsiaTheme="minorEastAsia" w:cstheme="minorEastAsia"/>
          <w:sz w:val="21"/>
          <w:szCs w:val="21"/>
        </w:rPr>
        <w:t>0. 变更</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235A2F65">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bookmarkStart w:id="287" w:name="_Toc312677500"/>
      <w:bookmarkStart w:id="288" w:name="_Toc292559399"/>
      <w:bookmarkStart w:id="289" w:name="_Toc297048380"/>
      <w:bookmarkStart w:id="290" w:name="_Toc300934990"/>
      <w:bookmarkStart w:id="291" w:name="_Toc296347193"/>
      <w:bookmarkStart w:id="292" w:name="_Toc296891234"/>
      <w:bookmarkStart w:id="293" w:name="_Toc296944533"/>
      <w:bookmarkStart w:id="294" w:name="_Toc304295567"/>
      <w:bookmarkStart w:id="295" w:name="_Toc297123541"/>
      <w:bookmarkStart w:id="296" w:name="_Toc303539147"/>
      <w:bookmarkStart w:id="297" w:name="_Toc312678026"/>
      <w:bookmarkStart w:id="298" w:name="_Toc296346695"/>
      <w:bookmarkStart w:id="299" w:name="_Toc292559904"/>
      <w:bookmarkStart w:id="300" w:name="_Toc296891022"/>
      <w:bookmarkStart w:id="301" w:name="_Toc296503194"/>
      <w:bookmarkStart w:id="302" w:name="_Toc297120494"/>
      <w:bookmarkStart w:id="303" w:name="_Toc297216200"/>
      <w:r>
        <w:rPr>
          <w:rFonts w:hint="eastAsia" w:asciiTheme="minorEastAsia" w:hAnsiTheme="minorEastAsia" w:eastAsiaTheme="minorEastAsia" w:cstheme="minorEastAsia"/>
          <w:sz w:val="21"/>
          <w:szCs w:val="21"/>
        </w:rPr>
        <w:t>0.1变更的范围</w:t>
      </w:r>
    </w:p>
    <w:p w14:paraId="7CF036CF">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b/>
          <w:color w:val="000000"/>
          <w:sz w:val="21"/>
          <w:szCs w:val="21"/>
          <w:u w:val="single"/>
        </w:rPr>
      </w:pPr>
      <w:r>
        <w:rPr>
          <w:rFonts w:hint="eastAsia" w:asciiTheme="minorEastAsia" w:hAnsiTheme="minorEastAsia" w:eastAsiaTheme="minorEastAsia" w:cstheme="minorEastAsia"/>
          <w:color w:val="000000"/>
          <w:sz w:val="21"/>
          <w:szCs w:val="21"/>
        </w:rPr>
        <w:t>关于变更的范围的约定：</w:t>
      </w:r>
      <w:r>
        <w:rPr>
          <w:rFonts w:hint="eastAsia" w:asciiTheme="minorEastAsia" w:hAnsiTheme="minorEastAsia" w:eastAsiaTheme="minorEastAsia" w:cstheme="minorEastAsia"/>
          <w:b/>
          <w:color w:val="000000"/>
          <w:sz w:val="21"/>
          <w:szCs w:val="21"/>
          <w:u w:val="single"/>
        </w:rPr>
        <w:t>增加或减少合同中任何工作，或追加额外的工作；改变合同中任何工作的质量标准或其他特性；但变更追加总金额不得超过原合同采购金额的百分之十，合计不得超过项目预算。超过原合同采购金额百分之十的，应重新组织采购活动。</w:t>
      </w:r>
    </w:p>
    <w:p w14:paraId="176B792C">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10.2 变更估价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140AAE7F">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10.2.1 变更估价原则</w:t>
      </w:r>
    </w:p>
    <w:p w14:paraId="5C09D73F">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 xml:space="preserve">关于变更估价的约定: </w:t>
      </w:r>
    </w:p>
    <w:p w14:paraId="577F6E03">
      <w:pPr>
        <w:pageBreakBefore w:val="0"/>
        <w:kinsoku/>
        <w:wordWrap/>
        <w:overflowPunct/>
        <w:topLinePunct w:val="0"/>
        <w:autoSpaceDE/>
        <w:autoSpaceDN/>
        <w:bidi w:val="0"/>
        <w:adjustRightInd/>
        <w:snapToGrid/>
        <w:spacing w:line="500" w:lineRule="exact"/>
        <w:ind w:firstLine="482"/>
        <w:textAlignment w:val="auto"/>
        <w:rPr>
          <w:rFonts w:hint="eastAsia" w:asciiTheme="minorEastAsia" w:hAnsiTheme="minorEastAsia" w:eastAsiaTheme="minorEastAsia" w:cstheme="minorEastAsia"/>
          <w:b/>
          <w:sz w:val="21"/>
          <w:szCs w:val="21"/>
          <w:u w:val="single"/>
        </w:rPr>
      </w:pPr>
      <w:r>
        <w:rPr>
          <w:rFonts w:hint="eastAsia" w:asciiTheme="minorEastAsia" w:hAnsiTheme="minorEastAsia" w:eastAsiaTheme="minorEastAsia" w:cstheme="minorEastAsia"/>
          <w:b/>
          <w:sz w:val="21"/>
          <w:szCs w:val="21"/>
          <w:u w:val="single"/>
        </w:rPr>
        <w:t>（1）已标价工程量清单中有适用的综合单价，按照已有的中标综合单价确定；</w:t>
      </w:r>
    </w:p>
    <w:p w14:paraId="06112B46">
      <w:pPr>
        <w:pageBreakBefore w:val="0"/>
        <w:kinsoku/>
        <w:wordWrap/>
        <w:overflowPunct/>
        <w:topLinePunct w:val="0"/>
        <w:autoSpaceDE/>
        <w:autoSpaceDN/>
        <w:bidi w:val="0"/>
        <w:adjustRightInd/>
        <w:snapToGrid/>
        <w:spacing w:line="500" w:lineRule="exact"/>
        <w:ind w:firstLine="482"/>
        <w:textAlignment w:val="auto"/>
        <w:rPr>
          <w:rFonts w:hint="eastAsia" w:asciiTheme="minorEastAsia" w:hAnsiTheme="minorEastAsia" w:eastAsiaTheme="minorEastAsia" w:cstheme="minorEastAsia"/>
          <w:b/>
          <w:sz w:val="21"/>
          <w:szCs w:val="21"/>
          <w:u w:val="single"/>
        </w:rPr>
      </w:pPr>
      <w:r>
        <w:rPr>
          <w:rFonts w:hint="eastAsia" w:asciiTheme="minorEastAsia" w:hAnsiTheme="minorEastAsia" w:eastAsiaTheme="minorEastAsia" w:cstheme="minorEastAsia"/>
          <w:b/>
          <w:sz w:val="21"/>
          <w:szCs w:val="21"/>
          <w:u w:val="single"/>
        </w:rPr>
        <w:t>（2）已标价工程量清单中有类似的综合单价，参照类似的中标综合单价确定；</w:t>
      </w:r>
    </w:p>
    <w:p w14:paraId="3BFB6558">
      <w:pPr>
        <w:pageBreakBefore w:val="0"/>
        <w:kinsoku/>
        <w:wordWrap/>
        <w:overflowPunct/>
        <w:topLinePunct w:val="0"/>
        <w:autoSpaceDE/>
        <w:autoSpaceDN/>
        <w:bidi w:val="0"/>
        <w:adjustRightInd/>
        <w:snapToGrid/>
        <w:spacing w:line="500" w:lineRule="exact"/>
        <w:ind w:firstLine="482"/>
        <w:textAlignment w:val="auto"/>
        <w:rPr>
          <w:rFonts w:hint="eastAsia" w:asciiTheme="minorEastAsia" w:hAnsiTheme="minorEastAsia" w:eastAsiaTheme="minorEastAsia" w:cstheme="minorEastAsia"/>
          <w:b/>
          <w:color w:val="000000"/>
          <w:sz w:val="21"/>
          <w:szCs w:val="21"/>
          <w:u w:val="single"/>
        </w:rPr>
      </w:pPr>
      <w:r>
        <w:rPr>
          <w:rFonts w:hint="eastAsia" w:asciiTheme="minorEastAsia" w:hAnsiTheme="minorEastAsia" w:eastAsiaTheme="minorEastAsia" w:cstheme="minorEastAsia"/>
          <w:b/>
          <w:sz w:val="21"/>
          <w:szCs w:val="21"/>
          <w:u w:val="single"/>
        </w:rPr>
        <w:t>（3）已标价工程量清单中没有适用或类似的综合单价，由承包人提出综合单价，综合单价不高于招标时采用的江苏省定额和施工期的盐城市造价管理部门发布的材料价格信息及省、市有关造价管理规定计算并进行优惠，经发包人审核后确定变更综合单价，变更优惠率为：〔1-（中标价-暂列金额-暂估价）/（招标控制价-暂列金额-暂估价）〕×100%，其中按双方认可的市场价格计入的材料、设备等价格，该材料、设备不再优惠。</w:t>
      </w:r>
    </w:p>
    <w:p w14:paraId="062E5ECB">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bookmarkStart w:id="304" w:name="_Toc296346700"/>
      <w:bookmarkStart w:id="305" w:name="_Toc297120499"/>
      <w:bookmarkStart w:id="306" w:name="_Toc296347198"/>
      <w:bookmarkStart w:id="307" w:name="_Toc292559909"/>
      <w:bookmarkStart w:id="308" w:name="_Toc296503199"/>
      <w:bookmarkStart w:id="309" w:name="_Toc312677507"/>
      <w:bookmarkStart w:id="310" w:name="_Toc296944538"/>
      <w:bookmarkStart w:id="311" w:name="_Toc297048385"/>
      <w:bookmarkStart w:id="312" w:name="_Toc297216207"/>
      <w:bookmarkStart w:id="313" w:name="_Toc292559404"/>
      <w:bookmarkStart w:id="314" w:name="_Toc296891027"/>
      <w:bookmarkStart w:id="315" w:name="_Toc304295574"/>
      <w:bookmarkStart w:id="316" w:name="_Toc303539154"/>
      <w:bookmarkStart w:id="317" w:name="_Toc300934997"/>
      <w:bookmarkStart w:id="318" w:name="_Toc296891239"/>
      <w:bookmarkStart w:id="319" w:name="_Toc312678033"/>
      <w:bookmarkStart w:id="320" w:name="_Toc297123548"/>
      <w:r>
        <w:rPr>
          <w:rFonts w:hint="eastAsia" w:asciiTheme="minorEastAsia" w:hAnsiTheme="minorEastAsia" w:eastAsiaTheme="minorEastAsia" w:cstheme="minorEastAsia"/>
          <w:sz w:val="21"/>
          <w:szCs w:val="21"/>
        </w:rPr>
        <w:t>0.3暂估价</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048E1085">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暂</w:t>
      </w:r>
      <w:bookmarkStart w:id="321" w:name="_Toc318581176"/>
      <w:bookmarkStart w:id="322" w:name="_Toc312678034"/>
      <w:bookmarkStart w:id="323" w:name="_Toc312677508"/>
      <w:r>
        <w:rPr>
          <w:rFonts w:hint="eastAsia" w:asciiTheme="minorEastAsia" w:hAnsiTheme="minorEastAsia" w:eastAsiaTheme="minorEastAsia" w:cstheme="minorEastAsia"/>
          <w:sz w:val="21"/>
          <w:szCs w:val="21"/>
        </w:rPr>
        <w:t>估价材料和工程设备的明细详见附件：《</w:t>
      </w:r>
      <w:r>
        <w:rPr>
          <w:rFonts w:hint="eastAsia" w:asciiTheme="minorEastAsia" w:hAnsiTheme="minorEastAsia" w:eastAsiaTheme="minorEastAsia" w:cstheme="minorEastAsia"/>
          <w:color w:val="000000"/>
          <w:sz w:val="21"/>
          <w:szCs w:val="21"/>
        </w:rPr>
        <w:t>暂估价一览表》</w:t>
      </w:r>
      <w:r>
        <w:rPr>
          <w:rFonts w:hint="eastAsia" w:asciiTheme="minorEastAsia" w:hAnsiTheme="minorEastAsia" w:eastAsiaTheme="minorEastAsia" w:cstheme="minorEastAsia"/>
          <w:sz w:val="21"/>
          <w:szCs w:val="21"/>
        </w:rPr>
        <w:t>。</w:t>
      </w:r>
      <w:bookmarkEnd w:id="321"/>
      <w:bookmarkEnd w:id="322"/>
      <w:bookmarkEnd w:id="323"/>
    </w:p>
    <w:p w14:paraId="603A1F29">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bookmarkStart w:id="324" w:name="_Toc312677509"/>
      <w:bookmarkStart w:id="325" w:name="_Toc318581177"/>
      <w:bookmarkStart w:id="326" w:name="_Toc312678035"/>
      <w:r>
        <w:rPr>
          <w:rFonts w:hint="eastAsia" w:asciiTheme="minorEastAsia" w:hAnsiTheme="minorEastAsia" w:eastAsiaTheme="minorEastAsia" w:cstheme="minorEastAsia"/>
          <w:sz w:val="21"/>
          <w:szCs w:val="21"/>
        </w:rPr>
        <w:t>0.3.1暂估价项目</w:t>
      </w:r>
      <w:bookmarkEnd w:id="324"/>
      <w:bookmarkEnd w:id="325"/>
      <w:bookmarkEnd w:id="326"/>
    </w:p>
    <w:p w14:paraId="202F88A4">
      <w:pPr>
        <w:pageBreakBefore w:val="0"/>
        <w:kinsoku/>
        <w:wordWrap/>
        <w:overflowPunct/>
        <w:topLinePunct w:val="0"/>
        <w:autoSpaceDE/>
        <w:autoSpaceDN/>
        <w:bidi w:val="0"/>
        <w:adjustRightInd/>
        <w:snapToGrid/>
        <w:spacing w:line="500" w:lineRule="exact"/>
        <w:ind w:firstLine="482"/>
        <w:jc w:val="left"/>
        <w:textAlignment w:val="auto"/>
        <w:rPr>
          <w:rFonts w:hint="eastAsia" w:asciiTheme="minorEastAsia" w:hAnsiTheme="minorEastAsia" w:eastAsiaTheme="minorEastAsia" w:cstheme="minorEastAsia"/>
          <w:b/>
          <w:sz w:val="21"/>
          <w:szCs w:val="21"/>
          <w:u w:val="single"/>
        </w:rPr>
      </w:pPr>
      <w:r>
        <w:rPr>
          <w:rFonts w:hint="eastAsia" w:asciiTheme="minorEastAsia" w:hAnsiTheme="minorEastAsia" w:eastAsiaTheme="minorEastAsia" w:cstheme="minorEastAsia"/>
          <w:b/>
          <w:sz w:val="21"/>
          <w:szCs w:val="21"/>
          <w:u w:val="single"/>
        </w:rPr>
        <w:t>由发包人和承包人以招标或询价方式共同确定暂估价供应商或分包人的，承包人应按照施工进度计划，在采购工作启动前14天通知发包人，并提交暂估价采购方案和工作分工。确定暂估价中标成交人后，由发包人、承包人与中标成交人共同签订暂估价合同。暂估价价差在项目决算时进行税前调整；如果有分包施工项目时，决算时应追加承包人暂估价项目2%的总承包管理费。</w:t>
      </w:r>
    </w:p>
    <w:p w14:paraId="0DA2E385">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 xml:space="preserve">10.3.2 </w:t>
      </w:r>
      <w:r>
        <w:rPr>
          <w:rFonts w:hint="eastAsia" w:asciiTheme="minorEastAsia" w:hAnsiTheme="minorEastAsia" w:eastAsiaTheme="minorEastAsia" w:cstheme="minorEastAsia"/>
          <w:color w:val="000000"/>
          <w:sz w:val="21"/>
          <w:szCs w:val="21"/>
        </w:rPr>
        <w:t>暂列金额</w:t>
      </w:r>
    </w:p>
    <w:p w14:paraId="22903068">
      <w:pPr>
        <w:pageBreakBefore w:val="0"/>
        <w:kinsoku/>
        <w:wordWrap/>
        <w:overflowPunct/>
        <w:topLinePunct w:val="0"/>
        <w:autoSpaceDE/>
        <w:autoSpaceDN/>
        <w:bidi w:val="0"/>
        <w:adjustRightInd/>
        <w:snapToGrid/>
        <w:spacing w:line="500" w:lineRule="exact"/>
        <w:ind w:firstLine="482"/>
        <w:jc w:val="left"/>
        <w:textAlignment w:val="auto"/>
        <w:rPr>
          <w:rFonts w:hint="eastAsia" w:asciiTheme="minorEastAsia" w:hAnsiTheme="minorEastAsia" w:eastAsiaTheme="minorEastAsia" w:cstheme="minorEastAsia"/>
          <w:b/>
          <w:sz w:val="21"/>
          <w:szCs w:val="21"/>
          <w:u w:val="single"/>
        </w:rPr>
      </w:pPr>
      <w:r>
        <w:rPr>
          <w:rFonts w:hint="eastAsia" w:asciiTheme="minorEastAsia" w:hAnsiTheme="minorEastAsia" w:eastAsiaTheme="minorEastAsia" w:cstheme="minorEastAsia"/>
          <w:b/>
          <w:sz w:val="21"/>
          <w:szCs w:val="21"/>
          <w:u w:val="single"/>
        </w:rPr>
        <w:t>暂列金额应按照发包人的要求使用，发包人的要求应通过监理人发出。</w:t>
      </w:r>
    </w:p>
    <w:p w14:paraId="212BFB72">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b/>
          <w:sz w:val="21"/>
          <w:szCs w:val="21"/>
        </w:rPr>
      </w:pPr>
      <w:bookmarkStart w:id="327" w:name="_Toc351203643"/>
      <w:r>
        <w:rPr>
          <w:rFonts w:hint="eastAsia" w:asciiTheme="minorEastAsia" w:hAnsiTheme="minorEastAsia" w:eastAsiaTheme="minorEastAsia" w:cstheme="minorEastAsia"/>
          <w:sz w:val="21"/>
          <w:szCs w:val="21"/>
        </w:rPr>
        <w:t>11. 价格调整</w:t>
      </w:r>
      <w:bookmarkEnd w:id="327"/>
    </w:p>
    <w:p w14:paraId="53291ABB">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bookmarkStart w:id="328" w:name="_Toc297048387"/>
      <w:bookmarkStart w:id="329" w:name="_Toc292559406"/>
      <w:bookmarkStart w:id="330" w:name="_Toc297216209"/>
      <w:bookmarkStart w:id="331" w:name="_Toc296347200"/>
      <w:bookmarkStart w:id="332" w:name="_Toc300935000"/>
      <w:bookmarkStart w:id="333" w:name="_Toc312678039"/>
      <w:bookmarkStart w:id="334" w:name="_Toc296503201"/>
      <w:bookmarkStart w:id="335" w:name="_Toc297123550"/>
      <w:bookmarkStart w:id="336" w:name="_Toc292559911"/>
      <w:bookmarkStart w:id="337" w:name="_Toc296944540"/>
      <w:bookmarkStart w:id="338" w:name="_Toc303539157"/>
      <w:bookmarkStart w:id="339" w:name="_Toc297120501"/>
      <w:bookmarkStart w:id="340" w:name="_Toc296346702"/>
      <w:bookmarkStart w:id="341" w:name="_Toc296891241"/>
      <w:bookmarkStart w:id="342" w:name="_Toc304295577"/>
      <w:bookmarkStart w:id="343" w:name="_Toc296891029"/>
      <w:r>
        <w:rPr>
          <w:rFonts w:hint="eastAsia" w:asciiTheme="minorEastAsia" w:hAnsiTheme="minorEastAsia" w:eastAsiaTheme="minorEastAsia" w:cstheme="minorEastAsia"/>
          <w:sz w:val="21"/>
          <w:szCs w:val="21"/>
        </w:rPr>
        <w:t>11.1 市场价格波动引起的调整</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5F709BDA">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市场价格波动是否调整合同价格的约定：</w:t>
      </w:r>
      <w:r>
        <w:rPr>
          <w:rFonts w:hint="eastAsia" w:asciiTheme="minorEastAsia" w:hAnsiTheme="minorEastAsia" w:eastAsiaTheme="minorEastAsia" w:cstheme="minorEastAsia"/>
          <w:b/>
          <w:sz w:val="21"/>
          <w:szCs w:val="21"/>
          <w:u w:val="single"/>
        </w:rPr>
        <w:t>不调整</w:t>
      </w:r>
      <w:r>
        <w:rPr>
          <w:rFonts w:hint="eastAsia" w:asciiTheme="minorEastAsia" w:hAnsiTheme="minorEastAsia" w:eastAsiaTheme="minorEastAsia" w:cstheme="minorEastAsia"/>
          <w:sz w:val="21"/>
          <w:szCs w:val="21"/>
        </w:rPr>
        <w:t>。</w:t>
      </w:r>
      <w:bookmarkEnd w:id="280"/>
      <w:bookmarkEnd w:id="281"/>
      <w:bookmarkEnd w:id="282"/>
      <w:bookmarkEnd w:id="283"/>
      <w:bookmarkEnd w:id="284"/>
      <w:bookmarkEnd w:id="285"/>
    </w:p>
    <w:p w14:paraId="23528AC0">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b/>
          <w:sz w:val="21"/>
          <w:szCs w:val="21"/>
        </w:rPr>
      </w:pPr>
      <w:bookmarkStart w:id="344" w:name="_Toc292559915"/>
      <w:bookmarkStart w:id="345" w:name="_Toc296347204"/>
      <w:bookmarkStart w:id="346" w:name="_Toc296891245"/>
      <w:bookmarkStart w:id="347" w:name="_Toc296503205"/>
      <w:bookmarkStart w:id="348" w:name="_Toc296891033"/>
      <w:bookmarkStart w:id="349" w:name="_Toc296944544"/>
      <w:bookmarkStart w:id="350" w:name="_Toc297048391"/>
      <w:bookmarkStart w:id="351" w:name="_Toc292559410"/>
      <w:bookmarkStart w:id="352" w:name="_Toc296346706"/>
      <w:bookmarkStart w:id="353" w:name="_Toc297120505"/>
      <w:bookmarkStart w:id="354" w:name="_Toc297123552"/>
      <w:bookmarkStart w:id="355" w:name="_Toc304295579"/>
      <w:bookmarkStart w:id="356" w:name="_Toc351203644"/>
      <w:bookmarkStart w:id="357" w:name="_Toc303539159"/>
      <w:bookmarkStart w:id="358" w:name="_Toc312678040"/>
      <w:bookmarkStart w:id="359" w:name="_Toc300935002"/>
      <w:bookmarkStart w:id="360" w:name="_Toc297216211"/>
      <w:r>
        <w:rPr>
          <w:rFonts w:hint="eastAsia" w:asciiTheme="minorEastAsia" w:hAnsiTheme="minorEastAsia" w:eastAsiaTheme="minorEastAsia" w:cstheme="minorEastAsia"/>
          <w:sz w:val="21"/>
          <w:szCs w:val="21"/>
        </w:rPr>
        <w:t xml:space="preserve">12. </w:t>
      </w:r>
      <w:bookmarkEnd w:id="344"/>
      <w:bookmarkEnd w:id="345"/>
      <w:bookmarkEnd w:id="346"/>
      <w:bookmarkEnd w:id="347"/>
      <w:bookmarkEnd w:id="348"/>
      <w:bookmarkEnd w:id="349"/>
      <w:bookmarkEnd w:id="350"/>
      <w:bookmarkEnd w:id="351"/>
      <w:bookmarkEnd w:id="352"/>
      <w:bookmarkEnd w:id="353"/>
      <w:r>
        <w:rPr>
          <w:rFonts w:hint="eastAsia" w:asciiTheme="minorEastAsia" w:hAnsiTheme="minorEastAsia" w:eastAsiaTheme="minorEastAsia" w:cstheme="minorEastAsia"/>
          <w:sz w:val="21"/>
          <w:szCs w:val="21"/>
        </w:rPr>
        <w:t>合同价格、计量与支付</w:t>
      </w:r>
      <w:bookmarkEnd w:id="354"/>
      <w:bookmarkEnd w:id="355"/>
      <w:bookmarkEnd w:id="356"/>
      <w:bookmarkEnd w:id="357"/>
      <w:bookmarkEnd w:id="358"/>
      <w:bookmarkEnd w:id="359"/>
      <w:bookmarkEnd w:id="360"/>
    </w:p>
    <w:p w14:paraId="63A34E57">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bookmarkStart w:id="361" w:name="_Toc292559411"/>
      <w:bookmarkStart w:id="362" w:name="_Toc292559916"/>
      <w:bookmarkStart w:id="363" w:name="_Toc267251461"/>
      <w:bookmarkStart w:id="364" w:name="_Toc297048392"/>
      <w:bookmarkStart w:id="365" w:name="_Toc296346707"/>
      <w:bookmarkStart w:id="366" w:name="_Toc296944545"/>
      <w:bookmarkStart w:id="367" w:name="_Toc296891246"/>
      <w:bookmarkStart w:id="368" w:name="_Toc297120506"/>
      <w:bookmarkStart w:id="369" w:name="_Toc296503206"/>
      <w:bookmarkStart w:id="370" w:name="_Toc296891034"/>
      <w:bookmarkStart w:id="371" w:name="_Toc296347205"/>
      <w:bookmarkStart w:id="372" w:name="_Toc303539160"/>
      <w:bookmarkStart w:id="373" w:name="_Toc300935003"/>
      <w:bookmarkStart w:id="374" w:name="_Toc297216212"/>
      <w:bookmarkStart w:id="375" w:name="_Toc297123553"/>
      <w:bookmarkStart w:id="376" w:name="_Toc312678041"/>
      <w:bookmarkStart w:id="377" w:name="_Toc304295580"/>
      <w:r>
        <w:rPr>
          <w:rFonts w:hint="eastAsia" w:asciiTheme="minorEastAsia" w:hAnsiTheme="minorEastAsia" w:eastAsiaTheme="minorEastAsia" w:cstheme="minorEastAsia"/>
          <w:sz w:val="21"/>
          <w:szCs w:val="21"/>
        </w:rPr>
        <w:t>12.1 合</w:t>
      </w:r>
      <w:bookmarkEnd w:id="361"/>
      <w:bookmarkEnd w:id="362"/>
      <w:bookmarkEnd w:id="363"/>
      <w:r>
        <w:rPr>
          <w:rFonts w:hint="eastAsia" w:asciiTheme="minorEastAsia" w:hAnsiTheme="minorEastAsia" w:eastAsiaTheme="minorEastAsia" w:cstheme="minorEastAsia"/>
          <w:sz w:val="21"/>
          <w:szCs w:val="21"/>
        </w:rPr>
        <w:t>同价</w:t>
      </w:r>
      <w:bookmarkEnd w:id="364"/>
      <w:bookmarkEnd w:id="365"/>
      <w:bookmarkEnd w:id="366"/>
      <w:bookmarkEnd w:id="367"/>
      <w:bookmarkEnd w:id="368"/>
      <w:bookmarkEnd w:id="369"/>
      <w:bookmarkEnd w:id="370"/>
      <w:bookmarkEnd w:id="371"/>
      <w:r>
        <w:rPr>
          <w:rFonts w:hint="eastAsia" w:asciiTheme="minorEastAsia" w:hAnsiTheme="minorEastAsia" w:eastAsiaTheme="minorEastAsia" w:cstheme="minorEastAsia"/>
          <w:sz w:val="21"/>
          <w:szCs w:val="21"/>
        </w:rPr>
        <w:t xml:space="preserve">格形式: </w:t>
      </w:r>
      <w:r>
        <w:rPr>
          <w:rFonts w:hint="eastAsia" w:asciiTheme="minorEastAsia" w:hAnsiTheme="minorEastAsia" w:eastAsiaTheme="minorEastAsia" w:cstheme="minorEastAsia"/>
          <w:b/>
          <w:sz w:val="21"/>
          <w:szCs w:val="21"/>
          <w:u w:val="single"/>
        </w:rPr>
        <w:t>限定总价审计结算。</w:t>
      </w:r>
      <w:bookmarkEnd w:id="372"/>
      <w:bookmarkEnd w:id="373"/>
      <w:bookmarkEnd w:id="374"/>
      <w:bookmarkEnd w:id="375"/>
      <w:bookmarkEnd w:id="376"/>
      <w:bookmarkEnd w:id="377"/>
    </w:p>
    <w:p w14:paraId="5E3C127E">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12.2 计量</w:t>
      </w:r>
    </w:p>
    <w:p w14:paraId="5A8446DE">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12.2.1 计量原则</w:t>
      </w:r>
    </w:p>
    <w:p w14:paraId="31EB84A6">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b/>
          <w:color w:val="000000"/>
          <w:sz w:val="21"/>
          <w:szCs w:val="21"/>
          <w:u w:val="single"/>
        </w:rPr>
      </w:pPr>
      <w:r>
        <w:rPr>
          <w:rFonts w:hint="eastAsia" w:asciiTheme="minorEastAsia" w:hAnsiTheme="minorEastAsia" w:eastAsiaTheme="minorEastAsia" w:cstheme="minorEastAsia"/>
          <w:color w:val="000000"/>
          <w:sz w:val="21"/>
          <w:szCs w:val="21"/>
        </w:rPr>
        <w:t>工程量计算规则：</w:t>
      </w:r>
      <w:r>
        <w:rPr>
          <w:rFonts w:hint="eastAsia" w:asciiTheme="minorEastAsia" w:hAnsiTheme="minorEastAsia" w:eastAsiaTheme="minorEastAsia" w:cstheme="minorEastAsia"/>
          <w:b/>
          <w:color w:val="000000"/>
          <w:sz w:val="21"/>
          <w:szCs w:val="21"/>
          <w:u w:val="single"/>
        </w:rPr>
        <w:t>工程量计算规则执行国家标准《建设工程工程量清单计价规范》(GB50500—2013)或其适用的修订版本。</w:t>
      </w:r>
    </w:p>
    <w:p w14:paraId="676BFECA">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12.2.2 计量周期</w:t>
      </w:r>
    </w:p>
    <w:p w14:paraId="3A8744EF">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b/>
          <w:color w:val="000000"/>
          <w:sz w:val="21"/>
          <w:szCs w:val="21"/>
          <w:u w:val="single"/>
        </w:rPr>
      </w:pPr>
      <w:r>
        <w:rPr>
          <w:rFonts w:hint="eastAsia" w:asciiTheme="minorEastAsia" w:hAnsiTheme="minorEastAsia" w:eastAsiaTheme="minorEastAsia" w:cstheme="minorEastAsia"/>
          <w:color w:val="000000"/>
          <w:sz w:val="21"/>
          <w:szCs w:val="21"/>
        </w:rPr>
        <w:t>关于计量周期的约定：</w:t>
      </w:r>
      <w:r>
        <w:rPr>
          <w:rFonts w:hint="eastAsia" w:asciiTheme="minorEastAsia" w:hAnsiTheme="minorEastAsia" w:eastAsiaTheme="minorEastAsia" w:cstheme="minorEastAsia"/>
          <w:b/>
          <w:color w:val="000000"/>
          <w:sz w:val="21"/>
          <w:szCs w:val="21"/>
          <w:u w:val="single"/>
        </w:rPr>
        <w:t>按形象进度计量。</w:t>
      </w:r>
    </w:p>
    <w:p w14:paraId="4CD9C7F3">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12.3 工程进度款支付</w:t>
      </w:r>
    </w:p>
    <w:p w14:paraId="48003FF2">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12.3.1 项目验收合格后无质量问题支付合同价的60%款项；审计合格后付至审计价的80%，一年后无质量问题付至审计价的90%，二年后无质量问题付至审计价的95%，余款待质保结束后无质量问题一次性无息付清。</w:t>
      </w:r>
    </w:p>
    <w:p w14:paraId="4011A57F">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12.3.2支</w:t>
      </w:r>
      <w:r>
        <w:rPr>
          <w:rFonts w:hint="eastAsia" w:asciiTheme="minorEastAsia" w:hAnsiTheme="minorEastAsia" w:eastAsiaTheme="minorEastAsia" w:cstheme="minorEastAsia"/>
          <w:sz w:val="21"/>
          <w:szCs w:val="21"/>
        </w:rPr>
        <w:t>付条件：承包人向发包人提供支付申请书及相关资料，经发包人确认后，予</w:t>
      </w:r>
      <w:r>
        <w:rPr>
          <w:rFonts w:hint="eastAsia" w:asciiTheme="minorEastAsia" w:hAnsiTheme="minorEastAsia" w:eastAsiaTheme="minorEastAsia" w:cstheme="minorEastAsia"/>
          <w:color w:val="000000"/>
          <w:sz w:val="21"/>
          <w:szCs w:val="21"/>
        </w:rPr>
        <w:t>以支付。承包人须提供完整合法的发票和有效的支付手续，否则不予支付。</w:t>
      </w:r>
    </w:p>
    <w:p w14:paraId="2BDF9F27">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12.3.3双方约定所有工程款项支付均由发包人以银行转账方式划入承包人账户。</w:t>
      </w:r>
    </w:p>
    <w:p w14:paraId="750D520E">
      <w:pPr>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12.3.4工程款支付时应预留审定价款的</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%作为质量保证金，工程缺陷责任期满后，无质量问题再行支付给承包人。</w:t>
      </w:r>
      <w:bookmarkEnd w:id="286"/>
    </w:p>
    <w:p w14:paraId="7C248875">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b/>
          <w:sz w:val="21"/>
          <w:szCs w:val="21"/>
        </w:rPr>
      </w:pPr>
      <w:bookmarkStart w:id="378" w:name="_Toc296891047"/>
      <w:bookmarkStart w:id="379" w:name="_Toc292559929"/>
      <w:bookmarkStart w:id="380" w:name="_Toc296944558"/>
      <w:bookmarkStart w:id="381" w:name="_Toc297048405"/>
      <w:bookmarkStart w:id="382" w:name="_Toc351203645"/>
      <w:bookmarkStart w:id="383" w:name="_Toc303539172"/>
      <w:bookmarkStart w:id="384" w:name="_Toc304295593"/>
      <w:bookmarkStart w:id="385" w:name="_Toc297120519"/>
      <w:bookmarkStart w:id="386" w:name="_Toc312678053"/>
      <w:bookmarkStart w:id="387" w:name="_Toc297123564"/>
      <w:bookmarkStart w:id="388" w:name="_Toc296891259"/>
      <w:bookmarkStart w:id="389" w:name="_Toc296347218"/>
      <w:bookmarkStart w:id="390" w:name="_Toc296346720"/>
      <w:bookmarkStart w:id="391" w:name="_Toc292559424"/>
      <w:bookmarkStart w:id="392" w:name="_Toc297216223"/>
      <w:bookmarkStart w:id="393" w:name="_Toc300935015"/>
      <w:bookmarkStart w:id="394" w:name="_Toc296503219"/>
      <w:r>
        <w:rPr>
          <w:rFonts w:hint="eastAsia" w:asciiTheme="minorEastAsia" w:hAnsiTheme="minorEastAsia" w:eastAsiaTheme="minorEastAsia" w:cstheme="minorEastAsia"/>
          <w:sz w:val="21"/>
          <w:szCs w:val="21"/>
        </w:rPr>
        <w:t>13. 验收和工程试车</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4772AC76">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13.1 分部分项工程验收</w:t>
      </w:r>
    </w:p>
    <w:p w14:paraId="0376ABD9">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13.1.1监理人不能按时进行验收时，应提前</w:t>
      </w:r>
      <w:r>
        <w:rPr>
          <w:rFonts w:hint="eastAsia" w:asciiTheme="minorEastAsia" w:hAnsiTheme="minorEastAsia" w:eastAsiaTheme="minorEastAsia" w:cstheme="minorEastAsia"/>
          <w:b/>
          <w:sz w:val="21"/>
          <w:szCs w:val="21"/>
          <w:u w:val="single"/>
        </w:rPr>
        <w:t>24</w:t>
      </w:r>
      <w:r>
        <w:rPr>
          <w:rFonts w:hint="eastAsia" w:asciiTheme="minorEastAsia" w:hAnsiTheme="minorEastAsia" w:eastAsiaTheme="minorEastAsia" w:cstheme="minorEastAsia"/>
          <w:sz w:val="21"/>
          <w:szCs w:val="21"/>
        </w:rPr>
        <w:t>小时提交书面延期要求。</w:t>
      </w:r>
    </w:p>
    <w:p w14:paraId="3CC34886">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sz w:val="21"/>
          <w:szCs w:val="21"/>
        </w:rPr>
        <w:t>关于延期最长不得超过：</w:t>
      </w:r>
      <w:r>
        <w:rPr>
          <w:rFonts w:hint="eastAsia" w:asciiTheme="minorEastAsia" w:hAnsiTheme="minorEastAsia" w:eastAsiaTheme="minorEastAsia" w:cstheme="minorEastAsia"/>
          <w:b/>
          <w:sz w:val="21"/>
          <w:szCs w:val="21"/>
          <w:u w:val="single"/>
        </w:rPr>
        <w:t>48</w:t>
      </w:r>
      <w:r>
        <w:rPr>
          <w:rFonts w:hint="eastAsia" w:asciiTheme="minorEastAsia" w:hAnsiTheme="minorEastAsia" w:eastAsiaTheme="minorEastAsia" w:cstheme="minorEastAsia"/>
          <w:sz w:val="21"/>
          <w:szCs w:val="21"/>
        </w:rPr>
        <w:t>小时。</w:t>
      </w:r>
    </w:p>
    <w:p w14:paraId="776C97F7">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bookmarkStart w:id="395" w:name="_Toc297120523"/>
      <w:bookmarkStart w:id="396" w:name="_Toc296944562"/>
      <w:bookmarkStart w:id="397" w:name="_Toc296346724"/>
      <w:bookmarkStart w:id="398" w:name="_Toc292559428"/>
      <w:bookmarkStart w:id="399" w:name="_Toc296891051"/>
      <w:bookmarkStart w:id="400" w:name="_Toc304295596"/>
      <w:bookmarkStart w:id="401" w:name="_Toc296891263"/>
      <w:bookmarkStart w:id="402" w:name="_Toc297123565"/>
      <w:bookmarkStart w:id="403" w:name="_Toc296347222"/>
      <w:bookmarkStart w:id="404" w:name="_Toc297216224"/>
      <w:bookmarkStart w:id="405" w:name="_Toc312678056"/>
      <w:bookmarkStart w:id="406" w:name="_Toc303539173"/>
      <w:bookmarkStart w:id="407" w:name="_Toc300935016"/>
      <w:bookmarkStart w:id="408" w:name="_Toc297048409"/>
      <w:bookmarkStart w:id="409" w:name="_Toc292559933"/>
      <w:bookmarkStart w:id="410" w:name="_Toc296503223"/>
      <w:bookmarkStart w:id="411" w:name="_Toc267251476"/>
      <w:bookmarkStart w:id="412" w:name="_Toc267251475"/>
      <w:bookmarkStart w:id="413" w:name="_Toc267251471"/>
      <w:bookmarkStart w:id="414" w:name="_Toc267251473"/>
      <w:bookmarkStart w:id="415" w:name="_Toc267251472"/>
      <w:bookmarkStart w:id="416" w:name="_Toc267251474"/>
      <w:bookmarkStart w:id="417" w:name="_Toc267251470"/>
      <w:r>
        <w:rPr>
          <w:rFonts w:hint="eastAsia" w:asciiTheme="minorEastAsia" w:hAnsiTheme="minorEastAsia" w:eastAsiaTheme="minorEastAsia" w:cstheme="minorEastAsia"/>
          <w:sz w:val="21"/>
          <w:szCs w:val="21"/>
        </w:rPr>
        <w:t>13.2 竣工验收</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77254CB0">
      <w:pPr>
        <w:pageBreakBefore w:val="0"/>
        <w:kinsoku/>
        <w:wordWrap/>
        <w:overflowPunct/>
        <w:topLinePunct w:val="0"/>
        <w:autoSpaceDE/>
        <w:autoSpaceDN/>
        <w:bidi w:val="0"/>
        <w:adjustRightInd/>
        <w:snapToGrid/>
        <w:spacing w:line="500" w:lineRule="exact"/>
        <w:ind w:firstLine="482"/>
        <w:jc w:val="left"/>
        <w:textAlignment w:val="auto"/>
        <w:rPr>
          <w:rFonts w:hint="eastAsia" w:asciiTheme="minorEastAsia" w:hAnsiTheme="minorEastAsia" w:eastAsiaTheme="minorEastAsia" w:cstheme="minorEastAsia"/>
          <w:b/>
          <w:sz w:val="21"/>
          <w:szCs w:val="21"/>
          <w:u w:val="single"/>
        </w:rPr>
      </w:pPr>
      <w:bookmarkStart w:id="418" w:name="_Toc280868706"/>
      <w:bookmarkStart w:id="419" w:name="_Toc280868708"/>
      <w:bookmarkStart w:id="420" w:name="_Toc280868707"/>
      <w:bookmarkStart w:id="421" w:name="_Toc280868709"/>
      <w:r>
        <w:rPr>
          <w:rFonts w:hint="eastAsia" w:asciiTheme="minorEastAsia" w:hAnsiTheme="minorEastAsia" w:eastAsiaTheme="minorEastAsia" w:cstheme="minorEastAsia"/>
          <w:b/>
          <w:sz w:val="21"/>
          <w:szCs w:val="21"/>
          <w:u w:val="single"/>
        </w:rPr>
        <w:t>由项目单位主管领导组织初验。大型、复杂或者技术性很强的政府采购项目，应当首先邀请国家认可的质量检测机构验收合格。国家规定强制性检测的采购项目，项目单位必须委托国家认可专业检测机构进行验收合格。初验合格后，向国资处提供竣工验收资料（初验合格报告、采购文件及附件、投标文件及附件、政府采购合同、竣工图纸、施工单位工程竣工报告、监理单位工程竣工质量评价报告、工程质量控制资料记录等），由学校牵头，验收工作组成员不少于5人。验收合格后，要按照本合同约定的支付方式，提交支付申请、验收报告等资料，办理资金支付手续。</w:t>
      </w:r>
    </w:p>
    <w:p w14:paraId="65E187B9">
      <w:pPr>
        <w:pageBreakBefore w:val="0"/>
        <w:kinsoku/>
        <w:wordWrap/>
        <w:overflowPunct/>
        <w:topLinePunct w:val="0"/>
        <w:autoSpaceDE/>
        <w:autoSpaceDN/>
        <w:bidi w:val="0"/>
        <w:adjustRightInd/>
        <w:snapToGrid/>
        <w:spacing w:line="500" w:lineRule="exact"/>
        <w:ind w:firstLine="482"/>
        <w:jc w:val="left"/>
        <w:textAlignment w:val="auto"/>
        <w:rPr>
          <w:rFonts w:hint="eastAsia" w:asciiTheme="minorEastAsia" w:hAnsiTheme="minorEastAsia" w:eastAsiaTheme="minorEastAsia" w:cstheme="minorEastAsia"/>
          <w:b/>
          <w:sz w:val="21"/>
          <w:szCs w:val="21"/>
          <w:u w:val="single"/>
        </w:rPr>
      </w:pPr>
      <w:r>
        <w:rPr>
          <w:rFonts w:hint="eastAsia" w:asciiTheme="minorEastAsia" w:hAnsiTheme="minorEastAsia" w:eastAsiaTheme="minorEastAsia" w:cstheme="minorEastAsia"/>
          <w:b/>
          <w:sz w:val="21"/>
          <w:szCs w:val="21"/>
          <w:u w:val="single"/>
        </w:rPr>
        <w:t>项目施工过程中的主要材料检测及竣工后环境质量检测等检测服务费用由施工单位承担（检测项目由校方核定，数量参照国家有关标准）。</w:t>
      </w:r>
      <w:bookmarkEnd w:id="418"/>
      <w:bookmarkEnd w:id="419"/>
      <w:bookmarkEnd w:id="420"/>
    </w:p>
    <w:p w14:paraId="78A68CFF">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b/>
          <w:sz w:val="21"/>
          <w:szCs w:val="21"/>
        </w:rPr>
      </w:pPr>
      <w:bookmarkStart w:id="422" w:name="_Toc351203646"/>
      <w:r>
        <w:rPr>
          <w:rFonts w:hint="eastAsia" w:asciiTheme="minorEastAsia" w:hAnsiTheme="minorEastAsia" w:eastAsiaTheme="minorEastAsia" w:cstheme="minorEastAsia"/>
          <w:sz w:val="21"/>
          <w:szCs w:val="21"/>
        </w:rPr>
        <w:t>14. 竣工结算</w:t>
      </w:r>
      <w:bookmarkEnd w:id="422"/>
    </w:p>
    <w:p w14:paraId="495297B2">
      <w:pPr>
        <w:pageBreakBefore w:val="0"/>
        <w:widowControl/>
        <w:kinsoku/>
        <w:wordWrap/>
        <w:overflowPunct/>
        <w:topLinePunct w:val="0"/>
        <w:autoSpaceDE/>
        <w:autoSpaceDN/>
        <w:bidi w:val="0"/>
        <w:adjustRightInd/>
        <w:snapToGrid/>
        <w:spacing w:line="500" w:lineRule="exact"/>
        <w:ind w:firstLine="482"/>
        <w:textAlignment w:val="auto"/>
        <w:rPr>
          <w:rFonts w:hint="eastAsia" w:asciiTheme="minorEastAsia" w:hAnsiTheme="minorEastAsia" w:eastAsiaTheme="minorEastAsia" w:cstheme="minorEastAsia"/>
          <w:b/>
          <w:sz w:val="21"/>
          <w:szCs w:val="21"/>
          <w:u w:val="single"/>
        </w:rPr>
      </w:pPr>
      <w:r>
        <w:rPr>
          <w:rFonts w:hint="eastAsia" w:asciiTheme="minorEastAsia" w:hAnsiTheme="minorEastAsia" w:eastAsiaTheme="minorEastAsia" w:cstheme="minorEastAsia"/>
          <w:b/>
          <w:sz w:val="21"/>
          <w:szCs w:val="21"/>
          <w:u w:val="single"/>
        </w:rPr>
        <w:t>14.1本工程采用限定总价审计结算方法，按合同以中标单价和实际工作量计算总价，经审计后确认合同审计总价，但合同审计总价不得高于中标总价（不包含签证变更部分）。</w:t>
      </w:r>
    </w:p>
    <w:p w14:paraId="25CBF947">
      <w:pPr>
        <w:pageBreakBefore w:val="0"/>
        <w:widowControl/>
        <w:kinsoku/>
        <w:wordWrap/>
        <w:overflowPunct/>
        <w:topLinePunct w:val="0"/>
        <w:autoSpaceDE/>
        <w:autoSpaceDN/>
        <w:bidi w:val="0"/>
        <w:adjustRightInd/>
        <w:snapToGrid/>
        <w:spacing w:line="500" w:lineRule="exact"/>
        <w:ind w:firstLine="482"/>
        <w:textAlignment w:val="auto"/>
        <w:rPr>
          <w:rFonts w:hint="eastAsia" w:asciiTheme="minorEastAsia" w:hAnsiTheme="minorEastAsia" w:eastAsiaTheme="minorEastAsia" w:cstheme="minorEastAsia"/>
          <w:b/>
          <w:sz w:val="21"/>
          <w:szCs w:val="21"/>
          <w:u w:val="single"/>
        </w:rPr>
      </w:pPr>
      <w:r>
        <w:rPr>
          <w:rFonts w:hint="eastAsia" w:asciiTheme="minorEastAsia" w:hAnsiTheme="minorEastAsia" w:eastAsiaTheme="minorEastAsia" w:cstheme="minorEastAsia"/>
          <w:b/>
          <w:sz w:val="21"/>
          <w:szCs w:val="21"/>
          <w:u w:val="single"/>
        </w:rPr>
        <w:t>14.2工程结算方式：</w:t>
      </w:r>
    </w:p>
    <w:p w14:paraId="096F4534">
      <w:pPr>
        <w:pageBreakBefore w:val="0"/>
        <w:widowControl/>
        <w:kinsoku/>
        <w:wordWrap/>
        <w:overflowPunct/>
        <w:topLinePunct w:val="0"/>
        <w:autoSpaceDE/>
        <w:autoSpaceDN/>
        <w:bidi w:val="0"/>
        <w:adjustRightInd/>
        <w:snapToGrid/>
        <w:spacing w:line="500" w:lineRule="exact"/>
        <w:ind w:firstLine="482"/>
        <w:textAlignment w:val="auto"/>
        <w:rPr>
          <w:rFonts w:hint="eastAsia" w:asciiTheme="minorEastAsia" w:hAnsiTheme="minorEastAsia" w:eastAsiaTheme="minorEastAsia" w:cstheme="minorEastAsia"/>
          <w:b/>
          <w:sz w:val="21"/>
          <w:szCs w:val="21"/>
          <w:u w:val="single"/>
        </w:rPr>
      </w:pPr>
      <w:r>
        <w:rPr>
          <w:rFonts w:hint="eastAsia" w:asciiTheme="minorEastAsia" w:hAnsiTheme="minorEastAsia" w:eastAsiaTheme="minorEastAsia" w:cstheme="minorEastAsia"/>
          <w:b/>
          <w:sz w:val="21"/>
          <w:szCs w:val="21"/>
          <w:u w:val="single"/>
        </w:rPr>
        <w:t>14.2.1本工程采用限定总价审计结算方法，按合同以中标单价和实际工作量计算总价，经审计后确认合同审计总价，但合同审计总价不得高于中标总价（不包含签证变更部分）。</w:t>
      </w:r>
    </w:p>
    <w:p w14:paraId="339AA563">
      <w:pPr>
        <w:pageBreakBefore w:val="0"/>
        <w:widowControl/>
        <w:kinsoku/>
        <w:wordWrap/>
        <w:overflowPunct/>
        <w:topLinePunct w:val="0"/>
        <w:autoSpaceDE/>
        <w:autoSpaceDN/>
        <w:bidi w:val="0"/>
        <w:adjustRightInd/>
        <w:snapToGrid/>
        <w:spacing w:line="500" w:lineRule="exact"/>
        <w:ind w:firstLine="482"/>
        <w:textAlignment w:val="auto"/>
        <w:rPr>
          <w:rFonts w:hint="eastAsia" w:asciiTheme="minorEastAsia" w:hAnsiTheme="minorEastAsia" w:eastAsiaTheme="minorEastAsia" w:cstheme="minorEastAsia"/>
          <w:b/>
          <w:sz w:val="21"/>
          <w:szCs w:val="21"/>
          <w:u w:val="single"/>
        </w:rPr>
      </w:pPr>
      <w:r>
        <w:rPr>
          <w:rFonts w:hint="eastAsia" w:asciiTheme="minorEastAsia" w:hAnsiTheme="minorEastAsia" w:eastAsiaTheme="minorEastAsia" w:cstheme="minorEastAsia"/>
          <w:b/>
          <w:sz w:val="21"/>
          <w:szCs w:val="21"/>
          <w:u w:val="single"/>
        </w:rPr>
        <w:t>14.2.2结算总价=合同审计总价+签证变更的审计总价。</w:t>
      </w:r>
    </w:p>
    <w:p w14:paraId="194FEC2A">
      <w:pPr>
        <w:pageBreakBefore w:val="0"/>
        <w:widowControl/>
        <w:kinsoku/>
        <w:wordWrap/>
        <w:overflowPunct/>
        <w:topLinePunct w:val="0"/>
        <w:autoSpaceDE/>
        <w:autoSpaceDN/>
        <w:bidi w:val="0"/>
        <w:adjustRightInd/>
        <w:snapToGrid/>
        <w:spacing w:line="500" w:lineRule="exact"/>
        <w:ind w:firstLine="482"/>
        <w:textAlignment w:val="auto"/>
        <w:rPr>
          <w:rFonts w:hint="eastAsia" w:asciiTheme="minorEastAsia" w:hAnsiTheme="minorEastAsia" w:eastAsiaTheme="minorEastAsia" w:cstheme="minorEastAsia"/>
          <w:b/>
          <w:sz w:val="21"/>
          <w:szCs w:val="21"/>
          <w:u w:val="single"/>
        </w:rPr>
      </w:pPr>
      <w:r>
        <w:rPr>
          <w:rFonts w:hint="eastAsia" w:asciiTheme="minorEastAsia" w:hAnsiTheme="minorEastAsia" w:eastAsiaTheme="minorEastAsia" w:cstheme="minorEastAsia"/>
          <w:b/>
          <w:sz w:val="21"/>
          <w:szCs w:val="21"/>
          <w:u w:val="single"/>
        </w:rPr>
        <w:t>14.2.3工程竣工验收合格后乙方应提交工程结算资料，要求资料齐全，计算准确，若本工程审计核减率(含复审)达10%(含10%)以上的，全部审计费用由施工单位承担；若核减率在5%-10%之间的，其审计费用由施工单位和建设单位各承担50%；若核减率(含复审)为5%及其以下的审计费用，由学校承担。</w:t>
      </w:r>
    </w:p>
    <w:p w14:paraId="53245F69">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14.2.4</w:t>
      </w:r>
      <w:r>
        <w:rPr>
          <w:rFonts w:hint="eastAsia" w:asciiTheme="minorEastAsia" w:hAnsiTheme="minorEastAsia" w:eastAsiaTheme="minorEastAsia" w:cstheme="minorEastAsia"/>
          <w:sz w:val="21"/>
          <w:szCs w:val="21"/>
          <w:lang w:val="zh-CN"/>
        </w:rPr>
        <w:t>工程竣工验收</w:t>
      </w:r>
      <w:r>
        <w:rPr>
          <w:rFonts w:hint="eastAsia" w:asciiTheme="minorEastAsia" w:hAnsiTheme="minorEastAsia" w:eastAsiaTheme="minorEastAsia" w:cstheme="minorEastAsia"/>
          <w:sz w:val="21"/>
          <w:szCs w:val="21"/>
        </w:rPr>
        <w:t>合格</w:t>
      </w:r>
      <w:r>
        <w:rPr>
          <w:rFonts w:hint="eastAsia" w:asciiTheme="minorEastAsia" w:hAnsiTheme="minorEastAsia" w:eastAsiaTheme="minorEastAsia" w:cstheme="minorEastAsia"/>
          <w:sz w:val="21"/>
          <w:szCs w:val="21"/>
          <w:lang w:val="zh-CN"/>
        </w:rPr>
        <w:t>后，乙方提出工程竣工</w:t>
      </w:r>
      <w:r>
        <w:rPr>
          <w:rFonts w:hint="eastAsia" w:asciiTheme="minorEastAsia" w:hAnsiTheme="minorEastAsia" w:eastAsiaTheme="minorEastAsia" w:cstheme="minorEastAsia"/>
          <w:sz w:val="21"/>
          <w:szCs w:val="21"/>
        </w:rPr>
        <w:t>结算</w:t>
      </w:r>
      <w:r>
        <w:rPr>
          <w:rFonts w:hint="eastAsia" w:asciiTheme="minorEastAsia" w:hAnsiTheme="minorEastAsia" w:eastAsiaTheme="minorEastAsia" w:cstheme="minorEastAsia"/>
          <w:sz w:val="21"/>
          <w:szCs w:val="21"/>
          <w:lang w:val="zh-CN"/>
        </w:rPr>
        <w:t>并将有关合格的竣工资料一式三份送交项目单位。项目单位自接到上述资料后送审，审计后按本合同付款办法支付。</w:t>
      </w:r>
      <w:bookmarkEnd w:id="411"/>
      <w:bookmarkEnd w:id="412"/>
      <w:bookmarkEnd w:id="413"/>
      <w:bookmarkEnd w:id="414"/>
      <w:bookmarkEnd w:id="415"/>
      <w:bookmarkEnd w:id="416"/>
      <w:bookmarkEnd w:id="417"/>
      <w:bookmarkEnd w:id="421"/>
    </w:p>
    <w:p w14:paraId="601FE1D5">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b/>
          <w:sz w:val="21"/>
          <w:szCs w:val="21"/>
        </w:rPr>
      </w:pPr>
      <w:bookmarkStart w:id="423" w:name="_Toc351203647"/>
      <w:bookmarkStart w:id="424" w:name="_Toc267251483"/>
      <w:bookmarkStart w:id="425" w:name="_Toc267251488"/>
      <w:bookmarkStart w:id="426" w:name="_Toc267251486"/>
      <w:bookmarkStart w:id="427" w:name="_Toc267251485"/>
      <w:bookmarkStart w:id="428" w:name="_Toc267251482"/>
      <w:bookmarkStart w:id="429" w:name="_Toc267251484"/>
      <w:bookmarkStart w:id="430" w:name="_Toc267251489"/>
      <w:bookmarkStart w:id="431" w:name="_Toc267251490"/>
      <w:bookmarkStart w:id="432" w:name="_Toc267251493"/>
      <w:bookmarkStart w:id="433" w:name="_Toc267251492"/>
      <w:bookmarkStart w:id="434" w:name="_Toc267251497"/>
      <w:bookmarkStart w:id="435" w:name="_Toc267251491"/>
      <w:bookmarkStart w:id="436" w:name="_Toc267251496"/>
      <w:bookmarkStart w:id="437" w:name="_Toc267251501"/>
      <w:bookmarkStart w:id="438" w:name="_Toc267251503"/>
      <w:bookmarkStart w:id="439" w:name="_Toc267251494"/>
      <w:bookmarkStart w:id="440" w:name="_Toc267251498"/>
      <w:bookmarkStart w:id="441" w:name="_Toc267251495"/>
      <w:bookmarkStart w:id="442" w:name="_Toc267251502"/>
      <w:bookmarkStart w:id="443" w:name="_Toc267251499"/>
      <w:bookmarkStart w:id="444" w:name="_Toc267251506"/>
      <w:bookmarkStart w:id="445" w:name="_Toc267251507"/>
      <w:bookmarkStart w:id="446" w:name="_Toc267251504"/>
      <w:bookmarkStart w:id="447" w:name="_Toc267251508"/>
      <w:bookmarkStart w:id="448" w:name="_Toc267251515"/>
      <w:bookmarkStart w:id="449" w:name="_Toc267251513"/>
      <w:bookmarkStart w:id="450" w:name="_Toc267251509"/>
      <w:bookmarkStart w:id="451" w:name="_Toc267251514"/>
      <w:bookmarkStart w:id="452" w:name="_Toc267251510"/>
      <w:bookmarkStart w:id="453" w:name="_Toc267251511"/>
      <w:r>
        <w:rPr>
          <w:rFonts w:hint="eastAsia" w:asciiTheme="minorEastAsia" w:hAnsiTheme="minorEastAsia" w:eastAsiaTheme="minorEastAsia" w:cstheme="minorEastAsia"/>
          <w:sz w:val="21"/>
          <w:szCs w:val="21"/>
        </w:rPr>
        <w:t>15. 缺陷责任期与保修</w:t>
      </w:r>
      <w:bookmarkEnd w:id="423"/>
      <w:bookmarkEnd w:id="424"/>
    </w:p>
    <w:p w14:paraId="34FCC9B8">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highlight w:val="none"/>
        </w:rPr>
        <w:t>本工程质保期五年</w:t>
      </w:r>
      <w:r>
        <w:rPr>
          <w:rFonts w:hint="eastAsia" w:asciiTheme="minorEastAsia" w:hAnsiTheme="minorEastAsia" w:eastAsiaTheme="minorEastAsia" w:cstheme="minorEastAsia"/>
          <w:sz w:val="21"/>
          <w:szCs w:val="21"/>
        </w:rPr>
        <w:t>。质量保修期从工程竣工验收合格之日起计算，具体保修范围、保修期限、保修责任、保修金的支付、返还应按《建设工程质量管理条例》和《房屋建筑工程质量保修办法》及双方约定执行。</w:t>
      </w:r>
      <w:bookmarkEnd w:id="425"/>
      <w:bookmarkEnd w:id="426"/>
      <w:bookmarkEnd w:id="427"/>
      <w:bookmarkEnd w:id="428"/>
      <w:bookmarkEnd w:id="429"/>
      <w:bookmarkEnd w:id="430"/>
      <w:bookmarkEnd w:id="431"/>
    </w:p>
    <w:p w14:paraId="23545153">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b/>
          <w:sz w:val="21"/>
          <w:szCs w:val="21"/>
        </w:rPr>
      </w:pPr>
      <w:bookmarkStart w:id="454" w:name="_Toc351203648"/>
      <w:bookmarkStart w:id="455" w:name="_Toc280868717"/>
      <w:bookmarkStart w:id="456" w:name="_Toc280868718"/>
      <w:r>
        <w:rPr>
          <w:rFonts w:hint="eastAsia" w:asciiTheme="minorEastAsia" w:hAnsiTheme="minorEastAsia" w:eastAsiaTheme="minorEastAsia" w:cstheme="minorEastAsia"/>
          <w:sz w:val="21"/>
          <w:szCs w:val="21"/>
        </w:rPr>
        <w:t>16. 违约</w:t>
      </w:r>
      <w:bookmarkEnd w:id="454"/>
    </w:p>
    <w:p w14:paraId="339A76D9">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 xml:space="preserve">16.1 </w:t>
      </w:r>
      <w:r>
        <w:rPr>
          <w:rFonts w:hint="eastAsia" w:asciiTheme="minorEastAsia" w:hAnsiTheme="minorEastAsia" w:eastAsiaTheme="minorEastAsia" w:cstheme="minorEastAsia"/>
          <w:sz w:val="21"/>
          <w:szCs w:val="21"/>
          <w:lang w:val="zh-CN"/>
        </w:rPr>
        <w:t>承包方的责任：</w:t>
      </w:r>
    </w:p>
    <w:p w14:paraId="7FFD6355">
      <w:pPr>
        <w:pageBreakBefore w:val="0"/>
        <w:kinsoku/>
        <w:wordWrap/>
        <w:overflowPunct/>
        <w:topLinePunct w:val="0"/>
        <w:autoSpaceDE/>
        <w:autoSpaceDN/>
        <w:bidi w:val="0"/>
        <w:adjustRightInd/>
        <w:snapToGrid/>
        <w:spacing w:line="500" w:lineRule="exact"/>
        <w:ind w:firstLine="482"/>
        <w:jc w:val="left"/>
        <w:textAlignment w:val="auto"/>
        <w:rPr>
          <w:rFonts w:hint="eastAsia" w:asciiTheme="minorEastAsia" w:hAnsiTheme="minorEastAsia" w:eastAsiaTheme="minorEastAsia" w:cstheme="minorEastAsia"/>
          <w:b/>
          <w:sz w:val="21"/>
          <w:szCs w:val="21"/>
          <w:highlight w:val="none"/>
          <w:u w:val="single"/>
          <w:lang w:val="zh-CN"/>
        </w:rPr>
      </w:pPr>
      <w:r>
        <w:rPr>
          <w:rFonts w:hint="eastAsia" w:asciiTheme="minorEastAsia" w:hAnsiTheme="minorEastAsia" w:eastAsiaTheme="minorEastAsia" w:cstheme="minorEastAsia"/>
          <w:b/>
          <w:sz w:val="21"/>
          <w:szCs w:val="21"/>
          <w:u w:val="single"/>
          <w:lang w:val="zh-CN"/>
        </w:rPr>
        <w:t>工程质量不符合合同规定，负责无偿修理或返工。由于修理返工或承包方其他原因造成</w:t>
      </w:r>
      <w:r>
        <w:rPr>
          <w:rFonts w:hint="eastAsia" w:asciiTheme="minorEastAsia" w:hAnsiTheme="minorEastAsia" w:eastAsiaTheme="minorEastAsia" w:cstheme="minorEastAsia"/>
          <w:b/>
          <w:sz w:val="21"/>
          <w:szCs w:val="21"/>
          <w:highlight w:val="none"/>
          <w:u w:val="single"/>
          <w:lang w:val="zh-CN"/>
        </w:rPr>
        <w:t>重大影响的，</w:t>
      </w:r>
      <w:r>
        <w:rPr>
          <w:rFonts w:hint="eastAsia" w:asciiTheme="minorEastAsia" w:hAnsiTheme="minorEastAsia" w:eastAsiaTheme="minorEastAsia" w:cstheme="minorEastAsia"/>
          <w:b/>
          <w:sz w:val="21"/>
          <w:szCs w:val="21"/>
          <w:highlight w:val="none"/>
          <w:u w:val="single"/>
        </w:rPr>
        <w:t>合同总金额的5%</w:t>
      </w:r>
      <w:r>
        <w:rPr>
          <w:rFonts w:hint="eastAsia" w:asciiTheme="minorEastAsia" w:hAnsiTheme="minorEastAsia" w:eastAsiaTheme="minorEastAsia" w:cstheme="minorEastAsia"/>
          <w:b/>
          <w:sz w:val="21"/>
          <w:szCs w:val="21"/>
          <w:highlight w:val="none"/>
          <w:u w:val="single"/>
          <w:lang w:val="zh-CN"/>
        </w:rPr>
        <w:t>予以扣除。</w:t>
      </w:r>
    </w:p>
    <w:p w14:paraId="59137A63">
      <w:pPr>
        <w:pageBreakBefore w:val="0"/>
        <w:kinsoku/>
        <w:wordWrap/>
        <w:overflowPunct/>
        <w:topLinePunct w:val="0"/>
        <w:autoSpaceDE/>
        <w:autoSpaceDN/>
        <w:bidi w:val="0"/>
        <w:adjustRightInd/>
        <w:snapToGrid/>
        <w:spacing w:line="500" w:lineRule="exact"/>
        <w:ind w:firstLine="482"/>
        <w:jc w:val="left"/>
        <w:textAlignment w:val="auto"/>
        <w:rPr>
          <w:rFonts w:hint="eastAsia" w:asciiTheme="minorEastAsia" w:hAnsiTheme="minorEastAsia" w:eastAsiaTheme="minorEastAsia" w:cstheme="minorEastAsia"/>
          <w:b/>
          <w:sz w:val="21"/>
          <w:szCs w:val="21"/>
          <w:highlight w:val="none"/>
          <w:u w:val="single"/>
        </w:rPr>
      </w:pPr>
      <w:r>
        <w:rPr>
          <w:rFonts w:hint="eastAsia" w:asciiTheme="minorEastAsia" w:hAnsiTheme="minorEastAsia" w:eastAsiaTheme="minorEastAsia" w:cstheme="minorEastAsia"/>
          <w:b/>
          <w:sz w:val="21"/>
          <w:szCs w:val="21"/>
          <w:highlight w:val="none"/>
          <w:u w:val="single"/>
        </w:rPr>
        <w:t>若发包人发现承包人违法转包、分包，发包人有权依法解除合同，并有权保留相应权利。由此给发包人造成的一切损失由承包人承担。</w:t>
      </w:r>
    </w:p>
    <w:p w14:paraId="647D8796">
      <w:pPr>
        <w:pageBreakBefore w:val="0"/>
        <w:kinsoku/>
        <w:wordWrap/>
        <w:overflowPunct/>
        <w:topLinePunct w:val="0"/>
        <w:autoSpaceDE/>
        <w:autoSpaceDN/>
        <w:bidi w:val="0"/>
        <w:adjustRightInd/>
        <w:snapToGrid/>
        <w:spacing w:line="500" w:lineRule="exact"/>
        <w:ind w:firstLine="482"/>
        <w:jc w:val="left"/>
        <w:textAlignment w:val="auto"/>
        <w:rPr>
          <w:rFonts w:hint="eastAsia" w:asciiTheme="minorEastAsia" w:hAnsiTheme="minorEastAsia" w:eastAsiaTheme="minorEastAsia" w:cstheme="minorEastAsia"/>
          <w:b/>
          <w:sz w:val="21"/>
          <w:szCs w:val="21"/>
          <w:u w:val="single"/>
          <w:lang w:val="zh-CN"/>
        </w:rPr>
      </w:pPr>
      <w:r>
        <w:rPr>
          <w:rFonts w:hint="eastAsia" w:asciiTheme="minorEastAsia" w:hAnsiTheme="minorEastAsia" w:eastAsiaTheme="minorEastAsia" w:cstheme="minorEastAsia"/>
          <w:b/>
          <w:sz w:val="21"/>
          <w:szCs w:val="21"/>
          <w:u w:val="single"/>
          <w:lang w:val="zh-CN"/>
        </w:rPr>
        <w:t xml:space="preserve">施工单位进场后必须在开工前将有关资质证明资料复印件加盖公章报监理单位备案，不报或未按时报罚款1000 元。 </w:t>
      </w:r>
    </w:p>
    <w:p w14:paraId="6A8AD4A2">
      <w:pPr>
        <w:pageBreakBefore w:val="0"/>
        <w:kinsoku/>
        <w:wordWrap/>
        <w:overflowPunct/>
        <w:topLinePunct w:val="0"/>
        <w:autoSpaceDE/>
        <w:autoSpaceDN/>
        <w:bidi w:val="0"/>
        <w:adjustRightInd/>
        <w:snapToGrid/>
        <w:spacing w:line="500" w:lineRule="exact"/>
        <w:ind w:firstLine="482"/>
        <w:jc w:val="left"/>
        <w:textAlignment w:val="auto"/>
        <w:rPr>
          <w:rFonts w:hint="eastAsia" w:asciiTheme="minorEastAsia" w:hAnsiTheme="minorEastAsia" w:eastAsiaTheme="minorEastAsia" w:cstheme="minorEastAsia"/>
          <w:b/>
          <w:sz w:val="21"/>
          <w:szCs w:val="21"/>
          <w:u w:val="single"/>
          <w:lang w:val="zh-CN"/>
        </w:rPr>
      </w:pPr>
      <w:r>
        <w:rPr>
          <w:rFonts w:hint="eastAsia" w:asciiTheme="minorEastAsia" w:hAnsiTheme="minorEastAsia" w:eastAsiaTheme="minorEastAsia" w:cstheme="minorEastAsia"/>
          <w:b/>
          <w:sz w:val="21"/>
          <w:szCs w:val="21"/>
          <w:u w:val="single"/>
          <w:lang w:val="zh-CN"/>
        </w:rPr>
        <w:t xml:space="preserve">现场所使用材料设备（品牌或厂家等）需提供采购单据，并经甲方及监理单位审查确认后使用，违者除材料退场外还将罚款2000元/次。 </w:t>
      </w:r>
    </w:p>
    <w:p w14:paraId="14015415">
      <w:pPr>
        <w:pageBreakBefore w:val="0"/>
        <w:kinsoku/>
        <w:wordWrap/>
        <w:overflowPunct/>
        <w:topLinePunct w:val="0"/>
        <w:autoSpaceDE/>
        <w:autoSpaceDN/>
        <w:bidi w:val="0"/>
        <w:adjustRightInd/>
        <w:snapToGrid/>
        <w:spacing w:line="500" w:lineRule="exact"/>
        <w:ind w:firstLine="482"/>
        <w:jc w:val="left"/>
        <w:textAlignment w:val="auto"/>
        <w:rPr>
          <w:rFonts w:hint="eastAsia" w:asciiTheme="minorEastAsia" w:hAnsiTheme="minorEastAsia" w:eastAsiaTheme="minorEastAsia" w:cstheme="minorEastAsia"/>
          <w:b/>
          <w:sz w:val="21"/>
          <w:szCs w:val="21"/>
          <w:u w:val="single"/>
          <w:lang w:val="zh-CN"/>
        </w:rPr>
      </w:pPr>
      <w:r>
        <w:rPr>
          <w:rFonts w:hint="eastAsia" w:asciiTheme="minorEastAsia" w:hAnsiTheme="minorEastAsia" w:eastAsiaTheme="minorEastAsia" w:cstheme="minorEastAsia"/>
          <w:b/>
          <w:sz w:val="21"/>
          <w:szCs w:val="21"/>
          <w:u w:val="single"/>
          <w:lang w:val="zh-CN"/>
        </w:rPr>
        <w:t xml:space="preserve">材料设备进场后施工单位应进行自检，自检合格后向监理机构报验。报验时应提交厂家资质证书、出厂检验单、出厂合格证和有效的质量抽检报告，对于重要的材料还应进行见证取样送检，经进场检验合格后方可使用，违者每次罚款3000元。 </w:t>
      </w:r>
    </w:p>
    <w:p w14:paraId="03F4BEE9">
      <w:pPr>
        <w:pageBreakBefore w:val="0"/>
        <w:kinsoku/>
        <w:wordWrap/>
        <w:overflowPunct/>
        <w:topLinePunct w:val="0"/>
        <w:autoSpaceDE/>
        <w:autoSpaceDN/>
        <w:bidi w:val="0"/>
        <w:adjustRightInd/>
        <w:snapToGrid/>
        <w:spacing w:line="500" w:lineRule="exact"/>
        <w:ind w:firstLine="482"/>
        <w:jc w:val="left"/>
        <w:textAlignment w:val="auto"/>
        <w:rPr>
          <w:rFonts w:hint="eastAsia" w:asciiTheme="minorEastAsia" w:hAnsiTheme="minorEastAsia" w:eastAsiaTheme="minorEastAsia" w:cstheme="minorEastAsia"/>
          <w:b/>
          <w:sz w:val="21"/>
          <w:szCs w:val="21"/>
          <w:u w:val="single"/>
          <w:lang w:val="zh-CN"/>
        </w:rPr>
      </w:pPr>
      <w:r>
        <w:rPr>
          <w:rFonts w:hint="eastAsia" w:asciiTheme="minorEastAsia" w:hAnsiTheme="minorEastAsia" w:eastAsiaTheme="minorEastAsia" w:cstheme="minorEastAsia"/>
          <w:b/>
          <w:sz w:val="21"/>
          <w:szCs w:val="21"/>
          <w:u w:val="single"/>
          <w:lang w:val="zh-CN"/>
        </w:rPr>
        <w:t>对重要的工序、隐蔽工程进行双控，施工单位应提交“工程报验申请表”（监理表格）经监理机构初验后报甲方进行复验，验收合格后方可进行下道工序施工，违者罚款 1000 元/次。甲方、监理对工程质量提出整改要求时，施工单位必须积极主动配合落实，按时完成整改。对整改不按时或有意推脱的每项/次罚款1000元。</w:t>
      </w:r>
    </w:p>
    <w:p w14:paraId="1F2C9222">
      <w:pPr>
        <w:pageBreakBefore w:val="0"/>
        <w:kinsoku/>
        <w:wordWrap/>
        <w:overflowPunct/>
        <w:topLinePunct w:val="0"/>
        <w:autoSpaceDE/>
        <w:autoSpaceDN/>
        <w:bidi w:val="0"/>
        <w:adjustRightInd/>
        <w:snapToGrid/>
        <w:spacing w:line="500" w:lineRule="exact"/>
        <w:ind w:firstLine="482"/>
        <w:jc w:val="left"/>
        <w:textAlignment w:val="auto"/>
        <w:rPr>
          <w:rFonts w:hint="eastAsia" w:asciiTheme="minorEastAsia" w:hAnsiTheme="minorEastAsia" w:eastAsiaTheme="minorEastAsia" w:cstheme="minorEastAsia"/>
          <w:b/>
          <w:sz w:val="21"/>
          <w:szCs w:val="21"/>
          <w:highlight w:val="none"/>
          <w:u w:val="single"/>
          <w:lang w:val="zh-CN"/>
        </w:rPr>
      </w:pPr>
      <w:r>
        <w:rPr>
          <w:rFonts w:hint="eastAsia" w:asciiTheme="minorEastAsia" w:hAnsiTheme="minorEastAsia" w:eastAsiaTheme="minorEastAsia" w:cstheme="minorEastAsia"/>
          <w:b/>
          <w:sz w:val="21"/>
          <w:szCs w:val="21"/>
          <w:highlight w:val="none"/>
          <w:u w:val="single"/>
          <w:lang w:val="zh-CN"/>
        </w:rPr>
        <w:t>如因施工单位自身施工组织问题造成工期延误的，延误时间如超过3天，每延误1天，处罚1000元，如因工期延误，造成学校重大影响的，学校有权追究责任。（工期延误处罚款项在审计时直接扣除）</w:t>
      </w:r>
    </w:p>
    <w:p w14:paraId="731D58CD">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 xml:space="preserve">16.2 </w:t>
      </w:r>
      <w:r>
        <w:rPr>
          <w:rFonts w:hint="eastAsia" w:asciiTheme="minorEastAsia" w:hAnsiTheme="minorEastAsia" w:eastAsiaTheme="minorEastAsia" w:cstheme="minorEastAsia"/>
          <w:sz w:val="21"/>
          <w:szCs w:val="21"/>
          <w:lang w:val="zh-CN"/>
        </w:rPr>
        <w:t>发包方的责任：</w:t>
      </w:r>
    </w:p>
    <w:p w14:paraId="5732A40F">
      <w:pPr>
        <w:pageBreakBefore w:val="0"/>
        <w:kinsoku/>
        <w:wordWrap/>
        <w:overflowPunct/>
        <w:topLinePunct w:val="0"/>
        <w:autoSpaceDE/>
        <w:autoSpaceDN/>
        <w:bidi w:val="0"/>
        <w:adjustRightInd/>
        <w:snapToGrid/>
        <w:spacing w:line="500" w:lineRule="exact"/>
        <w:ind w:firstLine="602"/>
        <w:jc w:val="left"/>
        <w:textAlignment w:val="auto"/>
        <w:rPr>
          <w:rFonts w:hint="eastAsia" w:asciiTheme="minorEastAsia" w:hAnsiTheme="minorEastAsia" w:eastAsiaTheme="minorEastAsia" w:cstheme="minorEastAsia"/>
          <w:b/>
          <w:sz w:val="21"/>
          <w:szCs w:val="21"/>
          <w:u w:val="single"/>
          <w:lang w:val="zh-CN"/>
        </w:rPr>
      </w:pPr>
      <w:r>
        <w:rPr>
          <w:rFonts w:hint="eastAsia" w:asciiTheme="minorEastAsia" w:hAnsiTheme="minorEastAsia" w:eastAsiaTheme="minorEastAsia" w:cstheme="minorEastAsia"/>
          <w:b/>
          <w:sz w:val="21"/>
          <w:szCs w:val="21"/>
          <w:u w:val="single"/>
          <w:lang w:val="zh-CN"/>
        </w:rPr>
        <w:t>发包人违约责任的承担方式和计算方法：</w:t>
      </w:r>
    </w:p>
    <w:p w14:paraId="6DE37BC5">
      <w:pPr>
        <w:pageBreakBefore w:val="0"/>
        <w:kinsoku/>
        <w:wordWrap/>
        <w:overflowPunct/>
        <w:topLinePunct w:val="0"/>
        <w:autoSpaceDE/>
        <w:autoSpaceDN/>
        <w:bidi w:val="0"/>
        <w:adjustRightInd/>
        <w:snapToGrid/>
        <w:spacing w:line="500" w:lineRule="exact"/>
        <w:ind w:firstLine="602"/>
        <w:jc w:val="left"/>
        <w:textAlignment w:val="auto"/>
        <w:rPr>
          <w:rFonts w:hint="eastAsia" w:asciiTheme="minorEastAsia" w:hAnsiTheme="minorEastAsia" w:eastAsiaTheme="minorEastAsia" w:cstheme="minorEastAsia"/>
          <w:b/>
          <w:sz w:val="21"/>
          <w:szCs w:val="21"/>
          <w:u w:val="single"/>
          <w:lang w:val="zh-CN"/>
        </w:rPr>
      </w:pPr>
      <w:r>
        <w:rPr>
          <w:rFonts w:hint="eastAsia" w:asciiTheme="minorEastAsia" w:hAnsiTheme="minorEastAsia" w:eastAsiaTheme="minorEastAsia" w:cstheme="minorEastAsia"/>
          <w:b/>
          <w:sz w:val="21"/>
          <w:szCs w:val="21"/>
          <w:u w:val="single"/>
          <w:lang w:val="zh-CN"/>
        </w:rPr>
        <w:t>（1）因发包人原因未能在计划开工日期前7天内下达开工通知的违约责任：  /  。</w:t>
      </w:r>
    </w:p>
    <w:p w14:paraId="15E55FF6">
      <w:pPr>
        <w:pageBreakBefore w:val="0"/>
        <w:kinsoku/>
        <w:wordWrap/>
        <w:overflowPunct/>
        <w:topLinePunct w:val="0"/>
        <w:autoSpaceDE/>
        <w:autoSpaceDN/>
        <w:bidi w:val="0"/>
        <w:adjustRightInd/>
        <w:snapToGrid/>
        <w:spacing w:line="500" w:lineRule="exact"/>
        <w:ind w:firstLine="602"/>
        <w:jc w:val="left"/>
        <w:textAlignment w:val="auto"/>
        <w:rPr>
          <w:rFonts w:hint="eastAsia" w:asciiTheme="minorEastAsia" w:hAnsiTheme="minorEastAsia" w:eastAsiaTheme="minorEastAsia" w:cstheme="minorEastAsia"/>
          <w:b/>
          <w:sz w:val="21"/>
          <w:szCs w:val="21"/>
          <w:u w:val="single"/>
          <w:lang w:val="zh-CN"/>
        </w:rPr>
      </w:pPr>
      <w:r>
        <w:rPr>
          <w:rFonts w:hint="eastAsia" w:asciiTheme="minorEastAsia" w:hAnsiTheme="minorEastAsia" w:eastAsiaTheme="minorEastAsia" w:cstheme="minorEastAsia"/>
          <w:b/>
          <w:sz w:val="21"/>
          <w:szCs w:val="21"/>
          <w:u w:val="single"/>
          <w:lang w:val="zh-CN"/>
        </w:rPr>
        <w:t>（2）因发包人原因未能按合同约定支付合同价款的违约责任：     双方另行确定  。</w:t>
      </w:r>
    </w:p>
    <w:p w14:paraId="5D15DCE6">
      <w:pPr>
        <w:pageBreakBefore w:val="0"/>
        <w:kinsoku/>
        <w:wordWrap/>
        <w:overflowPunct/>
        <w:topLinePunct w:val="0"/>
        <w:autoSpaceDE/>
        <w:autoSpaceDN/>
        <w:bidi w:val="0"/>
        <w:adjustRightInd/>
        <w:snapToGrid/>
        <w:spacing w:line="500" w:lineRule="exact"/>
        <w:ind w:firstLine="602"/>
        <w:jc w:val="left"/>
        <w:textAlignment w:val="auto"/>
        <w:rPr>
          <w:rFonts w:hint="eastAsia" w:asciiTheme="minorEastAsia" w:hAnsiTheme="minorEastAsia" w:eastAsiaTheme="minorEastAsia" w:cstheme="minorEastAsia"/>
          <w:b/>
          <w:sz w:val="21"/>
          <w:szCs w:val="21"/>
          <w:u w:val="single"/>
          <w:lang w:val="zh-CN"/>
        </w:rPr>
      </w:pPr>
      <w:r>
        <w:rPr>
          <w:rFonts w:hint="eastAsia" w:asciiTheme="minorEastAsia" w:hAnsiTheme="minorEastAsia" w:eastAsiaTheme="minorEastAsia" w:cstheme="minorEastAsia"/>
          <w:b/>
          <w:sz w:val="21"/>
          <w:szCs w:val="21"/>
          <w:u w:val="single"/>
          <w:lang w:val="zh-CN"/>
        </w:rPr>
        <w:t xml:space="preserve">（3）发包人违反第10.1款〔变更的范围〕第（2）项约定，自行实施被取消的工作或转由他人实施的违约责任：     双方另行确定。 </w:t>
      </w:r>
    </w:p>
    <w:p w14:paraId="33B5B6EF">
      <w:pPr>
        <w:pageBreakBefore w:val="0"/>
        <w:kinsoku/>
        <w:wordWrap/>
        <w:overflowPunct/>
        <w:topLinePunct w:val="0"/>
        <w:autoSpaceDE/>
        <w:autoSpaceDN/>
        <w:bidi w:val="0"/>
        <w:adjustRightInd/>
        <w:snapToGrid/>
        <w:spacing w:line="500" w:lineRule="exact"/>
        <w:ind w:firstLine="602"/>
        <w:jc w:val="left"/>
        <w:textAlignment w:val="auto"/>
        <w:rPr>
          <w:rFonts w:hint="eastAsia" w:asciiTheme="minorEastAsia" w:hAnsiTheme="minorEastAsia" w:eastAsiaTheme="minorEastAsia" w:cstheme="minorEastAsia"/>
          <w:b/>
          <w:sz w:val="21"/>
          <w:szCs w:val="21"/>
          <w:u w:val="single"/>
          <w:lang w:val="zh-CN"/>
        </w:rPr>
      </w:pPr>
      <w:r>
        <w:rPr>
          <w:rFonts w:hint="eastAsia" w:asciiTheme="minorEastAsia" w:hAnsiTheme="minorEastAsia" w:eastAsiaTheme="minorEastAsia" w:cstheme="minorEastAsia"/>
          <w:b/>
          <w:sz w:val="21"/>
          <w:szCs w:val="21"/>
          <w:u w:val="single"/>
          <w:lang w:val="zh-CN"/>
        </w:rPr>
        <w:t>（4）发包人提供的材料、工程设备的规格、数量或质量不符合合同约定，或因发包人原因导致交货日期延误或交货地点变更等情况的违约责任：   /   。</w:t>
      </w:r>
    </w:p>
    <w:p w14:paraId="0CC536E9">
      <w:pPr>
        <w:pageBreakBefore w:val="0"/>
        <w:kinsoku/>
        <w:wordWrap/>
        <w:overflowPunct/>
        <w:topLinePunct w:val="0"/>
        <w:autoSpaceDE/>
        <w:autoSpaceDN/>
        <w:bidi w:val="0"/>
        <w:adjustRightInd/>
        <w:snapToGrid/>
        <w:spacing w:line="500" w:lineRule="exact"/>
        <w:ind w:firstLine="602"/>
        <w:jc w:val="left"/>
        <w:textAlignment w:val="auto"/>
        <w:rPr>
          <w:rFonts w:hint="eastAsia" w:asciiTheme="minorEastAsia" w:hAnsiTheme="minorEastAsia" w:eastAsiaTheme="minorEastAsia" w:cstheme="minorEastAsia"/>
          <w:b/>
          <w:sz w:val="21"/>
          <w:szCs w:val="21"/>
          <w:u w:val="single"/>
          <w:lang w:val="zh-CN"/>
        </w:rPr>
      </w:pPr>
      <w:r>
        <w:rPr>
          <w:rFonts w:hint="eastAsia" w:asciiTheme="minorEastAsia" w:hAnsiTheme="minorEastAsia" w:eastAsiaTheme="minorEastAsia" w:cstheme="minorEastAsia"/>
          <w:b/>
          <w:sz w:val="21"/>
          <w:szCs w:val="21"/>
          <w:u w:val="single"/>
          <w:lang w:val="zh-CN"/>
        </w:rPr>
        <w:t>（5）因发包人违反合同约定造成暂停施工的违约责任： / 。</w:t>
      </w:r>
    </w:p>
    <w:p w14:paraId="2902116B">
      <w:pPr>
        <w:pageBreakBefore w:val="0"/>
        <w:kinsoku/>
        <w:wordWrap/>
        <w:overflowPunct/>
        <w:topLinePunct w:val="0"/>
        <w:autoSpaceDE/>
        <w:autoSpaceDN/>
        <w:bidi w:val="0"/>
        <w:adjustRightInd/>
        <w:snapToGrid/>
        <w:spacing w:line="500" w:lineRule="exact"/>
        <w:ind w:firstLine="602"/>
        <w:jc w:val="left"/>
        <w:textAlignment w:val="auto"/>
        <w:rPr>
          <w:rFonts w:hint="eastAsia" w:asciiTheme="minorEastAsia" w:hAnsiTheme="minorEastAsia" w:eastAsiaTheme="minorEastAsia" w:cstheme="minorEastAsia"/>
          <w:b/>
          <w:sz w:val="21"/>
          <w:szCs w:val="21"/>
          <w:u w:val="single"/>
          <w:lang w:val="zh-CN"/>
        </w:rPr>
      </w:pPr>
      <w:r>
        <w:rPr>
          <w:rFonts w:hint="eastAsia" w:asciiTheme="minorEastAsia" w:hAnsiTheme="minorEastAsia" w:eastAsiaTheme="minorEastAsia" w:cstheme="minorEastAsia"/>
          <w:b/>
          <w:sz w:val="21"/>
          <w:szCs w:val="21"/>
          <w:u w:val="single"/>
          <w:lang w:val="zh-CN"/>
        </w:rPr>
        <w:t>（6）发包人无正当理由没有在约定期限内发出复工指示，导致承包人无法复工的违约责任：      /                 。</w:t>
      </w:r>
    </w:p>
    <w:p w14:paraId="4E19AFE7">
      <w:pPr>
        <w:pageBreakBefore w:val="0"/>
        <w:kinsoku/>
        <w:wordWrap/>
        <w:overflowPunct/>
        <w:topLinePunct w:val="0"/>
        <w:autoSpaceDE/>
        <w:autoSpaceDN/>
        <w:bidi w:val="0"/>
        <w:adjustRightInd/>
        <w:snapToGrid/>
        <w:spacing w:line="500" w:lineRule="exact"/>
        <w:ind w:firstLine="602"/>
        <w:jc w:val="left"/>
        <w:textAlignment w:val="auto"/>
        <w:rPr>
          <w:rFonts w:hint="eastAsia" w:asciiTheme="minorEastAsia" w:hAnsiTheme="minorEastAsia" w:eastAsiaTheme="minorEastAsia" w:cstheme="minorEastAsia"/>
          <w:b/>
          <w:sz w:val="21"/>
          <w:szCs w:val="21"/>
          <w:u w:val="single"/>
          <w:lang w:val="zh-CN"/>
        </w:rPr>
      </w:pPr>
      <w:r>
        <w:rPr>
          <w:rFonts w:hint="eastAsia" w:asciiTheme="minorEastAsia" w:hAnsiTheme="minorEastAsia" w:eastAsiaTheme="minorEastAsia" w:cstheme="minorEastAsia"/>
          <w:b/>
          <w:sz w:val="21"/>
          <w:szCs w:val="21"/>
          <w:u w:val="single"/>
          <w:lang w:val="zh-CN"/>
        </w:rPr>
        <w:t>（7）其他：          /                           。</w:t>
      </w:r>
    </w:p>
    <w:p w14:paraId="04F87684">
      <w:pPr>
        <w:pageBreakBefore w:val="0"/>
        <w:kinsoku/>
        <w:wordWrap/>
        <w:overflowPunct/>
        <w:topLinePunct w:val="0"/>
        <w:autoSpaceDE/>
        <w:autoSpaceDN/>
        <w:bidi w:val="0"/>
        <w:adjustRightInd/>
        <w:snapToGrid/>
        <w:spacing w:line="500" w:lineRule="exact"/>
        <w:ind w:firstLine="602"/>
        <w:jc w:val="left"/>
        <w:textAlignment w:val="auto"/>
        <w:rPr>
          <w:rFonts w:hint="eastAsia" w:asciiTheme="minorEastAsia" w:hAnsiTheme="minorEastAsia" w:eastAsiaTheme="minorEastAsia" w:cstheme="minorEastAsia"/>
          <w:b/>
          <w:sz w:val="21"/>
          <w:szCs w:val="21"/>
          <w:u w:val="single"/>
          <w:lang w:val="zh-CN"/>
        </w:rPr>
      </w:pPr>
      <w:r>
        <w:rPr>
          <w:rFonts w:hint="eastAsia" w:asciiTheme="minorEastAsia" w:hAnsiTheme="minorEastAsia" w:eastAsiaTheme="minorEastAsia" w:cstheme="minorEastAsia"/>
          <w:b/>
          <w:sz w:val="21"/>
          <w:szCs w:val="21"/>
          <w:u w:val="single"/>
          <w:lang w:val="zh-CN"/>
        </w:rPr>
        <w:t>16.1.3 因发包人违约解除合同</w:t>
      </w:r>
    </w:p>
    <w:p w14:paraId="359FDBCB">
      <w:pPr>
        <w:pageBreakBefore w:val="0"/>
        <w:kinsoku/>
        <w:wordWrap/>
        <w:overflowPunct/>
        <w:topLinePunct w:val="0"/>
        <w:autoSpaceDE/>
        <w:autoSpaceDN/>
        <w:bidi w:val="0"/>
        <w:adjustRightInd/>
        <w:snapToGrid/>
        <w:spacing w:line="500" w:lineRule="exact"/>
        <w:ind w:firstLine="602"/>
        <w:jc w:val="left"/>
        <w:textAlignment w:val="auto"/>
        <w:rPr>
          <w:rFonts w:hint="eastAsia" w:asciiTheme="minorEastAsia" w:hAnsiTheme="minorEastAsia" w:eastAsiaTheme="minorEastAsia" w:cstheme="minorEastAsia"/>
          <w:b/>
          <w:sz w:val="21"/>
          <w:szCs w:val="21"/>
          <w:u w:val="single"/>
          <w:lang w:val="zh-CN"/>
        </w:rPr>
      </w:pPr>
      <w:r>
        <w:rPr>
          <w:rFonts w:hint="eastAsia" w:asciiTheme="minorEastAsia" w:hAnsiTheme="minorEastAsia" w:eastAsiaTheme="minorEastAsia" w:cstheme="minorEastAsia"/>
          <w:b/>
          <w:sz w:val="21"/>
          <w:szCs w:val="21"/>
          <w:u w:val="single"/>
          <w:lang w:val="zh-CN"/>
        </w:rPr>
        <w:t>承包人按16.1.1项〔发包人违约的情形〕约定暂停施工满   / 天后发包人仍不纠正其违约行为并致使合同目的不能实现的，承包人有权解除合同。</w:t>
      </w:r>
    </w:p>
    <w:p w14:paraId="6B718D24">
      <w:pPr>
        <w:pageBreakBefore w:val="0"/>
        <w:kinsoku/>
        <w:wordWrap/>
        <w:overflowPunct/>
        <w:topLinePunct w:val="0"/>
        <w:autoSpaceDE/>
        <w:autoSpaceDN/>
        <w:bidi w:val="0"/>
        <w:adjustRightInd/>
        <w:snapToGrid/>
        <w:spacing w:line="500" w:lineRule="exact"/>
        <w:ind w:firstLine="602"/>
        <w:jc w:val="left"/>
        <w:textAlignment w:val="auto"/>
        <w:rPr>
          <w:rFonts w:hint="eastAsia" w:asciiTheme="minorEastAsia" w:hAnsiTheme="minorEastAsia" w:eastAsiaTheme="minorEastAsia" w:cstheme="minorEastAsia"/>
          <w:b/>
          <w:sz w:val="21"/>
          <w:szCs w:val="21"/>
          <w:u w:val="single"/>
          <w:lang w:val="zh-CN"/>
        </w:rPr>
      </w:pPr>
      <w:r>
        <w:rPr>
          <w:rFonts w:hint="eastAsia" w:asciiTheme="minorEastAsia" w:hAnsiTheme="minorEastAsia" w:eastAsiaTheme="minorEastAsia" w:cstheme="minorEastAsia"/>
          <w:b/>
          <w:sz w:val="21"/>
          <w:szCs w:val="21"/>
          <w:u w:val="single"/>
          <w:lang w:val="zh-CN"/>
        </w:rPr>
        <w:t>工程中途停建、缓建或由于设计变更错误造成的停工180天，应采取措施弥补或减少损失。</w:t>
      </w:r>
    </w:p>
    <w:p w14:paraId="192814EC">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b/>
          <w:sz w:val="21"/>
          <w:szCs w:val="21"/>
        </w:rPr>
      </w:pPr>
      <w:bookmarkStart w:id="457" w:name="_Toc351203649"/>
      <w:r>
        <w:rPr>
          <w:rFonts w:hint="eastAsia" w:asciiTheme="minorEastAsia" w:hAnsiTheme="minorEastAsia" w:eastAsiaTheme="minorEastAsia" w:cstheme="minorEastAsia"/>
          <w:sz w:val="21"/>
          <w:szCs w:val="21"/>
        </w:rPr>
        <w:t>17. 不可抗力</w:t>
      </w:r>
      <w:bookmarkEnd w:id="457"/>
      <w:r>
        <w:rPr>
          <w:rFonts w:hint="eastAsia" w:asciiTheme="minorEastAsia" w:hAnsiTheme="minorEastAsia" w:eastAsiaTheme="minorEastAsia" w:cstheme="minorEastAsia"/>
          <w:sz w:val="21"/>
          <w:szCs w:val="21"/>
        </w:rPr>
        <w:t xml:space="preserve"> </w:t>
      </w:r>
      <w:bookmarkEnd w:id="455"/>
    </w:p>
    <w:p w14:paraId="1A7A6661">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17.1 不可抗力的确认</w:t>
      </w:r>
    </w:p>
    <w:p w14:paraId="3DE46101">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 xml:space="preserve">除通用合同条款约定的不可抗力事件之外，视为不可抗力的其他情形：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b/>
          <w:sz w:val="21"/>
          <w:szCs w:val="21"/>
          <w:u w:val="single"/>
        </w:rPr>
        <w:t>/</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08F7EB1A">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b/>
          <w:sz w:val="21"/>
          <w:szCs w:val="21"/>
        </w:rPr>
      </w:pPr>
      <w:bookmarkStart w:id="458" w:name="_Toc351203650"/>
      <w:r>
        <w:rPr>
          <w:rFonts w:hint="eastAsia" w:asciiTheme="minorEastAsia" w:hAnsiTheme="minorEastAsia" w:eastAsiaTheme="minorEastAsia" w:cstheme="minorEastAsia"/>
          <w:sz w:val="21"/>
          <w:szCs w:val="21"/>
        </w:rPr>
        <w:t>18. 保险</w:t>
      </w:r>
      <w:bookmarkEnd w:id="456"/>
      <w:bookmarkEnd w:id="458"/>
    </w:p>
    <w:p w14:paraId="4BFBCAD8">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18.1 工程保险</w:t>
      </w:r>
    </w:p>
    <w:p w14:paraId="6FDF168F">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关于工程保险的特别约定：</w:t>
      </w:r>
      <w:r>
        <w:rPr>
          <w:rFonts w:hint="eastAsia" w:asciiTheme="minorEastAsia" w:hAnsiTheme="minorEastAsia" w:eastAsiaTheme="minorEastAsia" w:cstheme="minorEastAsia"/>
          <w:b/>
          <w:color w:val="000000"/>
          <w:sz w:val="21"/>
          <w:szCs w:val="21"/>
          <w:u w:val="single"/>
        </w:rPr>
        <w:t>发包人委托承包人办理的保险事项：工程一切险和第三方责任险（包括建设工程、发包人自有人员、第三人生命财产 、运至施工场地内用于工程的材料和待安装设备），由承包人负责代为办理，费用由承包人承担，包含在合同价中。</w:t>
      </w:r>
    </w:p>
    <w:p w14:paraId="20A0092B">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18.2 其他保险</w:t>
      </w:r>
    </w:p>
    <w:p w14:paraId="347C82FF">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关于其他保险的约定：</w:t>
      </w:r>
      <w:r>
        <w:rPr>
          <w:rFonts w:hint="eastAsia" w:asciiTheme="minorEastAsia" w:hAnsiTheme="minorEastAsia" w:eastAsiaTheme="minorEastAsia" w:cstheme="minorEastAsia"/>
          <w:color w:val="000000"/>
          <w:sz w:val="21"/>
          <w:szCs w:val="21"/>
          <w:u w:val="single"/>
        </w:rPr>
        <w:t xml:space="preserve"> / </w:t>
      </w:r>
      <w:r>
        <w:rPr>
          <w:rFonts w:hint="eastAsia" w:asciiTheme="minorEastAsia" w:hAnsiTheme="minorEastAsia" w:eastAsiaTheme="minorEastAsia" w:cstheme="minorEastAsia"/>
          <w:color w:val="000000"/>
          <w:sz w:val="21"/>
          <w:szCs w:val="21"/>
        </w:rPr>
        <w:t>。</w:t>
      </w:r>
    </w:p>
    <w:p w14:paraId="6F0B72CF">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承包人是否应为其施工设备等办理财产保险：</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b/>
          <w:color w:val="000000"/>
          <w:sz w:val="21"/>
          <w:szCs w:val="21"/>
          <w:u w:val="single"/>
        </w:rPr>
        <w:t>按通用条款执行</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74B96C13">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18.3 通知义务</w:t>
      </w:r>
    </w:p>
    <w:p w14:paraId="72D1AB21">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关于变更保险合同时的通知义务的约定：</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b/>
          <w:color w:val="000000"/>
          <w:sz w:val="21"/>
          <w:szCs w:val="21"/>
          <w:u w:val="single"/>
        </w:rPr>
        <w:t>按通用条款执行</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bookmarkEnd w:id="432"/>
      <w:bookmarkEnd w:id="433"/>
      <w:bookmarkEnd w:id="434"/>
      <w:bookmarkEnd w:id="435"/>
      <w:bookmarkEnd w:id="436"/>
      <w:bookmarkEnd w:id="437"/>
      <w:bookmarkEnd w:id="438"/>
      <w:bookmarkEnd w:id="439"/>
      <w:bookmarkEnd w:id="440"/>
      <w:bookmarkEnd w:id="441"/>
      <w:bookmarkEnd w:id="442"/>
      <w:bookmarkEnd w:id="443"/>
    </w:p>
    <w:p w14:paraId="6A33691A">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b/>
          <w:sz w:val="21"/>
          <w:szCs w:val="21"/>
        </w:rPr>
      </w:pPr>
      <w:bookmarkStart w:id="459" w:name="_Toc351203651"/>
      <w:r>
        <w:rPr>
          <w:rFonts w:hint="eastAsia" w:asciiTheme="minorEastAsia" w:hAnsiTheme="minorEastAsia" w:eastAsiaTheme="minorEastAsia" w:cstheme="minorEastAsia"/>
          <w:sz w:val="21"/>
          <w:szCs w:val="21"/>
        </w:rPr>
        <w:t>19. 争议解决</w:t>
      </w:r>
      <w:bookmarkEnd w:id="444"/>
      <w:bookmarkEnd w:id="445"/>
      <w:bookmarkEnd w:id="446"/>
      <w:bookmarkEnd w:id="447"/>
      <w:bookmarkEnd w:id="459"/>
    </w:p>
    <w:p w14:paraId="3435E9B1">
      <w:pPr>
        <w:pStyle w:val="12"/>
        <w:pageBreakBefore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因合同及合同有关事项发生的争议，可向</w:t>
      </w:r>
      <w:r>
        <w:rPr>
          <w:rFonts w:hint="eastAsia" w:asciiTheme="minorEastAsia" w:hAnsiTheme="minorEastAsia" w:eastAsiaTheme="minorEastAsia" w:cstheme="minorEastAsia"/>
          <w:b/>
          <w:sz w:val="21"/>
          <w:szCs w:val="21"/>
          <w:u w:val="single"/>
        </w:rPr>
        <w:t>工程所在地</w:t>
      </w:r>
      <w:r>
        <w:rPr>
          <w:rFonts w:hint="eastAsia" w:asciiTheme="minorEastAsia" w:hAnsiTheme="minorEastAsia" w:eastAsiaTheme="minorEastAsia" w:cstheme="minorEastAsia"/>
          <w:sz w:val="21"/>
          <w:szCs w:val="21"/>
        </w:rPr>
        <w:t>人民法院起诉。</w:t>
      </w:r>
      <w:bookmarkEnd w:id="448"/>
      <w:bookmarkEnd w:id="449"/>
      <w:bookmarkEnd w:id="450"/>
      <w:bookmarkEnd w:id="451"/>
      <w:bookmarkEnd w:id="452"/>
      <w:bookmarkEnd w:id="453"/>
    </w:p>
    <w:p w14:paraId="085964F0">
      <w:pPr>
        <w:pageBreakBefore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sz w:val="21"/>
          <w:szCs w:val="21"/>
        </w:rPr>
        <w:t>20. 补充条款：</w:t>
      </w:r>
      <w:bookmarkEnd w:id="52"/>
    </w:p>
    <w:p w14:paraId="63BC6931">
      <w:pPr>
        <w:pageBreakBefore w:val="0"/>
        <w:kinsoku/>
        <w:wordWrap/>
        <w:overflowPunct/>
        <w:topLinePunct w:val="0"/>
        <w:autoSpaceDE/>
        <w:autoSpaceDN/>
        <w:bidi w:val="0"/>
        <w:adjustRightInd/>
        <w:snapToGrid/>
        <w:spacing w:line="500" w:lineRule="exact"/>
        <w:ind w:firstLine="482"/>
        <w:jc w:val="left"/>
        <w:textAlignment w:val="auto"/>
        <w:rPr>
          <w:rFonts w:hint="eastAsia" w:asciiTheme="minorEastAsia" w:hAnsiTheme="minorEastAsia" w:eastAsiaTheme="minorEastAsia" w:cstheme="minorEastAsia"/>
          <w:b/>
          <w:sz w:val="21"/>
          <w:szCs w:val="21"/>
          <w:u w:val="single"/>
        </w:rPr>
      </w:pPr>
      <w:r>
        <w:rPr>
          <w:rFonts w:hint="eastAsia" w:asciiTheme="minorEastAsia" w:hAnsiTheme="minorEastAsia" w:eastAsiaTheme="minorEastAsia" w:cstheme="minorEastAsia"/>
          <w:b/>
          <w:sz w:val="21"/>
          <w:szCs w:val="21"/>
          <w:u w:val="single"/>
          <w:lang w:val="zh-CN"/>
        </w:rPr>
        <w:t>2</w:t>
      </w:r>
      <w:r>
        <w:rPr>
          <w:rFonts w:hint="eastAsia" w:asciiTheme="minorEastAsia" w:hAnsiTheme="minorEastAsia" w:eastAsiaTheme="minorEastAsia" w:cstheme="minorEastAsia"/>
          <w:b/>
          <w:sz w:val="21"/>
          <w:szCs w:val="21"/>
          <w:u w:val="single"/>
        </w:rPr>
        <w:t>0</w:t>
      </w:r>
      <w:r>
        <w:rPr>
          <w:rFonts w:hint="eastAsia" w:asciiTheme="minorEastAsia" w:hAnsiTheme="minorEastAsia" w:eastAsiaTheme="minorEastAsia" w:cstheme="minorEastAsia"/>
          <w:b/>
          <w:sz w:val="21"/>
          <w:szCs w:val="21"/>
          <w:u w:val="single"/>
          <w:lang w:val="zh-CN"/>
        </w:rPr>
        <w:t>.1发包方负责提供水源电源接点，施工用电、用水费用由承包方装表据实缴纳或审计时扣除。</w:t>
      </w:r>
    </w:p>
    <w:p w14:paraId="1B515E10">
      <w:pPr>
        <w:pageBreakBefore w:val="0"/>
        <w:kinsoku/>
        <w:wordWrap/>
        <w:overflowPunct/>
        <w:topLinePunct w:val="0"/>
        <w:autoSpaceDE/>
        <w:autoSpaceDN/>
        <w:bidi w:val="0"/>
        <w:adjustRightInd/>
        <w:snapToGrid/>
        <w:spacing w:line="500" w:lineRule="exact"/>
        <w:ind w:firstLine="482"/>
        <w:jc w:val="left"/>
        <w:textAlignment w:val="auto"/>
        <w:rPr>
          <w:rFonts w:hint="eastAsia" w:asciiTheme="minorEastAsia" w:hAnsiTheme="minorEastAsia" w:eastAsiaTheme="minorEastAsia" w:cstheme="minorEastAsia"/>
          <w:b/>
          <w:sz w:val="21"/>
          <w:szCs w:val="21"/>
          <w:u w:val="single"/>
        </w:rPr>
      </w:pPr>
      <w:r>
        <w:rPr>
          <w:rFonts w:hint="eastAsia" w:asciiTheme="minorEastAsia" w:hAnsiTheme="minorEastAsia" w:eastAsiaTheme="minorEastAsia" w:cstheme="minorEastAsia"/>
          <w:b/>
          <w:sz w:val="21"/>
          <w:szCs w:val="21"/>
          <w:u w:val="single"/>
        </w:rPr>
        <w:t>20.2承包人在投标文件中拟定的施工项目经理、主要技术人员、管理人员的有关证件，进驻现场之日起应交发包人对照审验，凡与招标文件不相符的人员，一律不准进入施工现场参与施工工作，由此造成的一切后果，均由承包人负责。</w:t>
      </w:r>
    </w:p>
    <w:p w14:paraId="59DD1306">
      <w:pPr>
        <w:pageBreakBefore w:val="0"/>
        <w:kinsoku/>
        <w:wordWrap/>
        <w:overflowPunct/>
        <w:topLinePunct w:val="0"/>
        <w:autoSpaceDE/>
        <w:autoSpaceDN/>
        <w:bidi w:val="0"/>
        <w:adjustRightInd/>
        <w:snapToGrid/>
        <w:spacing w:line="500" w:lineRule="exact"/>
        <w:ind w:firstLine="482"/>
        <w:textAlignment w:val="auto"/>
        <w:rPr>
          <w:rFonts w:hint="eastAsia" w:asciiTheme="minorEastAsia" w:hAnsiTheme="minorEastAsia" w:eastAsiaTheme="minorEastAsia" w:cstheme="minorEastAsia"/>
          <w:b/>
          <w:sz w:val="21"/>
          <w:szCs w:val="21"/>
          <w:u w:val="single"/>
        </w:rPr>
      </w:pPr>
      <w:r>
        <w:rPr>
          <w:rFonts w:hint="eastAsia" w:asciiTheme="minorEastAsia" w:hAnsiTheme="minorEastAsia" w:eastAsiaTheme="minorEastAsia" w:cstheme="minorEastAsia"/>
          <w:b/>
          <w:sz w:val="21"/>
          <w:szCs w:val="21"/>
          <w:u w:val="single"/>
          <w:lang w:val="zh-CN"/>
        </w:rPr>
        <w:t>2</w:t>
      </w:r>
      <w:r>
        <w:rPr>
          <w:rFonts w:hint="eastAsia" w:asciiTheme="minorEastAsia" w:hAnsiTheme="minorEastAsia" w:eastAsiaTheme="minorEastAsia" w:cstheme="minorEastAsia"/>
          <w:b/>
          <w:sz w:val="21"/>
          <w:szCs w:val="21"/>
          <w:u w:val="single"/>
        </w:rPr>
        <w:t>0</w:t>
      </w:r>
      <w:r>
        <w:rPr>
          <w:rFonts w:hint="eastAsia" w:asciiTheme="minorEastAsia" w:hAnsiTheme="minorEastAsia" w:eastAsiaTheme="minorEastAsia" w:cstheme="minorEastAsia"/>
          <w:b/>
          <w:sz w:val="21"/>
          <w:szCs w:val="21"/>
          <w:u w:val="single"/>
          <w:lang w:val="zh-CN"/>
        </w:rPr>
        <w:t>.3</w:t>
      </w:r>
      <w:r>
        <w:rPr>
          <w:rFonts w:hint="eastAsia" w:asciiTheme="minorEastAsia" w:hAnsiTheme="minorEastAsia" w:eastAsiaTheme="minorEastAsia" w:cstheme="minorEastAsia"/>
          <w:b/>
          <w:sz w:val="21"/>
          <w:szCs w:val="21"/>
          <w:u w:val="single"/>
        </w:rPr>
        <w:t>承包方对施工人员应加强管理，严格遵守国家和学校的有关法律法规和制度，施工期间发生任何事故及其费用均与发包人无关。</w:t>
      </w:r>
    </w:p>
    <w:p w14:paraId="02F3A0C0">
      <w:pPr>
        <w:pageBreakBefore w:val="0"/>
        <w:kinsoku/>
        <w:wordWrap/>
        <w:overflowPunct/>
        <w:topLinePunct w:val="0"/>
        <w:autoSpaceDE/>
        <w:autoSpaceDN/>
        <w:bidi w:val="0"/>
        <w:adjustRightInd/>
        <w:snapToGrid/>
        <w:spacing w:line="500" w:lineRule="exact"/>
        <w:ind w:firstLine="482"/>
        <w:jc w:val="left"/>
        <w:textAlignment w:val="auto"/>
        <w:rPr>
          <w:rFonts w:hint="eastAsia" w:asciiTheme="minorEastAsia" w:hAnsiTheme="minorEastAsia" w:eastAsiaTheme="minorEastAsia" w:cstheme="minorEastAsia"/>
          <w:b/>
          <w:sz w:val="21"/>
          <w:szCs w:val="21"/>
          <w:u w:val="single"/>
        </w:rPr>
      </w:pPr>
      <w:r>
        <w:rPr>
          <w:rFonts w:hint="eastAsia" w:asciiTheme="minorEastAsia" w:hAnsiTheme="minorEastAsia" w:eastAsiaTheme="minorEastAsia" w:cstheme="minorEastAsia"/>
          <w:b/>
          <w:sz w:val="21"/>
          <w:szCs w:val="21"/>
          <w:u w:val="single"/>
        </w:rPr>
        <w:t>20.4施工垃圾应按发包方指定地点堆放，及时清理。工程竣工3天内，承包人要全部清除运出施工现场的一切垃圾、废料、设备等，保持场地整洁，费用由承包人自理。</w:t>
      </w:r>
    </w:p>
    <w:p w14:paraId="5061B172">
      <w:pPr>
        <w:pageBreakBefore w:val="0"/>
        <w:kinsoku/>
        <w:wordWrap/>
        <w:overflowPunct/>
        <w:topLinePunct w:val="0"/>
        <w:autoSpaceDE/>
        <w:autoSpaceDN/>
        <w:bidi w:val="0"/>
        <w:adjustRightInd/>
        <w:snapToGrid/>
        <w:spacing w:line="500" w:lineRule="exact"/>
        <w:ind w:firstLine="482"/>
        <w:textAlignment w:val="auto"/>
        <w:rPr>
          <w:rFonts w:hint="eastAsia" w:asciiTheme="minorEastAsia" w:hAnsiTheme="minorEastAsia" w:eastAsiaTheme="minorEastAsia" w:cstheme="minorEastAsia"/>
          <w:b/>
          <w:sz w:val="21"/>
          <w:szCs w:val="21"/>
          <w:u w:val="single"/>
        </w:rPr>
      </w:pPr>
      <w:r>
        <w:rPr>
          <w:rFonts w:hint="eastAsia" w:asciiTheme="minorEastAsia" w:hAnsiTheme="minorEastAsia" w:eastAsiaTheme="minorEastAsia" w:cstheme="minorEastAsia"/>
          <w:b/>
          <w:sz w:val="21"/>
          <w:szCs w:val="21"/>
          <w:u w:val="single"/>
        </w:rPr>
        <w:t xml:space="preserve">20.5其它 </w:t>
      </w:r>
    </w:p>
    <w:p w14:paraId="548EE54E">
      <w:pPr>
        <w:pageBreakBefore w:val="0"/>
        <w:kinsoku/>
        <w:wordWrap/>
        <w:overflowPunct/>
        <w:topLinePunct w:val="0"/>
        <w:autoSpaceDE/>
        <w:autoSpaceDN/>
        <w:bidi w:val="0"/>
        <w:adjustRightInd/>
        <w:snapToGrid/>
        <w:spacing w:line="500" w:lineRule="exact"/>
        <w:ind w:firstLine="422"/>
        <w:textAlignment w:val="auto"/>
        <w:rPr>
          <w:rFonts w:hint="eastAsia" w:asciiTheme="minorEastAsia" w:hAnsiTheme="minorEastAsia" w:eastAsiaTheme="minorEastAsia" w:cstheme="minorEastAsia"/>
          <w:b/>
          <w:color w:val="FF0000"/>
          <w:sz w:val="21"/>
          <w:szCs w:val="21"/>
          <w:u w:val="single"/>
        </w:rPr>
      </w:pPr>
    </w:p>
    <w:p w14:paraId="040DAA7E">
      <w:pPr>
        <w:pageBreakBefore w:val="0"/>
        <w:kinsoku/>
        <w:wordWrap/>
        <w:overflowPunct/>
        <w:topLinePunct w:val="0"/>
        <w:autoSpaceDE/>
        <w:autoSpaceDN/>
        <w:bidi w:val="0"/>
        <w:adjustRightInd/>
        <w:snapToGrid/>
        <w:spacing w:line="500" w:lineRule="exact"/>
        <w:ind w:firstLine="422"/>
        <w:jc w:val="center"/>
        <w:textAlignment w:val="auto"/>
        <w:rPr>
          <w:rFonts w:hint="eastAsia" w:asciiTheme="minorEastAsia" w:hAnsiTheme="minorEastAsia" w:eastAsiaTheme="minorEastAsia" w:cstheme="minorEastAsia"/>
          <w:b/>
          <w:sz w:val="21"/>
          <w:szCs w:val="21"/>
        </w:rPr>
      </w:pPr>
    </w:p>
    <w:p w14:paraId="1EA9FAC8">
      <w:pPr>
        <w:pageBreakBefore w:val="0"/>
        <w:kinsoku/>
        <w:wordWrap/>
        <w:overflowPunct/>
        <w:topLinePunct w:val="0"/>
        <w:autoSpaceDE/>
        <w:autoSpaceDN/>
        <w:bidi w:val="0"/>
        <w:adjustRightInd/>
        <w:snapToGrid/>
        <w:spacing w:line="500" w:lineRule="exact"/>
        <w:ind w:firstLine="422"/>
        <w:jc w:val="center"/>
        <w:textAlignment w:val="auto"/>
        <w:rPr>
          <w:rFonts w:hint="eastAsia" w:asciiTheme="minorEastAsia" w:hAnsiTheme="minorEastAsia" w:eastAsiaTheme="minorEastAsia" w:cstheme="minorEastAsia"/>
          <w:b/>
          <w:sz w:val="21"/>
          <w:szCs w:val="21"/>
        </w:rPr>
      </w:pPr>
    </w:p>
    <w:p w14:paraId="36B00B1D">
      <w:pPr>
        <w:pageBreakBefore w:val="0"/>
        <w:kinsoku/>
        <w:wordWrap/>
        <w:overflowPunct/>
        <w:topLinePunct w:val="0"/>
        <w:autoSpaceDE/>
        <w:autoSpaceDN/>
        <w:bidi w:val="0"/>
        <w:adjustRightInd/>
        <w:snapToGrid/>
        <w:spacing w:line="500" w:lineRule="exact"/>
        <w:ind w:firstLine="422"/>
        <w:jc w:val="center"/>
        <w:textAlignment w:val="auto"/>
        <w:rPr>
          <w:rFonts w:hint="eastAsia" w:asciiTheme="minorEastAsia" w:hAnsiTheme="minorEastAsia" w:eastAsiaTheme="minorEastAsia" w:cstheme="minorEastAsia"/>
          <w:b/>
          <w:sz w:val="21"/>
          <w:szCs w:val="21"/>
        </w:rPr>
      </w:pPr>
    </w:p>
    <w:p w14:paraId="15878AEF">
      <w:pPr>
        <w:pageBreakBefore w:val="0"/>
        <w:kinsoku/>
        <w:wordWrap/>
        <w:overflowPunct/>
        <w:topLinePunct w:val="0"/>
        <w:autoSpaceDE/>
        <w:autoSpaceDN/>
        <w:bidi w:val="0"/>
        <w:adjustRightInd/>
        <w:snapToGrid/>
        <w:spacing w:line="500" w:lineRule="exact"/>
        <w:ind w:firstLine="422"/>
        <w:jc w:val="center"/>
        <w:textAlignment w:val="auto"/>
        <w:rPr>
          <w:rFonts w:hint="eastAsia" w:asciiTheme="minorEastAsia" w:hAnsiTheme="minorEastAsia" w:eastAsiaTheme="minorEastAsia" w:cstheme="minorEastAsia"/>
          <w:b/>
          <w:sz w:val="21"/>
          <w:szCs w:val="21"/>
        </w:rPr>
      </w:pPr>
    </w:p>
    <w:p w14:paraId="0360EB4D">
      <w:pPr>
        <w:pageBreakBefore w:val="0"/>
        <w:tabs>
          <w:tab w:val="left" w:pos="900"/>
        </w:tabs>
        <w:kinsoku/>
        <w:wordWrap/>
        <w:overflowPunct/>
        <w:topLinePunct w:val="0"/>
        <w:autoSpaceDE/>
        <w:autoSpaceDN/>
        <w:bidi w:val="0"/>
        <w:adjustRightInd/>
        <w:snapToGrid/>
        <w:spacing w:line="500" w:lineRule="exact"/>
        <w:ind w:firstLine="482"/>
        <w:textAlignment w:val="auto"/>
        <w:rPr>
          <w:rFonts w:hint="eastAsia" w:asciiTheme="minorEastAsia" w:hAnsiTheme="minorEastAsia" w:eastAsiaTheme="minorEastAsia" w:cstheme="minorEastAsia"/>
          <w:b/>
          <w:sz w:val="21"/>
          <w:szCs w:val="21"/>
        </w:rPr>
      </w:pPr>
    </w:p>
    <w:p w14:paraId="10564F91">
      <w:pPr>
        <w:pageBreakBefore w:val="0"/>
        <w:tabs>
          <w:tab w:val="left" w:pos="900"/>
        </w:tabs>
        <w:kinsoku/>
        <w:wordWrap/>
        <w:overflowPunct/>
        <w:topLinePunct w:val="0"/>
        <w:autoSpaceDE/>
        <w:autoSpaceDN/>
        <w:bidi w:val="0"/>
        <w:adjustRightInd/>
        <w:snapToGrid/>
        <w:spacing w:line="500" w:lineRule="exact"/>
        <w:ind w:firstLine="482"/>
        <w:textAlignment w:val="auto"/>
        <w:rPr>
          <w:rFonts w:hint="eastAsia" w:asciiTheme="minorEastAsia" w:hAnsiTheme="minorEastAsia" w:eastAsiaTheme="minorEastAsia" w:cstheme="minorEastAsia"/>
          <w:b/>
          <w:sz w:val="21"/>
          <w:szCs w:val="21"/>
        </w:rPr>
        <w:sectPr>
          <w:pgSz w:w="11906" w:h="16838"/>
          <w:pgMar w:top="1134" w:right="1134" w:bottom="1134" w:left="1134" w:header="851" w:footer="992" w:gutter="0"/>
          <w:cols w:space="720" w:num="1"/>
          <w:docGrid w:linePitch="360" w:charSpace="0"/>
        </w:sectPr>
      </w:pPr>
    </w:p>
    <w:p w14:paraId="73446900">
      <w:pPr>
        <w:keepNext w:val="0"/>
        <w:keepLines w:val="0"/>
        <w:pageBreakBefore w:val="0"/>
        <w:tabs>
          <w:tab w:val="left" w:pos="900"/>
        </w:tabs>
        <w:kinsoku/>
        <w:wordWrap/>
        <w:overflowPunct/>
        <w:topLinePunct w:val="0"/>
        <w:autoSpaceDE/>
        <w:autoSpaceDN/>
        <w:bidi w:val="0"/>
        <w:adjustRightInd/>
        <w:snapToGrid/>
        <w:spacing w:line="480" w:lineRule="auto"/>
        <w:ind w:firstLine="482"/>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附件：工程安全生产责任状</w:t>
      </w:r>
      <w:bookmarkStart w:id="460" w:name="_Toc20981"/>
      <w:bookmarkStart w:id="461" w:name="_Toc21367"/>
      <w:bookmarkStart w:id="462" w:name="_Toc28666"/>
      <w:bookmarkStart w:id="463" w:name="_Toc24801"/>
    </w:p>
    <w:p w14:paraId="25F52ADA">
      <w:pPr>
        <w:keepNext w:val="0"/>
        <w:keepLines w:val="0"/>
        <w:pageBreakBefore w:val="0"/>
        <w:kinsoku/>
        <w:wordWrap/>
        <w:overflowPunct/>
        <w:topLinePunct w:val="0"/>
        <w:autoSpaceDE/>
        <w:autoSpaceDN/>
        <w:bidi w:val="0"/>
        <w:adjustRightInd/>
        <w:snapToGrid/>
        <w:spacing w:line="480" w:lineRule="auto"/>
        <w:ind w:firstLine="643"/>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工程安全生产责任状</w:t>
      </w:r>
      <w:bookmarkEnd w:id="460"/>
      <w:bookmarkEnd w:id="461"/>
      <w:bookmarkEnd w:id="462"/>
      <w:bookmarkEnd w:id="463"/>
    </w:p>
    <w:p w14:paraId="2C5CD611">
      <w:pPr>
        <w:keepNext w:val="0"/>
        <w:keepLines w:val="0"/>
        <w:pageBreakBefore w:val="0"/>
        <w:kinsoku/>
        <w:wordWrap/>
        <w:overflowPunct/>
        <w:topLinePunct w:val="0"/>
        <w:autoSpaceDE/>
        <w:autoSpaceDN/>
        <w:bidi w:val="0"/>
        <w:adjustRightInd/>
        <w:snapToGrid/>
        <w:spacing w:line="480" w:lineRule="auto"/>
        <w:ind w:firstLine="480"/>
        <w:jc w:val="center"/>
        <w:textAlignment w:val="auto"/>
        <w:rPr>
          <w:rFonts w:hint="eastAsia" w:asciiTheme="minorEastAsia" w:hAnsiTheme="minorEastAsia" w:eastAsiaTheme="minorEastAsia" w:cstheme="minorEastAsia"/>
          <w:sz w:val="21"/>
          <w:szCs w:val="21"/>
        </w:rPr>
      </w:pPr>
    </w:p>
    <w:p w14:paraId="4D355BE6">
      <w:pPr>
        <w:keepNext w:val="0"/>
        <w:keepLines w:val="0"/>
        <w:pageBreakBefore w:val="0"/>
        <w:widowControl/>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发包人：</w:t>
      </w:r>
      <w:r>
        <w:rPr>
          <w:rFonts w:hint="eastAsia" w:asciiTheme="minorEastAsia" w:hAnsiTheme="minorEastAsia" w:eastAsiaTheme="minorEastAsia" w:cstheme="minorEastAsia"/>
          <w:sz w:val="21"/>
          <w:szCs w:val="21"/>
          <w:u w:val="single"/>
        </w:rPr>
        <w:t xml:space="preserve">                     </w:t>
      </w:r>
    </w:p>
    <w:p w14:paraId="59CE7DBA">
      <w:pPr>
        <w:keepNext w:val="0"/>
        <w:keepLines w:val="0"/>
        <w:pageBreakBefore w:val="0"/>
        <w:widowControl/>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承包人：</w:t>
      </w:r>
      <w:r>
        <w:rPr>
          <w:rFonts w:hint="eastAsia" w:asciiTheme="minorEastAsia" w:hAnsiTheme="minorEastAsia" w:eastAsiaTheme="minorEastAsia" w:cstheme="minorEastAsia"/>
          <w:sz w:val="21"/>
          <w:szCs w:val="21"/>
          <w:u w:val="single"/>
        </w:rPr>
        <w:t xml:space="preserve">                      </w:t>
      </w:r>
    </w:p>
    <w:p w14:paraId="23126070">
      <w:pPr>
        <w:keepNext w:val="0"/>
        <w:keepLines w:val="0"/>
        <w:pageBreakBefore w:val="0"/>
        <w:widowControl/>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为贯彻“安全第一，预防为主”方针，明确双方的安全责任，切实加强工程管理，确保施工中人身和设备安全，根据国家有关法律法规，经双方协商一致签订工程安全生产管理目标责任状如下：</w:t>
      </w:r>
    </w:p>
    <w:p w14:paraId="0BA16E02">
      <w:pPr>
        <w:keepNext w:val="0"/>
        <w:keepLines w:val="0"/>
        <w:pageBreakBefore w:val="0"/>
        <w:widowControl/>
        <w:kinsoku/>
        <w:wordWrap/>
        <w:overflowPunct/>
        <w:topLinePunct w:val="0"/>
        <w:autoSpaceDE/>
        <w:autoSpaceDN/>
        <w:bidi w:val="0"/>
        <w:adjustRightInd/>
        <w:snapToGrid/>
        <w:spacing w:line="500" w:lineRule="exact"/>
        <w:ind w:firstLine="482"/>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一、工程名称：</w:t>
      </w:r>
    </w:p>
    <w:p w14:paraId="6612EE67">
      <w:pPr>
        <w:keepNext w:val="0"/>
        <w:keepLines w:val="0"/>
        <w:pageBreakBefore w:val="0"/>
        <w:widowControl/>
        <w:kinsoku/>
        <w:wordWrap/>
        <w:overflowPunct/>
        <w:topLinePunct w:val="0"/>
        <w:autoSpaceDE/>
        <w:autoSpaceDN/>
        <w:bidi w:val="0"/>
        <w:adjustRightInd/>
        <w:snapToGrid/>
        <w:spacing w:line="500" w:lineRule="exact"/>
        <w:ind w:firstLine="482"/>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二、发包人的主要安全责任：</w:t>
      </w:r>
    </w:p>
    <w:p w14:paraId="1833CE12">
      <w:pPr>
        <w:keepNext w:val="0"/>
        <w:keepLines w:val="0"/>
        <w:pageBreakBefore w:val="0"/>
        <w:widowControl/>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1.及时宣传贯彻国家、省、市有关安全生产的方针、政策、法律、法规。</w:t>
      </w:r>
    </w:p>
    <w:p w14:paraId="115390AF">
      <w:pPr>
        <w:keepNext w:val="0"/>
        <w:keepLines w:val="0"/>
        <w:pageBreakBefore w:val="0"/>
        <w:widowControl/>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2.严肃查处工程各类安全隐患并落实整改责任单位和责任人，涉及查处等事项及时通报承包人。</w:t>
      </w:r>
    </w:p>
    <w:p w14:paraId="28876883">
      <w:pPr>
        <w:keepNext w:val="0"/>
        <w:keepLines w:val="0"/>
        <w:pageBreakBefore w:val="0"/>
        <w:widowControl/>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3.指派专职安监员深入施工现场，加强工程安全行为和建筑实体的安全督查。 </w:t>
      </w:r>
    </w:p>
    <w:p w14:paraId="6CB24FB4">
      <w:pPr>
        <w:keepNext w:val="0"/>
        <w:keepLines w:val="0"/>
        <w:pageBreakBefore w:val="0"/>
        <w:widowControl/>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4.根据招标文件以及工程施工合同明确的文明工地创建目标，督促和鼓励本工程施工、监理单位做好施工现场安全和文明施工管理。</w:t>
      </w:r>
    </w:p>
    <w:p w14:paraId="2FDC5EA3">
      <w:pPr>
        <w:keepNext w:val="0"/>
        <w:keepLines w:val="0"/>
        <w:pageBreakBefore w:val="0"/>
        <w:widowControl/>
        <w:kinsoku/>
        <w:wordWrap/>
        <w:overflowPunct/>
        <w:topLinePunct w:val="0"/>
        <w:autoSpaceDE/>
        <w:autoSpaceDN/>
        <w:bidi w:val="0"/>
        <w:adjustRightInd/>
        <w:snapToGrid/>
        <w:spacing w:line="500" w:lineRule="exact"/>
        <w:ind w:firstLine="482"/>
        <w:textAlignment w:val="auto"/>
        <w:rPr>
          <w:rFonts w:hint="eastAsia" w:asciiTheme="minorEastAsia" w:hAnsiTheme="minorEastAsia" w:eastAsiaTheme="minorEastAsia" w:cstheme="minorEastAsia"/>
          <w:b/>
          <w:bCs/>
          <w:sz w:val="21"/>
          <w:szCs w:val="21"/>
        </w:rPr>
      </w:pPr>
      <w:bookmarkStart w:id="464" w:name="_Toc13480"/>
      <w:r>
        <w:rPr>
          <w:rFonts w:hint="eastAsia" w:asciiTheme="minorEastAsia" w:hAnsiTheme="minorEastAsia" w:eastAsiaTheme="minorEastAsia" w:cstheme="minorEastAsia"/>
          <w:b/>
          <w:bCs/>
          <w:sz w:val="21"/>
          <w:szCs w:val="21"/>
        </w:rPr>
        <w:t>三、承包人的主要安全责任</w:t>
      </w:r>
      <w:bookmarkEnd w:id="464"/>
    </w:p>
    <w:p w14:paraId="7145BFBB">
      <w:pPr>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1.承包人所提供的承包工程要求的相关资质证明材料应真实、合法、有效。</w:t>
      </w:r>
    </w:p>
    <w:p w14:paraId="17E70763">
      <w:pPr>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2.现场施工应遵守国家和地方关于劳动安全，劳务用工法律法规及规章制度，保证其用工的合法性。承包人必须按国家有关规定，为施工人员进行人身保险，配备合格的劳动防护用品、安全用具。</w:t>
      </w:r>
    </w:p>
    <w:p w14:paraId="1959B0E7">
      <w:pPr>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3.材料进场需要检查是否有出产合格证，同时应经发包人现场负责人或监理工程师验证后方可使用。</w:t>
      </w:r>
    </w:p>
    <w:p w14:paraId="59161448">
      <w:pPr>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4.施工期间，承包人应指派专职安全员作为安全工作联系和现场安全管理。</w:t>
      </w:r>
    </w:p>
    <w:p w14:paraId="30DE9A42">
      <w:pPr>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5.承包人一切施工活动，必须编制安全施工措施，施工前对全体施工人员进行全面的安全技术交底，并在整个施工过程正确、完整地执行，无措施或未交底严禁施工。</w:t>
      </w:r>
    </w:p>
    <w:p w14:paraId="2AA4E3BD">
      <w:pPr>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6.开工前，承包人应组织全体施工人员进行安全教育。特种作业人员必须有关部门核发的合格有效的上岗资格证书。</w:t>
      </w:r>
    </w:p>
    <w:p w14:paraId="55C86FD9">
      <w:pPr>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7.承包人应在施工范围装设临时围栏或警告标志，不得超越指定的施工范围进行施工，禁止无关人员进入施工现场。</w:t>
      </w:r>
    </w:p>
    <w:p w14:paraId="317ECA6B">
      <w:pPr>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bookmarkStart w:id="465" w:name="_Toc7086"/>
      <w:r>
        <w:rPr>
          <w:rFonts w:hint="eastAsia" w:asciiTheme="minorEastAsia" w:hAnsiTheme="minorEastAsia" w:eastAsiaTheme="minorEastAsia" w:cstheme="minorEastAsia"/>
          <w:sz w:val="21"/>
          <w:szCs w:val="21"/>
        </w:rPr>
        <w:t>8.承包人施工过程中应做到日产、日清，确保施工场地卫生整洁。</w:t>
      </w:r>
      <w:bookmarkEnd w:id="465"/>
    </w:p>
    <w:p w14:paraId="1000DC99">
      <w:pPr>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9.做好文明施工、安全施工;施工过程中需使用电、水源，应事先与发包人取得联系，不得私拉乱接;做好施工临时用电;按规范要求搭设脚手架做好安全防护工作，确保施工人员安全。</w:t>
      </w:r>
    </w:p>
    <w:p w14:paraId="5F56DEE0">
      <w:pPr>
        <w:keepNext w:val="0"/>
        <w:keepLines w:val="0"/>
        <w:pageBreakBefore w:val="0"/>
        <w:widowControl/>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bookmarkStart w:id="466" w:name="_Toc4607"/>
      <w:r>
        <w:rPr>
          <w:rFonts w:hint="eastAsia" w:asciiTheme="minorEastAsia" w:hAnsiTheme="minorEastAsia" w:eastAsiaTheme="minorEastAsia" w:cstheme="minorEastAsia"/>
          <w:sz w:val="21"/>
          <w:szCs w:val="21"/>
        </w:rPr>
        <w:t>10.办理施工现场作业人员意外伤害保险。</w:t>
      </w:r>
      <w:bookmarkEnd w:id="466"/>
    </w:p>
    <w:p w14:paraId="04B172C0">
      <w:pPr>
        <w:keepNext w:val="0"/>
        <w:keepLines w:val="0"/>
        <w:pageBreakBefore w:val="0"/>
        <w:widowControl/>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工程实行施工总承包的，由总承包单位对施工现场的安全生产负总责。总承包单位依法将工程分包给其他单位的，分包合同中应明确各自的安全生产方面的权利、义务。总承包单位和分承包单位对分包工程的安全生产承担连带责任。分包单位应当服从总承包单位的安全生产管理，分包单位不服从管理导致生产安全事故的，由分包单位承担主要责任。</w:t>
      </w:r>
    </w:p>
    <w:p w14:paraId="45E3147E">
      <w:pPr>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12.建立整改责任制，对检查中发现的质量安全隐患，采取有效措施立即进行整改，落实专人负责监控，确保质量安全。</w:t>
      </w:r>
    </w:p>
    <w:p w14:paraId="6E241BB3">
      <w:pPr>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13.现场工地要切实加强节日期间安全、文明生产工作，一旦发生各类突发事故和紧急情况，要立即启动预案，并按照有关规定及时上报和妥善处置。</w:t>
      </w:r>
    </w:p>
    <w:p w14:paraId="2336B38B">
      <w:pPr>
        <w:keepNext w:val="0"/>
        <w:keepLines w:val="0"/>
        <w:pageBreakBefore w:val="0"/>
        <w:widowControl/>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bookmarkStart w:id="467" w:name="_Toc2893"/>
      <w:r>
        <w:rPr>
          <w:rFonts w:hint="eastAsia" w:asciiTheme="minorEastAsia" w:hAnsiTheme="minorEastAsia" w:eastAsiaTheme="minorEastAsia" w:cstheme="minorEastAsia"/>
          <w:sz w:val="21"/>
          <w:szCs w:val="21"/>
        </w:rPr>
        <w:t>14.保障本工程安全负责人联络电话（移动电话）24小时开机。</w:t>
      </w:r>
      <w:bookmarkEnd w:id="467"/>
    </w:p>
    <w:p w14:paraId="42B49A16">
      <w:pPr>
        <w:keepNext w:val="0"/>
        <w:keepLines w:val="0"/>
        <w:pageBreakBefore w:val="0"/>
        <w:widowControl/>
        <w:kinsoku/>
        <w:wordWrap/>
        <w:overflowPunct/>
        <w:topLinePunct w:val="0"/>
        <w:autoSpaceDE/>
        <w:autoSpaceDN/>
        <w:bidi w:val="0"/>
        <w:adjustRightInd/>
        <w:snapToGrid/>
        <w:spacing w:line="500" w:lineRule="exact"/>
        <w:ind w:firstLine="482"/>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四、考核目标：</w:t>
      </w:r>
      <w:r>
        <w:rPr>
          <w:rFonts w:hint="eastAsia" w:asciiTheme="minorEastAsia" w:hAnsiTheme="minorEastAsia" w:eastAsiaTheme="minorEastAsia" w:cstheme="minorEastAsia"/>
          <w:sz w:val="21"/>
          <w:szCs w:val="21"/>
        </w:rPr>
        <w:t>无安全生产事故。</w:t>
      </w:r>
    </w:p>
    <w:p w14:paraId="15F9695C">
      <w:pPr>
        <w:keepNext w:val="0"/>
        <w:keepLines w:val="0"/>
        <w:pageBreakBefore w:val="0"/>
        <w:widowControl/>
        <w:kinsoku/>
        <w:wordWrap/>
        <w:overflowPunct/>
        <w:topLinePunct w:val="0"/>
        <w:autoSpaceDE/>
        <w:autoSpaceDN/>
        <w:bidi w:val="0"/>
        <w:adjustRightInd/>
        <w:snapToGrid/>
        <w:spacing w:line="500" w:lineRule="exact"/>
        <w:ind w:firstLine="482"/>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五、考核奖惩</w:t>
      </w:r>
    </w:p>
    <w:p w14:paraId="40B384AB">
      <w:pPr>
        <w:keepNext w:val="0"/>
        <w:keepLines w:val="0"/>
        <w:pageBreakBefore w:val="0"/>
        <w:widowControl/>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发包人认真行使安全生产“一票否决权”，对造成安全生产重大事故的责任单位和个人，发包人会同相关部门视情节轻重，给予通报批评、警告、责令限期整改、停业整顿等处罚。责任单位和个人不得参加评优、评先。</w:t>
      </w:r>
    </w:p>
    <w:p w14:paraId="6319F23E">
      <w:pPr>
        <w:keepNext w:val="0"/>
        <w:keepLines w:val="0"/>
        <w:pageBreakBefore w:val="0"/>
        <w:widowControl/>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2.对安全生产管理渎职行为造成重大安全事故的责任人，由司法机关依法追究其刑事责任。</w:t>
      </w:r>
    </w:p>
    <w:p w14:paraId="0A83E299">
      <w:pPr>
        <w:keepNext w:val="0"/>
        <w:keepLines w:val="0"/>
        <w:pageBreakBefore w:val="0"/>
        <w:widowControl/>
        <w:kinsoku/>
        <w:wordWrap/>
        <w:overflowPunct/>
        <w:topLinePunct w:val="0"/>
        <w:autoSpaceDE/>
        <w:autoSpaceDN/>
        <w:bidi w:val="0"/>
        <w:adjustRightInd/>
        <w:snapToGrid/>
        <w:spacing w:line="500" w:lineRule="exact"/>
        <w:ind w:firstLine="482"/>
        <w:textAlignment w:val="auto"/>
        <w:rPr>
          <w:rFonts w:hint="eastAsia" w:asciiTheme="minorEastAsia" w:hAnsiTheme="minorEastAsia" w:eastAsiaTheme="minorEastAsia" w:cstheme="minorEastAsia"/>
          <w:b/>
          <w:bCs/>
          <w:sz w:val="21"/>
          <w:szCs w:val="21"/>
        </w:rPr>
      </w:pPr>
      <w:bookmarkStart w:id="468" w:name="_Toc12113"/>
      <w:r>
        <w:rPr>
          <w:rFonts w:hint="eastAsia" w:asciiTheme="minorEastAsia" w:hAnsiTheme="minorEastAsia" w:eastAsiaTheme="minorEastAsia" w:cstheme="minorEastAsia"/>
          <w:b/>
          <w:bCs/>
          <w:sz w:val="21"/>
          <w:szCs w:val="21"/>
        </w:rPr>
        <w:t>六、其他</w:t>
      </w:r>
      <w:bookmarkEnd w:id="468"/>
    </w:p>
    <w:p w14:paraId="5630C02D">
      <w:pPr>
        <w:keepNext w:val="0"/>
        <w:keepLines w:val="0"/>
        <w:pageBreakBefore w:val="0"/>
        <w:widowControl/>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bookmarkStart w:id="469" w:name="_Toc25969"/>
      <w:r>
        <w:rPr>
          <w:rFonts w:hint="eastAsia" w:asciiTheme="minorEastAsia" w:hAnsiTheme="minorEastAsia" w:eastAsiaTheme="minorEastAsia" w:cstheme="minorEastAsia"/>
          <w:sz w:val="21"/>
          <w:szCs w:val="21"/>
        </w:rPr>
        <w:t>1.本责任状一式</w:t>
      </w:r>
      <w:r>
        <w:rPr>
          <w:rFonts w:hint="eastAsia" w:asciiTheme="minorEastAsia" w:hAnsiTheme="minorEastAsia" w:eastAsiaTheme="minorEastAsia" w:cstheme="minorEastAsia"/>
          <w:bCs/>
          <w:color w:val="000000"/>
          <w:sz w:val="21"/>
          <w:szCs w:val="21"/>
        </w:rPr>
        <w:t>陆份</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Cs/>
          <w:color w:val="000000"/>
          <w:sz w:val="21"/>
          <w:szCs w:val="21"/>
        </w:rPr>
        <w:t>甲、乙双方各执三份</w:t>
      </w:r>
      <w:r>
        <w:rPr>
          <w:rFonts w:hint="eastAsia" w:asciiTheme="minorEastAsia" w:hAnsiTheme="minorEastAsia" w:eastAsiaTheme="minorEastAsia" w:cstheme="minorEastAsia"/>
          <w:sz w:val="21"/>
          <w:szCs w:val="21"/>
        </w:rPr>
        <w:t>。</w:t>
      </w:r>
      <w:bookmarkEnd w:id="469"/>
    </w:p>
    <w:p w14:paraId="4E99DDD5">
      <w:pPr>
        <w:keepNext w:val="0"/>
        <w:keepLines w:val="0"/>
        <w:pageBreakBefore w:val="0"/>
        <w:widowControl/>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2.本责任状自签订之日起生效，工程竣工验收并且移交后自动失效。</w:t>
      </w:r>
    </w:p>
    <w:p w14:paraId="401EF219">
      <w:pPr>
        <w:keepNext w:val="0"/>
        <w:keepLines w:val="0"/>
        <w:pageBreakBefore w:val="0"/>
        <w:kinsoku/>
        <w:wordWrap/>
        <w:overflowPunct/>
        <w:topLinePunct w:val="0"/>
        <w:autoSpaceDE/>
        <w:autoSpaceDN/>
        <w:bidi w:val="0"/>
        <w:adjustRightInd/>
        <w:snapToGrid/>
        <w:spacing w:line="500" w:lineRule="exact"/>
        <w:ind w:firstLine="943"/>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                    承包人：（施工单位）</w:t>
      </w:r>
    </w:p>
    <w:p w14:paraId="36904B0D">
      <w:pPr>
        <w:keepNext w:val="0"/>
        <w:keepLines w:val="0"/>
        <w:pageBreakBefore w:val="0"/>
        <w:kinsoku/>
        <w:wordWrap/>
        <w:overflowPunct/>
        <w:topLinePunct w:val="0"/>
        <w:autoSpaceDE/>
        <w:autoSpaceDN/>
        <w:bidi w:val="0"/>
        <w:adjustRightInd/>
        <w:snapToGrid/>
        <w:spacing w:line="500" w:lineRule="exact"/>
        <w:ind w:firstLine="705"/>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（单位印鉴）                 （单位印鉴）</w:t>
      </w:r>
    </w:p>
    <w:p w14:paraId="46A7724F">
      <w:pPr>
        <w:pStyle w:val="26"/>
        <w:keepNext w:val="0"/>
        <w:keepLines w:val="0"/>
        <w:pageBreakBefore w:val="0"/>
        <w:kinsoku/>
        <w:wordWrap/>
        <w:overflowPunct/>
        <w:topLinePunct w:val="0"/>
        <w:autoSpaceDE/>
        <w:autoSpaceDN/>
        <w:bidi w:val="0"/>
        <w:adjustRightInd/>
        <w:snapToGrid/>
        <w:spacing w:line="500" w:lineRule="exact"/>
        <w:ind w:left="0" w:leftChars="0" w:firstLine="0" w:firstLineChars="0"/>
        <w:jc w:val="righ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年    月   日</w:t>
      </w:r>
    </w:p>
    <w:p w14:paraId="6972986A">
      <w:pPr>
        <w:keepNext w:val="0"/>
        <w:keepLines w:val="0"/>
        <w:pageBreakBefore w:val="0"/>
        <w:kinsoku/>
        <w:wordWrap/>
        <w:overflowPunct/>
        <w:topLinePunct w:val="0"/>
        <w:autoSpaceDE/>
        <w:autoSpaceDN/>
        <w:bidi w:val="0"/>
        <w:adjustRightInd/>
        <w:snapToGrid/>
        <w:spacing w:line="500" w:lineRule="exact"/>
        <w:ind w:firstLine="562"/>
        <w:textAlignment w:val="auto"/>
        <w:rPr>
          <w:rFonts w:ascii="宋体" w:hAnsi="宋体" w:cs="Arial Unicode MS"/>
          <w:szCs w:val="21"/>
        </w:rPr>
      </w:pPr>
      <w:r>
        <w:rPr>
          <w:rFonts w:hint="eastAsia" w:ascii="宋体" w:hAnsi="宋体" w:cs="宋体"/>
          <w:b/>
          <w:sz w:val="28"/>
          <w:szCs w:val="21"/>
        </w:rPr>
        <w:br w:type="page"/>
      </w:r>
    </w:p>
    <w:p w14:paraId="05ED2531">
      <w:pPr>
        <w:spacing w:line="398" w:lineRule="exact"/>
        <w:jc w:val="center"/>
        <w:outlineLvl w:val="0"/>
        <w:rPr>
          <w:rFonts w:ascii="宋体" w:hAnsi="宋体"/>
          <w:b/>
          <w:color w:val="000000"/>
          <w:szCs w:val="21"/>
        </w:rPr>
      </w:pPr>
      <w:bookmarkStart w:id="470" w:name="_Toc184029946"/>
      <w:r>
        <w:rPr>
          <w:rFonts w:hint="eastAsia" w:ascii="宋体" w:hAnsi="宋体"/>
          <w:b/>
          <w:color w:val="000000"/>
          <w:sz w:val="28"/>
          <w:szCs w:val="28"/>
        </w:rPr>
        <w:t>第四章  成交原则与评审内容（主要部分）</w:t>
      </w:r>
      <w:bookmarkEnd w:id="470"/>
    </w:p>
    <w:p w14:paraId="35835702">
      <w:pPr>
        <w:spacing w:line="360" w:lineRule="auto"/>
        <w:ind w:firstLine="422" w:firstLineChars="200"/>
        <w:jc w:val="left"/>
        <w:rPr>
          <w:rFonts w:ascii="宋体" w:hAnsi="宋体"/>
          <w:b/>
          <w:color w:val="000000"/>
          <w:szCs w:val="21"/>
        </w:rPr>
      </w:pPr>
      <w:r>
        <w:rPr>
          <w:rFonts w:hint="eastAsia" w:ascii="宋体" w:hAnsi="宋体"/>
          <w:b/>
          <w:color w:val="000000"/>
          <w:szCs w:val="21"/>
        </w:rPr>
        <w:t>一、成交原则</w:t>
      </w:r>
    </w:p>
    <w:p w14:paraId="5977D7ED">
      <w:pPr>
        <w:spacing w:line="264" w:lineRule="auto"/>
        <w:ind w:firstLine="480" w:firstLineChars="200"/>
        <w:rPr>
          <w:rFonts w:hint="eastAsia" w:ascii="宋体" w:hAnsi="宋体"/>
          <w:b/>
          <w:bCs/>
          <w:color w:val="000000"/>
          <w:sz w:val="21"/>
          <w:szCs w:val="21"/>
        </w:rPr>
      </w:pPr>
      <w:r>
        <w:rPr>
          <w:rFonts w:hint="eastAsia" w:ascii="宋体" w:hAnsi="宋体" w:cs="宋体"/>
          <w:color w:val="000000"/>
          <w:spacing w:val="15"/>
          <w:sz w:val="21"/>
          <w:szCs w:val="21"/>
        </w:rPr>
        <w:t>采购人</w:t>
      </w:r>
      <w:r>
        <w:rPr>
          <w:rFonts w:hint="eastAsia" w:ascii="宋体" w:hAnsi="宋体"/>
          <w:color w:val="000000"/>
          <w:sz w:val="21"/>
          <w:szCs w:val="21"/>
        </w:rPr>
        <w:t>根据质量和服务均能满足采购文件实质性响应要求且</w:t>
      </w:r>
      <w:r>
        <w:rPr>
          <w:rFonts w:hint="eastAsia"/>
          <w:b/>
          <w:bCs/>
        </w:rPr>
        <w:t>报价</w:t>
      </w:r>
      <w:r>
        <w:rPr>
          <w:rFonts w:hint="eastAsia"/>
          <w:b/>
          <w:bCs/>
          <w:lang w:eastAsia="zh-CN"/>
        </w:rPr>
        <w:t>最低</w:t>
      </w:r>
      <w:r>
        <w:rPr>
          <w:rFonts w:hint="eastAsia" w:ascii="宋体" w:hAnsi="宋体"/>
          <w:b/>
          <w:bCs/>
          <w:color w:val="000000"/>
          <w:sz w:val="21"/>
          <w:szCs w:val="21"/>
        </w:rPr>
        <w:t>的</w:t>
      </w:r>
      <w:r>
        <w:rPr>
          <w:rFonts w:hint="eastAsia" w:ascii="宋体" w:hAnsi="宋体"/>
          <w:color w:val="000000"/>
          <w:sz w:val="21"/>
          <w:szCs w:val="21"/>
        </w:rPr>
        <w:t>原则确定成交供应商</w:t>
      </w:r>
      <w:r>
        <w:rPr>
          <w:rFonts w:hint="eastAsia" w:ascii="宋体" w:hAnsi="宋体"/>
          <w:b/>
          <w:bCs/>
          <w:color w:val="000000"/>
          <w:sz w:val="21"/>
          <w:szCs w:val="21"/>
        </w:rPr>
        <w:t>（如</w:t>
      </w:r>
      <w:r>
        <w:rPr>
          <w:rFonts w:hint="eastAsia" w:ascii="宋体" w:hAnsi="宋体"/>
          <w:b/>
          <w:bCs/>
          <w:color w:val="000000"/>
          <w:sz w:val="21"/>
          <w:szCs w:val="21"/>
          <w:lang w:eastAsia="zh-CN"/>
        </w:rPr>
        <w:t>出现</w:t>
      </w:r>
      <w:r>
        <w:rPr>
          <w:rFonts w:hint="eastAsia" w:ascii="宋体" w:hAnsi="宋体"/>
          <w:b/>
          <w:bCs/>
          <w:color w:val="000000"/>
          <w:sz w:val="21"/>
          <w:szCs w:val="21"/>
        </w:rPr>
        <w:t>并列情形的，采购人将授权询价小组</w:t>
      </w:r>
      <w:r>
        <w:rPr>
          <w:rFonts w:hint="eastAsia" w:ascii="宋体" w:hAnsi="宋体"/>
          <w:b/>
          <w:bCs/>
          <w:color w:val="000000"/>
          <w:sz w:val="21"/>
          <w:szCs w:val="21"/>
          <w:lang w:eastAsia="zh-CN"/>
        </w:rPr>
        <w:t>现场抽签</w:t>
      </w:r>
      <w:r>
        <w:rPr>
          <w:rFonts w:hint="eastAsia" w:ascii="宋体" w:hAnsi="宋体"/>
          <w:b/>
          <w:bCs/>
          <w:color w:val="000000"/>
          <w:sz w:val="21"/>
          <w:szCs w:val="21"/>
        </w:rPr>
        <w:t>确定成交供应商）。</w:t>
      </w:r>
    </w:p>
    <w:p w14:paraId="687047EE">
      <w:pPr>
        <w:spacing w:line="480" w:lineRule="auto"/>
        <w:ind w:firstLine="422" w:firstLineChars="200"/>
        <w:jc w:val="left"/>
        <w:rPr>
          <w:rFonts w:ascii="宋体" w:hAnsi="宋体"/>
          <w:b/>
          <w:color w:val="000000"/>
          <w:szCs w:val="21"/>
        </w:rPr>
      </w:pPr>
      <w:r>
        <w:rPr>
          <w:rFonts w:hint="eastAsia" w:ascii="宋体" w:hAnsi="宋体"/>
          <w:b/>
          <w:color w:val="000000"/>
          <w:szCs w:val="21"/>
        </w:rPr>
        <w:t>二、评审内容</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5142"/>
        <w:gridCol w:w="1520"/>
        <w:gridCol w:w="1418"/>
      </w:tblGrid>
      <w:tr w14:paraId="63403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6" w:type="dxa"/>
            <w:vAlign w:val="center"/>
          </w:tcPr>
          <w:p w14:paraId="7486DAC2">
            <w:pPr>
              <w:spacing w:line="480" w:lineRule="auto"/>
              <w:jc w:val="center"/>
              <w:rPr>
                <w:rFonts w:ascii="宋体" w:hAnsi="宋体"/>
                <w:color w:val="000000"/>
                <w:szCs w:val="21"/>
              </w:rPr>
            </w:pPr>
            <w:r>
              <w:rPr>
                <w:rFonts w:hint="eastAsia" w:ascii="宋体" w:hAnsi="宋体"/>
                <w:color w:val="000000"/>
                <w:szCs w:val="21"/>
              </w:rPr>
              <w:t>序号</w:t>
            </w:r>
          </w:p>
        </w:tc>
        <w:tc>
          <w:tcPr>
            <w:tcW w:w="5142" w:type="dxa"/>
            <w:vAlign w:val="center"/>
          </w:tcPr>
          <w:p w14:paraId="40ECCBD2">
            <w:pPr>
              <w:spacing w:line="480" w:lineRule="auto"/>
              <w:jc w:val="center"/>
              <w:rPr>
                <w:rFonts w:ascii="宋体" w:hAnsi="宋体"/>
                <w:color w:val="000000"/>
                <w:szCs w:val="21"/>
              </w:rPr>
            </w:pPr>
            <w:r>
              <w:rPr>
                <w:rFonts w:hint="eastAsia" w:ascii="宋体" w:hAnsi="宋体"/>
                <w:color w:val="000000"/>
                <w:szCs w:val="21"/>
              </w:rPr>
              <w:t>评审内容</w:t>
            </w:r>
          </w:p>
        </w:tc>
        <w:tc>
          <w:tcPr>
            <w:tcW w:w="1520" w:type="dxa"/>
            <w:vAlign w:val="center"/>
          </w:tcPr>
          <w:p w14:paraId="43860ADB">
            <w:pPr>
              <w:spacing w:line="480" w:lineRule="auto"/>
              <w:jc w:val="center"/>
              <w:rPr>
                <w:rFonts w:ascii="宋体" w:hAnsi="宋体"/>
                <w:color w:val="000000"/>
                <w:szCs w:val="21"/>
              </w:rPr>
            </w:pPr>
            <w:r>
              <w:rPr>
                <w:rFonts w:hint="eastAsia" w:ascii="宋体" w:hAnsi="宋体"/>
                <w:color w:val="000000"/>
                <w:szCs w:val="21"/>
              </w:rPr>
              <w:t>评审是否合格</w:t>
            </w:r>
          </w:p>
        </w:tc>
        <w:tc>
          <w:tcPr>
            <w:tcW w:w="1418" w:type="dxa"/>
            <w:vAlign w:val="center"/>
          </w:tcPr>
          <w:p w14:paraId="0A4B14FB">
            <w:pPr>
              <w:spacing w:line="480" w:lineRule="auto"/>
              <w:jc w:val="center"/>
              <w:rPr>
                <w:rFonts w:ascii="宋体" w:hAnsi="宋体"/>
                <w:color w:val="000000"/>
                <w:szCs w:val="21"/>
              </w:rPr>
            </w:pPr>
            <w:r>
              <w:rPr>
                <w:rFonts w:hint="eastAsia" w:ascii="宋体" w:hAnsi="宋体"/>
                <w:color w:val="000000"/>
                <w:szCs w:val="21"/>
              </w:rPr>
              <w:t>不合格原因</w:t>
            </w:r>
          </w:p>
        </w:tc>
      </w:tr>
      <w:tr w14:paraId="179B0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6" w:type="dxa"/>
            <w:vAlign w:val="center"/>
          </w:tcPr>
          <w:p w14:paraId="38FF87D2">
            <w:pPr>
              <w:spacing w:line="480" w:lineRule="auto"/>
              <w:jc w:val="center"/>
              <w:rPr>
                <w:rFonts w:ascii="宋体" w:hAnsi="宋体"/>
                <w:color w:val="000000"/>
                <w:szCs w:val="21"/>
              </w:rPr>
            </w:pPr>
            <w:r>
              <w:rPr>
                <w:rFonts w:hint="eastAsia" w:ascii="宋体" w:hAnsi="宋体"/>
                <w:color w:val="000000"/>
                <w:szCs w:val="21"/>
              </w:rPr>
              <w:t>1</w:t>
            </w:r>
          </w:p>
        </w:tc>
        <w:tc>
          <w:tcPr>
            <w:tcW w:w="5142" w:type="dxa"/>
            <w:vAlign w:val="center"/>
          </w:tcPr>
          <w:p w14:paraId="509562CF">
            <w:pPr>
              <w:spacing w:line="480" w:lineRule="auto"/>
              <w:rPr>
                <w:rFonts w:ascii="宋体" w:hAnsi="宋体"/>
                <w:color w:val="000000"/>
                <w:szCs w:val="21"/>
              </w:rPr>
            </w:pPr>
            <w:r>
              <w:rPr>
                <w:rFonts w:hint="eastAsia" w:ascii="宋体" w:hAnsi="宋体"/>
                <w:color w:val="000000"/>
                <w:szCs w:val="21"/>
              </w:rPr>
              <w:t>资格性检查：依据法律法规和采购文件的规定，对响应文件中的资格证明文件等进行审查，以确定供应商是否具备参加询价的资格。</w:t>
            </w:r>
          </w:p>
        </w:tc>
        <w:tc>
          <w:tcPr>
            <w:tcW w:w="1520" w:type="dxa"/>
            <w:vAlign w:val="center"/>
          </w:tcPr>
          <w:p w14:paraId="17182C9F">
            <w:pPr>
              <w:spacing w:line="480" w:lineRule="auto"/>
              <w:rPr>
                <w:rFonts w:ascii="宋体" w:hAnsi="宋体"/>
                <w:color w:val="000000"/>
                <w:szCs w:val="21"/>
              </w:rPr>
            </w:pPr>
          </w:p>
        </w:tc>
        <w:tc>
          <w:tcPr>
            <w:tcW w:w="1418" w:type="dxa"/>
            <w:vAlign w:val="center"/>
          </w:tcPr>
          <w:p w14:paraId="12ABC9C8">
            <w:pPr>
              <w:spacing w:line="480" w:lineRule="auto"/>
              <w:rPr>
                <w:rFonts w:ascii="宋体" w:hAnsi="宋体"/>
                <w:color w:val="000000"/>
                <w:szCs w:val="21"/>
              </w:rPr>
            </w:pPr>
          </w:p>
        </w:tc>
      </w:tr>
      <w:tr w14:paraId="2009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6" w:type="dxa"/>
            <w:vAlign w:val="center"/>
          </w:tcPr>
          <w:p w14:paraId="5C01E41F">
            <w:pPr>
              <w:spacing w:line="480" w:lineRule="auto"/>
              <w:jc w:val="center"/>
              <w:rPr>
                <w:rFonts w:ascii="宋体" w:hAnsi="宋体"/>
                <w:color w:val="000000"/>
                <w:szCs w:val="21"/>
              </w:rPr>
            </w:pPr>
            <w:r>
              <w:rPr>
                <w:rFonts w:hint="eastAsia" w:ascii="宋体" w:hAnsi="宋体"/>
                <w:color w:val="000000"/>
                <w:szCs w:val="21"/>
              </w:rPr>
              <w:t>2</w:t>
            </w:r>
          </w:p>
        </w:tc>
        <w:tc>
          <w:tcPr>
            <w:tcW w:w="5142" w:type="dxa"/>
            <w:vAlign w:val="center"/>
          </w:tcPr>
          <w:p w14:paraId="69E81BB0">
            <w:pPr>
              <w:spacing w:line="480" w:lineRule="auto"/>
              <w:rPr>
                <w:rFonts w:ascii="宋体" w:hAnsi="宋体"/>
                <w:color w:val="000000"/>
                <w:szCs w:val="21"/>
              </w:rPr>
            </w:pPr>
            <w:r>
              <w:rPr>
                <w:rFonts w:hint="eastAsia" w:ascii="宋体" w:hAnsi="宋体"/>
                <w:color w:val="000000"/>
                <w:szCs w:val="21"/>
              </w:rPr>
              <w:t>符合性检查：依据采购文件的规定，从响应文件的有效性、完整性和对采购文件的响应程度进行审查，以确定是否对采购文件的实质性要求作出响应。</w:t>
            </w:r>
          </w:p>
        </w:tc>
        <w:tc>
          <w:tcPr>
            <w:tcW w:w="1520" w:type="dxa"/>
            <w:vAlign w:val="center"/>
          </w:tcPr>
          <w:p w14:paraId="3F63224E">
            <w:pPr>
              <w:spacing w:line="480" w:lineRule="auto"/>
              <w:rPr>
                <w:rFonts w:ascii="宋体" w:hAnsi="宋体"/>
                <w:color w:val="000000"/>
                <w:szCs w:val="21"/>
              </w:rPr>
            </w:pPr>
          </w:p>
        </w:tc>
        <w:tc>
          <w:tcPr>
            <w:tcW w:w="1418" w:type="dxa"/>
            <w:vAlign w:val="center"/>
          </w:tcPr>
          <w:p w14:paraId="20CA0816">
            <w:pPr>
              <w:spacing w:line="480" w:lineRule="auto"/>
              <w:rPr>
                <w:rFonts w:ascii="宋体" w:hAnsi="宋体"/>
                <w:color w:val="000000"/>
                <w:szCs w:val="21"/>
              </w:rPr>
            </w:pPr>
          </w:p>
        </w:tc>
      </w:tr>
      <w:tr w14:paraId="2838B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6" w:type="dxa"/>
            <w:vAlign w:val="center"/>
          </w:tcPr>
          <w:p w14:paraId="18E041D0">
            <w:pPr>
              <w:spacing w:line="480" w:lineRule="auto"/>
              <w:jc w:val="center"/>
              <w:rPr>
                <w:rFonts w:ascii="宋体" w:hAnsi="宋体"/>
                <w:color w:val="000000"/>
                <w:szCs w:val="21"/>
              </w:rPr>
            </w:pPr>
            <w:r>
              <w:rPr>
                <w:rFonts w:hint="eastAsia" w:ascii="宋体" w:hAnsi="宋体"/>
                <w:color w:val="000000"/>
                <w:szCs w:val="21"/>
              </w:rPr>
              <w:t>3</w:t>
            </w:r>
          </w:p>
        </w:tc>
        <w:tc>
          <w:tcPr>
            <w:tcW w:w="5142" w:type="dxa"/>
            <w:vAlign w:val="center"/>
          </w:tcPr>
          <w:p w14:paraId="3DAECDB4">
            <w:pPr>
              <w:spacing w:line="480" w:lineRule="auto"/>
              <w:rPr>
                <w:rFonts w:ascii="宋体" w:hAnsi="宋体"/>
                <w:color w:val="000000"/>
                <w:szCs w:val="21"/>
              </w:rPr>
            </w:pPr>
            <w:r>
              <w:rPr>
                <w:rFonts w:hint="eastAsia" w:ascii="宋体" w:hAnsi="宋体"/>
                <w:color w:val="000000"/>
                <w:szCs w:val="21"/>
              </w:rPr>
              <w:t>法律法规及采购文件规定的其他规定或约定（条款）</w:t>
            </w:r>
          </w:p>
        </w:tc>
        <w:tc>
          <w:tcPr>
            <w:tcW w:w="1520" w:type="dxa"/>
            <w:vAlign w:val="center"/>
          </w:tcPr>
          <w:p w14:paraId="228ED2D2">
            <w:pPr>
              <w:spacing w:line="480" w:lineRule="auto"/>
              <w:rPr>
                <w:rFonts w:ascii="宋体" w:hAnsi="宋体"/>
                <w:color w:val="000000"/>
                <w:szCs w:val="21"/>
              </w:rPr>
            </w:pPr>
          </w:p>
        </w:tc>
        <w:tc>
          <w:tcPr>
            <w:tcW w:w="1418" w:type="dxa"/>
            <w:vAlign w:val="center"/>
          </w:tcPr>
          <w:p w14:paraId="41FD3D03">
            <w:pPr>
              <w:spacing w:line="480" w:lineRule="auto"/>
              <w:rPr>
                <w:rFonts w:ascii="宋体" w:hAnsi="宋体"/>
                <w:color w:val="000000"/>
                <w:szCs w:val="21"/>
              </w:rPr>
            </w:pPr>
          </w:p>
        </w:tc>
      </w:tr>
    </w:tbl>
    <w:p w14:paraId="6A4A648A">
      <w:pPr>
        <w:rPr>
          <w:color w:val="000000"/>
        </w:rPr>
      </w:pPr>
    </w:p>
    <w:p w14:paraId="01289343">
      <w:pPr>
        <w:rPr>
          <w:color w:val="000000"/>
        </w:rPr>
      </w:pPr>
    </w:p>
    <w:p w14:paraId="6675F3F7">
      <w:pPr>
        <w:rPr>
          <w:color w:val="000000"/>
        </w:rPr>
      </w:pPr>
    </w:p>
    <w:p w14:paraId="38F409DD">
      <w:pPr>
        <w:rPr>
          <w:color w:val="000000"/>
        </w:rPr>
      </w:pPr>
    </w:p>
    <w:p w14:paraId="6B9DE43B">
      <w:pPr>
        <w:rPr>
          <w:color w:val="000000"/>
        </w:rPr>
      </w:pPr>
    </w:p>
    <w:p w14:paraId="5D6A2800">
      <w:pPr>
        <w:rPr>
          <w:color w:val="000000"/>
        </w:rPr>
      </w:pPr>
    </w:p>
    <w:p w14:paraId="53D83179">
      <w:pPr>
        <w:pStyle w:val="8"/>
        <w:rPr>
          <w:rFonts w:ascii="Times New Roman"/>
          <w:color w:val="000000"/>
          <w:kern w:val="2"/>
          <w:sz w:val="21"/>
        </w:rPr>
      </w:pPr>
    </w:p>
    <w:p w14:paraId="7D30F463">
      <w:pPr>
        <w:pStyle w:val="8"/>
        <w:rPr>
          <w:rFonts w:ascii="Times New Roman"/>
          <w:color w:val="000000"/>
          <w:kern w:val="2"/>
          <w:sz w:val="21"/>
        </w:rPr>
      </w:pPr>
    </w:p>
    <w:p w14:paraId="2365606A">
      <w:pPr>
        <w:pStyle w:val="8"/>
        <w:rPr>
          <w:rFonts w:ascii="Times New Roman"/>
          <w:color w:val="000000"/>
          <w:kern w:val="2"/>
          <w:sz w:val="21"/>
        </w:rPr>
      </w:pPr>
    </w:p>
    <w:p w14:paraId="6B55F7A7">
      <w:pPr>
        <w:pStyle w:val="8"/>
        <w:rPr>
          <w:color w:val="000000"/>
        </w:rPr>
      </w:pPr>
    </w:p>
    <w:p w14:paraId="03B76B34">
      <w:pPr>
        <w:rPr>
          <w:color w:val="000000"/>
        </w:rPr>
      </w:pPr>
    </w:p>
    <w:p w14:paraId="59468BF5">
      <w:pPr>
        <w:rPr>
          <w:color w:val="000000"/>
        </w:rPr>
      </w:pPr>
    </w:p>
    <w:p w14:paraId="7FE4CF26">
      <w:pPr>
        <w:rPr>
          <w:color w:val="000000"/>
        </w:rPr>
      </w:pPr>
    </w:p>
    <w:p w14:paraId="20048482">
      <w:pPr>
        <w:rPr>
          <w:color w:val="000000"/>
        </w:rPr>
      </w:pPr>
    </w:p>
    <w:p w14:paraId="26009320">
      <w:pPr>
        <w:rPr>
          <w:color w:val="000000"/>
        </w:rPr>
      </w:pPr>
    </w:p>
    <w:p w14:paraId="4AED1B09">
      <w:pPr>
        <w:rPr>
          <w:color w:val="000000"/>
        </w:rPr>
      </w:pPr>
    </w:p>
    <w:p w14:paraId="1CA72B49">
      <w:pPr>
        <w:spacing w:line="398" w:lineRule="exact"/>
        <w:jc w:val="center"/>
        <w:outlineLvl w:val="0"/>
        <w:rPr>
          <w:rFonts w:ascii="宋体" w:hAnsi="宋体"/>
          <w:b/>
          <w:color w:val="000000"/>
          <w:sz w:val="28"/>
          <w:szCs w:val="28"/>
        </w:rPr>
      </w:pPr>
      <w:r>
        <w:rPr>
          <w:rFonts w:hint="eastAsia" w:ascii="宋体" w:hAnsi="宋体" w:cs="宋体"/>
          <w:b/>
          <w:color w:val="000000"/>
          <w:sz w:val="28"/>
          <w:szCs w:val="28"/>
        </w:rPr>
        <w:br w:type="page"/>
      </w:r>
      <w:bookmarkStart w:id="471" w:name="_Toc184029947"/>
      <w:r>
        <w:rPr>
          <w:rFonts w:hint="eastAsia" w:ascii="宋体" w:hAnsi="宋体"/>
          <w:b/>
          <w:color w:val="000000"/>
          <w:sz w:val="28"/>
          <w:szCs w:val="28"/>
        </w:rPr>
        <w:t>第五章  投标（响应）文件格式</w:t>
      </w:r>
      <w:bookmarkEnd w:id="471"/>
    </w:p>
    <w:p w14:paraId="08E1017E"/>
    <w:p w14:paraId="1AA15936">
      <w:pPr>
        <w:spacing w:line="1200" w:lineRule="exact"/>
        <w:jc w:val="center"/>
        <w:rPr>
          <w:rFonts w:ascii="宋体" w:hAnsi="宋体" w:cs="宋体"/>
          <w:b/>
          <w:color w:val="000000"/>
          <w:sz w:val="72"/>
          <w:szCs w:val="72"/>
        </w:rPr>
      </w:pPr>
      <w:r>
        <w:rPr>
          <w:rFonts w:hint="eastAsia" w:ascii="宋体" w:hAnsi="宋体" w:cs="宋体"/>
          <w:b/>
          <w:color w:val="000000"/>
          <w:sz w:val="72"/>
          <w:szCs w:val="72"/>
        </w:rPr>
        <w:t>响 应 文 件</w:t>
      </w:r>
    </w:p>
    <w:p w14:paraId="350680CD">
      <w:pPr>
        <w:spacing w:line="1200" w:lineRule="exact"/>
        <w:jc w:val="center"/>
        <w:rPr>
          <w:rFonts w:ascii="宋体" w:hAnsi="宋体" w:cs="宋体"/>
          <w:b/>
          <w:color w:val="000000"/>
          <w:sz w:val="44"/>
          <w:szCs w:val="44"/>
        </w:rPr>
      </w:pPr>
      <w:r>
        <w:rPr>
          <w:rFonts w:hint="eastAsia" w:ascii="宋体" w:hAnsi="宋体" w:cs="宋体"/>
          <w:b/>
          <w:color w:val="000000"/>
          <w:sz w:val="44"/>
          <w:szCs w:val="44"/>
        </w:rPr>
        <w:t>（询价采购）</w:t>
      </w:r>
    </w:p>
    <w:p w14:paraId="65B46494">
      <w:pPr>
        <w:spacing w:line="480" w:lineRule="auto"/>
        <w:jc w:val="center"/>
        <w:rPr>
          <w:rFonts w:ascii="宋体" w:hAnsi="宋体" w:cs="宋体"/>
          <w:color w:val="000000"/>
          <w:sz w:val="36"/>
          <w:szCs w:val="36"/>
        </w:rPr>
      </w:pPr>
      <w:r>
        <w:rPr>
          <w:rFonts w:hint="eastAsia" w:ascii="宋体" w:hAnsi="宋体" w:cs="宋体"/>
          <w:color w:val="000000"/>
          <w:sz w:val="36"/>
          <w:szCs w:val="36"/>
        </w:rPr>
        <w:t>（正本/副本）</w:t>
      </w:r>
    </w:p>
    <w:p w14:paraId="26E5CD75">
      <w:pPr>
        <w:spacing w:line="480" w:lineRule="auto"/>
        <w:jc w:val="center"/>
        <w:rPr>
          <w:rFonts w:ascii="宋体" w:hAnsi="宋体" w:cs="宋体"/>
          <w:color w:val="000000"/>
          <w:sz w:val="36"/>
          <w:szCs w:val="36"/>
        </w:rPr>
      </w:pPr>
    </w:p>
    <w:p w14:paraId="5AAE9717">
      <w:pPr>
        <w:spacing w:line="480" w:lineRule="auto"/>
        <w:jc w:val="center"/>
        <w:rPr>
          <w:rFonts w:ascii="宋体" w:hAnsi="宋体" w:cs="宋体"/>
          <w:color w:val="000000"/>
          <w:sz w:val="36"/>
          <w:szCs w:val="36"/>
        </w:rPr>
      </w:pPr>
    </w:p>
    <w:p w14:paraId="533B4125">
      <w:pPr>
        <w:spacing w:line="1180" w:lineRule="exact"/>
        <w:ind w:firstLine="904" w:firstLineChars="300"/>
        <w:rPr>
          <w:rFonts w:ascii="宋体" w:hAnsi="宋体" w:cs="宋体"/>
          <w:b/>
          <w:color w:val="000000"/>
          <w:sz w:val="30"/>
          <w:szCs w:val="30"/>
        </w:rPr>
      </w:pPr>
      <w:r>
        <w:rPr>
          <w:rFonts w:hint="eastAsia" w:ascii="宋体" w:hAnsi="宋体" w:cs="宋体"/>
          <w:b/>
          <w:color w:val="000000"/>
          <w:sz w:val="30"/>
          <w:szCs w:val="30"/>
        </w:rPr>
        <w:t>项目名称：</w:t>
      </w:r>
      <w:r>
        <w:rPr>
          <w:rFonts w:hint="eastAsia" w:ascii="宋体" w:hAnsi="宋体" w:cs="宋体"/>
          <w:b/>
          <w:color w:val="000000"/>
          <w:sz w:val="30"/>
          <w:szCs w:val="30"/>
          <w:u w:val="single"/>
        </w:rPr>
        <w:t xml:space="preserve">               </w:t>
      </w:r>
    </w:p>
    <w:p w14:paraId="5F36E4A3">
      <w:pPr>
        <w:spacing w:line="1180" w:lineRule="exact"/>
        <w:ind w:firstLine="904" w:firstLineChars="300"/>
        <w:rPr>
          <w:rFonts w:ascii="宋体" w:hAnsi="宋体" w:cs="宋体"/>
          <w:b/>
          <w:color w:val="000000"/>
          <w:sz w:val="30"/>
          <w:szCs w:val="30"/>
          <w:u w:val="single"/>
        </w:rPr>
      </w:pPr>
      <w:r>
        <w:rPr>
          <w:rFonts w:hint="eastAsia" w:ascii="宋体" w:hAnsi="宋体" w:cs="宋体"/>
          <w:b/>
          <w:color w:val="000000"/>
          <w:sz w:val="30"/>
          <w:szCs w:val="30"/>
        </w:rPr>
        <w:t>项目编号：</w:t>
      </w:r>
      <w:r>
        <w:rPr>
          <w:rFonts w:hint="eastAsia" w:ascii="宋体" w:hAnsi="宋体" w:cs="宋体"/>
          <w:b/>
          <w:color w:val="000000"/>
          <w:sz w:val="30"/>
          <w:szCs w:val="30"/>
          <w:u w:val="single"/>
        </w:rPr>
        <w:t xml:space="preserve">               </w:t>
      </w:r>
    </w:p>
    <w:p w14:paraId="728DE377">
      <w:pPr>
        <w:spacing w:line="1180" w:lineRule="exact"/>
        <w:ind w:firstLine="904" w:firstLineChars="300"/>
        <w:rPr>
          <w:rFonts w:ascii="宋体" w:hAnsi="宋体" w:cs="宋体"/>
          <w:b/>
          <w:color w:val="000000"/>
          <w:sz w:val="30"/>
          <w:szCs w:val="30"/>
        </w:rPr>
      </w:pPr>
    </w:p>
    <w:p w14:paraId="0DB99F4E">
      <w:pPr>
        <w:spacing w:line="1180" w:lineRule="exact"/>
        <w:ind w:firstLine="904" w:firstLineChars="300"/>
        <w:rPr>
          <w:rFonts w:ascii="宋体" w:hAnsi="宋体" w:cs="宋体"/>
          <w:b/>
          <w:color w:val="000000"/>
          <w:sz w:val="30"/>
          <w:szCs w:val="30"/>
        </w:rPr>
      </w:pPr>
      <w:r>
        <w:rPr>
          <w:rFonts w:hint="eastAsia" w:ascii="宋体" w:hAnsi="宋体" w:cs="宋体"/>
          <w:b/>
          <w:color w:val="000000"/>
          <w:sz w:val="30"/>
          <w:szCs w:val="30"/>
        </w:rPr>
        <w:t>投 标 人：</w:t>
      </w:r>
      <w:r>
        <w:rPr>
          <w:rFonts w:hint="eastAsia" w:ascii="宋体" w:hAnsi="宋体" w:cs="宋体"/>
          <w:b/>
          <w:color w:val="000000"/>
          <w:sz w:val="30"/>
          <w:szCs w:val="30"/>
          <w:u w:val="single"/>
        </w:rPr>
        <w:t xml:space="preserve">  </w:t>
      </w:r>
      <w:r>
        <w:rPr>
          <w:rFonts w:hint="eastAsia" w:ascii="宋体" w:hAnsi="宋体" w:cs="宋体"/>
          <w:b/>
          <w:i/>
          <w:color w:val="000000"/>
          <w:sz w:val="30"/>
          <w:szCs w:val="30"/>
          <w:u w:val="single"/>
        </w:rPr>
        <w:t>供应商名称</w:t>
      </w:r>
      <w:r>
        <w:rPr>
          <w:rFonts w:hint="eastAsia" w:ascii="宋体" w:hAnsi="宋体" w:cs="宋体"/>
          <w:b/>
          <w:color w:val="000000"/>
          <w:sz w:val="30"/>
          <w:szCs w:val="30"/>
          <w:u w:val="single"/>
        </w:rPr>
        <w:t xml:space="preserve">    </w:t>
      </w:r>
    </w:p>
    <w:p w14:paraId="0A2F5535">
      <w:pPr>
        <w:spacing w:line="1180" w:lineRule="exact"/>
        <w:ind w:firstLine="904" w:firstLineChars="300"/>
        <w:rPr>
          <w:rFonts w:ascii="宋体" w:hAnsi="宋体" w:cs="宋体"/>
          <w:b/>
          <w:color w:val="000000"/>
          <w:sz w:val="30"/>
          <w:szCs w:val="30"/>
        </w:rPr>
      </w:pPr>
      <w:r>
        <w:rPr>
          <w:rFonts w:hint="eastAsia" w:ascii="宋体" w:hAnsi="宋体" w:cs="宋体"/>
          <w:b/>
          <w:color w:val="000000"/>
          <w:sz w:val="30"/>
          <w:szCs w:val="30"/>
        </w:rPr>
        <w:t>日    期 ：</w:t>
      </w:r>
      <w:r>
        <w:rPr>
          <w:rFonts w:hint="eastAsia" w:ascii="宋体" w:hAnsi="宋体" w:cs="宋体"/>
          <w:b/>
          <w:color w:val="000000"/>
          <w:sz w:val="30"/>
          <w:szCs w:val="30"/>
          <w:u w:val="single"/>
        </w:rPr>
        <w:t xml:space="preserve">               </w:t>
      </w:r>
    </w:p>
    <w:p w14:paraId="2F5730D9">
      <w:pPr>
        <w:spacing w:line="480" w:lineRule="auto"/>
        <w:jc w:val="center"/>
        <w:rPr>
          <w:rFonts w:ascii="宋体" w:hAnsi="宋体" w:cs="宋体"/>
          <w:b/>
          <w:color w:val="000000"/>
          <w:sz w:val="28"/>
          <w:szCs w:val="28"/>
        </w:rPr>
      </w:pPr>
    </w:p>
    <w:p w14:paraId="09A1687D">
      <w:pPr>
        <w:spacing w:line="480" w:lineRule="auto"/>
        <w:jc w:val="center"/>
        <w:rPr>
          <w:rFonts w:ascii="宋体" w:hAnsi="宋体" w:cs="宋体"/>
          <w:b/>
          <w:color w:val="000000"/>
          <w:sz w:val="28"/>
          <w:szCs w:val="28"/>
        </w:rPr>
      </w:pPr>
    </w:p>
    <w:p w14:paraId="1D0E6E9C">
      <w:pPr>
        <w:spacing w:line="480" w:lineRule="auto"/>
        <w:jc w:val="center"/>
        <w:rPr>
          <w:rFonts w:ascii="宋体" w:hAnsi="宋体" w:cs="宋体"/>
          <w:b/>
          <w:color w:val="000000"/>
          <w:sz w:val="28"/>
          <w:szCs w:val="28"/>
        </w:rPr>
      </w:pPr>
    </w:p>
    <w:p w14:paraId="133152D4">
      <w:pPr>
        <w:spacing w:line="480" w:lineRule="auto"/>
        <w:rPr>
          <w:rFonts w:ascii="宋体" w:hAnsi="宋体" w:cs="宋体"/>
          <w:b/>
          <w:color w:val="000000"/>
          <w:sz w:val="28"/>
          <w:szCs w:val="28"/>
        </w:rPr>
      </w:pPr>
    </w:p>
    <w:p w14:paraId="2012269D">
      <w:pPr>
        <w:spacing w:line="780" w:lineRule="exact"/>
        <w:jc w:val="center"/>
        <w:rPr>
          <w:rFonts w:ascii="宋体" w:hAnsi="宋体" w:cs="宋体"/>
          <w:b/>
          <w:color w:val="000000"/>
          <w:sz w:val="28"/>
          <w:szCs w:val="28"/>
        </w:rPr>
      </w:pPr>
    </w:p>
    <w:p w14:paraId="4538062B">
      <w:pPr>
        <w:spacing w:line="780" w:lineRule="exact"/>
        <w:jc w:val="center"/>
        <w:outlineLvl w:val="1"/>
        <w:rPr>
          <w:rFonts w:ascii="宋体" w:hAnsi="宋体" w:cs="宋体"/>
          <w:b/>
          <w:bCs/>
          <w:color w:val="000000"/>
          <w:sz w:val="28"/>
          <w:szCs w:val="28"/>
        </w:rPr>
      </w:pPr>
      <w:bookmarkStart w:id="472" w:name="_Toc184029948"/>
      <w:r>
        <w:rPr>
          <w:rFonts w:hint="eastAsia" w:ascii="宋体" w:hAnsi="宋体" w:cs="宋体"/>
          <w:b/>
          <w:color w:val="000000"/>
          <w:sz w:val="28"/>
          <w:szCs w:val="28"/>
        </w:rPr>
        <w:t>投标（响应）文件</w:t>
      </w:r>
      <w:r>
        <w:rPr>
          <w:rFonts w:hint="eastAsia" w:ascii="宋体" w:hAnsi="宋体" w:cs="宋体"/>
          <w:b/>
          <w:bCs/>
          <w:color w:val="000000"/>
          <w:sz w:val="28"/>
          <w:szCs w:val="28"/>
        </w:rPr>
        <w:t>目录</w:t>
      </w:r>
      <w:bookmarkEnd w:id="472"/>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0"/>
        <w:gridCol w:w="1563"/>
      </w:tblGrid>
      <w:tr w14:paraId="6138D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930" w:type="dxa"/>
            <w:vAlign w:val="center"/>
          </w:tcPr>
          <w:p w14:paraId="19F1EFDA">
            <w:pPr>
              <w:spacing w:line="504" w:lineRule="auto"/>
              <w:jc w:val="center"/>
              <w:rPr>
                <w:rFonts w:ascii="宋体" w:hAnsi="宋体" w:cs="宋体"/>
                <w:b/>
                <w:color w:val="000000"/>
                <w:sz w:val="24"/>
              </w:rPr>
            </w:pPr>
            <w:r>
              <w:rPr>
                <w:rFonts w:hint="eastAsia" w:ascii="宋体" w:hAnsi="宋体" w:cs="宋体"/>
                <w:b/>
                <w:color w:val="000000"/>
                <w:sz w:val="24"/>
              </w:rPr>
              <w:t>名称</w:t>
            </w:r>
          </w:p>
        </w:tc>
        <w:tc>
          <w:tcPr>
            <w:tcW w:w="1563" w:type="dxa"/>
            <w:vAlign w:val="center"/>
          </w:tcPr>
          <w:p w14:paraId="4D945E60">
            <w:pPr>
              <w:spacing w:line="504" w:lineRule="auto"/>
              <w:jc w:val="center"/>
              <w:rPr>
                <w:rFonts w:ascii="宋体" w:hAnsi="宋体" w:cs="宋体"/>
                <w:b/>
                <w:color w:val="000000"/>
                <w:sz w:val="24"/>
              </w:rPr>
            </w:pPr>
            <w:r>
              <w:rPr>
                <w:rFonts w:hint="eastAsia" w:ascii="宋体" w:hAnsi="宋体" w:cs="宋体"/>
                <w:b/>
                <w:color w:val="000000"/>
                <w:sz w:val="24"/>
              </w:rPr>
              <w:t>所在页码</w:t>
            </w:r>
          </w:p>
        </w:tc>
      </w:tr>
      <w:tr w14:paraId="33B22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5930" w:type="dxa"/>
            <w:vAlign w:val="center"/>
          </w:tcPr>
          <w:p w14:paraId="24EC94FE">
            <w:pPr>
              <w:spacing w:line="480" w:lineRule="auto"/>
              <w:rPr>
                <w:rFonts w:ascii="宋体" w:hAnsi="宋体"/>
                <w:color w:val="000000"/>
                <w:szCs w:val="21"/>
              </w:rPr>
            </w:pPr>
            <w:r>
              <w:rPr>
                <w:rFonts w:hint="eastAsia" w:ascii="宋体" w:hAnsi="宋体"/>
                <w:color w:val="000000"/>
                <w:szCs w:val="21"/>
              </w:rPr>
              <w:t>一、报价一览表(报价表)（格式）</w:t>
            </w:r>
          </w:p>
        </w:tc>
        <w:tc>
          <w:tcPr>
            <w:tcW w:w="1563" w:type="dxa"/>
            <w:vAlign w:val="center"/>
          </w:tcPr>
          <w:p w14:paraId="1AF3B2B3">
            <w:pPr>
              <w:spacing w:line="504" w:lineRule="auto"/>
              <w:rPr>
                <w:rFonts w:ascii="宋体" w:hAnsi="宋体" w:cs="宋体"/>
                <w:color w:val="000000"/>
                <w:szCs w:val="21"/>
              </w:rPr>
            </w:pPr>
          </w:p>
        </w:tc>
      </w:tr>
      <w:tr w14:paraId="5F2DE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5930" w:type="dxa"/>
            <w:vAlign w:val="center"/>
          </w:tcPr>
          <w:p w14:paraId="560B9F08">
            <w:pPr>
              <w:spacing w:line="480" w:lineRule="auto"/>
              <w:rPr>
                <w:rFonts w:ascii="宋体" w:hAnsi="宋体"/>
                <w:color w:val="000000"/>
                <w:szCs w:val="21"/>
              </w:rPr>
            </w:pPr>
            <w:r>
              <w:rPr>
                <w:rFonts w:hint="eastAsia" w:ascii="宋体" w:hAnsi="宋体"/>
                <w:color w:val="000000"/>
                <w:szCs w:val="21"/>
              </w:rPr>
              <w:t>二、供应商的资格证明文件</w:t>
            </w:r>
          </w:p>
        </w:tc>
        <w:tc>
          <w:tcPr>
            <w:tcW w:w="1563" w:type="dxa"/>
            <w:vAlign w:val="center"/>
          </w:tcPr>
          <w:p w14:paraId="76994412">
            <w:pPr>
              <w:spacing w:line="504" w:lineRule="auto"/>
              <w:rPr>
                <w:rFonts w:ascii="宋体" w:hAnsi="宋体" w:cs="宋体"/>
                <w:color w:val="000000"/>
                <w:szCs w:val="21"/>
              </w:rPr>
            </w:pPr>
          </w:p>
        </w:tc>
      </w:tr>
      <w:tr w14:paraId="56B57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5930" w:type="dxa"/>
            <w:vAlign w:val="center"/>
          </w:tcPr>
          <w:p w14:paraId="7B9D5A82">
            <w:pPr>
              <w:spacing w:line="480" w:lineRule="auto"/>
              <w:rPr>
                <w:rFonts w:ascii="宋体" w:hAnsi="宋体"/>
                <w:color w:val="000000"/>
                <w:szCs w:val="21"/>
              </w:rPr>
            </w:pPr>
            <w:r>
              <w:rPr>
                <w:rFonts w:hint="eastAsia" w:ascii="宋体" w:hAnsi="宋体"/>
                <w:color w:val="000000"/>
                <w:szCs w:val="21"/>
              </w:rPr>
              <w:t>三、法定代表人授权委托书（格式）</w:t>
            </w:r>
          </w:p>
        </w:tc>
        <w:tc>
          <w:tcPr>
            <w:tcW w:w="1563" w:type="dxa"/>
            <w:vAlign w:val="center"/>
          </w:tcPr>
          <w:p w14:paraId="3BB88C69">
            <w:pPr>
              <w:spacing w:line="504" w:lineRule="auto"/>
              <w:rPr>
                <w:rFonts w:ascii="宋体" w:hAnsi="宋体" w:cs="宋体"/>
                <w:color w:val="000000"/>
                <w:szCs w:val="21"/>
              </w:rPr>
            </w:pPr>
          </w:p>
        </w:tc>
      </w:tr>
      <w:tr w14:paraId="28154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5930" w:type="dxa"/>
            <w:vAlign w:val="center"/>
          </w:tcPr>
          <w:p w14:paraId="1E593137">
            <w:pPr>
              <w:spacing w:line="480" w:lineRule="auto"/>
              <w:rPr>
                <w:rFonts w:ascii="宋体" w:hAnsi="宋体"/>
                <w:color w:val="000000"/>
                <w:szCs w:val="21"/>
              </w:rPr>
            </w:pPr>
            <w:r>
              <w:rPr>
                <w:rFonts w:hint="eastAsia" w:ascii="宋体" w:hAnsi="宋体"/>
                <w:color w:val="000000"/>
                <w:szCs w:val="21"/>
              </w:rPr>
              <w:t>四、投标（响应）书（格式）</w:t>
            </w:r>
          </w:p>
        </w:tc>
        <w:tc>
          <w:tcPr>
            <w:tcW w:w="1563" w:type="dxa"/>
            <w:vAlign w:val="center"/>
          </w:tcPr>
          <w:p w14:paraId="0910FC44">
            <w:pPr>
              <w:spacing w:line="504" w:lineRule="auto"/>
              <w:rPr>
                <w:rFonts w:ascii="宋体" w:hAnsi="宋体" w:cs="宋体"/>
                <w:color w:val="000000"/>
                <w:szCs w:val="21"/>
              </w:rPr>
            </w:pPr>
          </w:p>
        </w:tc>
      </w:tr>
      <w:tr w14:paraId="40F6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5930" w:type="dxa"/>
            <w:vAlign w:val="center"/>
          </w:tcPr>
          <w:p w14:paraId="6D862C48">
            <w:pPr>
              <w:spacing w:line="480" w:lineRule="auto"/>
              <w:rPr>
                <w:rFonts w:ascii="宋体" w:hAnsi="宋体"/>
                <w:color w:val="000000"/>
                <w:szCs w:val="21"/>
              </w:rPr>
            </w:pPr>
            <w:r>
              <w:rPr>
                <w:rFonts w:hint="eastAsia" w:ascii="宋体" w:hAnsi="宋体"/>
                <w:color w:val="000000"/>
                <w:szCs w:val="21"/>
              </w:rPr>
              <w:t>五、盐城市政府采购事前信用承诺书（格式）</w:t>
            </w:r>
          </w:p>
        </w:tc>
        <w:tc>
          <w:tcPr>
            <w:tcW w:w="1563" w:type="dxa"/>
            <w:vAlign w:val="center"/>
          </w:tcPr>
          <w:p w14:paraId="2E560649">
            <w:pPr>
              <w:spacing w:line="504" w:lineRule="auto"/>
              <w:rPr>
                <w:rFonts w:ascii="宋体" w:hAnsi="宋体" w:cs="宋体"/>
                <w:color w:val="000000"/>
                <w:szCs w:val="21"/>
              </w:rPr>
            </w:pPr>
          </w:p>
        </w:tc>
      </w:tr>
      <w:tr w14:paraId="2B4D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930" w:type="dxa"/>
            <w:vAlign w:val="center"/>
          </w:tcPr>
          <w:p w14:paraId="3A8ECFE6">
            <w:pPr>
              <w:spacing w:line="480" w:lineRule="auto"/>
              <w:rPr>
                <w:rFonts w:ascii="宋体" w:hAnsi="宋体"/>
                <w:color w:val="000000"/>
                <w:szCs w:val="21"/>
              </w:rPr>
            </w:pPr>
            <w:r>
              <w:rPr>
                <w:rFonts w:hint="eastAsia" w:ascii="宋体" w:hAnsi="宋体"/>
                <w:color w:val="000000"/>
                <w:szCs w:val="21"/>
              </w:rPr>
              <w:t>六、商务要求响应情况表（格式）</w:t>
            </w:r>
          </w:p>
        </w:tc>
        <w:tc>
          <w:tcPr>
            <w:tcW w:w="1563" w:type="dxa"/>
            <w:vAlign w:val="center"/>
          </w:tcPr>
          <w:p w14:paraId="315EFFBE">
            <w:pPr>
              <w:spacing w:line="504" w:lineRule="auto"/>
              <w:rPr>
                <w:rFonts w:ascii="宋体" w:hAnsi="宋体" w:cs="宋体"/>
                <w:color w:val="000000"/>
                <w:szCs w:val="21"/>
              </w:rPr>
            </w:pPr>
          </w:p>
        </w:tc>
      </w:tr>
      <w:tr w14:paraId="6651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930" w:type="dxa"/>
            <w:vAlign w:val="center"/>
          </w:tcPr>
          <w:p w14:paraId="5CBF3BA7">
            <w:pPr>
              <w:spacing w:line="480" w:lineRule="auto"/>
              <w:rPr>
                <w:rFonts w:ascii="宋体" w:hAnsi="宋体"/>
                <w:color w:val="000000"/>
                <w:szCs w:val="21"/>
              </w:rPr>
            </w:pPr>
            <w:r>
              <w:rPr>
                <w:rFonts w:hint="eastAsia" w:ascii="宋体" w:hAnsi="宋体"/>
                <w:color w:val="000000"/>
                <w:szCs w:val="21"/>
                <w:lang w:eastAsia="zh-CN"/>
              </w:rPr>
              <w:t>七</w:t>
            </w:r>
            <w:r>
              <w:rPr>
                <w:rFonts w:hint="eastAsia" w:ascii="宋体" w:hAnsi="宋体"/>
                <w:color w:val="000000"/>
                <w:szCs w:val="21"/>
              </w:rPr>
              <w:t>、投标（响应）文件的其它内容</w:t>
            </w:r>
          </w:p>
        </w:tc>
        <w:tc>
          <w:tcPr>
            <w:tcW w:w="1563" w:type="dxa"/>
            <w:vAlign w:val="center"/>
          </w:tcPr>
          <w:p w14:paraId="3A9B4654">
            <w:pPr>
              <w:spacing w:line="504" w:lineRule="auto"/>
              <w:rPr>
                <w:rFonts w:ascii="宋体" w:hAnsi="宋体" w:cs="宋体"/>
                <w:color w:val="000000"/>
                <w:szCs w:val="21"/>
              </w:rPr>
            </w:pPr>
          </w:p>
        </w:tc>
      </w:tr>
      <w:tr w14:paraId="15FFD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930" w:type="dxa"/>
            <w:vAlign w:val="center"/>
          </w:tcPr>
          <w:p w14:paraId="598BEC8C">
            <w:pPr>
              <w:spacing w:line="504" w:lineRule="auto"/>
              <w:jc w:val="center"/>
              <w:rPr>
                <w:rFonts w:ascii="宋体" w:hAnsi="宋体" w:cs="宋体"/>
                <w:color w:val="000000"/>
                <w:sz w:val="24"/>
              </w:rPr>
            </w:pPr>
            <w:r>
              <w:rPr>
                <w:rFonts w:hint="eastAsia" w:ascii="宋体" w:hAnsi="宋体"/>
                <w:i/>
                <w:color w:val="000000"/>
                <w:szCs w:val="21"/>
                <w:u w:val="single"/>
              </w:rPr>
              <w:t>行数不够，可按本表格式自行添加</w:t>
            </w:r>
          </w:p>
        </w:tc>
        <w:tc>
          <w:tcPr>
            <w:tcW w:w="1563" w:type="dxa"/>
            <w:vAlign w:val="center"/>
          </w:tcPr>
          <w:p w14:paraId="57CC88C9">
            <w:pPr>
              <w:spacing w:line="504" w:lineRule="auto"/>
              <w:rPr>
                <w:rFonts w:ascii="宋体" w:hAnsi="宋体" w:cs="宋体"/>
                <w:color w:val="000000"/>
                <w:sz w:val="24"/>
              </w:rPr>
            </w:pPr>
          </w:p>
        </w:tc>
      </w:tr>
      <w:tr w14:paraId="345C4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493" w:type="dxa"/>
            <w:gridSpan w:val="2"/>
            <w:vAlign w:val="center"/>
          </w:tcPr>
          <w:p w14:paraId="2C15A804">
            <w:pPr>
              <w:jc w:val="center"/>
              <w:rPr>
                <w:rFonts w:ascii="宋体" w:hAnsi="宋体"/>
                <w:b/>
                <w:color w:val="000000"/>
                <w:sz w:val="18"/>
                <w:szCs w:val="18"/>
              </w:rPr>
            </w:pPr>
            <w:r>
              <w:rPr>
                <w:rFonts w:hint="eastAsia" w:ascii="宋体" w:hAnsi="宋体"/>
                <w:b/>
                <w:color w:val="000000"/>
                <w:sz w:val="18"/>
                <w:szCs w:val="18"/>
              </w:rPr>
              <w:t>特别说明</w:t>
            </w:r>
          </w:p>
          <w:p w14:paraId="5B5E2E07">
            <w:pPr>
              <w:rPr>
                <w:rFonts w:ascii="宋体" w:hAnsi="宋体"/>
                <w:b/>
                <w:color w:val="000000"/>
                <w:sz w:val="18"/>
                <w:szCs w:val="18"/>
              </w:rPr>
            </w:pPr>
            <w:r>
              <w:rPr>
                <w:rFonts w:hint="eastAsia" w:ascii="宋体" w:hAnsi="宋体"/>
                <w:b/>
                <w:color w:val="000000"/>
                <w:sz w:val="18"/>
                <w:szCs w:val="18"/>
              </w:rPr>
              <w:t>1.本目录（含页码）是专家评审的重要依据，请供应商准确（完整）填写。如供应商未能准确（完整）填写的，所引起的后果由供应商自负；</w:t>
            </w:r>
          </w:p>
          <w:p w14:paraId="6FB5921F">
            <w:pPr>
              <w:rPr>
                <w:rFonts w:ascii="宋体" w:hAnsi="宋体"/>
                <w:color w:val="000000"/>
                <w:sz w:val="18"/>
                <w:szCs w:val="18"/>
              </w:rPr>
            </w:pPr>
            <w:r>
              <w:rPr>
                <w:rFonts w:hint="eastAsia" w:ascii="宋体" w:hAnsi="宋体"/>
                <w:color w:val="000000"/>
                <w:sz w:val="18"/>
                <w:szCs w:val="18"/>
              </w:rPr>
              <w:t>2.供应商可以根据自身需要编辑详细的投标（响应）文件目录。供应商的投标（响应）文件目录应当遵循格式规范、便于查找获得的原则（以便评审人员评审）；</w:t>
            </w:r>
          </w:p>
          <w:p w14:paraId="6F5F6B85">
            <w:pPr>
              <w:rPr>
                <w:b/>
                <w:color w:val="000000"/>
              </w:rPr>
            </w:pPr>
            <w:r>
              <w:rPr>
                <w:rFonts w:hint="eastAsia"/>
                <w:b/>
                <w:color w:val="000000"/>
                <w:sz w:val="18"/>
                <w:szCs w:val="18"/>
              </w:rPr>
              <w:t>3.</w:t>
            </w:r>
            <w:r>
              <w:rPr>
                <w:b/>
                <w:color w:val="000000"/>
                <w:sz w:val="18"/>
                <w:szCs w:val="18"/>
              </w:rPr>
              <w:t>中小企业应当</w:t>
            </w:r>
            <w:r>
              <w:rPr>
                <w:rFonts w:hint="eastAsia"/>
                <w:b/>
                <w:color w:val="000000"/>
                <w:sz w:val="18"/>
                <w:szCs w:val="18"/>
              </w:rPr>
              <w:t>按照《</w:t>
            </w:r>
            <w:r>
              <w:rPr>
                <w:b/>
                <w:color w:val="000000"/>
                <w:sz w:val="18"/>
                <w:szCs w:val="18"/>
              </w:rPr>
              <w:t>政府采购促进中小企业发展管理办法</w:t>
            </w:r>
            <w:r>
              <w:rPr>
                <w:rFonts w:hint="eastAsia"/>
                <w:b/>
                <w:color w:val="000000"/>
                <w:sz w:val="18"/>
                <w:szCs w:val="18"/>
              </w:rPr>
              <w:t>》等相关</w:t>
            </w:r>
            <w:r>
              <w:rPr>
                <w:b/>
                <w:color w:val="000000"/>
                <w:sz w:val="18"/>
                <w:szCs w:val="18"/>
              </w:rPr>
              <w:t>规定出具《中小企业声明函》</w:t>
            </w:r>
            <w:r>
              <w:rPr>
                <w:rFonts w:hint="eastAsia"/>
                <w:b/>
                <w:color w:val="000000"/>
                <w:sz w:val="18"/>
                <w:szCs w:val="18"/>
              </w:rPr>
              <w:t>等相关证明（自行从财政部官方网站下载）</w:t>
            </w:r>
            <w:r>
              <w:rPr>
                <w:b/>
                <w:color w:val="000000"/>
                <w:sz w:val="18"/>
                <w:szCs w:val="18"/>
              </w:rPr>
              <w:t>，否则不得享受相关中小企业扶持政策。</w:t>
            </w:r>
          </w:p>
        </w:tc>
      </w:tr>
    </w:tbl>
    <w:p w14:paraId="0A853353">
      <w:pPr>
        <w:rPr>
          <w:color w:val="000000"/>
        </w:rPr>
      </w:pPr>
    </w:p>
    <w:p w14:paraId="32089C3D">
      <w:pPr>
        <w:rPr>
          <w:color w:val="000000"/>
        </w:rPr>
      </w:pPr>
    </w:p>
    <w:p w14:paraId="7AD926E5">
      <w:pPr>
        <w:rPr>
          <w:color w:val="000000"/>
        </w:rPr>
      </w:pPr>
    </w:p>
    <w:p w14:paraId="5ABFF22B">
      <w:pPr>
        <w:rPr>
          <w:color w:val="000000"/>
        </w:rPr>
      </w:pPr>
    </w:p>
    <w:p w14:paraId="63509F04">
      <w:pPr>
        <w:rPr>
          <w:color w:val="000000"/>
        </w:rPr>
      </w:pPr>
    </w:p>
    <w:p w14:paraId="1CB6AB5E">
      <w:pPr>
        <w:pStyle w:val="8"/>
        <w:rPr>
          <w:color w:val="000000"/>
        </w:rPr>
      </w:pPr>
    </w:p>
    <w:p w14:paraId="4EDB82D2">
      <w:pPr>
        <w:pStyle w:val="8"/>
        <w:rPr>
          <w:color w:val="000000"/>
        </w:rPr>
      </w:pPr>
    </w:p>
    <w:p w14:paraId="083004A0">
      <w:pPr>
        <w:pStyle w:val="8"/>
        <w:rPr>
          <w:color w:val="000000"/>
        </w:rPr>
      </w:pPr>
    </w:p>
    <w:p w14:paraId="3F878B41">
      <w:pPr>
        <w:pStyle w:val="8"/>
        <w:rPr>
          <w:color w:val="000000"/>
        </w:rPr>
      </w:pPr>
    </w:p>
    <w:p w14:paraId="6B3E7B1D">
      <w:pPr>
        <w:rPr>
          <w:color w:val="000000"/>
        </w:rPr>
      </w:pPr>
    </w:p>
    <w:p w14:paraId="3DA72203">
      <w:pPr>
        <w:pStyle w:val="8"/>
        <w:rPr>
          <w:color w:val="000000"/>
        </w:rPr>
      </w:pPr>
    </w:p>
    <w:p w14:paraId="3104CF85"/>
    <w:p w14:paraId="48C517FE">
      <w:pPr>
        <w:pStyle w:val="36"/>
      </w:pPr>
    </w:p>
    <w:p w14:paraId="089F083D"/>
    <w:p w14:paraId="45D13888"/>
    <w:p w14:paraId="2650F365">
      <w:pPr>
        <w:spacing w:line="552" w:lineRule="auto"/>
        <w:jc w:val="center"/>
        <w:outlineLvl w:val="1"/>
        <w:rPr>
          <w:rFonts w:ascii="宋体" w:hAnsi="宋体" w:cs="宋体"/>
          <w:b/>
          <w:bCs/>
          <w:color w:val="000000"/>
          <w:sz w:val="28"/>
          <w:szCs w:val="28"/>
        </w:rPr>
      </w:pPr>
      <w:bookmarkStart w:id="473" w:name="_Toc184029949"/>
      <w:r>
        <w:rPr>
          <w:rFonts w:hint="eastAsia" w:ascii="宋体" w:hAnsi="宋体" w:cs="宋体"/>
          <w:b/>
          <w:bCs/>
          <w:color w:val="000000"/>
          <w:sz w:val="28"/>
          <w:szCs w:val="28"/>
        </w:rPr>
        <w:t>一、报价一览表(报价表)（格式）</w:t>
      </w:r>
      <w:bookmarkEnd w:id="473"/>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2"/>
        <w:gridCol w:w="5253"/>
      </w:tblGrid>
      <w:tr w14:paraId="3B0DC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 w:hRule="atLeast"/>
          <w:jc w:val="center"/>
        </w:trPr>
        <w:tc>
          <w:tcPr>
            <w:tcW w:w="3132" w:type="dxa"/>
            <w:tcBorders>
              <w:top w:val="single" w:color="auto" w:sz="4" w:space="0"/>
              <w:left w:val="single" w:color="auto" w:sz="4" w:space="0"/>
              <w:bottom w:val="single" w:color="auto" w:sz="4" w:space="0"/>
              <w:right w:val="single" w:color="auto" w:sz="4" w:space="0"/>
            </w:tcBorders>
            <w:noWrap/>
            <w:vAlign w:val="center"/>
          </w:tcPr>
          <w:p w14:paraId="2DC87E36">
            <w:pPr>
              <w:spacing w:line="552" w:lineRule="auto"/>
              <w:ind w:firstLine="422"/>
              <w:jc w:val="center"/>
              <w:rPr>
                <w:rFonts w:ascii="宋体" w:hAnsi="宋体" w:cs="宋体"/>
                <w:b/>
                <w:color w:val="000000"/>
                <w:szCs w:val="21"/>
              </w:rPr>
            </w:pPr>
            <w:r>
              <w:rPr>
                <w:rFonts w:hint="eastAsia" w:ascii="宋体" w:hAnsi="宋体" w:cs="宋体"/>
                <w:b/>
                <w:color w:val="000000"/>
                <w:szCs w:val="21"/>
              </w:rPr>
              <w:t>项目编号</w:t>
            </w:r>
          </w:p>
        </w:tc>
        <w:tc>
          <w:tcPr>
            <w:tcW w:w="5253" w:type="dxa"/>
            <w:tcBorders>
              <w:top w:val="single" w:color="auto" w:sz="4" w:space="0"/>
              <w:left w:val="single" w:color="auto" w:sz="4" w:space="0"/>
              <w:bottom w:val="single" w:color="auto" w:sz="4" w:space="0"/>
              <w:right w:val="single" w:color="auto" w:sz="4" w:space="0"/>
            </w:tcBorders>
            <w:noWrap/>
            <w:vAlign w:val="center"/>
          </w:tcPr>
          <w:p w14:paraId="3AA9E369">
            <w:pPr>
              <w:spacing w:line="552" w:lineRule="auto"/>
              <w:ind w:firstLine="420"/>
              <w:rPr>
                <w:rFonts w:ascii="宋体" w:hAnsi="宋体" w:cs="宋体"/>
                <w:color w:val="000000"/>
                <w:szCs w:val="21"/>
              </w:rPr>
            </w:pPr>
          </w:p>
        </w:tc>
      </w:tr>
      <w:tr w14:paraId="12A6C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jc w:val="center"/>
        </w:trPr>
        <w:tc>
          <w:tcPr>
            <w:tcW w:w="3132" w:type="dxa"/>
            <w:tcBorders>
              <w:top w:val="single" w:color="auto" w:sz="4" w:space="0"/>
              <w:left w:val="single" w:color="auto" w:sz="4" w:space="0"/>
              <w:bottom w:val="single" w:color="auto" w:sz="4" w:space="0"/>
              <w:right w:val="single" w:color="auto" w:sz="4" w:space="0"/>
            </w:tcBorders>
            <w:noWrap/>
            <w:vAlign w:val="center"/>
          </w:tcPr>
          <w:p w14:paraId="1FD8B215">
            <w:pPr>
              <w:spacing w:line="552" w:lineRule="auto"/>
              <w:ind w:firstLine="422"/>
              <w:jc w:val="center"/>
              <w:rPr>
                <w:rFonts w:ascii="宋体" w:hAnsi="宋体" w:cs="宋体"/>
                <w:b/>
                <w:color w:val="000000"/>
                <w:szCs w:val="21"/>
              </w:rPr>
            </w:pPr>
            <w:r>
              <w:rPr>
                <w:rFonts w:hint="eastAsia" w:ascii="宋体" w:hAnsi="宋体" w:cs="宋体"/>
                <w:b/>
                <w:color w:val="000000"/>
                <w:szCs w:val="21"/>
              </w:rPr>
              <w:t>项目名称</w:t>
            </w:r>
          </w:p>
        </w:tc>
        <w:tc>
          <w:tcPr>
            <w:tcW w:w="5253" w:type="dxa"/>
            <w:tcBorders>
              <w:top w:val="single" w:color="auto" w:sz="4" w:space="0"/>
              <w:left w:val="single" w:color="auto" w:sz="4" w:space="0"/>
              <w:bottom w:val="single" w:color="auto" w:sz="4" w:space="0"/>
              <w:right w:val="single" w:color="auto" w:sz="4" w:space="0"/>
            </w:tcBorders>
            <w:noWrap/>
            <w:vAlign w:val="center"/>
          </w:tcPr>
          <w:p w14:paraId="07B8B822">
            <w:pPr>
              <w:spacing w:line="552" w:lineRule="auto"/>
              <w:ind w:firstLine="420"/>
              <w:rPr>
                <w:rFonts w:ascii="宋体" w:hAnsi="宋体" w:cs="宋体"/>
                <w:color w:val="000000"/>
                <w:szCs w:val="21"/>
              </w:rPr>
            </w:pPr>
          </w:p>
        </w:tc>
      </w:tr>
      <w:tr w14:paraId="7A023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jc w:val="center"/>
        </w:trPr>
        <w:tc>
          <w:tcPr>
            <w:tcW w:w="3132" w:type="dxa"/>
            <w:tcBorders>
              <w:top w:val="single" w:color="auto" w:sz="4" w:space="0"/>
              <w:left w:val="single" w:color="auto" w:sz="4" w:space="0"/>
              <w:right w:val="single" w:color="auto" w:sz="4" w:space="0"/>
            </w:tcBorders>
            <w:noWrap/>
            <w:vAlign w:val="center"/>
          </w:tcPr>
          <w:p w14:paraId="1C1B591B">
            <w:pPr>
              <w:spacing w:line="552" w:lineRule="auto"/>
              <w:ind w:firstLine="422"/>
              <w:jc w:val="center"/>
              <w:rPr>
                <w:rFonts w:ascii="宋体" w:hAnsi="宋体" w:cs="宋体"/>
                <w:b/>
                <w:color w:val="000000"/>
                <w:szCs w:val="21"/>
              </w:rPr>
            </w:pPr>
            <w:r>
              <w:rPr>
                <w:rFonts w:hint="eastAsia" w:ascii="宋体" w:hAnsi="宋体" w:cs="宋体"/>
                <w:b/>
                <w:color w:val="000000"/>
                <w:szCs w:val="21"/>
              </w:rPr>
              <w:t>投标价格</w:t>
            </w:r>
          </w:p>
          <w:p w14:paraId="79BC6BFA">
            <w:pPr>
              <w:spacing w:line="552" w:lineRule="auto"/>
              <w:ind w:firstLine="422"/>
              <w:jc w:val="center"/>
              <w:rPr>
                <w:rFonts w:ascii="宋体" w:hAnsi="宋体" w:cs="宋体"/>
                <w:b/>
                <w:color w:val="000000"/>
                <w:szCs w:val="21"/>
              </w:rPr>
            </w:pPr>
            <w:r>
              <w:rPr>
                <w:rFonts w:hint="eastAsia" w:ascii="宋体" w:hAnsi="宋体" w:cs="宋体"/>
                <w:b/>
                <w:color w:val="000000"/>
                <w:szCs w:val="21"/>
              </w:rPr>
              <w:t>（投标总报价）</w:t>
            </w:r>
          </w:p>
        </w:tc>
        <w:tc>
          <w:tcPr>
            <w:tcW w:w="5253" w:type="dxa"/>
            <w:tcBorders>
              <w:top w:val="single" w:color="auto" w:sz="4" w:space="0"/>
              <w:left w:val="single" w:color="auto" w:sz="4" w:space="0"/>
              <w:right w:val="single" w:color="auto" w:sz="4" w:space="0"/>
            </w:tcBorders>
            <w:noWrap/>
            <w:vAlign w:val="center"/>
          </w:tcPr>
          <w:p w14:paraId="7D1A827F">
            <w:pPr>
              <w:spacing w:line="552" w:lineRule="auto"/>
              <w:ind w:firstLine="420"/>
              <w:rPr>
                <w:rFonts w:hint="eastAsia" w:ascii="宋体" w:hAnsi="宋体" w:eastAsia="宋体" w:cs="宋体"/>
                <w:color w:val="000000"/>
                <w:szCs w:val="21"/>
                <w:u w:val="single"/>
                <w:lang w:eastAsia="zh-CN"/>
              </w:rPr>
            </w:pPr>
            <w:r>
              <w:rPr>
                <w:rFonts w:hint="eastAsia" w:ascii="宋体" w:hAnsi="宋体" w:cs="宋体"/>
                <w:color w:val="000000"/>
                <w:szCs w:val="21"/>
                <w:u w:val="single"/>
              </w:rPr>
              <w:t xml:space="preserve">大写：                     </w:t>
            </w:r>
            <w:r>
              <w:rPr>
                <w:rFonts w:hint="eastAsia" w:ascii="宋体" w:hAnsi="宋体" w:cs="宋体"/>
                <w:color w:val="000000"/>
                <w:szCs w:val="21"/>
                <w:u w:val="single"/>
                <w:lang w:eastAsia="zh-CN"/>
              </w:rPr>
              <w:t>万元</w:t>
            </w:r>
          </w:p>
          <w:p w14:paraId="30202339">
            <w:pPr>
              <w:spacing w:line="552" w:lineRule="auto"/>
              <w:ind w:firstLine="420"/>
              <w:rPr>
                <w:rFonts w:hint="eastAsia" w:ascii="宋体" w:hAnsi="宋体" w:eastAsia="宋体" w:cs="宋体"/>
                <w:color w:val="000000"/>
                <w:szCs w:val="21"/>
                <w:u w:val="single"/>
                <w:lang w:eastAsia="zh-CN"/>
              </w:rPr>
            </w:pPr>
            <w:r>
              <w:rPr>
                <w:rFonts w:hint="eastAsia" w:ascii="宋体" w:hAnsi="宋体" w:cs="宋体"/>
                <w:color w:val="000000"/>
                <w:szCs w:val="21"/>
                <w:u w:val="single"/>
              </w:rPr>
              <w:t xml:space="preserve">小写：                     </w:t>
            </w:r>
            <w:r>
              <w:rPr>
                <w:rFonts w:hint="eastAsia" w:ascii="宋体" w:hAnsi="宋体" w:cs="宋体"/>
                <w:color w:val="000000"/>
                <w:szCs w:val="21"/>
                <w:u w:val="single"/>
                <w:lang w:eastAsia="zh-CN"/>
              </w:rPr>
              <w:t>万元</w:t>
            </w:r>
          </w:p>
        </w:tc>
      </w:tr>
      <w:tr w14:paraId="7B922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 w:hRule="atLeast"/>
          <w:jc w:val="center"/>
        </w:trPr>
        <w:tc>
          <w:tcPr>
            <w:tcW w:w="3132" w:type="dxa"/>
            <w:tcBorders>
              <w:top w:val="single" w:color="auto" w:sz="4" w:space="0"/>
              <w:left w:val="single" w:color="auto" w:sz="4" w:space="0"/>
              <w:bottom w:val="single" w:color="auto" w:sz="4" w:space="0"/>
              <w:right w:val="single" w:color="auto" w:sz="4" w:space="0"/>
            </w:tcBorders>
            <w:noWrap/>
            <w:vAlign w:val="center"/>
          </w:tcPr>
          <w:p w14:paraId="77593425">
            <w:pPr>
              <w:spacing w:line="552" w:lineRule="auto"/>
              <w:ind w:firstLine="422"/>
              <w:jc w:val="center"/>
              <w:rPr>
                <w:rFonts w:ascii="宋体" w:hAnsi="宋体"/>
                <w:b/>
                <w:color w:val="000000"/>
                <w:szCs w:val="21"/>
              </w:rPr>
            </w:pPr>
            <w:r>
              <w:rPr>
                <w:rFonts w:hint="eastAsia" w:ascii="宋体" w:hAnsi="宋体"/>
                <w:b/>
                <w:color w:val="000000"/>
                <w:szCs w:val="21"/>
              </w:rPr>
              <w:t>产品质量标准</w:t>
            </w:r>
          </w:p>
        </w:tc>
        <w:tc>
          <w:tcPr>
            <w:tcW w:w="5253" w:type="dxa"/>
            <w:tcBorders>
              <w:top w:val="single" w:color="auto" w:sz="4" w:space="0"/>
              <w:left w:val="single" w:color="auto" w:sz="4" w:space="0"/>
              <w:bottom w:val="single" w:color="auto" w:sz="4" w:space="0"/>
              <w:right w:val="single" w:color="auto" w:sz="4" w:space="0"/>
            </w:tcBorders>
            <w:noWrap/>
            <w:vAlign w:val="center"/>
          </w:tcPr>
          <w:p w14:paraId="4B362B13">
            <w:pPr>
              <w:spacing w:line="552" w:lineRule="auto"/>
              <w:ind w:firstLine="420"/>
              <w:rPr>
                <w:rFonts w:ascii="宋体" w:hAnsi="宋体"/>
                <w:color w:val="000000"/>
                <w:szCs w:val="21"/>
              </w:rPr>
            </w:pPr>
            <w:r>
              <w:rPr>
                <w:rFonts w:hint="eastAsia" w:ascii="宋体" w:hAnsi="宋体"/>
                <w:color w:val="000000"/>
                <w:szCs w:val="21"/>
                <w:u w:val="single"/>
              </w:rPr>
              <w:t>合格（符合国家强制标准</w:t>
            </w:r>
            <w:r>
              <w:rPr>
                <w:rFonts w:hint="eastAsia"/>
                <w:color w:val="000000"/>
                <w:szCs w:val="21"/>
                <w:u w:val="single"/>
              </w:rPr>
              <w:t>）</w:t>
            </w:r>
          </w:p>
        </w:tc>
      </w:tr>
      <w:tr w14:paraId="49A49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 w:hRule="atLeast"/>
          <w:jc w:val="center"/>
        </w:trPr>
        <w:tc>
          <w:tcPr>
            <w:tcW w:w="3132" w:type="dxa"/>
            <w:tcBorders>
              <w:top w:val="single" w:color="auto" w:sz="4" w:space="0"/>
              <w:left w:val="single" w:color="auto" w:sz="4" w:space="0"/>
              <w:bottom w:val="single" w:color="auto" w:sz="4" w:space="0"/>
              <w:right w:val="single" w:color="auto" w:sz="4" w:space="0"/>
            </w:tcBorders>
            <w:noWrap/>
            <w:vAlign w:val="center"/>
          </w:tcPr>
          <w:p w14:paraId="001F9EFF">
            <w:pPr>
              <w:spacing w:line="552" w:lineRule="auto"/>
              <w:ind w:firstLine="422"/>
              <w:jc w:val="center"/>
              <w:rPr>
                <w:rFonts w:ascii="宋体" w:hAnsi="宋体"/>
                <w:b/>
                <w:color w:val="000000"/>
                <w:szCs w:val="21"/>
              </w:rPr>
            </w:pPr>
            <w:r>
              <w:rPr>
                <w:rFonts w:hint="eastAsia" w:ascii="宋体" w:hAnsi="宋体"/>
                <w:b/>
                <w:color w:val="000000"/>
                <w:szCs w:val="21"/>
              </w:rPr>
              <w:t>工期</w:t>
            </w:r>
          </w:p>
        </w:tc>
        <w:tc>
          <w:tcPr>
            <w:tcW w:w="5253" w:type="dxa"/>
            <w:tcBorders>
              <w:top w:val="single" w:color="auto" w:sz="4" w:space="0"/>
              <w:left w:val="single" w:color="auto" w:sz="4" w:space="0"/>
              <w:bottom w:val="single" w:color="auto" w:sz="4" w:space="0"/>
              <w:right w:val="single" w:color="auto" w:sz="4" w:space="0"/>
            </w:tcBorders>
            <w:noWrap/>
            <w:vAlign w:val="center"/>
          </w:tcPr>
          <w:p w14:paraId="56E89BB3">
            <w:pPr>
              <w:widowControl/>
              <w:shd w:val="clear" w:color="auto" w:fill="FFFFFF"/>
              <w:spacing w:line="435" w:lineRule="atLeast"/>
              <w:ind w:firstLine="420" w:firstLineChars="200"/>
              <w:jc w:val="left"/>
              <w:rPr>
                <w:rFonts w:ascii="宋体" w:hAnsi="宋体"/>
                <w:color w:val="000000"/>
                <w:szCs w:val="21"/>
              </w:rPr>
            </w:pPr>
            <w:r>
              <w:rPr>
                <w:rFonts w:hint="eastAsia" w:ascii="宋体" w:hAnsi="宋体"/>
                <w:lang w:val="en-US" w:eastAsia="zh-CN"/>
              </w:rPr>
              <w:t>20</w:t>
            </w:r>
            <w:r>
              <w:rPr>
                <w:rFonts w:hint="eastAsia" w:ascii="宋体" w:hAnsi="宋体"/>
              </w:rPr>
              <w:t>日历天；如因施工单位自身施工组织问题造成工期延误的，每延误一天，处罚1000元，如因工期延误，造成学校重大影响的，学校有权追究责任。（工程延误处罚款项在审计时直接扣除）；</w:t>
            </w:r>
          </w:p>
        </w:tc>
      </w:tr>
      <w:tr w14:paraId="59EB6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 w:hRule="atLeast"/>
          <w:jc w:val="center"/>
        </w:trPr>
        <w:tc>
          <w:tcPr>
            <w:tcW w:w="3132" w:type="dxa"/>
            <w:tcBorders>
              <w:top w:val="single" w:color="auto" w:sz="4" w:space="0"/>
              <w:left w:val="single" w:color="auto" w:sz="4" w:space="0"/>
              <w:bottom w:val="single" w:color="auto" w:sz="4" w:space="0"/>
              <w:right w:val="single" w:color="auto" w:sz="4" w:space="0"/>
            </w:tcBorders>
            <w:noWrap/>
            <w:vAlign w:val="center"/>
          </w:tcPr>
          <w:p w14:paraId="7DF21B43">
            <w:pPr>
              <w:spacing w:line="552" w:lineRule="auto"/>
              <w:ind w:firstLine="422"/>
              <w:jc w:val="center"/>
              <w:rPr>
                <w:rFonts w:ascii="宋体" w:hAnsi="宋体"/>
                <w:b/>
                <w:color w:val="000000"/>
                <w:szCs w:val="21"/>
              </w:rPr>
            </w:pPr>
            <w:r>
              <w:rPr>
                <w:rFonts w:hint="eastAsia" w:ascii="宋体" w:hAnsi="宋体"/>
                <w:b/>
                <w:color w:val="000000"/>
                <w:szCs w:val="21"/>
              </w:rPr>
              <w:t>工程质保期</w:t>
            </w:r>
          </w:p>
        </w:tc>
        <w:tc>
          <w:tcPr>
            <w:tcW w:w="5253" w:type="dxa"/>
            <w:tcBorders>
              <w:top w:val="single" w:color="auto" w:sz="4" w:space="0"/>
              <w:left w:val="single" w:color="auto" w:sz="4" w:space="0"/>
              <w:bottom w:val="single" w:color="auto" w:sz="4" w:space="0"/>
              <w:right w:val="single" w:color="auto" w:sz="4" w:space="0"/>
            </w:tcBorders>
            <w:noWrap/>
            <w:vAlign w:val="center"/>
          </w:tcPr>
          <w:p w14:paraId="688302C0">
            <w:pPr>
              <w:widowControl/>
              <w:shd w:val="clear" w:color="auto" w:fill="FFFFFF"/>
              <w:spacing w:line="435" w:lineRule="atLeast"/>
              <w:ind w:firstLine="420"/>
              <w:jc w:val="left"/>
              <w:rPr>
                <w:rFonts w:ascii="宋体" w:hAnsi="宋体"/>
                <w:color w:val="000000"/>
                <w:szCs w:val="21"/>
              </w:rPr>
            </w:pPr>
            <w:r>
              <w:rPr>
                <w:rFonts w:hint="eastAsia" w:ascii="宋体" w:hAnsi="宋体"/>
              </w:rPr>
              <w:t>质保期：</w:t>
            </w:r>
            <w:r>
              <w:rPr>
                <w:rFonts w:hint="eastAsia" w:ascii="宋体" w:hAnsi="宋体"/>
                <w:lang w:val="en-US" w:eastAsia="zh-CN"/>
              </w:rPr>
              <w:t>1</w:t>
            </w:r>
            <w:r>
              <w:rPr>
                <w:rFonts w:hint="eastAsia" w:ascii="宋体" w:hAnsi="宋体"/>
              </w:rPr>
              <w:t>年（质保期自验收合格之日起算）；质保要求：工程因自然力等主客观因素出现松动、脱落等现象，供应商需在3日内到场免费维修；</w:t>
            </w:r>
          </w:p>
        </w:tc>
      </w:tr>
      <w:tr w14:paraId="08E16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 w:hRule="atLeast"/>
          <w:jc w:val="center"/>
        </w:trPr>
        <w:tc>
          <w:tcPr>
            <w:tcW w:w="3132" w:type="dxa"/>
            <w:tcBorders>
              <w:top w:val="single" w:color="auto" w:sz="4" w:space="0"/>
              <w:left w:val="single" w:color="auto" w:sz="4" w:space="0"/>
              <w:bottom w:val="single" w:color="auto" w:sz="4" w:space="0"/>
              <w:right w:val="single" w:color="auto" w:sz="4" w:space="0"/>
            </w:tcBorders>
            <w:noWrap/>
            <w:vAlign w:val="center"/>
          </w:tcPr>
          <w:p w14:paraId="58F925B7">
            <w:pPr>
              <w:spacing w:line="552" w:lineRule="auto"/>
              <w:ind w:firstLine="422"/>
              <w:jc w:val="center"/>
              <w:rPr>
                <w:b/>
                <w:color w:val="FF0000"/>
                <w:szCs w:val="21"/>
                <w:highlight w:val="yellow"/>
              </w:rPr>
            </w:pPr>
            <w:r>
              <w:rPr>
                <w:rFonts w:hint="eastAsia" w:ascii="宋体" w:hAnsi="宋体"/>
                <w:b/>
                <w:color w:val="000000"/>
                <w:szCs w:val="21"/>
              </w:rPr>
              <w:t>项目经理（项目负责人）</w:t>
            </w:r>
          </w:p>
        </w:tc>
        <w:tc>
          <w:tcPr>
            <w:tcW w:w="5253" w:type="dxa"/>
            <w:tcBorders>
              <w:top w:val="single" w:color="auto" w:sz="4" w:space="0"/>
              <w:left w:val="single" w:color="auto" w:sz="4" w:space="0"/>
              <w:bottom w:val="single" w:color="auto" w:sz="4" w:space="0"/>
              <w:right w:val="single" w:color="auto" w:sz="4" w:space="0"/>
            </w:tcBorders>
            <w:noWrap/>
            <w:vAlign w:val="center"/>
          </w:tcPr>
          <w:p w14:paraId="4B313359">
            <w:pPr>
              <w:spacing w:line="360" w:lineRule="auto"/>
              <w:ind w:firstLine="420"/>
              <w:jc w:val="left"/>
              <w:rPr>
                <w:rFonts w:ascii="宋体" w:hAnsi="宋体"/>
                <w:color w:val="000000"/>
                <w:szCs w:val="21"/>
                <w:u w:val="single"/>
              </w:rPr>
            </w:pPr>
            <w:r>
              <w:rPr>
                <w:rFonts w:hint="eastAsia" w:ascii="宋体" w:hAnsi="宋体"/>
                <w:color w:val="000000"/>
                <w:szCs w:val="21"/>
                <w:u w:val="single"/>
              </w:rPr>
              <w:t>（姓名）；</w:t>
            </w:r>
          </w:p>
          <w:p w14:paraId="5612B127">
            <w:pPr>
              <w:spacing w:line="360" w:lineRule="auto"/>
              <w:ind w:firstLine="420"/>
              <w:jc w:val="left"/>
              <w:rPr>
                <w:rFonts w:ascii="宋体" w:hAnsi="宋体"/>
                <w:color w:val="000000"/>
                <w:szCs w:val="21"/>
                <w:u w:val="single"/>
              </w:rPr>
            </w:pPr>
            <w:r>
              <w:rPr>
                <w:rFonts w:hint="eastAsia" w:ascii="宋体" w:hAnsi="宋体"/>
                <w:color w:val="000000"/>
                <w:szCs w:val="21"/>
                <w:u w:val="single"/>
              </w:rPr>
              <w:t>资质等级：级；</w:t>
            </w:r>
          </w:p>
          <w:p w14:paraId="1F142C66">
            <w:pPr>
              <w:spacing w:line="360" w:lineRule="auto"/>
              <w:ind w:firstLine="420"/>
              <w:jc w:val="left"/>
              <w:rPr>
                <w:color w:val="FF0000"/>
                <w:szCs w:val="21"/>
                <w:highlight w:val="yellow"/>
              </w:rPr>
            </w:pPr>
            <w:r>
              <w:rPr>
                <w:rFonts w:hint="eastAsia" w:ascii="宋体" w:hAnsi="宋体"/>
                <w:color w:val="000000"/>
                <w:szCs w:val="21"/>
                <w:u w:val="single"/>
              </w:rPr>
              <w:t>证号：</w:t>
            </w:r>
          </w:p>
        </w:tc>
      </w:tr>
      <w:tr w14:paraId="798EF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 w:hRule="atLeast"/>
          <w:jc w:val="center"/>
        </w:trPr>
        <w:tc>
          <w:tcPr>
            <w:tcW w:w="3132" w:type="dxa"/>
            <w:tcBorders>
              <w:top w:val="single" w:color="auto" w:sz="4" w:space="0"/>
              <w:left w:val="single" w:color="auto" w:sz="4" w:space="0"/>
              <w:bottom w:val="single" w:color="auto" w:sz="4" w:space="0"/>
              <w:right w:val="single" w:color="auto" w:sz="4" w:space="0"/>
            </w:tcBorders>
            <w:noWrap/>
            <w:vAlign w:val="center"/>
          </w:tcPr>
          <w:p w14:paraId="166E10CD">
            <w:pPr>
              <w:spacing w:line="552" w:lineRule="auto"/>
              <w:ind w:firstLine="422"/>
              <w:jc w:val="center"/>
              <w:rPr>
                <w:b/>
                <w:color w:val="000000"/>
                <w:szCs w:val="21"/>
              </w:rPr>
            </w:pPr>
            <w:r>
              <w:rPr>
                <w:rFonts w:hint="eastAsia"/>
                <w:b/>
                <w:color w:val="000000"/>
                <w:szCs w:val="21"/>
              </w:rPr>
              <w:t>交付或者实施的地点</w:t>
            </w:r>
          </w:p>
        </w:tc>
        <w:tc>
          <w:tcPr>
            <w:tcW w:w="5253" w:type="dxa"/>
            <w:tcBorders>
              <w:top w:val="single" w:color="auto" w:sz="4" w:space="0"/>
              <w:left w:val="single" w:color="auto" w:sz="4" w:space="0"/>
              <w:bottom w:val="single" w:color="auto" w:sz="4" w:space="0"/>
              <w:right w:val="single" w:color="auto" w:sz="4" w:space="0"/>
            </w:tcBorders>
            <w:noWrap/>
            <w:vAlign w:val="center"/>
          </w:tcPr>
          <w:p w14:paraId="04F74943">
            <w:pPr>
              <w:spacing w:line="552" w:lineRule="auto"/>
              <w:ind w:firstLine="420"/>
              <w:jc w:val="center"/>
              <w:rPr>
                <w:color w:val="000000"/>
                <w:szCs w:val="21"/>
              </w:rPr>
            </w:pPr>
            <w:r>
              <w:rPr>
                <w:rFonts w:hint="eastAsia"/>
                <w:color w:val="000000"/>
                <w:szCs w:val="21"/>
              </w:rPr>
              <w:t>江苏医药职业学院校内</w:t>
            </w:r>
          </w:p>
          <w:p w14:paraId="5E48EC6C">
            <w:pPr>
              <w:spacing w:line="552" w:lineRule="auto"/>
              <w:ind w:firstLine="420"/>
              <w:jc w:val="center"/>
              <w:rPr>
                <w:color w:val="000000"/>
                <w:szCs w:val="21"/>
              </w:rPr>
            </w:pPr>
            <w:r>
              <w:rPr>
                <w:rFonts w:hint="eastAsia"/>
                <w:color w:val="000000"/>
                <w:szCs w:val="21"/>
              </w:rPr>
              <w:t>（具体地点以采购人另行通知的为准）</w:t>
            </w:r>
          </w:p>
        </w:tc>
      </w:tr>
      <w:tr w14:paraId="47883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 w:hRule="atLeast"/>
          <w:jc w:val="center"/>
        </w:trPr>
        <w:tc>
          <w:tcPr>
            <w:tcW w:w="3132" w:type="dxa"/>
            <w:tcBorders>
              <w:top w:val="single" w:color="auto" w:sz="4" w:space="0"/>
              <w:left w:val="single" w:color="auto" w:sz="4" w:space="0"/>
              <w:bottom w:val="single" w:color="auto" w:sz="4" w:space="0"/>
              <w:right w:val="single" w:color="auto" w:sz="4" w:space="0"/>
            </w:tcBorders>
            <w:noWrap/>
            <w:vAlign w:val="center"/>
          </w:tcPr>
          <w:p w14:paraId="05D304E3">
            <w:pPr>
              <w:widowControl/>
              <w:spacing w:line="552" w:lineRule="auto"/>
              <w:ind w:firstLine="422"/>
              <w:jc w:val="center"/>
              <w:rPr>
                <w:rFonts w:ascii="宋体" w:hAnsi="宋体" w:cs="宋体"/>
                <w:b/>
                <w:color w:val="000000"/>
                <w:kern w:val="0"/>
                <w:szCs w:val="21"/>
              </w:rPr>
            </w:pPr>
            <w:r>
              <w:rPr>
                <w:rFonts w:hint="eastAsia" w:ascii="宋体" w:hAnsi="宋体" w:cs="宋体"/>
                <w:b/>
                <w:color w:val="000000"/>
                <w:kern w:val="0"/>
                <w:szCs w:val="21"/>
              </w:rPr>
              <w:t>投标有效期</w:t>
            </w:r>
          </w:p>
        </w:tc>
        <w:tc>
          <w:tcPr>
            <w:tcW w:w="5253" w:type="dxa"/>
            <w:tcBorders>
              <w:top w:val="single" w:color="auto" w:sz="4" w:space="0"/>
              <w:left w:val="single" w:color="auto" w:sz="4" w:space="0"/>
              <w:bottom w:val="single" w:color="auto" w:sz="4" w:space="0"/>
              <w:right w:val="single" w:color="auto" w:sz="4" w:space="0"/>
            </w:tcBorders>
            <w:noWrap/>
            <w:vAlign w:val="center"/>
          </w:tcPr>
          <w:p w14:paraId="5BE4706D">
            <w:pPr>
              <w:widowControl/>
              <w:spacing w:line="552" w:lineRule="auto"/>
              <w:ind w:firstLine="420"/>
              <w:jc w:val="center"/>
              <w:rPr>
                <w:rFonts w:ascii="宋体" w:hAnsi="宋体"/>
                <w:color w:val="000000"/>
                <w:szCs w:val="21"/>
              </w:rPr>
            </w:pPr>
            <w:r>
              <w:rPr>
                <w:rFonts w:hint="eastAsia" w:hAnsi="宋体"/>
                <w:color w:val="000000"/>
                <w:szCs w:val="21"/>
              </w:rPr>
              <w:t>提交响应文件截止之日起</w:t>
            </w:r>
            <w:r>
              <w:rPr>
                <w:rFonts w:hint="eastAsia" w:ascii="宋体" w:hAnsi="宋体"/>
                <w:color w:val="000000"/>
                <w:szCs w:val="21"/>
                <w:u w:val="single"/>
              </w:rPr>
              <w:t>60个日历日</w:t>
            </w:r>
          </w:p>
        </w:tc>
      </w:tr>
      <w:tr w14:paraId="5DA11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 w:hRule="atLeast"/>
          <w:jc w:val="center"/>
        </w:trPr>
        <w:tc>
          <w:tcPr>
            <w:tcW w:w="8385" w:type="dxa"/>
            <w:gridSpan w:val="2"/>
            <w:tcBorders>
              <w:top w:val="single" w:color="auto" w:sz="4" w:space="0"/>
              <w:left w:val="single" w:color="auto" w:sz="4" w:space="0"/>
              <w:bottom w:val="single" w:color="auto" w:sz="4" w:space="0"/>
              <w:right w:val="single" w:color="auto" w:sz="4" w:space="0"/>
            </w:tcBorders>
            <w:noWrap/>
            <w:vAlign w:val="center"/>
          </w:tcPr>
          <w:p w14:paraId="6B355086">
            <w:pPr>
              <w:pStyle w:val="12"/>
              <w:tabs>
                <w:tab w:val="left" w:pos="5580"/>
              </w:tabs>
              <w:spacing w:line="552" w:lineRule="auto"/>
              <w:ind w:firstLine="422"/>
              <w:jc w:val="left"/>
              <w:rPr>
                <w:rFonts w:hAnsi="宋体" w:cs="宋体"/>
                <w:b/>
                <w:color w:val="000000"/>
                <w:sz w:val="21"/>
                <w:szCs w:val="21"/>
              </w:rPr>
            </w:pPr>
            <w:r>
              <w:rPr>
                <w:rFonts w:hint="eastAsia" w:hAnsi="宋体" w:cs="宋体"/>
                <w:b/>
                <w:color w:val="000000"/>
                <w:sz w:val="21"/>
                <w:szCs w:val="21"/>
              </w:rPr>
              <w:t>投标人名称（单位公章）：</w:t>
            </w:r>
          </w:p>
          <w:p w14:paraId="4C5F1D8E">
            <w:pPr>
              <w:pStyle w:val="12"/>
              <w:tabs>
                <w:tab w:val="left" w:pos="5580"/>
              </w:tabs>
              <w:spacing w:line="552" w:lineRule="auto"/>
              <w:ind w:firstLine="422"/>
              <w:jc w:val="left"/>
              <w:rPr>
                <w:rFonts w:hAnsi="宋体" w:cs="宋体"/>
                <w:b/>
                <w:color w:val="000000"/>
                <w:sz w:val="21"/>
                <w:szCs w:val="21"/>
                <w:u w:val="single"/>
              </w:rPr>
            </w:pPr>
            <w:r>
              <w:rPr>
                <w:rFonts w:hint="eastAsia" w:hAnsi="宋体" w:cs="宋体"/>
                <w:b/>
                <w:color w:val="000000"/>
                <w:sz w:val="21"/>
                <w:szCs w:val="21"/>
              </w:rPr>
              <w:t>法定代表人或其委托代理人(签字):</w:t>
            </w:r>
            <w:r>
              <w:rPr>
                <w:rFonts w:hint="eastAsia" w:hAnsi="宋体" w:cs="宋体"/>
                <w:b/>
                <w:color w:val="000000"/>
                <w:sz w:val="21"/>
                <w:szCs w:val="21"/>
                <w:u w:val="single"/>
              </w:rPr>
              <w:tab/>
            </w:r>
          </w:p>
          <w:p w14:paraId="4C60F03B">
            <w:pPr>
              <w:spacing w:line="552" w:lineRule="auto"/>
              <w:ind w:firstLine="422" w:firstLineChars="200"/>
              <w:jc w:val="left"/>
              <w:rPr>
                <w:rFonts w:ascii="宋体" w:hAnsi="宋体" w:cs="宋体"/>
                <w:color w:val="000000"/>
                <w:szCs w:val="21"/>
              </w:rPr>
            </w:pPr>
            <w:r>
              <w:rPr>
                <w:rFonts w:hint="eastAsia" w:ascii="宋体" w:hAnsi="宋体" w:cs="宋体"/>
                <w:b/>
                <w:color w:val="000000"/>
                <w:szCs w:val="21"/>
              </w:rPr>
              <w:t>日    期：</w:t>
            </w:r>
            <w:r>
              <w:rPr>
                <w:rFonts w:hint="eastAsia" w:ascii="宋体" w:hAnsi="宋体" w:cs="宋体"/>
                <w:b/>
                <w:color w:val="000000"/>
                <w:szCs w:val="21"/>
                <w:u w:val="single"/>
              </w:rPr>
              <w:t xml:space="preserve">         年  月  日</w:t>
            </w:r>
          </w:p>
        </w:tc>
      </w:tr>
      <w:tr w14:paraId="1B78B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 w:hRule="atLeast"/>
          <w:jc w:val="center"/>
        </w:trPr>
        <w:tc>
          <w:tcPr>
            <w:tcW w:w="8385" w:type="dxa"/>
            <w:gridSpan w:val="2"/>
            <w:tcBorders>
              <w:top w:val="single" w:color="auto" w:sz="4" w:space="0"/>
              <w:left w:val="single" w:color="auto" w:sz="4" w:space="0"/>
              <w:bottom w:val="single" w:color="auto" w:sz="4" w:space="0"/>
              <w:right w:val="single" w:color="auto" w:sz="4" w:space="0"/>
            </w:tcBorders>
            <w:noWrap/>
            <w:vAlign w:val="center"/>
          </w:tcPr>
          <w:p w14:paraId="308155EF">
            <w:pPr>
              <w:spacing w:line="276" w:lineRule="auto"/>
              <w:ind w:firstLine="422" w:firstLineChars="200"/>
              <w:rPr>
                <w:rFonts w:ascii="宋体" w:hAnsi="宋体"/>
                <w:b/>
                <w:color w:val="000000"/>
                <w:szCs w:val="21"/>
              </w:rPr>
            </w:pPr>
            <w:r>
              <w:rPr>
                <w:rFonts w:hint="eastAsia" w:ascii="宋体" w:hAnsi="宋体"/>
                <w:b/>
                <w:color w:val="000000"/>
                <w:szCs w:val="21"/>
              </w:rPr>
              <w:t>注：如果报价一览表（报价表）内容与投标（响应）分项报价表内容不一致的，以报价一览表（报价表）内容为准。</w:t>
            </w:r>
          </w:p>
        </w:tc>
      </w:tr>
    </w:tbl>
    <w:p w14:paraId="1E7B2AC6">
      <w:pPr>
        <w:rPr>
          <w:color w:val="000000"/>
        </w:rPr>
      </w:pPr>
    </w:p>
    <w:p w14:paraId="76381DDB">
      <w:pPr>
        <w:rPr>
          <w:color w:val="000000"/>
        </w:rPr>
      </w:pPr>
    </w:p>
    <w:p w14:paraId="534C87C4">
      <w:pPr>
        <w:rPr>
          <w:color w:val="000000"/>
        </w:rPr>
      </w:pPr>
    </w:p>
    <w:p w14:paraId="2A5EEDA5">
      <w:pPr>
        <w:rPr>
          <w:color w:val="000000"/>
        </w:rPr>
      </w:pPr>
    </w:p>
    <w:p w14:paraId="053E15C7">
      <w:pPr>
        <w:spacing w:line="552" w:lineRule="auto"/>
        <w:jc w:val="both"/>
        <w:outlineLvl w:val="1"/>
        <w:rPr>
          <w:rFonts w:hint="eastAsia" w:ascii="宋体" w:hAnsi="宋体" w:cs="宋体"/>
          <w:b/>
          <w:bCs/>
          <w:color w:val="000000"/>
          <w:sz w:val="28"/>
          <w:szCs w:val="28"/>
        </w:rPr>
      </w:pPr>
      <w:bookmarkStart w:id="474" w:name="_Toc184029950"/>
    </w:p>
    <w:p w14:paraId="1380D8D9">
      <w:pPr>
        <w:spacing w:line="552" w:lineRule="auto"/>
        <w:jc w:val="center"/>
        <w:outlineLvl w:val="1"/>
        <w:rPr>
          <w:rFonts w:ascii="宋体" w:hAnsi="宋体" w:cs="宋体"/>
          <w:b/>
          <w:bCs/>
          <w:color w:val="000000"/>
          <w:sz w:val="28"/>
          <w:szCs w:val="28"/>
        </w:rPr>
      </w:pPr>
      <w:r>
        <w:rPr>
          <w:rFonts w:hint="eastAsia" w:ascii="宋体" w:hAnsi="宋体" w:cs="宋体"/>
          <w:b/>
          <w:bCs/>
          <w:color w:val="000000"/>
          <w:sz w:val="28"/>
          <w:szCs w:val="28"/>
        </w:rPr>
        <w:t>二、供应商的资格证明文件</w:t>
      </w:r>
      <w:bookmarkEnd w:id="474"/>
    </w:p>
    <w:p w14:paraId="2123055E">
      <w:pPr>
        <w:spacing w:line="440" w:lineRule="exact"/>
        <w:ind w:firstLine="420" w:firstLineChars="200"/>
        <w:rPr>
          <w:rFonts w:ascii="宋体" w:hAnsi="宋体"/>
          <w:color w:val="000000"/>
        </w:rPr>
      </w:pPr>
      <w:r>
        <w:rPr>
          <w:rFonts w:hint="eastAsia" w:ascii="宋体" w:hAnsi="宋体"/>
          <w:color w:val="000000"/>
        </w:rPr>
        <w:t>1.具有独立承担民事责任的能力，</w:t>
      </w:r>
      <w:r>
        <w:rPr>
          <w:rFonts w:hint="eastAsia"/>
        </w:rPr>
        <w:t>法人或者其他组织的营业执照等证明文件，自然人的身份证明</w:t>
      </w:r>
      <w:r>
        <w:rPr>
          <w:rFonts w:hint="eastAsia" w:ascii="宋体" w:hAnsi="宋体"/>
          <w:color w:val="000000"/>
        </w:rPr>
        <w:t>（提供营业执照，并加盖公章）；；</w:t>
      </w:r>
    </w:p>
    <w:p w14:paraId="7A6E54CE">
      <w:pPr>
        <w:spacing w:line="440" w:lineRule="exact"/>
        <w:rPr>
          <w:rFonts w:ascii="宋体" w:hAnsi="宋体"/>
          <w:color w:val="000000"/>
          <w:szCs w:val="21"/>
        </w:rPr>
      </w:pPr>
    </w:p>
    <w:p w14:paraId="4B3C576E">
      <w:pPr>
        <w:spacing w:line="440" w:lineRule="exact"/>
        <w:ind w:firstLine="420" w:firstLineChars="200"/>
        <w:rPr>
          <w:rFonts w:ascii="宋体" w:hAnsi="宋体"/>
          <w:color w:val="000000"/>
          <w:szCs w:val="21"/>
        </w:rPr>
      </w:pPr>
    </w:p>
    <w:p w14:paraId="22C70A60">
      <w:pPr>
        <w:spacing w:line="440" w:lineRule="exact"/>
        <w:rPr>
          <w:rFonts w:ascii="宋体" w:hAnsi="宋体"/>
          <w:color w:val="000000"/>
          <w:szCs w:val="21"/>
        </w:rPr>
      </w:pPr>
    </w:p>
    <w:p w14:paraId="77419BF4">
      <w:pPr>
        <w:spacing w:line="440" w:lineRule="exact"/>
        <w:ind w:firstLine="420" w:firstLineChars="200"/>
        <w:rPr>
          <w:rFonts w:ascii="宋体" w:hAnsi="宋体"/>
          <w:color w:val="000000"/>
          <w:szCs w:val="21"/>
        </w:rPr>
      </w:pPr>
    </w:p>
    <w:p w14:paraId="4AB28A78">
      <w:pPr>
        <w:spacing w:line="440" w:lineRule="exact"/>
        <w:ind w:firstLine="420" w:firstLineChars="200"/>
        <w:rPr>
          <w:rFonts w:ascii="宋体" w:hAnsi="宋体"/>
          <w:color w:val="000000"/>
          <w:szCs w:val="21"/>
        </w:rPr>
      </w:pPr>
    </w:p>
    <w:p w14:paraId="0D66F9E0">
      <w:pPr>
        <w:spacing w:line="440" w:lineRule="exact"/>
        <w:ind w:firstLine="420" w:firstLineChars="200"/>
        <w:jc w:val="left"/>
        <w:rPr>
          <w:rFonts w:eastAsia="仿宋_GB2312"/>
          <w:color w:val="000000"/>
        </w:rPr>
      </w:pPr>
      <w:r>
        <w:rPr>
          <w:rFonts w:hint="eastAsia" w:ascii="宋体" w:hAnsi="宋体"/>
          <w:color w:val="000000"/>
        </w:rPr>
        <w:t>2.</w:t>
      </w:r>
      <w:r>
        <w:rPr>
          <w:rFonts w:hint="eastAsia" w:ascii="宋体" w:hAnsi="宋体"/>
          <w:color w:val="000000"/>
          <w:szCs w:val="21"/>
        </w:rPr>
        <w:t>有依法缴纳税收的良好记录等（</w:t>
      </w:r>
      <w:r>
        <w:rPr>
          <w:rFonts w:hint="eastAsia"/>
          <w:color w:val="000000"/>
        </w:rPr>
        <w:t>提供</w:t>
      </w:r>
      <w:r>
        <w:rPr>
          <w:color w:val="000000"/>
        </w:rPr>
        <w:t>依法缴纳税收的相关材料</w:t>
      </w:r>
      <w:r>
        <w:rPr>
          <w:rFonts w:hint="eastAsia" w:ascii="宋体" w:hAnsi="宋体"/>
          <w:color w:val="000000"/>
        </w:rPr>
        <w:t>，并加盖公章</w:t>
      </w:r>
      <w:r>
        <w:rPr>
          <w:rFonts w:hint="eastAsia" w:ascii="宋体" w:hAnsi="宋体"/>
          <w:color w:val="000000"/>
          <w:szCs w:val="21"/>
        </w:rPr>
        <w:t>）</w:t>
      </w:r>
    </w:p>
    <w:p w14:paraId="56754B58">
      <w:pPr>
        <w:spacing w:line="440" w:lineRule="exact"/>
        <w:ind w:firstLine="420" w:firstLineChars="200"/>
        <w:rPr>
          <w:rFonts w:ascii="宋体" w:hAnsi="宋体"/>
          <w:color w:val="000000"/>
        </w:rPr>
      </w:pPr>
    </w:p>
    <w:p w14:paraId="0CF844D4">
      <w:pPr>
        <w:spacing w:line="440" w:lineRule="exact"/>
        <w:ind w:firstLine="420" w:firstLineChars="200"/>
        <w:rPr>
          <w:rFonts w:ascii="宋体" w:hAnsi="宋体"/>
          <w:color w:val="000000"/>
        </w:rPr>
      </w:pPr>
    </w:p>
    <w:p w14:paraId="76B69006">
      <w:pPr>
        <w:spacing w:line="440" w:lineRule="exact"/>
        <w:ind w:firstLine="420" w:firstLineChars="200"/>
        <w:rPr>
          <w:rFonts w:ascii="宋体" w:hAnsi="宋体"/>
          <w:color w:val="000000"/>
        </w:rPr>
      </w:pPr>
    </w:p>
    <w:p w14:paraId="69951DA5">
      <w:pPr>
        <w:spacing w:line="440" w:lineRule="exact"/>
        <w:ind w:firstLine="420" w:firstLineChars="200"/>
        <w:rPr>
          <w:rFonts w:ascii="宋体" w:hAnsi="宋体"/>
          <w:color w:val="000000"/>
        </w:rPr>
      </w:pPr>
    </w:p>
    <w:p w14:paraId="52F43D65">
      <w:pPr>
        <w:spacing w:line="440" w:lineRule="exact"/>
        <w:ind w:firstLine="420" w:firstLineChars="200"/>
        <w:rPr>
          <w:rFonts w:ascii="宋体" w:hAnsi="宋体"/>
          <w:color w:val="000000"/>
        </w:rPr>
      </w:pPr>
      <w:r>
        <w:rPr>
          <w:rFonts w:hint="eastAsia" w:ascii="宋体" w:hAnsi="宋体"/>
          <w:color w:val="000000"/>
        </w:rPr>
        <w:t>3.投标人不得为“信用中国”网站（www.creditchina.gov.cn）中列入失信被执行人和</w:t>
      </w:r>
      <w:r>
        <w:rPr>
          <w:rFonts w:hint="eastAsia" w:ascii="宋体" w:hAnsi="宋体" w:cs="宋体"/>
          <w:color w:val="000000"/>
        </w:rPr>
        <w:t>“重大税收违法失信主体”</w:t>
      </w:r>
      <w:r>
        <w:rPr>
          <w:rFonts w:hint="eastAsia" w:ascii="宋体" w:hAnsi="宋体"/>
          <w:color w:val="000000"/>
        </w:rPr>
        <w:t>的供应商（提供“信用中国”的截图，并加盖公章）；</w:t>
      </w:r>
    </w:p>
    <w:p w14:paraId="67A5FA87">
      <w:pPr>
        <w:spacing w:line="440" w:lineRule="exact"/>
        <w:ind w:firstLine="420" w:firstLineChars="200"/>
        <w:rPr>
          <w:rFonts w:ascii="宋体" w:hAnsi="宋体"/>
          <w:color w:val="000000"/>
        </w:rPr>
      </w:pPr>
    </w:p>
    <w:p w14:paraId="6A716FC0">
      <w:pPr>
        <w:spacing w:line="440" w:lineRule="exact"/>
        <w:ind w:firstLine="420" w:firstLineChars="200"/>
        <w:rPr>
          <w:rFonts w:ascii="宋体" w:hAnsi="宋体"/>
          <w:color w:val="000000"/>
        </w:rPr>
      </w:pPr>
    </w:p>
    <w:p w14:paraId="7B970FA9">
      <w:pPr>
        <w:spacing w:line="440" w:lineRule="exact"/>
        <w:rPr>
          <w:rFonts w:ascii="宋体" w:hAnsi="宋体"/>
          <w:color w:val="000000"/>
        </w:rPr>
      </w:pPr>
    </w:p>
    <w:p w14:paraId="28DBD346">
      <w:pPr>
        <w:spacing w:line="440" w:lineRule="exact"/>
        <w:ind w:firstLine="420" w:firstLineChars="200"/>
        <w:rPr>
          <w:rFonts w:ascii="宋体" w:hAnsi="宋体"/>
          <w:color w:val="000000"/>
        </w:rPr>
      </w:pPr>
    </w:p>
    <w:p w14:paraId="72C85AAB">
      <w:pPr>
        <w:spacing w:line="440" w:lineRule="exact"/>
        <w:ind w:firstLine="420" w:firstLineChars="200"/>
        <w:rPr>
          <w:rFonts w:ascii="宋体" w:hAnsi="宋体"/>
          <w:color w:val="000000"/>
        </w:rPr>
      </w:pPr>
    </w:p>
    <w:p w14:paraId="5EE7251B">
      <w:pPr>
        <w:spacing w:line="440" w:lineRule="exact"/>
        <w:ind w:firstLine="420" w:firstLineChars="200"/>
        <w:rPr>
          <w:rFonts w:ascii="宋体" w:hAnsi="宋体"/>
          <w:color w:val="000000"/>
        </w:rPr>
      </w:pPr>
      <w:r>
        <w:rPr>
          <w:rFonts w:hint="eastAsia" w:ascii="宋体" w:hAnsi="宋体"/>
          <w:color w:val="000000"/>
        </w:rPr>
        <w:t>4.落实政府采购政策需满足的资格要求（按照采购公告的要求提供）；</w:t>
      </w:r>
    </w:p>
    <w:p w14:paraId="3CA5565B">
      <w:pPr>
        <w:spacing w:line="440" w:lineRule="exact"/>
        <w:ind w:firstLine="420" w:firstLineChars="200"/>
        <w:rPr>
          <w:rFonts w:ascii="宋体" w:hAnsi="宋体"/>
          <w:color w:val="000000"/>
        </w:rPr>
      </w:pPr>
    </w:p>
    <w:p w14:paraId="70800B85">
      <w:pPr>
        <w:spacing w:line="440" w:lineRule="exact"/>
        <w:ind w:firstLine="420" w:firstLineChars="200"/>
        <w:rPr>
          <w:rFonts w:ascii="宋体" w:hAnsi="宋体"/>
          <w:color w:val="000000"/>
        </w:rPr>
      </w:pPr>
    </w:p>
    <w:p w14:paraId="0808FE17">
      <w:pPr>
        <w:spacing w:line="440" w:lineRule="exact"/>
        <w:rPr>
          <w:rFonts w:ascii="宋体" w:hAnsi="宋体"/>
          <w:color w:val="000000"/>
        </w:rPr>
      </w:pPr>
    </w:p>
    <w:p w14:paraId="6F9E6871">
      <w:pPr>
        <w:spacing w:line="440" w:lineRule="exact"/>
        <w:ind w:firstLine="420" w:firstLineChars="200"/>
        <w:rPr>
          <w:rFonts w:ascii="宋体" w:hAnsi="宋体"/>
          <w:color w:val="000000"/>
        </w:rPr>
      </w:pPr>
    </w:p>
    <w:p w14:paraId="475121C1">
      <w:pPr>
        <w:spacing w:line="440" w:lineRule="exact"/>
        <w:ind w:firstLine="420" w:firstLineChars="200"/>
        <w:rPr>
          <w:rFonts w:ascii="宋体" w:hAnsi="宋体"/>
          <w:color w:val="000000"/>
        </w:rPr>
      </w:pPr>
    </w:p>
    <w:p w14:paraId="3DCF2A7A">
      <w:pPr>
        <w:spacing w:line="440" w:lineRule="exact"/>
        <w:ind w:firstLine="420" w:firstLineChars="200"/>
        <w:rPr>
          <w:rFonts w:ascii="宋体" w:hAnsi="宋体"/>
          <w:color w:val="000000"/>
        </w:rPr>
      </w:pPr>
      <w:r>
        <w:rPr>
          <w:rFonts w:hint="eastAsia" w:ascii="宋体" w:hAnsi="宋体"/>
          <w:color w:val="000000"/>
        </w:rPr>
        <w:t>5.本项目的特定资格要求（按照采购公告的要求提供）。</w:t>
      </w:r>
    </w:p>
    <w:p w14:paraId="3E3D5391">
      <w:pPr>
        <w:jc w:val="center"/>
        <w:rPr>
          <w:rFonts w:ascii="宋体" w:hAnsi="宋体"/>
          <w:b/>
          <w:color w:val="000000"/>
          <w:sz w:val="28"/>
          <w:szCs w:val="28"/>
        </w:rPr>
      </w:pPr>
    </w:p>
    <w:p w14:paraId="4F68216C">
      <w:pPr>
        <w:spacing w:line="360" w:lineRule="auto"/>
        <w:jc w:val="left"/>
        <w:rPr>
          <w:rFonts w:ascii="宋体" w:hAnsi="宋体"/>
          <w:b/>
          <w:color w:val="000000"/>
          <w:sz w:val="18"/>
          <w:szCs w:val="18"/>
        </w:rPr>
      </w:pPr>
    </w:p>
    <w:p w14:paraId="444F270B">
      <w:pPr>
        <w:pStyle w:val="8"/>
        <w:spacing w:line="360" w:lineRule="auto"/>
        <w:rPr>
          <w:rFonts w:hAnsi="宋体"/>
          <w:color w:val="000000"/>
          <w:sz w:val="18"/>
          <w:szCs w:val="18"/>
        </w:rPr>
      </w:pPr>
    </w:p>
    <w:p w14:paraId="07D82218"/>
    <w:p w14:paraId="7A65AD66"/>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0"/>
      </w:tblGrid>
      <w:tr w14:paraId="22A0C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9480" w:type="dxa"/>
          </w:tcPr>
          <w:p w14:paraId="7DB6A6D6">
            <w:pPr>
              <w:jc w:val="left"/>
              <w:rPr>
                <w:rFonts w:asciiTheme="minorEastAsia" w:hAnsiTheme="minorEastAsia" w:eastAsiaTheme="minorEastAsia" w:cstheme="minorEastAsia"/>
                <w:b/>
                <w:color w:val="000000"/>
                <w:szCs w:val="21"/>
                <w:highlight w:val="none"/>
              </w:rPr>
            </w:pPr>
            <w:r>
              <w:rPr>
                <w:rFonts w:hint="eastAsia" w:asciiTheme="minorEastAsia" w:hAnsiTheme="minorEastAsia" w:eastAsiaTheme="minorEastAsia" w:cstheme="minorEastAsia"/>
                <w:b/>
                <w:color w:val="000000"/>
                <w:szCs w:val="21"/>
                <w:highlight w:val="none"/>
              </w:rPr>
              <w:t>具有履行合同所必需的设备和专业技术能力的书面声明函（格式）</w:t>
            </w:r>
          </w:p>
          <w:p w14:paraId="3CA9AC5B">
            <w:pPr>
              <w:jc w:val="left"/>
              <w:rPr>
                <w:rFonts w:asciiTheme="minorEastAsia" w:hAnsiTheme="minorEastAsia" w:eastAsiaTheme="minorEastAsia" w:cstheme="minorEastAsia"/>
                <w:b/>
                <w:color w:val="000000"/>
                <w:szCs w:val="21"/>
                <w:highlight w:val="none"/>
              </w:rPr>
            </w:pPr>
            <w:r>
              <w:rPr>
                <w:rFonts w:hint="eastAsia" w:asciiTheme="minorEastAsia" w:hAnsiTheme="minorEastAsia" w:eastAsiaTheme="minorEastAsia" w:cstheme="minorEastAsia"/>
                <w:b/>
                <w:color w:val="000000"/>
                <w:szCs w:val="21"/>
                <w:highlight w:val="none"/>
              </w:rPr>
              <w:t>参加政府采购活动前三年内在经营活动中没有重大违法记录的书面声明函（格式）</w:t>
            </w:r>
          </w:p>
          <w:p w14:paraId="7E550ECE">
            <w:pPr>
              <w:jc w:val="left"/>
              <w:rPr>
                <w:rFonts w:asciiTheme="minorEastAsia" w:hAnsiTheme="minorEastAsia" w:eastAsiaTheme="minorEastAsia" w:cstheme="minorEastAsia"/>
                <w:b/>
                <w:color w:val="000000"/>
                <w:szCs w:val="21"/>
                <w:highlight w:val="none"/>
              </w:rPr>
            </w:pPr>
            <w:r>
              <w:rPr>
                <w:rFonts w:hint="eastAsia" w:asciiTheme="minorEastAsia" w:hAnsiTheme="minorEastAsia" w:eastAsiaTheme="minorEastAsia" w:cstheme="minorEastAsia"/>
                <w:b/>
                <w:color w:val="000000"/>
                <w:szCs w:val="21"/>
                <w:highlight w:val="none"/>
              </w:rPr>
              <w:t>具备法律、行政法规规定的其他条件的书面承诺函（格式）</w:t>
            </w:r>
          </w:p>
          <w:p w14:paraId="4D20409D">
            <w:pPr>
              <w:pStyle w:val="19"/>
              <w:ind w:left="0" w:leftChars="0"/>
              <w:jc w:val="left"/>
              <w:rPr>
                <w:rFonts w:asciiTheme="minorEastAsia" w:hAnsiTheme="minorEastAsia" w:eastAsiaTheme="minorEastAsia" w:cstheme="minorEastAsia"/>
                <w:b/>
                <w:color w:val="000000"/>
                <w:szCs w:val="21"/>
                <w:highlight w:val="none"/>
              </w:rPr>
            </w:pPr>
            <w:r>
              <w:rPr>
                <w:rFonts w:hint="eastAsia" w:asciiTheme="minorEastAsia" w:hAnsiTheme="minorEastAsia" w:eastAsiaTheme="minorEastAsia" w:cstheme="minorEastAsia"/>
                <w:b/>
                <w:color w:val="000000"/>
                <w:szCs w:val="21"/>
                <w:highlight w:val="none"/>
              </w:rPr>
              <w:t>关联单位说明（格式）</w:t>
            </w:r>
          </w:p>
          <w:p w14:paraId="496AF68F">
            <w:pPr>
              <w:pStyle w:val="19"/>
              <w:ind w:left="3360"/>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b/>
                <w:color w:val="000000"/>
                <w:szCs w:val="21"/>
                <w:highlight w:val="none"/>
              </w:rPr>
              <w:t>（注：★本表须为原件）</w:t>
            </w:r>
          </w:p>
        </w:tc>
      </w:tr>
      <w:tr w14:paraId="024AC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7" w:hRule="atLeast"/>
          <w:jc w:val="center"/>
        </w:trPr>
        <w:tc>
          <w:tcPr>
            <w:tcW w:w="9480" w:type="dxa"/>
          </w:tcPr>
          <w:p w14:paraId="63B0CC8F">
            <w:pPr>
              <w:spacing w:line="360" w:lineRule="auto"/>
              <w:jc w:val="left"/>
              <w:rPr>
                <w:rFonts w:asciiTheme="minorEastAsia" w:hAnsiTheme="minorEastAsia" w:eastAsiaTheme="minorEastAsia" w:cstheme="minorEastAsia"/>
                <w:bCs/>
                <w:color w:val="000000"/>
                <w:szCs w:val="21"/>
                <w:highlight w:val="none"/>
              </w:rPr>
            </w:pPr>
            <w:r>
              <w:rPr>
                <w:rFonts w:hint="eastAsia" w:asciiTheme="minorEastAsia" w:hAnsiTheme="minorEastAsia" w:eastAsiaTheme="minorEastAsia" w:cstheme="minorEastAsia"/>
                <w:bCs/>
                <w:color w:val="000000"/>
                <w:szCs w:val="21"/>
                <w:highlight w:val="none"/>
              </w:rPr>
              <w:t>我方郑重声明：</w:t>
            </w:r>
          </w:p>
          <w:p w14:paraId="441EC32C">
            <w:pPr>
              <w:spacing w:line="360" w:lineRule="auto"/>
              <w:ind w:firstLine="420" w:firstLineChars="200"/>
              <w:jc w:val="left"/>
              <w:rPr>
                <w:rFonts w:asciiTheme="minorEastAsia" w:hAnsiTheme="minorEastAsia" w:eastAsiaTheme="minorEastAsia" w:cstheme="minorEastAsia"/>
                <w:bCs/>
                <w:color w:val="000000"/>
                <w:szCs w:val="21"/>
                <w:highlight w:val="none"/>
              </w:rPr>
            </w:pPr>
            <w:r>
              <w:rPr>
                <w:rFonts w:hint="eastAsia" w:asciiTheme="minorEastAsia" w:hAnsiTheme="minorEastAsia" w:eastAsiaTheme="minorEastAsia" w:cstheme="minorEastAsia"/>
                <w:bCs/>
                <w:color w:val="000000"/>
                <w:szCs w:val="21"/>
                <w:highlight w:val="none"/>
              </w:rPr>
              <w:t>1、我方具备履行本项采购合同所必需的设备和专业技术能力，为履行本项采购合同我公司具备如下主要设备和主要专业技术能力：主要设备有：</w:t>
            </w:r>
            <w:r>
              <w:rPr>
                <w:rFonts w:hint="eastAsia" w:asciiTheme="minorEastAsia" w:hAnsiTheme="minorEastAsia" w:eastAsiaTheme="minorEastAsia" w:cstheme="minorEastAsia"/>
                <w:bCs/>
                <w:color w:val="000000"/>
                <w:szCs w:val="21"/>
                <w:highlight w:val="none"/>
                <w:u w:val="single"/>
              </w:rPr>
              <w:t xml:space="preserve">               </w:t>
            </w:r>
            <w:r>
              <w:rPr>
                <w:rFonts w:hint="eastAsia" w:asciiTheme="minorEastAsia" w:hAnsiTheme="minorEastAsia" w:eastAsiaTheme="minorEastAsia" w:cstheme="minorEastAsia"/>
                <w:bCs/>
                <w:i/>
                <w:color w:val="000000"/>
                <w:szCs w:val="21"/>
                <w:highlight w:val="none"/>
                <w:u w:val="single"/>
              </w:rPr>
              <w:t>（一个即可）</w:t>
            </w:r>
            <w:r>
              <w:rPr>
                <w:rFonts w:hint="eastAsia" w:asciiTheme="minorEastAsia" w:hAnsiTheme="minorEastAsia" w:eastAsiaTheme="minorEastAsia" w:cstheme="minorEastAsia"/>
                <w:bCs/>
                <w:color w:val="000000"/>
                <w:szCs w:val="21"/>
                <w:highlight w:val="none"/>
              </w:rPr>
              <w:t>；</w:t>
            </w:r>
          </w:p>
          <w:p w14:paraId="6019117E">
            <w:pPr>
              <w:spacing w:line="360" w:lineRule="auto"/>
              <w:jc w:val="left"/>
              <w:rPr>
                <w:rFonts w:asciiTheme="minorEastAsia" w:hAnsiTheme="minorEastAsia" w:eastAsiaTheme="minorEastAsia" w:cstheme="minorEastAsia"/>
                <w:bCs/>
                <w:color w:val="000000"/>
                <w:szCs w:val="21"/>
                <w:highlight w:val="none"/>
              </w:rPr>
            </w:pPr>
            <w:r>
              <w:rPr>
                <w:rFonts w:hint="eastAsia" w:asciiTheme="minorEastAsia" w:hAnsiTheme="minorEastAsia" w:eastAsiaTheme="minorEastAsia" w:cstheme="minorEastAsia"/>
                <w:bCs/>
                <w:color w:val="000000"/>
                <w:szCs w:val="21"/>
                <w:highlight w:val="none"/>
              </w:rPr>
              <w:t>主要专业技术能力有：</w:t>
            </w:r>
            <w:r>
              <w:rPr>
                <w:rFonts w:hint="eastAsia" w:asciiTheme="minorEastAsia" w:hAnsiTheme="minorEastAsia" w:eastAsiaTheme="minorEastAsia" w:cstheme="minorEastAsia"/>
                <w:bCs/>
                <w:color w:val="000000"/>
                <w:szCs w:val="21"/>
                <w:highlight w:val="none"/>
                <w:u w:val="single"/>
              </w:rPr>
              <w:t xml:space="preserve">          </w:t>
            </w:r>
            <w:r>
              <w:rPr>
                <w:rFonts w:hint="eastAsia" w:asciiTheme="minorEastAsia" w:hAnsiTheme="minorEastAsia" w:eastAsiaTheme="minorEastAsia" w:cstheme="minorEastAsia"/>
                <w:bCs/>
                <w:i/>
                <w:color w:val="000000"/>
                <w:szCs w:val="21"/>
                <w:highlight w:val="none"/>
                <w:u w:val="single"/>
              </w:rPr>
              <w:t>（一项即可）</w:t>
            </w:r>
            <w:r>
              <w:rPr>
                <w:rFonts w:hint="eastAsia" w:asciiTheme="minorEastAsia" w:hAnsiTheme="minorEastAsia" w:eastAsiaTheme="minorEastAsia" w:cstheme="minorEastAsia"/>
                <w:bCs/>
                <w:color w:val="000000"/>
                <w:szCs w:val="21"/>
                <w:highlight w:val="none"/>
              </w:rPr>
              <w:t>；</w:t>
            </w:r>
          </w:p>
          <w:p w14:paraId="565E22CA">
            <w:pPr>
              <w:spacing w:line="360" w:lineRule="auto"/>
              <w:ind w:firstLine="420" w:firstLineChars="200"/>
              <w:jc w:val="left"/>
              <w:rPr>
                <w:rFonts w:asciiTheme="minorEastAsia" w:hAnsiTheme="minorEastAsia" w:eastAsiaTheme="minorEastAsia" w:cstheme="minorEastAsia"/>
                <w:bCs/>
                <w:color w:val="000000"/>
                <w:szCs w:val="21"/>
                <w:highlight w:val="none"/>
              </w:rPr>
            </w:pPr>
            <w:r>
              <w:rPr>
                <w:rFonts w:hint="eastAsia" w:asciiTheme="minorEastAsia" w:hAnsiTheme="minorEastAsia" w:eastAsiaTheme="minorEastAsia" w:cstheme="minorEastAsia"/>
                <w:bCs/>
                <w:color w:val="000000"/>
                <w:szCs w:val="21"/>
                <w:highlight w:val="none"/>
              </w:rPr>
              <w:t>2、我方参加本次政府采购活动前3年内，我方在经营活动中没有因违法经营受到刑事处罚或者责令停产停业、吊销许可证或者执照、较大数额罚款等行政处罚；</w:t>
            </w:r>
          </w:p>
          <w:p w14:paraId="215D3C1C">
            <w:pPr>
              <w:spacing w:line="360" w:lineRule="auto"/>
              <w:ind w:firstLine="420" w:firstLineChars="200"/>
              <w:jc w:val="left"/>
              <w:rPr>
                <w:rFonts w:asciiTheme="minorEastAsia" w:hAnsiTheme="minorEastAsia" w:eastAsiaTheme="minorEastAsia" w:cstheme="minorEastAsia"/>
                <w:bCs/>
                <w:color w:val="000000"/>
                <w:szCs w:val="21"/>
                <w:highlight w:val="none"/>
              </w:rPr>
            </w:pPr>
            <w:r>
              <w:rPr>
                <w:rFonts w:hint="eastAsia" w:asciiTheme="minorEastAsia" w:hAnsiTheme="minorEastAsia" w:eastAsiaTheme="minorEastAsia" w:cstheme="minorEastAsia"/>
                <w:bCs/>
                <w:color w:val="000000"/>
                <w:szCs w:val="21"/>
                <w:highlight w:val="none"/>
              </w:rPr>
              <w:t>3、我方具有合法从事本次采购内容的经营资格（含</w:t>
            </w:r>
            <w:r>
              <w:rPr>
                <w:rFonts w:hint="eastAsia" w:asciiTheme="minorEastAsia" w:hAnsiTheme="minorEastAsia" w:eastAsiaTheme="minorEastAsia" w:cstheme="minorEastAsia"/>
                <w:color w:val="000000"/>
                <w:kern w:val="0"/>
                <w:szCs w:val="21"/>
                <w:highlight w:val="none"/>
              </w:rPr>
              <w:t>准入性资质</w:t>
            </w:r>
            <w:r>
              <w:rPr>
                <w:rFonts w:hint="eastAsia" w:asciiTheme="minorEastAsia" w:hAnsiTheme="minorEastAsia" w:eastAsiaTheme="minorEastAsia" w:cstheme="minorEastAsia"/>
                <w:bCs/>
                <w:color w:val="000000"/>
                <w:szCs w:val="21"/>
                <w:highlight w:val="none"/>
              </w:rPr>
              <w:t>等行政许可）以及</w:t>
            </w:r>
            <w:r>
              <w:rPr>
                <w:rFonts w:hint="eastAsia" w:asciiTheme="minorEastAsia" w:hAnsiTheme="minorEastAsia" w:eastAsiaTheme="minorEastAsia" w:cstheme="minorEastAsia"/>
                <w:color w:val="000000"/>
                <w:szCs w:val="21"/>
                <w:highlight w:val="none"/>
              </w:rPr>
              <w:t>具备法律、行政法规规定的其他条件</w:t>
            </w:r>
            <w:r>
              <w:rPr>
                <w:rFonts w:hint="eastAsia" w:asciiTheme="minorEastAsia" w:hAnsiTheme="minorEastAsia" w:eastAsiaTheme="minorEastAsia" w:cstheme="minorEastAsia"/>
                <w:bCs/>
                <w:color w:val="000000"/>
                <w:szCs w:val="21"/>
                <w:highlight w:val="none"/>
              </w:rPr>
              <w:t>；</w:t>
            </w:r>
          </w:p>
          <w:p w14:paraId="29082A13">
            <w:pPr>
              <w:spacing w:line="360" w:lineRule="auto"/>
              <w:ind w:firstLine="420" w:firstLineChars="200"/>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Cs/>
                <w:color w:val="000000"/>
                <w:szCs w:val="21"/>
                <w:highlight w:val="none"/>
              </w:rPr>
              <w:t>4、</w:t>
            </w:r>
            <w:r>
              <w:rPr>
                <w:rFonts w:hint="eastAsia" w:asciiTheme="minorEastAsia" w:hAnsiTheme="minorEastAsia" w:eastAsiaTheme="minorEastAsia" w:cstheme="minorEastAsia"/>
                <w:bCs/>
                <w:szCs w:val="21"/>
                <w:highlight w:val="none"/>
              </w:rPr>
              <w:t>关联单位说明：</w:t>
            </w:r>
          </w:p>
          <w:p w14:paraId="22E44988">
            <w:pPr>
              <w:spacing w:line="360" w:lineRule="auto"/>
              <w:ind w:firstLine="420" w:firstLineChars="20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Cs/>
                <w:szCs w:val="21"/>
                <w:highlight w:val="none"/>
              </w:rPr>
              <w:t>我单位没有关联单位或我单位相关关联单位未参加本项目。特此说明。</w:t>
            </w:r>
            <w:r>
              <w:rPr>
                <w:rFonts w:hint="eastAsia" w:asciiTheme="minorEastAsia" w:hAnsiTheme="minorEastAsia" w:eastAsiaTheme="minorEastAsia" w:cstheme="minorEastAsia"/>
                <w:szCs w:val="21"/>
                <w:highlight w:val="none"/>
              </w:rPr>
              <w:t xml:space="preserve">        </w:t>
            </w:r>
          </w:p>
          <w:p w14:paraId="543CB44D">
            <w:pPr>
              <w:spacing w:line="360" w:lineRule="auto"/>
              <w:ind w:firstLine="420" w:firstLineChars="200"/>
              <w:jc w:val="left"/>
              <w:rPr>
                <w:rFonts w:asciiTheme="minorEastAsia" w:hAnsiTheme="minorEastAsia" w:eastAsiaTheme="minorEastAsia" w:cstheme="minorEastAsia"/>
                <w:bCs/>
                <w:color w:val="000000"/>
                <w:szCs w:val="21"/>
                <w:highlight w:val="none"/>
              </w:rPr>
            </w:pPr>
          </w:p>
          <w:p w14:paraId="2D24AC68">
            <w:pPr>
              <w:spacing w:line="360" w:lineRule="auto"/>
              <w:ind w:firstLine="420" w:firstLineChars="200"/>
              <w:jc w:val="left"/>
              <w:rPr>
                <w:rFonts w:asciiTheme="minorEastAsia" w:hAnsiTheme="minorEastAsia" w:eastAsiaTheme="minorEastAsia" w:cstheme="minorEastAsia"/>
                <w:bCs/>
                <w:color w:val="000000"/>
                <w:szCs w:val="21"/>
                <w:highlight w:val="none"/>
              </w:rPr>
            </w:pPr>
            <w:r>
              <w:rPr>
                <w:rFonts w:hint="eastAsia" w:asciiTheme="minorEastAsia" w:hAnsiTheme="minorEastAsia" w:eastAsiaTheme="minorEastAsia" w:cstheme="minorEastAsia"/>
                <w:bCs/>
                <w:color w:val="000000"/>
                <w:szCs w:val="21"/>
                <w:highlight w:val="none"/>
              </w:rPr>
              <w:t>供应商（盖公章）：</w:t>
            </w:r>
            <w:r>
              <w:rPr>
                <w:rFonts w:hint="eastAsia" w:asciiTheme="minorEastAsia" w:hAnsiTheme="minorEastAsia" w:eastAsiaTheme="minorEastAsia" w:cstheme="minorEastAsia"/>
                <w:bCs/>
                <w:color w:val="000000"/>
                <w:szCs w:val="21"/>
                <w:highlight w:val="none"/>
                <w:u w:val="single"/>
              </w:rPr>
              <w:t xml:space="preserve">    </w:t>
            </w:r>
            <w:r>
              <w:rPr>
                <w:rFonts w:hint="eastAsia" w:asciiTheme="minorEastAsia" w:hAnsiTheme="minorEastAsia" w:eastAsiaTheme="minorEastAsia" w:cstheme="minorEastAsia"/>
                <w:bCs/>
                <w:i/>
                <w:color w:val="000000"/>
                <w:szCs w:val="21"/>
                <w:highlight w:val="none"/>
                <w:u w:val="single"/>
              </w:rPr>
              <w:t>供应商名称</w:t>
            </w:r>
            <w:r>
              <w:rPr>
                <w:rFonts w:hint="eastAsia" w:asciiTheme="minorEastAsia" w:hAnsiTheme="minorEastAsia" w:eastAsiaTheme="minorEastAsia" w:cstheme="minorEastAsia"/>
                <w:bCs/>
                <w:color w:val="000000"/>
                <w:szCs w:val="21"/>
                <w:highlight w:val="none"/>
                <w:u w:val="single"/>
              </w:rPr>
              <w:t xml:space="preserve">                 </w:t>
            </w:r>
          </w:p>
          <w:p w14:paraId="7894D4BF">
            <w:pPr>
              <w:spacing w:line="360" w:lineRule="auto"/>
              <w:ind w:firstLine="420" w:firstLineChars="200"/>
              <w:jc w:val="left"/>
              <w:rPr>
                <w:rFonts w:asciiTheme="minorEastAsia" w:hAnsiTheme="minorEastAsia" w:eastAsiaTheme="minorEastAsia" w:cstheme="minorEastAsia"/>
                <w:bCs/>
                <w:color w:val="000000"/>
                <w:szCs w:val="21"/>
                <w:highlight w:val="none"/>
              </w:rPr>
            </w:pPr>
            <w:r>
              <w:rPr>
                <w:rFonts w:hint="eastAsia" w:asciiTheme="minorEastAsia" w:hAnsiTheme="minorEastAsia" w:eastAsiaTheme="minorEastAsia" w:cstheme="minorEastAsia"/>
                <w:color w:val="000000"/>
                <w:szCs w:val="21"/>
                <w:highlight w:val="none"/>
              </w:rPr>
              <w:t>法定代表人或其委托代理人（</w:t>
            </w:r>
            <w:r>
              <w:rPr>
                <w:rFonts w:hint="eastAsia" w:asciiTheme="minorEastAsia" w:hAnsiTheme="minorEastAsia" w:eastAsiaTheme="minorEastAsia" w:cstheme="minorEastAsia"/>
                <w:bCs/>
                <w:color w:val="000000"/>
                <w:szCs w:val="21"/>
                <w:highlight w:val="none"/>
              </w:rPr>
              <w:t>签字或盖章）：</w:t>
            </w:r>
            <w:r>
              <w:rPr>
                <w:rFonts w:hint="eastAsia" w:asciiTheme="minorEastAsia" w:hAnsiTheme="minorEastAsia" w:eastAsiaTheme="minorEastAsia" w:cstheme="minorEastAsia"/>
                <w:bCs/>
                <w:color w:val="000000"/>
                <w:szCs w:val="21"/>
                <w:highlight w:val="none"/>
                <w:u w:val="single"/>
              </w:rPr>
              <w:t xml:space="preserve">         </w:t>
            </w:r>
          </w:p>
          <w:p w14:paraId="1BE54C3E">
            <w:pPr>
              <w:spacing w:line="360" w:lineRule="auto"/>
              <w:ind w:firstLine="420" w:firstLineChars="20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Cs/>
                <w:color w:val="000000"/>
                <w:szCs w:val="21"/>
                <w:highlight w:val="none"/>
                <w:u w:val="single"/>
              </w:rPr>
              <w:t>日期：         年    月    日</w:t>
            </w:r>
          </w:p>
        </w:tc>
      </w:tr>
      <w:tr w14:paraId="492A6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480" w:type="dxa"/>
          </w:tcPr>
          <w:p w14:paraId="79C1EA6D">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b/>
                <w:color w:val="000000"/>
                <w:szCs w:val="21"/>
              </w:rPr>
              <w:t>说明： 供应商须按本表格式制作，并在正本中提供原件，否按无效处理。</w:t>
            </w:r>
          </w:p>
        </w:tc>
      </w:tr>
    </w:tbl>
    <w:p w14:paraId="17E662BC">
      <w:pPr>
        <w:pStyle w:val="8"/>
        <w:rPr>
          <w:color w:val="000000"/>
        </w:rPr>
      </w:pPr>
    </w:p>
    <w:p w14:paraId="64813C24">
      <w:pPr>
        <w:pStyle w:val="8"/>
        <w:rPr>
          <w:color w:val="000000"/>
        </w:rPr>
      </w:pPr>
    </w:p>
    <w:p w14:paraId="2DF7BE23">
      <w:pPr>
        <w:pStyle w:val="8"/>
        <w:rPr>
          <w:color w:val="000000"/>
        </w:rPr>
      </w:pPr>
    </w:p>
    <w:p w14:paraId="5047F721">
      <w:pPr>
        <w:pStyle w:val="8"/>
        <w:rPr>
          <w:color w:val="000000"/>
        </w:rPr>
      </w:pPr>
    </w:p>
    <w:p w14:paraId="4C4DCCBA">
      <w:pPr>
        <w:pStyle w:val="8"/>
        <w:rPr>
          <w:color w:val="000000"/>
        </w:rPr>
      </w:pPr>
    </w:p>
    <w:p w14:paraId="4FE6B38A"/>
    <w:p w14:paraId="5BD206FC">
      <w:pPr>
        <w:pStyle w:val="36"/>
      </w:pPr>
    </w:p>
    <w:p w14:paraId="7A25EA3D">
      <w:pPr>
        <w:rPr>
          <w:color w:val="000000"/>
        </w:rPr>
      </w:pPr>
    </w:p>
    <w:p w14:paraId="711A9F12">
      <w:pPr>
        <w:rPr>
          <w:color w:val="000000"/>
        </w:rPr>
      </w:pPr>
    </w:p>
    <w:p w14:paraId="68E35235">
      <w:pPr>
        <w:pStyle w:val="19"/>
        <w:ind w:left="3360"/>
        <w:rPr>
          <w:color w:val="000000"/>
        </w:rPr>
      </w:pPr>
    </w:p>
    <w:p w14:paraId="341EA9F6">
      <w:pPr>
        <w:rPr>
          <w:color w:val="000000"/>
        </w:rPr>
      </w:pPr>
    </w:p>
    <w:p w14:paraId="73056C22">
      <w:pPr>
        <w:spacing w:line="552" w:lineRule="auto"/>
        <w:jc w:val="center"/>
        <w:outlineLvl w:val="1"/>
        <w:rPr>
          <w:rFonts w:ascii="宋体" w:hAnsi="宋体" w:cs="宋体"/>
          <w:b/>
          <w:bCs/>
          <w:color w:val="000000"/>
          <w:sz w:val="28"/>
          <w:szCs w:val="28"/>
        </w:rPr>
      </w:pPr>
      <w:bookmarkStart w:id="475" w:name="_Toc184029951"/>
      <w:r>
        <w:rPr>
          <w:rFonts w:ascii="宋体" w:hAnsi="宋体" w:cs="宋体"/>
          <w:b/>
          <w:bCs/>
          <w:color w:val="000000"/>
          <w:sz w:val="28"/>
          <w:szCs w:val="28"/>
        </w:rPr>
        <w:t>三、法定代表人授权委托书(格式）</w:t>
      </w:r>
      <w:bookmarkEnd w:id="475"/>
    </w:p>
    <w:p w14:paraId="1D177FC8">
      <w:pPr>
        <w:pStyle w:val="4"/>
        <w:spacing w:line="600" w:lineRule="exact"/>
        <w:ind w:firstLine="422"/>
        <w:jc w:val="center"/>
        <w:rPr>
          <w:rFonts w:ascii="宋体" w:hAnsi="宋体" w:cs="宋体"/>
          <w:b/>
          <w:color w:val="000000"/>
        </w:rPr>
      </w:pPr>
    </w:p>
    <w:p w14:paraId="0BD31751">
      <w:pPr>
        <w:spacing w:line="600" w:lineRule="exact"/>
        <w:ind w:firstLine="420" w:firstLineChars="200"/>
        <w:rPr>
          <w:rFonts w:ascii="宋体" w:hAnsi="宋体" w:cs="宋体"/>
          <w:color w:val="000000"/>
          <w:szCs w:val="21"/>
        </w:rPr>
      </w:pPr>
      <w:r>
        <w:rPr>
          <w:rFonts w:hint="eastAsia" w:ascii="宋体" w:hAnsi="宋体" w:cs="宋体"/>
          <w:color w:val="000000"/>
          <w:szCs w:val="21"/>
        </w:rPr>
        <w:t>本授权书声明：注册于</w:t>
      </w:r>
      <w:r>
        <w:rPr>
          <w:rFonts w:hint="eastAsia" w:ascii="宋体" w:hAnsi="宋体" w:cs="宋体"/>
          <w:color w:val="000000"/>
          <w:szCs w:val="21"/>
          <w:u w:val="single"/>
        </w:rPr>
        <w:t xml:space="preserve">   </w:t>
      </w:r>
      <w:r>
        <w:rPr>
          <w:rFonts w:hint="eastAsia" w:ascii="宋体" w:hAnsi="宋体" w:cs="宋体"/>
          <w:b/>
          <w:i/>
          <w:color w:val="000000"/>
          <w:szCs w:val="21"/>
          <w:u w:val="single"/>
        </w:rPr>
        <w:t xml:space="preserve">           （地区的名称。例：江苏盐城）</w:t>
      </w:r>
      <w:r>
        <w:rPr>
          <w:rFonts w:hint="eastAsia" w:ascii="宋体" w:hAnsi="宋体" w:cs="宋体"/>
          <w:color w:val="000000"/>
          <w:szCs w:val="21"/>
        </w:rPr>
        <w:t>的</w:t>
      </w:r>
      <w:r>
        <w:rPr>
          <w:rFonts w:hint="eastAsia" w:ascii="宋体" w:hAnsi="宋体" w:cs="宋体"/>
          <w:color w:val="000000"/>
          <w:szCs w:val="21"/>
          <w:u w:val="single"/>
        </w:rPr>
        <w:t xml:space="preserve">   </w:t>
      </w:r>
      <w:r>
        <w:rPr>
          <w:rFonts w:hint="eastAsia" w:ascii="宋体" w:hAnsi="宋体" w:cs="宋体"/>
          <w:b/>
          <w:i/>
          <w:color w:val="000000"/>
          <w:szCs w:val="21"/>
          <w:u w:val="single"/>
        </w:rPr>
        <w:t xml:space="preserve">           （供应商）</w:t>
      </w:r>
      <w:r>
        <w:rPr>
          <w:rFonts w:hint="eastAsia" w:ascii="宋体" w:hAnsi="宋体" w:cs="宋体"/>
          <w:color w:val="000000"/>
          <w:szCs w:val="21"/>
        </w:rPr>
        <w:t>的在下面签字的</w:t>
      </w:r>
      <w:r>
        <w:rPr>
          <w:rFonts w:hint="eastAsia" w:ascii="宋体" w:hAnsi="宋体" w:cs="宋体"/>
          <w:color w:val="000000"/>
          <w:szCs w:val="21"/>
          <w:u w:val="single"/>
        </w:rPr>
        <w:t xml:space="preserve">   </w:t>
      </w:r>
      <w:r>
        <w:rPr>
          <w:rFonts w:hint="eastAsia" w:ascii="宋体" w:hAnsi="宋体" w:cs="宋体"/>
          <w:b/>
          <w:i/>
          <w:color w:val="000000"/>
          <w:szCs w:val="21"/>
          <w:u w:val="single"/>
        </w:rPr>
        <w:t xml:space="preserve">         （法人代表姓名、职务）</w:t>
      </w:r>
      <w:r>
        <w:rPr>
          <w:rFonts w:hint="eastAsia" w:ascii="宋体" w:hAnsi="宋体" w:cs="宋体"/>
          <w:color w:val="000000"/>
          <w:szCs w:val="21"/>
        </w:rPr>
        <w:t>代表我单位授权</w:t>
      </w:r>
      <w:r>
        <w:rPr>
          <w:rFonts w:hint="eastAsia" w:ascii="宋体" w:hAnsi="宋体" w:cs="宋体"/>
          <w:color w:val="000000"/>
          <w:szCs w:val="21"/>
          <w:u w:val="single"/>
        </w:rPr>
        <w:t xml:space="preserve">   </w:t>
      </w:r>
      <w:r>
        <w:rPr>
          <w:rFonts w:hint="eastAsia" w:ascii="宋体" w:hAnsi="宋体" w:cs="宋体"/>
          <w:b/>
          <w:i/>
          <w:color w:val="000000"/>
          <w:szCs w:val="21"/>
          <w:u w:val="single"/>
        </w:rPr>
        <w:t xml:space="preserve">                   （单位名称）</w:t>
      </w:r>
      <w:r>
        <w:rPr>
          <w:rFonts w:hint="eastAsia" w:ascii="宋体" w:hAnsi="宋体" w:cs="宋体"/>
          <w:color w:val="000000"/>
          <w:szCs w:val="21"/>
        </w:rPr>
        <w:t>的在下面签字的</w:t>
      </w:r>
      <w:r>
        <w:rPr>
          <w:rFonts w:hint="eastAsia" w:ascii="宋体" w:hAnsi="宋体" w:cs="宋体"/>
          <w:color w:val="000000"/>
          <w:szCs w:val="21"/>
          <w:u w:val="single"/>
        </w:rPr>
        <w:t xml:space="preserve">   </w:t>
      </w:r>
      <w:r>
        <w:rPr>
          <w:rFonts w:hint="eastAsia" w:ascii="宋体" w:hAnsi="宋体" w:cs="宋体"/>
          <w:b/>
          <w:i/>
          <w:color w:val="000000"/>
          <w:szCs w:val="21"/>
          <w:u w:val="single"/>
        </w:rPr>
        <w:t xml:space="preserve">                （被授权人的姓名、职务）</w:t>
      </w:r>
      <w:r>
        <w:rPr>
          <w:rFonts w:hint="eastAsia" w:ascii="宋体" w:hAnsi="宋体" w:cs="宋体"/>
          <w:color w:val="000000"/>
          <w:szCs w:val="21"/>
        </w:rPr>
        <w:t>为我单位的合法代理人</w:t>
      </w:r>
      <w:r>
        <w:rPr>
          <w:rFonts w:hint="eastAsia" w:ascii="宋体" w:hAnsi="宋体"/>
          <w:color w:val="000000"/>
          <w:szCs w:val="21"/>
        </w:rPr>
        <w:t>（授权代表）</w:t>
      </w:r>
      <w:r>
        <w:rPr>
          <w:rFonts w:hint="eastAsia" w:ascii="宋体" w:hAnsi="宋体" w:cs="宋体"/>
          <w:color w:val="000000"/>
          <w:szCs w:val="21"/>
        </w:rPr>
        <w:t>，就</w:t>
      </w:r>
      <w:r>
        <w:rPr>
          <w:rFonts w:hint="eastAsia" w:ascii="宋体" w:hAnsi="宋体" w:cs="宋体"/>
          <w:color w:val="000000"/>
          <w:szCs w:val="21"/>
          <w:u w:val="single"/>
        </w:rPr>
        <w:t xml:space="preserve">   </w:t>
      </w:r>
      <w:r>
        <w:rPr>
          <w:rFonts w:hint="eastAsia" w:ascii="宋体" w:hAnsi="宋体" w:cs="宋体"/>
          <w:b/>
          <w:i/>
          <w:color w:val="000000"/>
          <w:szCs w:val="21"/>
          <w:u w:val="single"/>
        </w:rPr>
        <w:t xml:space="preserve">             （项目名称）</w:t>
      </w:r>
      <w:r>
        <w:rPr>
          <w:rFonts w:hint="eastAsia" w:ascii="宋体" w:hAnsi="宋体" w:cs="宋体"/>
          <w:color w:val="000000"/>
          <w:szCs w:val="21"/>
        </w:rPr>
        <w:t>的投标（响应），以我单位名义处理一切与之有关的事务。</w:t>
      </w:r>
    </w:p>
    <w:p w14:paraId="43DC1B95">
      <w:pPr>
        <w:spacing w:line="600" w:lineRule="exact"/>
        <w:ind w:firstLine="420" w:firstLineChars="200"/>
        <w:rPr>
          <w:rFonts w:ascii="宋体" w:hAnsi="宋体" w:cs="宋体"/>
          <w:color w:val="000000"/>
          <w:szCs w:val="21"/>
        </w:rPr>
      </w:pPr>
      <w:r>
        <w:rPr>
          <w:rFonts w:hint="eastAsia" w:ascii="宋体" w:hAnsi="宋体" w:cs="宋体"/>
          <w:color w:val="000000"/>
          <w:szCs w:val="21"/>
        </w:rPr>
        <w:t>本授权书于</w:t>
      </w:r>
      <w:r>
        <w:rPr>
          <w:rFonts w:hint="eastAsia" w:ascii="宋体" w:hAnsi="宋体" w:cs="宋体"/>
          <w:color w:val="000000"/>
          <w:szCs w:val="21"/>
          <w:u w:val="single"/>
        </w:rPr>
        <w:t xml:space="preserve">           年     月     </w:t>
      </w:r>
      <w:r>
        <w:rPr>
          <w:rFonts w:hint="eastAsia" w:ascii="宋体" w:hAnsi="宋体" w:cs="宋体"/>
          <w:color w:val="000000"/>
          <w:szCs w:val="21"/>
        </w:rPr>
        <w:t>日签字生效,特此声明。</w:t>
      </w:r>
    </w:p>
    <w:p w14:paraId="0249D215">
      <w:pPr>
        <w:spacing w:line="600" w:lineRule="exact"/>
        <w:ind w:firstLine="420" w:firstLineChars="200"/>
        <w:rPr>
          <w:rFonts w:ascii="宋体" w:hAnsi="宋体" w:cs="宋体"/>
          <w:color w:val="000000"/>
          <w:szCs w:val="21"/>
        </w:rPr>
      </w:pPr>
      <w:r>
        <w:rPr>
          <w:rFonts w:hint="eastAsia" w:ascii="宋体" w:hAnsi="宋体" w:cs="宋体"/>
          <w:color w:val="000000"/>
          <w:szCs w:val="21"/>
        </w:rPr>
        <w:t>供应商（盖公章）：</w:t>
      </w:r>
      <w:r>
        <w:rPr>
          <w:rFonts w:hint="eastAsia" w:ascii="宋体" w:hAnsi="宋体" w:cs="宋体"/>
          <w:color w:val="000000"/>
          <w:szCs w:val="21"/>
          <w:u w:val="single"/>
        </w:rPr>
        <w:t xml:space="preserve">   </w:t>
      </w:r>
      <w:r>
        <w:rPr>
          <w:rFonts w:hint="eastAsia" w:ascii="宋体" w:hAnsi="宋体" w:cs="宋体"/>
          <w:b/>
          <w:i/>
          <w:color w:val="000000"/>
          <w:szCs w:val="21"/>
          <w:u w:val="single"/>
        </w:rPr>
        <w:t xml:space="preserve">        </w:t>
      </w:r>
      <w:r>
        <w:rPr>
          <w:rFonts w:hint="eastAsia" w:ascii="宋体" w:hAnsi="宋体" w:cs="宋体"/>
          <w:color w:val="000000"/>
          <w:szCs w:val="21"/>
          <w:u w:val="single"/>
        </w:rPr>
        <w:t xml:space="preserve">    </w:t>
      </w:r>
      <w:r>
        <w:rPr>
          <w:rFonts w:hint="eastAsia" w:ascii="宋体" w:hAnsi="宋体" w:cs="宋体"/>
          <w:b/>
          <w:i/>
          <w:color w:val="000000"/>
          <w:szCs w:val="21"/>
          <w:u w:val="single"/>
        </w:rPr>
        <w:t xml:space="preserve">           </w:t>
      </w:r>
      <w:r>
        <w:rPr>
          <w:rFonts w:hint="eastAsia" w:ascii="宋体" w:hAnsi="宋体" w:cs="宋体"/>
          <w:color w:val="000000"/>
          <w:szCs w:val="21"/>
          <w:u w:val="single"/>
        </w:rPr>
        <w:t xml:space="preserve">  </w:t>
      </w:r>
      <w:r>
        <w:rPr>
          <w:rFonts w:hint="eastAsia" w:ascii="宋体" w:hAnsi="宋体" w:cs="宋体"/>
          <w:b/>
          <w:i/>
          <w:color w:val="000000"/>
          <w:szCs w:val="21"/>
          <w:u w:val="single"/>
        </w:rPr>
        <w:t xml:space="preserve">              </w:t>
      </w:r>
      <w:r>
        <w:rPr>
          <w:rFonts w:hint="eastAsia" w:ascii="宋体" w:hAnsi="宋体" w:cs="宋体"/>
          <w:color w:val="000000"/>
          <w:szCs w:val="21"/>
        </w:rPr>
        <w:t xml:space="preserve"> </w:t>
      </w:r>
    </w:p>
    <w:p w14:paraId="6E59F24D">
      <w:pPr>
        <w:spacing w:line="600" w:lineRule="exact"/>
        <w:ind w:firstLine="420" w:firstLineChars="200"/>
        <w:rPr>
          <w:rFonts w:ascii="宋体" w:hAnsi="宋体" w:cs="宋体"/>
          <w:color w:val="000000"/>
          <w:szCs w:val="21"/>
        </w:rPr>
      </w:pPr>
      <w:r>
        <w:rPr>
          <w:rFonts w:hint="eastAsia" w:ascii="宋体" w:hAnsi="宋体" w:cs="宋体"/>
          <w:color w:val="000000"/>
          <w:szCs w:val="21"/>
        </w:rPr>
        <w:t>法定代表人（签字或签章）：</w:t>
      </w:r>
      <w:r>
        <w:rPr>
          <w:rFonts w:hint="eastAsia" w:ascii="宋体" w:hAnsi="宋体" w:cs="宋体"/>
          <w:color w:val="000000"/>
          <w:szCs w:val="21"/>
          <w:u w:val="single"/>
        </w:rPr>
        <w:t xml:space="preserve">   </w:t>
      </w:r>
      <w:r>
        <w:rPr>
          <w:rFonts w:hint="eastAsia" w:ascii="宋体" w:hAnsi="宋体" w:cs="宋体"/>
          <w:b/>
          <w:i/>
          <w:color w:val="000000"/>
          <w:szCs w:val="21"/>
          <w:u w:val="single"/>
        </w:rPr>
        <w:t xml:space="preserve">         </w:t>
      </w:r>
      <w:r>
        <w:rPr>
          <w:rFonts w:hint="eastAsia" w:ascii="宋体" w:hAnsi="宋体" w:cs="宋体"/>
          <w:color w:val="000000"/>
          <w:szCs w:val="21"/>
          <w:u w:val="single"/>
        </w:rPr>
        <w:t xml:space="preserve">   </w:t>
      </w:r>
      <w:r>
        <w:rPr>
          <w:rFonts w:hint="eastAsia" w:ascii="宋体" w:hAnsi="宋体" w:cs="宋体"/>
          <w:b/>
          <w:i/>
          <w:color w:val="000000"/>
          <w:szCs w:val="21"/>
          <w:u w:val="single"/>
        </w:rPr>
        <w:t xml:space="preserve">      </w:t>
      </w:r>
      <w:r>
        <w:rPr>
          <w:rFonts w:hint="eastAsia" w:ascii="宋体" w:hAnsi="宋体" w:cs="宋体"/>
          <w:color w:val="000000"/>
          <w:szCs w:val="21"/>
          <w:u w:val="single"/>
        </w:rPr>
        <w:t xml:space="preserve">   </w:t>
      </w:r>
      <w:r>
        <w:rPr>
          <w:rFonts w:hint="eastAsia" w:ascii="宋体" w:hAnsi="宋体" w:cs="宋体"/>
          <w:b/>
          <w:i/>
          <w:color w:val="000000"/>
          <w:szCs w:val="21"/>
          <w:u w:val="single"/>
        </w:rPr>
        <w:t xml:space="preserve">            </w:t>
      </w:r>
    </w:p>
    <w:p w14:paraId="63C2494F">
      <w:pPr>
        <w:spacing w:line="600" w:lineRule="exact"/>
        <w:ind w:firstLine="420" w:firstLineChars="200"/>
        <w:rPr>
          <w:rFonts w:ascii="宋体" w:hAnsi="宋体" w:cs="宋体"/>
          <w:color w:val="000000"/>
          <w:szCs w:val="21"/>
        </w:rPr>
      </w:pPr>
      <w:r>
        <w:rPr>
          <w:rFonts w:hint="eastAsia" w:ascii="宋体" w:hAnsi="宋体" w:cs="宋体"/>
          <w:color w:val="000000"/>
          <w:szCs w:val="21"/>
        </w:rPr>
        <w:t>委托代理人（签字或签章）：</w:t>
      </w:r>
      <w:r>
        <w:rPr>
          <w:rFonts w:hint="eastAsia" w:ascii="宋体" w:hAnsi="宋体" w:cs="宋体"/>
          <w:color w:val="000000"/>
          <w:szCs w:val="21"/>
          <w:u w:val="single"/>
        </w:rPr>
        <w:t xml:space="preserve">   </w:t>
      </w:r>
      <w:r>
        <w:rPr>
          <w:rFonts w:hint="eastAsia" w:ascii="宋体" w:hAnsi="宋体" w:cs="宋体"/>
          <w:b/>
          <w:i/>
          <w:color w:val="000000"/>
          <w:szCs w:val="21"/>
          <w:u w:val="single"/>
        </w:rPr>
        <w:t xml:space="preserve">    </w:t>
      </w:r>
      <w:r>
        <w:rPr>
          <w:rFonts w:hint="eastAsia" w:ascii="宋体" w:hAnsi="宋体" w:cs="宋体"/>
          <w:color w:val="000000"/>
          <w:szCs w:val="21"/>
          <w:u w:val="single"/>
        </w:rPr>
        <w:t xml:space="preserve">      </w:t>
      </w:r>
      <w:r>
        <w:rPr>
          <w:rFonts w:hint="eastAsia" w:ascii="宋体" w:hAnsi="宋体" w:cs="宋体"/>
          <w:b/>
          <w:i/>
          <w:color w:val="000000"/>
          <w:szCs w:val="21"/>
          <w:u w:val="single"/>
        </w:rPr>
        <w:t xml:space="preserve">            </w:t>
      </w:r>
      <w:r>
        <w:rPr>
          <w:rFonts w:hint="eastAsia" w:ascii="宋体" w:hAnsi="宋体" w:cs="宋体"/>
          <w:color w:val="000000"/>
          <w:szCs w:val="21"/>
          <w:u w:val="single"/>
        </w:rPr>
        <w:t xml:space="preserve">  </w:t>
      </w:r>
      <w:r>
        <w:rPr>
          <w:rFonts w:hint="eastAsia" w:ascii="宋体" w:hAnsi="宋体" w:cs="宋体"/>
          <w:b/>
          <w:i/>
          <w:color w:val="000000"/>
          <w:szCs w:val="21"/>
          <w:u w:val="single"/>
        </w:rPr>
        <w:t xml:space="preserve">         </w:t>
      </w:r>
    </w:p>
    <w:p w14:paraId="60860E46">
      <w:pPr>
        <w:spacing w:line="600" w:lineRule="exact"/>
        <w:ind w:firstLine="420" w:firstLineChars="200"/>
        <w:rPr>
          <w:rFonts w:ascii="宋体" w:hAnsi="宋体" w:cs="宋体"/>
          <w:color w:val="000000"/>
          <w:szCs w:val="21"/>
        </w:rPr>
      </w:pPr>
      <w:r>
        <w:rPr>
          <w:rFonts w:hint="eastAsia" w:ascii="宋体" w:hAnsi="宋体" w:cs="宋体"/>
          <w:color w:val="000000"/>
          <w:szCs w:val="21"/>
        </w:rPr>
        <w:t>日        期：</w:t>
      </w:r>
      <w:r>
        <w:rPr>
          <w:rFonts w:hint="eastAsia" w:ascii="宋体" w:hAnsi="宋体" w:cs="宋体"/>
          <w:color w:val="000000"/>
          <w:szCs w:val="21"/>
          <w:u w:val="single"/>
        </w:rPr>
        <w:t xml:space="preserve">   </w:t>
      </w:r>
      <w:r>
        <w:rPr>
          <w:rFonts w:hint="eastAsia" w:ascii="宋体" w:hAnsi="宋体" w:cs="宋体"/>
          <w:b/>
          <w:i/>
          <w:color w:val="000000"/>
          <w:szCs w:val="21"/>
          <w:u w:val="single"/>
        </w:rPr>
        <w:t xml:space="preserve">     </w:t>
      </w:r>
      <w:r>
        <w:rPr>
          <w:rFonts w:hint="eastAsia" w:ascii="宋体" w:hAnsi="宋体" w:cs="宋体"/>
          <w:color w:val="000000"/>
          <w:szCs w:val="21"/>
          <w:u w:val="single"/>
        </w:rPr>
        <w:t xml:space="preserve">   </w:t>
      </w:r>
      <w:r>
        <w:rPr>
          <w:rFonts w:hint="eastAsia" w:ascii="宋体" w:hAnsi="宋体" w:cs="宋体"/>
          <w:b/>
          <w:i/>
          <w:color w:val="000000"/>
          <w:szCs w:val="21"/>
          <w:u w:val="single"/>
        </w:rPr>
        <w:t xml:space="preserve">                 </w:t>
      </w:r>
      <w:r>
        <w:rPr>
          <w:rFonts w:hint="eastAsia" w:ascii="宋体" w:hAnsi="宋体" w:cs="宋体"/>
          <w:color w:val="000000"/>
          <w:szCs w:val="21"/>
          <w:u w:val="single"/>
        </w:rPr>
        <w:t xml:space="preserve">     </w:t>
      </w:r>
      <w:r>
        <w:rPr>
          <w:rFonts w:hint="eastAsia" w:ascii="宋体" w:hAnsi="宋体" w:cs="宋体"/>
          <w:b/>
          <w:i/>
          <w:color w:val="000000"/>
          <w:szCs w:val="21"/>
          <w:u w:val="single"/>
        </w:rPr>
        <w:t xml:space="preserve">              </w:t>
      </w:r>
    </w:p>
    <w:p w14:paraId="063A87C2">
      <w:pPr>
        <w:spacing w:line="600" w:lineRule="exact"/>
        <w:ind w:firstLine="420" w:firstLineChars="200"/>
        <w:jc w:val="center"/>
        <w:rPr>
          <w:rFonts w:ascii="宋体" w:hAnsi="宋体" w:cs="宋体"/>
          <w:color w:val="000000"/>
          <w:szCs w:val="21"/>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0"/>
        <w:gridCol w:w="4871"/>
      </w:tblGrid>
      <w:tr w14:paraId="5CD93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4870" w:type="dxa"/>
            <w:tcBorders>
              <w:top w:val="single" w:color="auto" w:sz="4" w:space="0"/>
              <w:left w:val="single" w:color="auto" w:sz="4" w:space="0"/>
              <w:bottom w:val="single" w:color="auto" w:sz="4" w:space="0"/>
              <w:right w:val="single" w:color="auto" w:sz="4" w:space="0"/>
            </w:tcBorders>
            <w:vAlign w:val="center"/>
          </w:tcPr>
          <w:p w14:paraId="79F56227">
            <w:pPr>
              <w:jc w:val="center"/>
              <w:rPr>
                <w:rFonts w:ascii="宋体" w:hAnsi="宋体"/>
                <w:b/>
                <w:color w:val="000000"/>
                <w:sz w:val="24"/>
              </w:rPr>
            </w:pPr>
            <w:r>
              <w:rPr>
                <w:rFonts w:hint="eastAsia" w:ascii="宋体" w:hAnsi="宋体"/>
                <w:b/>
                <w:color w:val="000000"/>
                <w:sz w:val="24"/>
              </w:rPr>
              <w:t>法定代表人有效身份证明</w:t>
            </w:r>
          </w:p>
        </w:tc>
        <w:tc>
          <w:tcPr>
            <w:tcW w:w="4871" w:type="dxa"/>
            <w:tcBorders>
              <w:top w:val="single" w:color="auto" w:sz="4" w:space="0"/>
              <w:left w:val="single" w:color="auto" w:sz="4" w:space="0"/>
              <w:bottom w:val="single" w:color="auto" w:sz="4" w:space="0"/>
              <w:right w:val="single" w:color="auto" w:sz="4" w:space="0"/>
            </w:tcBorders>
            <w:vAlign w:val="center"/>
          </w:tcPr>
          <w:p w14:paraId="3F139129">
            <w:pPr>
              <w:jc w:val="center"/>
              <w:rPr>
                <w:rFonts w:ascii="宋体" w:hAnsi="宋体"/>
                <w:b/>
                <w:color w:val="000000"/>
                <w:sz w:val="24"/>
              </w:rPr>
            </w:pPr>
            <w:r>
              <w:rPr>
                <w:rFonts w:hint="eastAsia" w:ascii="宋体" w:hAnsi="宋体"/>
                <w:b/>
                <w:color w:val="000000"/>
                <w:sz w:val="24"/>
              </w:rPr>
              <w:t>委托代理人（</w:t>
            </w:r>
            <w:r>
              <w:rPr>
                <w:rFonts w:hint="eastAsia" w:ascii="宋体" w:hAnsi="宋体" w:cs="宋体"/>
                <w:b/>
                <w:color w:val="000000"/>
                <w:sz w:val="24"/>
              </w:rPr>
              <w:t>被授权人</w:t>
            </w:r>
            <w:r>
              <w:rPr>
                <w:rFonts w:hint="eastAsia" w:ascii="宋体" w:hAnsi="宋体"/>
                <w:b/>
                <w:color w:val="000000"/>
                <w:sz w:val="24"/>
              </w:rPr>
              <w:t>）有效身份证明</w:t>
            </w:r>
          </w:p>
        </w:tc>
      </w:tr>
      <w:tr w14:paraId="22875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4" w:hRule="atLeast"/>
          <w:jc w:val="center"/>
        </w:trPr>
        <w:tc>
          <w:tcPr>
            <w:tcW w:w="4870" w:type="dxa"/>
            <w:tcBorders>
              <w:top w:val="single" w:color="auto" w:sz="4" w:space="0"/>
              <w:left w:val="single" w:color="auto" w:sz="4" w:space="0"/>
              <w:bottom w:val="single" w:color="auto" w:sz="4" w:space="0"/>
              <w:right w:val="single" w:color="auto" w:sz="4" w:space="0"/>
            </w:tcBorders>
            <w:vAlign w:val="center"/>
          </w:tcPr>
          <w:p w14:paraId="2C98E821">
            <w:pPr>
              <w:jc w:val="center"/>
              <w:rPr>
                <w:rFonts w:ascii="宋体" w:hAnsi="宋体"/>
                <w:i/>
                <w:color w:val="000000"/>
              </w:rPr>
            </w:pPr>
            <w:r>
              <w:rPr>
                <w:rFonts w:hint="eastAsia" w:ascii="宋体" w:hAnsi="宋体"/>
                <w:i/>
                <w:color w:val="000000"/>
              </w:rPr>
              <w:t>（身份证复印件粘贴处）</w:t>
            </w:r>
          </w:p>
          <w:p w14:paraId="04EE054C">
            <w:pPr>
              <w:jc w:val="center"/>
              <w:rPr>
                <w:rFonts w:ascii="宋体" w:hAnsi="宋体"/>
                <w:i/>
                <w:color w:val="000000"/>
              </w:rPr>
            </w:pPr>
          </w:p>
          <w:p w14:paraId="252ACE0B">
            <w:pPr>
              <w:jc w:val="center"/>
              <w:rPr>
                <w:rFonts w:ascii="宋体" w:hAnsi="宋体"/>
                <w:i/>
                <w:color w:val="000000"/>
              </w:rPr>
            </w:pPr>
            <w:r>
              <w:rPr>
                <w:rFonts w:hint="eastAsia" w:ascii="宋体" w:hAnsi="宋体"/>
                <w:i/>
                <w:color w:val="000000"/>
              </w:rPr>
              <w:t>（可电子粘贴）</w:t>
            </w:r>
          </w:p>
          <w:p w14:paraId="71B78937">
            <w:pPr>
              <w:jc w:val="center"/>
              <w:rPr>
                <w:rFonts w:ascii="宋体" w:hAnsi="宋体"/>
                <w:i/>
                <w:color w:val="000000"/>
              </w:rPr>
            </w:pPr>
          </w:p>
          <w:p w14:paraId="2A3C6A99">
            <w:pPr>
              <w:jc w:val="center"/>
              <w:rPr>
                <w:rFonts w:ascii="宋体" w:hAnsi="宋体"/>
                <w:i/>
                <w:color w:val="000000"/>
              </w:rPr>
            </w:pPr>
            <w:r>
              <w:rPr>
                <w:rFonts w:hint="eastAsia" w:ascii="宋体" w:hAnsi="宋体"/>
                <w:i/>
                <w:color w:val="000000"/>
              </w:rPr>
              <w:t>（证明材料可另页，不限于本框内）</w:t>
            </w:r>
          </w:p>
        </w:tc>
        <w:tc>
          <w:tcPr>
            <w:tcW w:w="4871" w:type="dxa"/>
            <w:tcBorders>
              <w:top w:val="single" w:color="auto" w:sz="4" w:space="0"/>
              <w:left w:val="single" w:color="auto" w:sz="4" w:space="0"/>
              <w:bottom w:val="single" w:color="auto" w:sz="4" w:space="0"/>
              <w:right w:val="single" w:color="auto" w:sz="4" w:space="0"/>
            </w:tcBorders>
            <w:vAlign w:val="center"/>
          </w:tcPr>
          <w:p w14:paraId="6BA0D23B">
            <w:pPr>
              <w:jc w:val="center"/>
              <w:rPr>
                <w:rFonts w:ascii="宋体" w:hAnsi="宋体"/>
                <w:i/>
                <w:color w:val="000000"/>
              </w:rPr>
            </w:pPr>
            <w:r>
              <w:rPr>
                <w:rFonts w:hint="eastAsia" w:ascii="宋体" w:hAnsi="宋体"/>
                <w:i/>
                <w:color w:val="000000"/>
              </w:rPr>
              <w:t>（身份证复印件粘贴处）</w:t>
            </w:r>
          </w:p>
          <w:p w14:paraId="3DF6BF00">
            <w:pPr>
              <w:jc w:val="center"/>
              <w:rPr>
                <w:rFonts w:ascii="宋体" w:hAnsi="宋体"/>
                <w:i/>
                <w:color w:val="000000"/>
              </w:rPr>
            </w:pPr>
          </w:p>
          <w:p w14:paraId="17C15D45">
            <w:pPr>
              <w:jc w:val="center"/>
              <w:rPr>
                <w:rFonts w:ascii="宋体" w:hAnsi="宋体"/>
                <w:i/>
                <w:color w:val="000000"/>
              </w:rPr>
            </w:pPr>
            <w:r>
              <w:rPr>
                <w:rFonts w:hint="eastAsia" w:ascii="宋体" w:hAnsi="宋体"/>
                <w:i/>
                <w:color w:val="000000"/>
              </w:rPr>
              <w:t>（可电子粘贴）</w:t>
            </w:r>
          </w:p>
          <w:p w14:paraId="3ACD6792">
            <w:pPr>
              <w:jc w:val="center"/>
              <w:rPr>
                <w:rFonts w:ascii="宋体" w:hAnsi="宋体"/>
                <w:i/>
                <w:color w:val="000000"/>
              </w:rPr>
            </w:pPr>
          </w:p>
          <w:p w14:paraId="1E5B435F">
            <w:pPr>
              <w:jc w:val="center"/>
              <w:rPr>
                <w:rFonts w:ascii="宋体" w:hAnsi="宋体"/>
                <w:i/>
                <w:color w:val="000000"/>
              </w:rPr>
            </w:pPr>
            <w:r>
              <w:rPr>
                <w:rFonts w:hint="eastAsia" w:ascii="宋体" w:hAnsi="宋体"/>
                <w:i/>
                <w:color w:val="000000"/>
              </w:rPr>
              <w:t>（证明材料可另页，不限于本框内）</w:t>
            </w:r>
          </w:p>
        </w:tc>
      </w:tr>
    </w:tbl>
    <w:p w14:paraId="3C01038E">
      <w:pPr>
        <w:pStyle w:val="4"/>
        <w:spacing w:line="600" w:lineRule="exact"/>
        <w:ind w:firstLine="422"/>
        <w:jc w:val="center"/>
        <w:rPr>
          <w:rFonts w:ascii="宋体" w:hAnsi="宋体" w:cs="宋体"/>
          <w:b/>
          <w:color w:val="000000"/>
        </w:rPr>
      </w:pPr>
    </w:p>
    <w:p w14:paraId="6599D8EF">
      <w:pPr>
        <w:spacing w:line="360" w:lineRule="auto"/>
        <w:rPr>
          <w:rFonts w:ascii="宋体" w:hAnsi="宋体" w:cs="宋体"/>
          <w:b/>
          <w:color w:val="000000"/>
          <w:sz w:val="28"/>
          <w:szCs w:val="28"/>
        </w:rPr>
      </w:pPr>
    </w:p>
    <w:p w14:paraId="79141A0B">
      <w:pPr>
        <w:pStyle w:val="8"/>
        <w:rPr>
          <w:color w:val="000000"/>
        </w:rPr>
      </w:pPr>
    </w:p>
    <w:p w14:paraId="4558116A">
      <w:pPr>
        <w:spacing w:line="360" w:lineRule="auto"/>
        <w:jc w:val="center"/>
        <w:rPr>
          <w:rFonts w:ascii="宋体" w:hAnsi="宋体" w:cs="宋体"/>
          <w:b/>
          <w:color w:val="000000"/>
          <w:sz w:val="28"/>
          <w:szCs w:val="28"/>
        </w:rPr>
      </w:pPr>
    </w:p>
    <w:p w14:paraId="765A1767">
      <w:pPr>
        <w:spacing w:line="552" w:lineRule="auto"/>
        <w:jc w:val="center"/>
        <w:outlineLvl w:val="1"/>
        <w:rPr>
          <w:rFonts w:ascii="宋体" w:hAnsi="宋体" w:cs="宋体"/>
          <w:b/>
          <w:bCs/>
          <w:color w:val="000000"/>
          <w:sz w:val="28"/>
          <w:szCs w:val="28"/>
        </w:rPr>
      </w:pPr>
      <w:bookmarkStart w:id="476" w:name="_Toc184029952"/>
      <w:r>
        <w:rPr>
          <w:rFonts w:hint="eastAsia" w:ascii="宋体" w:hAnsi="宋体" w:cs="宋体"/>
          <w:b/>
          <w:bCs/>
          <w:color w:val="000000"/>
          <w:sz w:val="28"/>
          <w:szCs w:val="28"/>
        </w:rPr>
        <w:t>四、投标（响应）书（格式）</w:t>
      </w:r>
      <w:bookmarkEnd w:id="476"/>
    </w:p>
    <w:p w14:paraId="0CBAEEF8">
      <w:pPr>
        <w:spacing w:line="360" w:lineRule="auto"/>
        <w:rPr>
          <w:rFonts w:asciiTheme="minorEastAsia" w:hAnsiTheme="minorEastAsia" w:eastAsiaTheme="minorEastAsia" w:cstheme="minorEastAsia"/>
          <w:b/>
          <w:color w:val="000000"/>
          <w:szCs w:val="21"/>
          <w:u w:val="single"/>
        </w:rPr>
      </w:pPr>
    </w:p>
    <w:p w14:paraId="74E9D39D">
      <w:pPr>
        <w:spacing w:line="360" w:lineRule="auto"/>
        <w:rPr>
          <w:rFonts w:asciiTheme="minorEastAsia" w:hAnsiTheme="minorEastAsia" w:eastAsiaTheme="minorEastAsia" w:cstheme="minorEastAsia"/>
          <w:b/>
          <w:color w:val="000000"/>
          <w:szCs w:val="21"/>
          <w:u w:val="single"/>
        </w:rPr>
      </w:pPr>
      <w:r>
        <w:rPr>
          <w:rFonts w:hint="eastAsia" w:asciiTheme="minorEastAsia" w:hAnsiTheme="minorEastAsia" w:eastAsiaTheme="minorEastAsia" w:cstheme="minorEastAsia"/>
          <w:b/>
          <w:color w:val="000000"/>
          <w:szCs w:val="21"/>
          <w:u w:val="single"/>
        </w:rPr>
        <w:t xml:space="preserve">致：    </w:t>
      </w:r>
      <w:r>
        <w:rPr>
          <w:rFonts w:hint="eastAsia" w:asciiTheme="minorEastAsia" w:hAnsiTheme="minorEastAsia" w:eastAsiaTheme="minorEastAsia" w:cstheme="minorEastAsia"/>
          <w:b/>
          <w:i/>
          <w:color w:val="000000"/>
          <w:szCs w:val="21"/>
          <w:u w:val="single"/>
        </w:rPr>
        <w:t>(</w:t>
      </w:r>
      <w:r>
        <w:rPr>
          <w:rFonts w:hint="eastAsia" w:asciiTheme="minorEastAsia" w:hAnsiTheme="minorEastAsia" w:eastAsiaTheme="minorEastAsia" w:cstheme="minorEastAsia"/>
          <w:b/>
          <w:i/>
          <w:color w:val="000000"/>
          <w:kern w:val="0"/>
          <w:szCs w:val="21"/>
          <w:u w:val="single"/>
        </w:rPr>
        <w:t>采购人或携手阳光公司的名称</w:t>
      </w:r>
      <w:r>
        <w:rPr>
          <w:rFonts w:hint="eastAsia" w:asciiTheme="minorEastAsia" w:hAnsiTheme="minorEastAsia" w:eastAsiaTheme="minorEastAsia" w:cstheme="minorEastAsia"/>
          <w:b/>
          <w:i/>
          <w:color w:val="000000"/>
          <w:szCs w:val="21"/>
          <w:u w:val="single"/>
        </w:rPr>
        <w:t>)</w:t>
      </w:r>
    </w:p>
    <w:p w14:paraId="282A1005">
      <w:pPr>
        <w:pStyle w:val="12"/>
        <w:tabs>
          <w:tab w:val="left" w:pos="5580"/>
        </w:tabs>
        <w:spacing w:line="360" w:lineRule="auto"/>
        <w:ind w:firstLine="420" w:firstLineChars="200"/>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根据贵方</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b/>
          <w:i/>
          <w:color w:val="000000"/>
          <w:sz w:val="21"/>
          <w:szCs w:val="21"/>
          <w:u w:val="single"/>
        </w:rPr>
        <w:t xml:space="preserve"> (项目名称)</w:t>
      </w:r>
      <w:r>
        <w:rPr>
          <w:rFonts w:hint="eastAsia" w:asciiTheme="minorEastAsia" w:hAnsiTheme="minorEastAsia" w:eastAsiaTheme="minorEastAsia" w:cstheme="minorEastAsia"/>
          <w:color w:val="000000"/>
          <w:sz w:val="21"/>
          <w:szCs w:val="21"/>
        </w:rPr>
        <w:t>项目的投标邀请</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b/>
          <w:i/>
          <w:color w:val="000000"/>
          <w:sz w:val="21"/>
          <w:szCs w:val="21"/>
          <w:u w:val="single"/>
        </w:rPr>
        <w:t>(采购编号)</w:t>
      </w:r>
      <w:r>
        <w:rPr>
          <w:rFonts w:hint="eastAsia" w:asciiTheme="minorEastAsia" w:hAnsiTheme="minorEastAsia" w:eastAsiaTheme="minorEastAsia" w:cstheme="minorEastAsia"/>
          <w:color w:val="000000"/>
          <w:sz w:val="21"/>
          <w:szCs w:val="21"/>
        </w:rPr>
        <w:t>,签字代表</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b/>
          <w:i/>
          <w:color w:val="000000"/>
          <w:sz w:val="21"/>
          <w:szCs w:val="21"/>
          <w:u w:val="single"/>
        </w:rPr>
        <w:t>(姓名、职务)</w:t>
      </w:r>
      <w:r>
        <w:rPr>
          <w:rFonts w:hint="eastAsia" w:asciiTheme="minorEastAsia" w:hAnsiTheme="minorEastAsia" w:eastAsiaTheme="minorEastAsia" w:cstheme="minorEastAsia"/>
          <w:color w:val="000000"/>
          <w:sz w:val="21"/>
          <w:szCs w:val="21"/>
        </w:rPr>
        <w:t>经正式授权并代表供应商</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b/>
          <w:i/>
          <w:color w:val="000000"/>
          <w:sz w:val="21"/>
          <w:szCs w:val="21"/>
          <w:u w:val="single"/>
        </w:rPr>
        <w:t>（供应商名称）</w:t>
      </w:r>
      <w:r>
        <w:rPr>
          <w:rFonts w:hint="eastAsia" w:asciiTheme="minorEastAsia" w:hAnsiTheme="minorEastAsia" w:eastAsiaTheme="minorEastAsia" w:cstheme="minorEastAsia"/>
          <w:color w:val="000000"/>
          <w:sz w:val="21"/>
          <w:szCs w:val="21"/>
        </w:rPr>
        <w:t>提交下述文件正本</w:t>
      </w:r>
      <w:r>
        <w:rPr>
          <w:rFonts w:hint="eastAsia" w:asciiTheme="minorEastAsia" w:hAnsiTheme="minorEastAsia" w:eastAsiaTheme="minorEastAsia" w:cstheme="minorEastAsia"/>
          <w:b/>
          <w:color w:val="000000"/>
          <w:sz w:val="21"/>
          <w:szCs w:val="21"/>
          <w:u w:val="single"/>
        </w:rPr>
        <w:t>1</w:t>
      </w:r>
      <w:r>
        <w:rPr>
          <w:rFonts w:hint="eastAsia" w:asciiTheme="minorEastAsia" w:hAnsiTheme="minorEastAsia" w:eastAsiaTheme="minorEastAsia" w:cstheme="minorEastAsia"/>
          <w:color w:val="000000"/>
          <w:sz w:val="21"/>
          <w:szCs w:val="21"/>
        </w:rPr>
        <w:t>份、副本</w:t>
      </w:r>
      <w:r>
        <w:rPr>
          <w:rFonts w:hint="eastAsia" w:asciiTheme="minorEastAsia" w:hAnsiTheme="minorEastAsia" w:eastAsiaTheme="minorEastAsia" w:cstheme="minorEastAsia"/>
          <w:b/>
          <w:color w:val="000000"/>
          <w:sz w:val="21"/>
          <w:szCs w:val="21"/>
          <w:u w:val="single"/>
        </w:rPr>
        <w:t xml:space="preserve">      </w:t>
      </w:r>
      <w:r>
        <w:rPr>
          <w:rFonts w:hint="eastAsia" w:asciiTheme="minorEastAsia" w:hAnsiTheme="minorEastAsia" w:eastAsiaTheme="minorEastAsia" w:cstheme="minorEastAsia"/>
          <w:b/>
          <w:color w:val="000000"/>
          <w:sz w:val="21"/>
          <w:szCs w:val="21"/>
        </w:rPr>
        <w:t>份</w:t>
      </w:r>
      <w:r>
        <w:rPr>
          <w:rFonts w:hint="eastAsia" w:asciiTheme="minorEastAsia" w:hAnsiTheme="minorEastAsia" w:eastAsiaTheme="minorEastAsia" w:cstheme="minorEastAsia"/>
          <w:color w:val="000000"/>
          <w:sz w:val="21"/>
          <w:szCs w:val="21"/>
        </w:rPr>
        <w:t>。</w:t>
      </w:r>
    </w:p>
    <w:p w14:paraId="04559A9D">
      <w:pPr>
        <w:pStyle w:val="12"/>
        <w:tabs>
          <w:tab w:val="left" w:pos="5580"/>
        </w:tabs>
        <w:spacing w:line="360" w:lineRule="auto"/>
        <w:ind w:firstLine="422" w:firstLineChars="200"/>
        <w:rPr>
          <w:rFonts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据此，签字代表宣布同意如下：</w:t>
      </w:r>
    </w:p>
    <w:p w14:paraId="023EAEAE">
      <w:pPr>
        <w:pStyle w:val="12"/>
        <w:tabs>
          <w:tab w:val="left" w:pos="5580"/>
        </w:tabs>
        <w:spacing w:line="360" w:lineRule="auto"/>
        <w:ind w:firstLine="420" w:firstLineChars="200"/>
        <w:rPr>
          <w:rFonts w:asciiTheme="minorEastAsia" w:hAnsiTheme="minorEastAsia" w:eastAsiaTheme="minorEastAsia" w:cstheme="minorEastAsia"/>
          <w:color w:val="000000"/>
          <w:spacing w:val="15"/>
          <w:sz w:val="21"/>
          <w:szCs w:val="21"/>
          <w:u w:val="single"/>
        </w:rPr>
      </w:pPr>
      <w:r>
        <w:rPr>
          <w:rFonts w:hint="eastAsia" w:asciiTheme="minorEastAsia" w:hAnsiTheme="minorEastAsia" w:eastAsiaTheme="minorEastAsia" w:cstheme="minorEastAsia"/>
          <w:color w:val="000000"/>
          <w:sz w:val="21"/>
          <w:szCs w:val="21"/>
        </w:rPr>
        <w:t>（1）附投标价格表中规定的应提供产品（货物、服务、工程）的投标总价详见报价一览表。</w:t>
      </w:r>
    </w:p>
    <w:p w14:paraId="15D0EC30">
      <w:pPr>
        <w:pStyle w:val="12"/>
        <w:tabs>
          <w:tab w:val="left" w:pos="5580"/>
        </w:tabs>
        <w:spacing w:line="360" w:lineRule="auto"/>
        <w:ind w:firstLine="420" w:firstLineChars="200"/>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（2）本投标有效期为自提交响应文件截止之日起</w:t>
      </w:r>
      <w:r>
        <w:rPr>
          <w:rFonts w:hint="eastAsia" w:asciiTheme="minorEastAsia" w:hAnsiTheme="minorEastAsia" w:eastAsiaTheme="minorEastAsia" w:cstheme="minorEastAsia"/>
          <w:color w:val="000000"/>
          <w:sz w:val="21"/>
          <w:szCs w:val="21"/>
          <w:u w:val="single"/>
        </w:rPr>
        <w:t>90</w:t>
      </w:r>
      <w:r>
        <w:rPr>
          <w:rFonts w:hint="eastAsia" w:asciiTheme="minorEastAsia" w:hAnsiTheme="minorEastAsia" w:eastAsiaTheme="minorEastAsia" w:cstheme="minorEastAsia"/>
          <w:color w:val="000000"/>
          <w:sz w:val="21"/>
          <w:szCs w:val="21"/>
        </w:rPr>
        <w:t>个日历日。</w:t>
      </w:r>
    </w:p>
    <w:p w14:paraId="41FC04EE">
      <w:pPr>
        <w:pStyle w:val="12"/>
        <w:tabs>
          <w:tab w:val="left" w:pos="5580"/>
        </w:tabs>
        <w:spacing w:line="360" w:lineRule="auto"/>
        <w:ind w:firstLine="420" w:firstLineChars="200"/>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（3）已详细审查全部采购文件，包括所有补充通知（如果有的话），完全理解并同意放弃对这方面有不明、误解和质疑的权力。</w:t>
      </w:r>
    </w:p>
    <w:p w14:paraId="66A2183F">
      <w:pPr>
        <w:pStyle w:val="12"/>
        <w:tabs>
          <w:tab w:val="left" w:pos="5580"/>
        </w:tabs>
        <w:spacing w:line="360" w:lineRule="auto"/>
        <w:ind w:firstLine="420" w:firstLineChars="200"/>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（4）在规定的提交响应文件截止时间后，遵守采购文件中有关保证金的规定。</w:t>
      </w:r>
    </w:p>
    <w:p w14:paraId="4CF61B3B">
      <w:pPr>
        <w:pStyle w:val="12"/>
        <w:tabs>
          <w:tab w:val="left" w:pos="5580"/>
        </w:tabs>
        <w:spacing w:line="360" w:lineRule="auto"/>
        <w:ind w:firstLine="420" w:firstLineChars="200"/>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（5）我方不是为本项目提供整体设计、规范编制或者项目管理、监理、检测等服务的供应商，我方不是采购代理机构的附属机构。</w:t>
      </w:r>
    </w:p>
    <w:p w14:paraId="4D27A6F0">
      <w:pPr>
        <w:pStyle w:val="12"/>
        <w:tabs>
          <w:tab w:val="left" w:pos="5580"/>
        </w:tabs>
        <w:spacing w:line="360" w:lineRule="auto"/>
        <w:ind w:firstLine="420" w:firstLineChars="200"/>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（6）在领取成交通知书的同时按采购文件规定的形式，向盐城市携手阳光集中采购代理有限公司一次性支付代理服务费。</w:t>
      </w:r>
    </w:p>
    <w:p w14:paraId="27930932">
      <w:pPr>
        <w:pStyle w:val="12"/>
        <w:tabs>
          <w:tab w:val="left" w:pos="5580"/>
        </w:tabs>
        <w:spacing w:line="360" w:lineRule="auto"/>
        <w:ind w:firstLine="420" w:firstLineChars="200"/>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（7）按照贵方可能要求，提供与其投标有关的一切数据或资料，完全理解贵方不一定接受最低价的投标或收到的任何投标。</w:t>
      </w:r>
    </w:p>
    <w:p w14:paraId="4768B4D5">
      <w:pPr>
        <w:pStyle w:val="12"/>
        <w:tabs>
          <w:tab w:val="left" w:pos="5580"/>
        </w:tabs>
        <w:spacing w:line="360" w:lineRule="auto"/>
        <w:ind w:firstLine="420" w:firstLineChars="200"/>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（8）按照采购文件的规定履行合同责任和义务。</w:t>
      </w:r>
    </w:p>
    <w:p w14:paraId="09758207">
      <w:pPr>
        <w:pStyle w:val="12"/>
        <w:tabs>
          <w:tab w:val="left" w:pos="5580"/>
        </w:tabs>
        <w:spacing w:line="360" w:lineRule="auto"/>
        <w:ind w:firstLine="422" w:firstLineChars="200"/>
        <w:rPr>
          <w:rFonts w:asciiTheme="minorEastAsia" w:hAnsiTheme="minorEastAsia" w:eastAsiaTheme="minorEastAsia" w:cstheme="minorEastAsia"/>
          <w:b/>
          <w:color w:val="000000"/>
          <w:sz w:val="21"/>
          <w:szCs w:val="21"/>
          <w:u w:val="single"/>
        </w:rPr>
      </w:pPr>
      <w:r>
        <w:rPr>
          <w:rFonts w:hint="eastAsia" w:asciiTheme="minorEastAsia" w:hAnsiTheme="minorEastAsia" w:eastAsiaTheme="minorEastAsia" w:cstheme="minorEastAsia"/>
          <w:b/>
          <w:color w:val="000000"/>
          <w:sz w:val="21"/>
          <w:szCs w:val="21"/>
          <w:u w:val="single"/>
        </w:rPr>
        <w:t>（9）评审期间，如采购人或携手阳光相关工作人员无法与我方委托代理人联系（联系电话：</w:t>
      </w:r>
      <w:r>
        <w:rPr>
          <w:rFonts w:hint="eastAsia" w:asciiTheme="minorEastAsia" w:hAnsiTheme="minorEastAsia" w:eastAsiaTheme="minorEastAsia" w:cstheme="minorEastAsia"/>
          <w:b/>
          <w:i/>
          <w:color w:val="000000"/>
          <w:sz w:val="21"/>
          <w:szCs w:val="21"/>
          <w:u w:val="single"/>
        </w:rPr>
        <w:t xml:space="preserve">手机号 </w:t>
      </w:r>
      <w:r>
        <w:rPr>
          <w:rFonts w:hint="eastAsia" w:asciiTheme="minorEastAsia" w:hAnsiTheme="minorEastAsia" w:eastAsiaTheme="minorEastAsia" w:cstheme="minorEastAsia"/>
          <w:b/>
          <w:color w:val="000000"/>
          <w:sz w:val="21"/>
          <w:szCs w:val="21"/>
          <w:u w:val="single"/>
        </w:rPr>
        <w:t xml:space="preserve">                    ）或我方法定代表人或其委托代理人接到通知后15分钟内未及时向评审人员进行澄清（含提供相关证明材料等）等情形的，评审人员有权视为我方放弃澄清等相关所有权益（以贵方或评审人员理解为准）。</w:t>
      </w:r>
    </w:p>
    <w:p w14:paraId="0B299BE3">
      <w:pPr>
        <w:pStyle w:val="12"/>
        <w:tabs>
          <w:tab w:val="left" w:pos="5580"/>
        </w:tabs>
        <w:spacing w:line="360" w:lineRule="auto"/>
        <w:ind w:firstLine="420" w:firstLineChars="200"/>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与本投标有关的一切正式往来信函请寄：</w:t>
      </w:r>
    </w:p>
    <w:p w14:paraId="75ECF1C0">
      <w:pPr>
        <w:pStyle w:val="12"/>
        <w:tabs>
          <w:tab w:val="left" w:pos="5580"/>
        </w:tabs>
        <w:spacing w:line="360" w:lineRule="auto"/>
        <w:ind w:firstLine="420" w:firstLineChars="200"/>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地  址：</w:t>
      </w:r>
      <w:r>
        <w:rPr>
          <w:rFonts w:hint="eastAsia" w:asciiTheme="minorEastAsia" w:hAnsiTheme="minorEastAsia" w:eastAsiaTheme="minorEastAsia" w:cstheme="minorEastAsia"/>
          <w:color w:val="000000"/>
          <w:sz w:val="21"/>
          <w:szCs w:val="21"/>
          <w:u w:val="single"/>
        </w:rPr>
        <w:t xml:space="preserve">                                                                 </w:t>
      </w:r>
    </w:p>
    <w:p w14:paraId="7D98A429">
      <w:pPr>
        <w:pStyle w:val="12"/>
        <w:tabs>
          <w:tab w:val="left" w:pos="5580"/>
        </w:tabs>
        <w:spacing w:line="360" w:lineRule="auto"/>
        <w:ind w:firstLine="420" w:firstLineChars="200"/>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供应商（盖公章）：</w:t>
      </w:r>
      <w:r>
        <w:rPr>
          <w:rFonts w:hint="eastAsia" w:asciiTheme="minorEastAsia" w:hAnsiTheme="minorEastAsia" w:eastAsiaTheme="minorEastAsia" w:cstheme="minorEastAsia"/>
          <w:color w:val="000000"/>
          <w:sz w:val="21"/>
          <w:szCs w:val="21"/>
          <w:u w:val="single"/>
        </w:rPr>
        <w:t xml:space="preserve">                                                       </w:t>
      </w:r>
    </w:p>
    <w:p w14:paraId="0BD1DF86">
      <w:pPr>
        <w:pStyle w:val="12"/>
        <w:tabs>
          <w:tab w:val="left" w:pos="5580"/>
        </w:tabs>
        <w:spacing w:line="360" w:lineRule="auto"/>
        <w:ind w:firstLine="420" w:firstLineChars="200"/>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法定代表人或其委托代理人(签字或盖章)：</w:t>
      </w:r>
      <w:r>
        <w:rPr>
          <w:rFonts w:hint="eastAsia" w:asciiTheme="minorEastAsia" w:hAnsiTheme="minorEastAsia" w:eastAsiaTheme="minorEastAsia" w:cstheme="minorEastAsia"/>
          <w:color w:val="000000"/>
          <w:sz w:val="21"/>
          <w:szCs w:val="21"/>
          <w:u w:val="single"/>
        </w:rPr>
        <w:t xml:space="preserve">                                   </w:t>
      </w:r>
    </w:p>
    <w:p w14:paraId="4F9AFB23">
      <w:pPr>
        <w:pStyle w:val="12"/>
        <w:tabs>
          <w:tab w:val="left" w:pos="5580"/>
        </w:tabs>
        <w:spacing w:line="360" w:lineRule="auto"/>
        <w:ind w:firstLine="420" w:firstLineChars="200"/>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电子函件或传真：</w:t>
      </w:r>
      <w:r>
        <w:rPr>
          <w:rFonts w:hint="eastAsia" w:asciiTheme="minorEastAsia" w:hAnsiTheme="minorEastAsia" w:eastAsiaTheme="minorEastAsia" w:cstheme="minorEastAsia"/>
          <w:color w:val="000000"/>
          <w:sz w:val="21"/>
          <w:szCs w:val="21"/>
          <w:u w:val="single"/>
        </w:rPr>
        <w:t xml:space="preserve">                       </w:t>
      </w:r>
    </w:p>
    <w:p w14:paraId="306CAB71">
      <w:pPr>
        <w:pStyle w:val="12"/>
        <w:tabs>
          <w:tab w:val="left" w:pos="5580"/>
        </w:tabs>
        <w:spacing w:line="360" w:lineRule="auto"/>
        <w:ind w:firstLine="420" w:firstLineChars="200"/>
        <w:rPr>
          <w:rFonts w:hAnsi="宋体" w:cs="宋体"/>
          <w:color w:val="000000"/>
          <w:szCs w:val="21"/>
        </w:rPr>
      </w:pPr>
      <w:r>
        <w:rPr>
          <w:rFonts w:hint="eastAsia" w:asciiTheme="minorEastAsia" w:hAnsiTheme="minorEastAsia" w:eastAsiaTheme="minorEastAsia" w:cstheme="minorEastAsia"/>
          <w:color w:val="000000"/>
          <w:sz w:val="21"/>
          <w:szCs w:val="21"/>
        </w:rPr>
        <w:t>日  期：</w:t>
      </w:r>
      <w:r>
        <w:rPr>
          <w:rFonts w:hint="eastAsia" w:asciiTheme="minorEastAsia" w:hAnsiTheme="minorEastAsia" w:eastAsiaTheme="minorEastAsia" w:cstheme="minorEastAsia"/>
          <w:color w:val="000000"/>
          <w:sz w:val="21"/>
          <w:szCs w:val="21"/>
          <w:u w:val="single"/>
        </w:rPr>
        <w:t xml:space="preserve">      </w:t>
      </w:r>
      <w:r>
        <w:rPr>
          <w:rFonts w:hAnsi="宋体" w:cs="宋体"/>
          <w:color w:val="000000"/>
          <w:szCs w:val="21"/>
          <w:u w:val="single"/>
        </w:rPr>
        <w:t xml:space="preserve">                        </w:t>
      </w:r>
    </w:p>
    <w:p w14:paraId="615A65CD">
      <w:pPr>
        <w:spacing w:line="540" w:lineRule="atLeast"/>
        <w:rPr>
          <w:rFonts w:ascii="宋体" w:hAnsi="宋体"/>
          <w:b/>
          <w:color w:val="000000"/>
          <w:sz w:val="28"/>
          <w:szCs w:val="28"/>
        </w:rPr>
      </w:pPr>
    </w:p>
    <w:p w14:paraId="44B6809A">
      <w:pPr>
        <w:spacing w:line="552" w:lineRule="auto"/>
        <w:jc w:val="center"/>
        <w:outlineLvl w:val="1"/>
        <w:rPr>
          <w:rFonts w:ascii="宋体" w:hAnsi="宋体" w:cs="宋体"/>
          <w:b/>
          <w:bCs/>
          <w:color w:val="000000"/>
          <w:sz w:val="28"/>
          <w:szCs w:val="28"/>
        </w:rPr>
      </w:pPr>
      <w:bookmarkStart w:id="477" w:name="_Toc184029953"/>
      <w:r>
        <w:rPr>
          <w:rFonts w:hint="eastAsia" w:ascii="宋体" w:hAnsi="宋体" w:cs="宋体"/>
          <w:b/>
          <w:bCs/>
          <w:color w:val="000000"/>
          <w:sz w:val="28"/>
          <w:szCs w:val="28"/>
        </w:rPr>
        <w:t>五、盐城市政府采购事前信用承诺书（格式）</w:t>
      </w:r>
      <w:bookmarkEnd w:id="477"/>
    </w:p>
    <w:p w14:paraId="2FEB57E5">
      <w:pPr>
        <w:spacing w:line="540" w:lineRule="atLeast"/>
        <w:jc w:val="left"/>
        <w:rPr>
          <w:rFonts w:ascii="宋体" w:hAnsi="宋体" w:cs="宋体"/>
          <w:b/>
          <w:color w:val="000000"/>
          <w:szCs w:val="21"/>
        </w:rPr>
      </w:pPr>
      <w:r>
        <w:rPr>
          <w:rFonts w:hint="eastAsia" w:ascii="宋体" w:hAnsi="宋体" w:cs="宋体"/>
          <w:b/>
          <w:color w:val="000000"/>
          <w:szCs w:val="21"/>
        </w:rPr>
        <w:t xml:space="preserve">    </w:t>
      </w:r>
      <w:r>
        <w:rPr>
          <w:rFonts w:hint="eastAsia" w:ascii="宋体" w:hAnsi="宋体"/>
          <w:color w:val="000000"/>
          <w:szCs w:val="21"/>
        </w:rPr>
        <w:t>为营造我市公开、公平、公正、诚实守信的政府采购交易环境，树立诚信守法的投标人形象，本人代表本单位作出以下承诺：</w:t>
      </w:r>
    </w:p>
    <w:p w14:paraId="365BBBAF">
      <w:pPr>
        <w:widowControl/>
        <w:spacing w:line="540" w:lineRule="atLeast"/>
        <w:jc w:val="left"/>
        <w:rPr>
          <w:rFonts w:ascii="宋体" w:hAnsi="宋体"/>
          <w:color w:val="000000"/>
          <w:szCs w:val="21"/>
        </w:rPr>
      </w:pPr>
      <w:r>
        <w:rPr>
          <w:rFonts w:hint="eastAsia" w:ascii="宋体" w:hAnsi="宋体"/>
          <w:color w:val="000000"/>
          <w:szCs w:val="21"/>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3B700EFE">
      <w:pPr>
        <w:widowControl/>
        <w:spacing w:line="540" w:lineRule="atLeast"/>
        <w:ind w:firstLine="420" w:firstLineChars="200"/>
        <w:jc w:val="left"/>
        <w:rPr>
          <w:rFonts w:ascii="宋体" w:hAnsi="宋体"/>
          <w:color w:val="000000"/>
          <w:szCs w:val="21"/>
        </w:rPr>
      </w:pPr>
      <w:r>
        <w:rPr>
          <w:rFonts w:hint="eastAsia" w:ascii="宋体" w:hAnsi="宋体"/>
          <w:color w:val="000000"/>
          <w:szCs w:val="21"/>
        </w:rPr>
        <w:t>（二）本单位无涉及政府采购活动的违法、违规不良记录，我公司及相关负责人无因存在重大隐患整改不力、发生有重大社会影响生产安全事故或其他严重违法违规行为而被列入失信联合惩戒的不良记录；</w:t>
      </w:r>
    </w:p>
    <w:p w14:paraId="33DCACA8">
      <w:pPr>
        <w:widowControl/>
        <w:spacing w:line="540" w:lineRule="atLeast"/>
        <w:jc w:val="left"/>
        <w:rPr>
          <w:rFonts w:ascii="宋体" w:hAnsi="宋体"/>
          <w:color w:val="000000"/>
          <w:szCs w:val="21"/>
        </w:rPr>
      </w:pPr>
      <w:r>
        <w:rPr>
          <w:rFonts w:hint="eastAsia" w:ascii="宋体" w:hAnsi="宋体"/>
          <w:color w:val="000000"/>
          <w:szCs w:val="21"/>
        </w:rPr>
        <w:t xml:space="preserve">   （三）严格依照国家和省、市关于政府采购的法律、法规、规章、规范性文件，参加政府采购投标活动；积极履行社会责任，促进廉政建设； </w:t>
      </w:r>
    </w:p>
    <w:p w14:paraId="682248FB">
      <w:pPr>
        <w:widowControl/>
        <w:spacing w:line="540" w:lineRule="atLeast"/>
        <w:jc w:val="left"/>
        <w:rPr>
          <w:rFonts w:ascii="宋体" w:hAnsi="宋体"/>
          <w:color w:val="000000"/>
          <w:szCs w:val="21"/>
        </w:rPr>
      </w:pPr>
      <w:r>
        <w:rPr>
          <w:rFonts w:hint="eastAsia" w:ascii="宋体" w:hAnsi="宋体"/>
          <w:color w:val="000000"/>
          <w:szCs w:val="21"/>
        </w:rPr>
        <w:t>   （四）严格遵守即时信息公示规定，及时维护和更新盐城市政府采购网中与本单位相关的信息；</w:t>
      </w:r>
    </w:p>
    <w:p w14:paraId="0AA76171">
      <w:pPr>
        <w:widowControl/>
        <w:spacing w:line="540" w:lineRule="atLeast"/>
        <w:jc w:val="left"/>
        <w:rPr>
          <w:rFonts w:ascii="宋体" w:hAnsi="宋体"/>
          <w:color w:val="000000"/>
          <w:szCs w:val="21"/>
        </w:rPr>
      </w:pPr>
      <w:r>
        <w:rPr>
          <w:rFonts w:hint="eastAsia" w:ascii="宋体" w:hAnsi="宋体"/>
          <w:color w:val="000000"/>
          <w:szCs w:val="21"/>
        </w:rPr>
        <w:t>   （五）自我约束、自我管理，守合同、重信用，自觉维护政府采购交易的良好秩序，与参与本次政府采购活动的其他供应商不存在直接控股或管理关系，不参与围标串标、弄虚作假、骗取中标（成交）、干扰评审、违约毁约等行为；</w:t>
      </w:r>
    </w:p>
    <w:p w14:paraId="6D6D1D80">
      <w:pPr>
        <w:widowControl/>
        <w:spacing w:line="540" w:lineRule="atLeast"/>
        <w:jc w:val="left"/>
        <w:rPr>
          <w:rFonts w:ascii="宋体" w:hAnsi="宋体"/>
          <w:color w:val="000000"/>
          <w:szCs w:val="21"/>
        </w:rPr>
      </w:pPr>
      <w:r>
        <w:rPr>
          <w:rFonts w:hint="eastAsia" w:ascii="宋体" w:hAnsi="宋体"/>
          <w:color w:val="000000"/>
          <w:szCs w:val="21"/>
        </w:rPr>
        <w:t>   （六）自觉接受政府、行业组织、社会公众、新闻舆论的监督；</w:t>
      </w:r>
    </w:p>
    <w:p w14:paraId="07C53D69">
      <w:pPr>
        <w:widowControl/>
        <w:spacing w:line="540" w:lineRule="atLeast"/>
        <w:ind w:firstLine="420" w:firstLineChars="200"/>
        <w:jc w:val="left"/>
        <w:rPr>
          <w:rFonts w:ascii="宋体" w:hAnsi="宋体"/>
          <w:color w:val="000000"/>
          <w:szCs w:val="21"/>
        </w:rPr>
      </w:pPr>
      <w:r>
        <w:rPr>
          <w:rFonts w:hint="eastAsia" w:ascii="宋体" w:hAnsi="宋体"/>
          <w:color w:val="000000"/>
          <w:szCs w:val="21"/>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14:paraId="64DBE501">
      <w:pPr>
        <w:widowControl/>
        <w:spacing w:line="540" w:lineRule="atLeast"/>
        <w:jc w:val="left"/>
        <w:rPr>
          <w:rFonts w:ascii="宋体" w:hAnsi="宋体"/>
          <w:color w:val="000000"/>
          <w:szCs w:val="21"/>
        </w:rPr>
      </w:pPr>
      <w:r>
        <w:rPr>
          <w:rFonts w:hint="eastAsia" w:ascii="宋体" w:hAnsi="宋体"/>
          <w:color w:val="000000"/>
          <w:szCs w:val="21"/>
        </w:rPr>
        <w:t>   （八）本人已认真阅读了上述承诺，并向本单位员工作了宣传教育。</w:t>
      </w:r>
    </w:p>
    <w:p w14:paraId="1ACE2DAF">
      <w:pPr>
        <w:pStyle w:val="12"/>
        <w:tabs>
          <w:tab w:val="left" w:pos="5580"/>
        </w:tabs>
        <w:spacing w:line="360" w:lineRule="auto"/>
        <w:ind w:firstLine="400" w:firstLineChars="200"/>
        <w:rPr>
          <w:rFonts w:hAnsi="宋体" w:cs="宋体"/>
          <w:color w:val="000000"/>
          <w:szCs w:val="21"/>
        </w:rPr>
      </w:pPr>
      <w:r>
        <w:rPr>
          <w:rFonts w:hAnsi="宋体" w:cs="宋体"/>
          <w:color w:val="000000"/>
          <w:szCs w:val="21"/>
        </w:rPr>
        <w:t>供应商（盖公章）：</w:t>
      </w:r>
      <w:r>
        <w:rPr>
          <w:rFonts w:hAnsi="宋体" w:cs="宋体"/>
          <w:color w:val="000000"/>
          <w:szCs w:val="21"/>
          <w:u w:val="single"/>
        </w:rPr>
        <w:t xml:space="preserve">                                         </w:t>
      </w:r>
    </w:p>
    <w:p w14:paraId="333FDD4D">
      <w:pPr>
        <w:pStyle w:val="12"/>
        <w:tabs>
          <w:tab w:val="left" w:pos="5580"/>
        </w:tabs>
        <w:spacing w:line="360" w:lineRule="auto"/>
        <w:ind w:firstLine="400" w:firstLineChars="200"/>
        <w:rPr>
          <w:rFonts w:hAnsi="宋体" w:cs="宋体"/>
          <w:color w:val="000000"/>
          <w:szCs w:val="21"/>
        </w:rPr>
      </w:pPr>
      <w:r>
        <w:rPr>
          <w:rFonts w:hAnsi="宋体" w:cs="宋体"/>
          <w:color w:val="000000"/>
          <w:szCs w:val="21"/>
        </w:rPr>
        <w:t>法定代表人 (签字或盖章)：</w:t>
      </w:r>
      <w:r>
        <w:rPr>
          <w:rFonts w:hAnsi="宋体" w:cs="宋体"/>
          <w:color w:val="000000"/>
          <w:szCs w:val="21"/>
          <w:u w:val="single"/>
        </w:rPr>
        <w:t xml:space="preserve">                                  </w:t>
      </w:r>
    </w:p>
    <w:p w14:paraId="0C60454E">
      <w:pPr>
        <w:pStyle w:val="12"/>
        <w:tabs>
          <w:tab w:val="left" w:pos="5580"/>
        </w:tabs>
        <w:spacing w:line="360" w:lineRule="auto"/>
        <w:ind w:firstLine="400" w:firstLineChars="200"/>
        <w:rPr>
          <w:rFonts w:hAnsi="宋体" w:cs="宋体"/>
          <w:color w:val="000000"/>
          <w:szCs w:val="21"/>
        </w:rPr>
      </w:pPr>
      <w:r>
        <w:rPr>
          <w:rFonts w:hAnsi="宋体" w:cs="宋体"/>
          <w:color w:val="000000"/>
          <w:szCs w:val="21"/>
        </w:rPr>
        <w:t>日  期：</w:t>
      </w:r>
      <w:r>
        <w:rPr>
          <w:rFonts w:hAnsi="宋体" w:cs="宋体"/>
          <w:color w:val="000000"/>
          <w:szCs w:val="21"/>
          <w:u w:val="single"/>
        </w:rPr>
        <w:t xml:space="preserve">                           </w:t>
      </w:r>
    </w:p>
    <w:p w14:paraId="4DCC37B0">
      <w:pPr>
        <w:rPr>
          <w:color w:val="000000"/>
        </w:rPr>
      </w:pPr>
    </w:p>
    <w:p w14:paraId="1262365B">
      <w:pPr>
        <w:rPr>
          <w:color w:val="000000"/>
        </w:rPr>
      </w:pPr>
    </w:p>
    <w:p w14:paraId="7E4C2C61">
      <w:pPr>
        <w:rPr>
          <w:color w:val="000000"/>
        </w:rPr>
      </w:pPr>
    </w:p>
    <w:p w14:paraId="1C1DA4D2">
      <w:pPr>
        <w:rPr>
          <w:color w:val="000000"/>
        </w:rPr>
      </w:pPr>
    </w:p>
    <w:p w14:paraId="049B6B58">
      <w:pPr>
        <w:pStyle w:val="19"/>
        <w:ind w:left="3360"/>
        <w:rPr>
          <w:color w:val="000000"/>
        </w:rPr>
      </w:pPr>
    </w:p>
    <w:p w14:paraId="0BF5D75D">
      <w:pPr>
        <w:rPr>
          <w:color w:val="000000"/>
        </w:rPr>
      </w:pPr>
    </w:p>
    <w:p w14:paraId="137A7305">
      <w:pPr>
        <w:pStyle w:val="19"/>
        <w:ind w:left="3360"/>
      </w:pPr>
    </w:p>
    <w:p w14:paraId="6FEC740E"/>
    <w:p w14:paraId="73507B0A">
      <w:pPr>
        <w:rPr>
          <w:color w:val="000000"/>
        </w:rPr>
      </w:pPr>
    </w:p>
    <w:p w14:paraId="31FD765F">
      <w:pPr>
        <w:spacing w:line="552" w:lineRule="auto"/>
        <w:jc w:val="center"/>
        <w:outlineLvl w:val="1"/>
        <w:rPr>
          <w:rFonts w:ascii="宋体" w:hAnsi="宋体" w:cs="宋体"/>
          <w:b/>
          <w:bCs/>
          <w:color w:val="000000"/>
          <w:sz w:val="28"/>
          <w:szCs w:val="28"/>
        </w:rPr>
      </w:pPr>
      <w:bookmarkStart w:id="478" w:name="_Toc184029954"/>
      <w:r>
        <w:rPr>
          <w:rFonts w:hint="eastAsia" w:ascii="宋体" w:hAnsi="宋体" w:cs="宋体"/>
          <w:b/>
          <w:bCs/>
          <w:color w:val="000000"/>
          <w:sz w:val="28"/>
          <w:szCs w:val="28"/>
        </w:rPr>
        <w:t>六、商务要求响应情况表（格式）</w:t>
      </w:r>
      <w:bookmarkEnd w:id="478"/>
    </w:p>
    <w:tbl>
      <w:tblPr>
        <w:tblStyle w:val="27"/>
        <w:tblpPr w:leftFromText="180" w:rightFromText="180" w:vertAnchor="text" w:horzAnchor="margin" w:tblpXSpec="center" w:tblpY="7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718"/>
        <w:gridCol w:w="4536"/>
        <w:gridCol w:w="1985"/>
        <w:gridCol w:w="1134"/>
      </w:tblGrid>
      <w:tr w14:paraId="0687B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2376" w:type="dxa"/>
            <w:gridSpan w:val="2"/>
            <w:tcBorders>
              <w:top w:val="single" w:color="auto" w:sz="4" w:space="0"/>
              <w:left w:val="single" w:color="auto" w:sz="4" w:space="0"/>
              <w:bottom w:val="single" w:color="auto" w:sz="4" w:space="0"/>
              <w:right w:val="single" w:color="auto" w:sz="4" w:space="0"/>
            </w:tcBorders>
            <w:vAlign w:val="center"/>
          </w:tcPr>
          <w:p w14:paraId="22DD21FA">
            <w:pPr>
              <w:spacing w:line="480" w:lineRule="auto"/>
              <w:jc w:val="center"/>
              <w:rPr>
                <w:rFonts w:ascii="宋体" w:hAnsi="宋体" w:cs="宋体"/>
                <w:color w:val="000000"/>
                <w:szCs w:val="21"/>
              </w:rPr>
            </w:pPr>
            <w:r>
              <w:rPr>
                <w:rFonts w:hint="eastAsia" w:ascii="宋体" w:hAnsi="宋体" w:cs="宋体"/>
                <w:color w:val="000000"/>
                <w:szCs w:val="21"/>
              </w:rPr>
              <w:t>项目编号</w:t>
            </w:r>
          </w:p>
        </w:tc>
        <w:tc>
          <w:tcPr>
            <w:tcW w:w="7655" w:type="dxa"/>
            <w:gridSpan w:val="3"/>
            <w:tcBorders>
              <w:top w:val="single" w:color="auto" w:sz="4" w:space="0"/>
              <w:left w:val="single" w:color="auto" w:sz="4" w:space="0"/>
              <w:bottom w:val="single" w:color="auto" w:sz="4" w:space="0"/>
              <w:right w:val="single" w:color="auto" w:sz="4" w:space="0"/>
            </w:tcBorders>
            <w:vAlign w:val="center"/>
          </w:tcPr>
          <w:p w14:paraId="2F784E6E">
            <w:pPr>
              <w:spacing w:line="480" w:lineRule="auto"/>
              <w:jc w:val="center"/>
              <w:rPr>
                <w:rFonts w:ascii="宋体" w:hAnsi="宋体" w:cs="宋体"/>
                <w:color w:val="000000"/>
                <w:szCs w:val="21"/>
              </w:rPr>
            </w:pPr>
          </w:p>
        </w:tc>
      </w:tr>
      <w:tr w14:paraId="7BEA7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2376" w:type="dxa"/>
            <w:gridSpan w:val="2"/>
            <w:tcBorders>
              <w:top w:val="single" w:color="auto" w:sz="4" w:space="0"/>
              <w:left w:val="single" w:color="auto" w:sz="4" w:space="0"/>
              <w:bottom w:val="single" w:color="auto" w:sz="4" w:space="0"/>
              <w:right w:val="single" w:color="auto" w:sz="4" w:space="0"/>
            </w:tcBorders>
            <w:vAlign w:val="center"/>
          </w:tcPr>
          <w:p w14:paraId="0AB97122">
            <w:pPr>
              <w:spacing w:line="480" w:lineRule="auto"/>
              <w:jc w:val="center"/>
              <w:rPr>
                <w:rFonts w:ascii="宋体" w:hAnsi="宋体" w:cs="宋体"/>
                <w:color w:val="000000"/>
                <w:szCs w:val="21"/>
              </w:rPr>
            </w:pPr>
            <w:r>
              <w:rPr>
                <w:rFonts w:hint="eastAsia" w:ascii="宋体" w:hAnsi="宋体" w:cs="宋体"/>
                <w:color w:val="000000"/>
                <w:szCs w:val="21"/>
              </w:rPr>
              <w:t>项目名称</w:t>
            </w:r>
          </w:p>
        </w:tc>
        <w:tc>
          <w:tcPr>
            <w:tcW w:w="7655" w:type="dxa"/>
            <w:gridSpan w:val="3"/>
            <w:tcBorders>
              <w:top w:val="single" w:color="auto" w:sz="4" w:space="0"/>
              <w:left w:val="single" w:color="auto" w:sz="4" w:space="0"/>
              <w:bottom w:val="single" w:color="auto" w:sz="4" w:space="0"/>
              <w:right w:val="single" w:color="auto" w:sz="4" w:space="0"/>
            </w:tcBorders>
            <w:vAlign w:val="center"/>
          </w:tcPr>
          <w:p w14:paraId="3B27DD8C">
            <w:pPr>
              <w:spacing w:line="480" w:lineRule="auto"/>
              <w:jc w:val="center"/>
              <w:rPr>
                <w:rFonts w:ascii="宋体" w:hAnsi="宋体" w:cs="宋体"/>
                <w:color w:val="000000"/>
                <w:szCs w:val="21"/>
              </w:rPr>
            </w:pPr>
          </w:p>
        </w:tc>
      </w:tr>
      <w:tr w14:paraId="104DD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trPr>
        <w:tc>
          <w:tcPr>
            <w:tcW w:w="658" w:type="dxa"/>
            <w:tcBorders>
              <w:top w:val="single" w:color="auto" w:sz="4" w:space="0"/>
              <w:left w:val="single" w:color="auto" w:sz="4" w:space="0"/>
              <w:bottom w:val="single" w:color="auto" w:sz="4" w:space="0"/>
              <w:right w:val="single" w:color="auto" w:sz="4" w:space="0"/>
            </w:tcBorders>
            <w:vAlign w:val="center"/>
          </w:tcPr>
          <w:p w14:paraId="08BC76FC">
            <w:pPr>
              <w:spacing w:line="480" w:lineRule="auto"/>
              <w:jc w:val="center"/>
              <w:rPr>
                <w:rFonts w:ascii="宋体" w:hAnsi="宋体"/>
                <w:color w:val="000000"/>
                <w:szCs w:val="21"/>
              </w:rPr>
            </w:pPr>
            <w:r>
              <w:rPr>
                <w:rFonts w:hint="eastAsia" w:ascii="宋体" w:hAnsi="宋体"/>
                <w:color w:val="000000"/>
                <w:szCs w:val="21"/>
              </w:rPr>
              <w:t>序号</w:t>
            </w:r>
          </w:p>
        </w:tc>
        <w:tc>
          <w:tcPr>
            <w:tcW w:w="6254" w:type="dxa"/>
            <w:gridSpan w:val="2"/>
            <w:tcBorders>
              <w:top w:val="single" w:color="auto" w:sz="4" w:space="0"/>
              <w:left w:val="single" w:color="auto" w:sz="4" w:space="0"/>
              <w:bottom w:val="single" w:color="auto" w:sz="4" w:space="0"/>
              <w:right w:val="single" w:color="auto" w:sz="4" w:space="0"/>
            </w:tcBorders>
            <w:vAlign w:val="center"/>
          </w:tcPr>
          <w:p w14:paraId="4E7E55AF">
            <w:pPr>
              <w:spacing w:line="480" w:lineRule="auto"/>
              <w:jc w:val="center"/>
              <w:rPr>
                <w:rFonts w:ascii="宋体" w:hAnsi="宋体"/>
                <w:color w:val="000000"/>
                <w:szCs w:val="21"/>
              </w:rPr>
            </w:pPr>
            <w:r>
              <w:rPr>
                <w:rFonts w:hint="eastAsia" w:ascii="宋体" w:hAnsi="宋体"/>
                <w:color w:val="000000"/>
                <w:szCs w:val="21"/>
              </w:rPr>
              <w:t>商务要求</w:t>
            </w:r>
          </w:p>
        </w:tc>
        <w:tc>
          <w:tcPr>
            <w:tcW w:w="1985" w:type="dxa"/>
            <w:tcBorders>
              <w:top w:val="single" w:color="auto" w:sz="4" w:space="0"/>
              <w:left w:val="single" w:color="auto" w:sz="4" w:space="0"/>
              <w:bottom w:val="single" w:color="auto" w:sz="4" w:space="0"/>
              <w:right w:val="single" w:color="auto" w:sz="4" w:space="0"/>
            </w:tcBorders>
            <w:vAlign w:val="center"/>
          </w:tcPr>
          <w:p w14:paraId="68A6FDEF">
            <w:pPr>
              <w:spacing w:line="480" w:lineRule="auto"/>
              <w:jc w:val="center"/>
              <w:rPr>
                <w:rFonts w:ascii="宋体" w:hAnsi="宋体"/>
                <w:color w:val="000000"/>
                <w:szCs w:val="21"/>
              </w:rPr>
            </w:pPr>
            <w:r>
              <w:rPr>
                <w:rFonts w:hint="eastAsia" w:ascii="宋体" w:hAnsi="宋体"/>
                <w:color w:val="000000"/>
                <w:szCs w:val="21"/>
              </w:rPr>
              <w:t>供应商响应（承诺）</w:t>
            </w:r>
          </w:p>
        </w:tc>
        <w:tc>
          <w:tcPr>
            <w:tcW w:w="1134" w:type="dxa"/>
            <w:tcBorders>
              <w:top w:val="single" w:color="auto" w:sz="4" w:space="0"/>
              <w:left w:val="single" w:color="auto" w:sz="4" w:space="0"/>
              <w:bottom w:val="single" w:color="auto" w:sz="4" w:space="0"/>
              <w:right w:val="single" w:color="auto" w:sz="4" w:space="0"/>
            </w:tcBorders>
            <w:vAlign w:val="center"/>
          </w:tcPr>
          <w:p w14:paraId="11BB5807">
            <w:pPr>
              <w:spacing w:line="480" w:lineRule="auto"/>
              <w:jc w:val="center"/>
              <w:rPr>
                <w:rFonts w:ascii="宋体" w:hAnsi="宋体"/>
                <w:color w:val="000000"/>
                <w:szCs w:val="21"/>
              </w:rPr>
            </w:pPr>
            <w:r>
              <w:rPr>
                <w:rFonts w:hint="eastAsia" w:ascii="宋体" w:hAnsi="宋体"/>
                <w:color w:val="000000"/>
                <w:szCs w:val="21"/>
              </w:rPr>
              <w:t>相关说明</w:t>
            </w:r>
          </w:p>
        </w:tc>
      </w:tr>
      <w:tr w14:paraId="31E15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58" w:type="dxa"/>
            <w:tcBorders>
              <w:top w:val="single" w:color="auto" w:sz="4" w:space="0"/>
              <w:left w:val="single" w:color="auto" w:sz="4" w:space="0"/>
              <w:bottom w:val="single" w:color="auto" w:sz="4" w:space="0"/>
              <w:right w:val="single" w:color="auto" w:sz="4" w:space="0"/>
            </w:tcBorders>
            <w:vAlign w:val="center"/>
          </w:tcPr>
          <w:p w14:paraId="7AD7FAE2">
            <w:pPr>
              <w:spacing w:line="480" w:lineRule="auto"/>
              <w:jc w:val="center"/>
              <w:rPr>
                <w:rFonts w:ascii="宋体" w:hAnsi="宋体"/>
                <w:color w:val="000000"/>
              </w:rPr>
            </w:pPr>
            <w:r>
              <w:rPr>
                <w:rFonts w:hint="eastAsia" w:ascii="宋体" w:hAnsi="宋体"/>
                <w:color w:val="000000"/>
              </w:rPr>
              <w:t>1</w:t>
            </w:r>
          </w:p>
        </w:tc>
        <w:tc>
          <w:tcPr>
            <w:tcW w:w="6254" w:type="dxa"/>
            <w:gridSpan w:val="2"/>
            <w:tcBorders>
              <w:top w:val="single" w:color="auto" w:sz="4" w:space="0"/>
              <w:left w:val="single" w:color="auto" w:sz="4" w:space="0"/>
              <w:bottom w:val="single" w:color="auto" w:sz="4" w:space="0"/>
              <w:right w:val="single" w:color="auto" w:sz="4" w:space="0"/>
            </w:tcBorders>
            <w:vAlign w:val="center"/>
          </w:tcPr>
          <w:p w14:paraId="567B824D">
            <w:pPr>
              <w:rPr>
                <w:color w:val="000000"/>
              </w:rPr>
            </w:pPr>
            <w:r>
              <w:rPr>
                <w:rFonts w:hint="eastAsia"/>
                <w:color w:val="000000"/>
              </w:rPr>
              <w:t>为采购项目提供整体设计、规范编制或者项目管理、监理、检测等服务的投标人，不得再参加该采购项目的其他采购活动</w:t>
            </w:r>
          </w:p>
        </w:tc>
        <w:tc>
          <w:tcPr>
            <w:tcW w:w="1985" w:type="dxa"/>
            <w:tcBorders>
              <w:top w:val="single" w:color="auto" w:sz="4" w:space="0"/>
              <w:left w:val="single" w:color="auto" w:sz="4" w:space="0"/>
              <w:bottom w:val="single" w:color="auto" w:sz="4" w:space="0"/>
              <w:right w:val="single" w:color="auto" w:sz="4" w:space="0"/>
            </w:tcBorders>
            <w:vAlign w:val="center"/>
          </w:tcPr>
          <w:p w14:paraId="59955E23">
            <w:pPr>
              <w:spacing w:line="480" w:lineRule="auto"/>
              <w:jc w:val="center"/>
              <w:rPr>
                <w:rFonts w:ascii="宋体" w:hAnsi="宋体"/>
                <w:i/>
                <w:color w:val="000000"/>
              </w:rPr>
            </w:pPr>
            <w:r>
              <w:rPr>
                <w:rFonts w:ascii="宋体" w:hAnsi="宋体"/>
                <w:i/>
                <w:color w:val="000000"/>
                <w:szCs w:val="21"/>
                <w:u w:val="single"/>
              </w:rPr>
              <w:t>满足/不满足</w:t>
            </w:r>
          </w:p>
        </w:tc>
        <w:tc>
          <w:tcPr>
            <w:tcW w:w="1134" w:type="dxa"/>
            <w:tcBorders>
              <w:top w:val="single" w:color="auto" w:sz="4" w:space="0"/>
              <w:left w:val="single" w:color="auto" w:sz="4" w:space="0"/>
              <w:bottom w:val="single" w:color="auto" w:sz="4" w:space="0"/>
              <w:right w:val="single" w:color="auto" w:sz="4" w:space="0"/>
            </w:tcBorders>
            <w:vAlign w:val="center"/>
          </w:tcPr>
          <w:p w14:paraId="737D588C">
            <w:pPr>
              <w:spacing w:line="480" w:lineRule="auto"/>
              <w:rPr>
                <w:rFonts w:ascii="宋体" w:hAnsi="宋体"/>
                <w:color w:val="000000"/>
              </w:rPr>
            </w:pPr>
          </w:p>
        </w:tc>
      </w:tr>
      <w:tr w14:paraId="0C098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58" w:type="dxa"/>
            <w:tcBorders>
              <w:top w:val="single" w:color="auto" w:sz="4" w:space="0"/>
              <w:left w:val="single" w:color="auto" w:sz="4" w:space="0"/>
              <w:bottom w:val="single" w:color="auto" w:sz="4" w:space="0"/>
              <w:right w:val="single" w:color="auto" w:sz="4" w:space="0"/>
            </w:tcBorders>
            <w:vAlign w:val="center"/>
          </w:tcPr>
          <w:p w14:paraId="50D4A90A">
            <w:pPr>
              <w:spacing w:line="480" w:lineRule="auto"/>
              <w:jc w:val="center"/>
              <w:rPr>
                <w:rFonts w:ascii="宋体" w:hAnsi="宋体"/>
                <w:color w:val="000000"/>
              </w:rPr>
            </w:pPr>
            <w:r>
              <w:rPr>
                <w:rFonts w:hint="eastAsia" w:ascii="宋体" w:hAnsi="宋体"/>
                <w:color w:val="000000"/>
              </w:rPr>
              <w:t>2</w:t>
            </w:r>
          </w:p>
        </w:tc>
        <w:tc>
          <w:tcPr>
            <w:tcW w:w="6254" w:type="dxa"/>
            <w:gridSpan w:val="2"/>
            <w:tcBorders>
              <w:top w:val="single" w:color="auto" w:sz="4" w:space="0"/>
              <w:left w:val="single" w:color="auto" w:sz="4" w:space="0"/>
              <w:bottom w:val="single" w:color="auto" w:sz="4" w:space="0"/>
              <w:right w:val="single" w:color="auto" w:sz="4" w:space="0"/>
            </w:tcBorders>
            <w:vAlign w:val="center"/>
          </w:tcPr>
          <w:p w14:paraId="1E08F315">
            <w:pPr>
              <w:rPr>
                <w:color w:val="000000"/>
              </w:rPr>
            </w:pPr>
            <w:r>
              <w:rPr>
                <w:color w:val="000000"/>
              </w:rPr>
              <w:t>单位负责人为同一人或者存在直接控股、管理关系的不同</w:t>
            </w:r>
            <w:r>
              <w:rPr>
                <w:rFonts w:hint="eastAsia"/>
                <w:color w:val="000000"/>
              </w:rPr>
              <w:t>投标人</w:t>
            </w:r>
            <w:r>
              <w:rPr>
                <w:color w:val="000000"/>
              </w:rPr>
              <w:t>，不得参加同一合同项下的政府采购活动</w:t>
            </w:r>
          </w:p>
        </w:tc>
        <w:tc>
          <w:tcPr>
            <w:tcW w:w="1985" w:type="dxa"/>
            <w:tcBorders>
              <w:top w:val="single" w:color="auto" w:sz="4" w:space="0"/>
              <w:left w:val="single" w:color="auto" w:sz="4" w:space="0"/>
              <w:bottom w:val="single" w:color="auto" w:sz="4" w:space="0"/>
              <w:right w:val="single" w:color="auto" w:sz="4" w:space="0"/>
            </w:tcBorders>
            <w:vAlign w:val="center"/>
          </w:tcPr>
          <w:p w14:paraId="6EEB2C6F">
            <w:pPr>
              <w:spacing w:line="480" w:lineRule="auto"/>
              <w:jc w:val="center"/>
              <w:rPr>
                <w:rFonts w:ascii="宋体" w:hAnsi="宋体"/>
                <w:i/>
                <w:color w:val="000000"/>
                <w:szCs w:val="21"/>
                <w:u w:val="single"/>
              </w:rPr>
            </w:pPr>
            <w:r>
              <w:rPr>
                <w:rFonts w:ascii="宋体" w:hAnsi="宋体"/>
                <w:i/>
                <w:color w:val="000000"/>
                <w:szCs w:val="21"/>
                <w:u w:val="single"/>
              </w:rPr>
              <w:t>满足/不满足</w:t>
            </w:r>
          </w:p>
        </w:tc>
        <w:tc>
          <w:tcPr>
            <w:tcW w:w="1134" w:type="dxa"/>
            <w:tcBorders>
              <w:top w:val="single" w:color="auto" w:sz="4" w:space="0"/>
              <w:left w:val="single" w:color="auto" w:sz="4" w:space="0"/>
              <w:bottom w:val="single" w:color="auto" w:sz="4" w:space="0"/>
              <w:right w:val="single" w:color="auto" w:sz="4" w:space="0"/>
            </w:tcBorders>
            <w:vAlign w:val="center"/>
          </w:tcPr>
          <w:p w14:paraId="32EC29F2">
            <w:pPr>
              <w:spacing w:line="480" w:lineRule="auto"/>
              <w:rPr>
                <w:rFonts w:ascii="宋体" w:hAnsi="宋体"/>
                <w:color w:val="000000"/>
              </w:rPr>
            </w:pPr>
          </w:p>
        </w:tc>
      </w:tr>
      <w:tr w14:paraId="7AD16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58" w:type="dxa"/>
            <w:tcBorders>
              <w:top w:val="single" w:color="auto" w:sz="4" w:space="0"/>
              <w:left w:val="single" w:color="auto" w:sz="4" w:space="0"/>
              <w:bottom w:val="single" w:color="auto" w:sz="4" w:space="0"/>
              <w:right w:val="single" w:color="auto" w:sz="4" w:space="0"/>
            </w:tcBorders>
            <w:vAlign w:val="center"/>
          </w:tcPr>
          <w:p w14:paraId="722D1D36">
            <w:pPr>
              <w:spacing w:line="480" w:lineRule="auto"/>
              <w:jc w:val="center"/>
              <w:rPr>
                <w:rFonts w:ascii="宋体" w:hAnsi="宋体"/>
                <w:color w:val="000000"/>
              </w:rPr>
            </w:pPr>
            <w:r>
              <w:rPr>
                <w:rFonts w:hint="eastAsia" w:ascii="宋体" w:hAnsi="宋体"/>
                <w:color w:val="000000"/>
              </w:rPr>
              <w:t>3</w:t>
            </w:r>
          </w:p>
        </w:tc>
        <w:tc>
          <w:tcPr>
            <w:tcW w:w="6254" w:type="dxa"/>
            <w:gridSpan w:val="2"/>
            <w:tcBorders>
              <w:top w:val="single" w:color="auto" w:sz="4" w:space="0"/>
              <w:left w:val="single" w:color="auto" w:sz="4" w:space="0"/>
              <w:bottom w:val="single" w:color="auto" w:sz="4" w:space="0"/>
              <w:right w:val="single" w:color="auto" w:sz="4" w:space="0"/>
            </w:tcBorders>
            <w:vAlign w:val="center"/>
          </w:tcPr>
          <w:p w14:paraId="25C2329B">
            <w:pPr>
              <w:rPr>
                <w:color w:val="000000"/>
              </w:rPr>
            </w:pPr>
            <w:r>
              <w:rPr>
                <w:rFonts w:hint="eastAsia"/>
                <w:color w:val="000000"/>
              </w:rPr>
              <w:t>投标人不得在中国政府采购网被列入政府采购严重违法失信行为记录名单，或在“信用中国”网站被列入失信被执行人、重大税收违法案件当事人名单，以及存在《政府采购法实施条例》第十九条规定的行政处罚记录</w:t>
            </w:r>
          </w:p>
        </w:tc>
        <w:tc>
          <w:tcPr>
            <w:tcW w:w="1985" w:type="dxa"/>
            <w:tcBorders>
              <w:top w:val="single" w:color="auto" w:sz="4" w:space="0"/>
              <w:left w:val="single" w:color="auto" w:sz="4" w:space="0"/>
              <w:bottom w:val="single" w:color="auto" w:sz="4" w:space="0"/>
              <w:right w:val="single" w:color="auto" w:sz="4" w:space="0"/>
            </w:tcBorders>
            <w:vAlign w:val="center"/>
          </w:tcPr>
          <w:p w14:paraId="4F0B3F6A">
            <w:pPr>
              <w:spacing w:line="480" w:lineRule="auto"/>
              <w:jc w:val="center"/>
              <w:rPr>
                <w:rFonts w:ascii="宋体" w:hAnsi="宋体"/>
                <w:i/>
                <w:color w:val="000000"/>
              </w:rPr>
            </w:pPr>
            <w:r>
              <w:rPr>
                <w:rFonts w:ascii="宋体" w:hAnsi="宋体"/>
                <w:i/>
                <w:color w:val="000000"/>
                <w:szCs w:val="21"/>
                <w:u w:val="single"/>
              </w:rPr>
              <w:t>满足/不满足</w:t>
            </w:r>
          </w:p>
        </w:tc>
        <w:tc>
          <w:tcPr>
            <w:tcW w:w="1134" w:type="dxa"/>
            <w:tcBorders>
              <w:top w:val="single" w:color="auto" w:sz="4" w:space="0"/>
              <w:left w:val="single" w:color="auto" w:sz="4" w:space="0"/>
              <w:bottom w:val="single" w:color="auto" w:sz="4" w:space="0"/>
              <w:right w:val="single" w:color="auto" w:sz="4" w:space="0"/>
            </w:tcBorders>
            <w:vAlign w:val="center"/>
          </w:tcPr>
          <w:p w14:paraId="163851A0">
            <w:pPr>
              <w:spacing w:line="480" w:lineRule="auto"/>
              <w:rPr>
                <w:rFonts w:ascii="宋体" w:hAnsi="宋体"/>
                <w:color w:val="000000"/>
              </w:rPr>
            </w:pPr>
          </w:p>
        </w:tc>
      </w:tr>
      <w:tr w14:paraId="2EDE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58" w:type="dxa"/>
            <w:tcBorders>
              <w:top w:val="single" w:color="auto" w:sz="4" w:space="0"/>
              <w:left w:val="single" w:color="auto" w:sz="4" w:space="0"/>
              <w:bottom w:val="single" w:color="auto" w:sz="4" w:space="0"/>
              <w:right w:val="single" w:color="auto" w:sz="4" w:space="0"/>
            </w:tcBorders>
            <w:vAlign w:val="center"/>
          </w:tcPr>
          <w:p w14:paraId="071E6E5C">
            <w:pPr>
              <w:spacing w:line="480" w:lineRule="auto"/>
              <w:jc w:val="center"/>
              <w:rPr>
                <w:rFonts w:ascii="宋体" w:hAnsi="宋体"/>
                <w:color w:val="000000"/>
              </w:rPr>
            </w:pPr>
            <w:r>
              <w:rPr>
                <w:rFonts w:hint="eastAsia" w:ascii="宋体" w:hAnsi="宋体"/>
                <w:color w:val="000000"/>
              </w:rPr>
              <w:t>4</w:t>
            </w:r>
          </w:p>
        </w:tc>
        <w:tc>
          <w:tcPr>
            <w:tcW w:w="6254" w:type="dxa"/>
            <w:gridSpan w:val="2"/>
            <w:tcBorders>
              <w:top w:val="single" w:color="auto" w:sz="4" w:space="0"/>
              <w:left w:val="single" w:color="auto" w:sz="4" w:space="0"/>
              <w:bottom w:val="single" w:color="auto" w:sz="4" w:space="0"/>
              <w:right w:val="single" w:color="auto" w:sz="4" w:space="0"/>
            </w:tcBorders>
            <w:vAlign w:val="center"/>
          </w:tcPr>
          <w:p w14:paraId="5C924526">
            <w:pPr>
              <w:spacing w:line="480" w:lineRule="auto"/>
              <w:jc w:val="left"/>
              <w:rPr>
                <w:rFonts w:ascii="宋体" w:hAnsi="宋体" w:cs="宋体"/>
                <w:color w:val="000000"/>
                <w:sz w:val="18"/>
                <w:szCs w:val="18"/>
              </w:rPr>
            </w:pPr>
            <w:r>
              <w:rPr>
                <w:rFonts w:hint="eastAsia" w:ascii="宋体" w:hAnsi="宋体" w:cs="宋体"/>
                <w:color w:val="000000"/>
                <w:szCs w:val="21"/>
              </w:rPr>
              <w:t>响应文件未含有采购人不能接受的附加条件</w:t>
            </w:r>
          </w:p>
        </w:tc>
        <w:tc>
          <w:tcPr>
            <w:tcW w:w="1985" w:type="dxa"/>
            <w:tcBorders>
              <w:top w:val="single" w:color="auto" w:sz="4" w:space="0"/>
              <w:left w:val="single" w:color="auto" w:sz="4" w:space="0"/>
              <w:bottom w:val="single" w:color="auto" w:sz="4" w:space="0"/>
              <w:right w:val="single" w:color="auto" w:sz="4" w:space="0"/>
            </w:tcBorders>
            <w:vAlign w:val="center"/>
          </w:tcPr>
          <w:p w14:paraId="12E0B4C1">
            <w:pPr>
              <w:spacing w:line="480" w:lineRule="auto"/>
              <w:jc w:val="center"/>
              <w:rPr>
                <w:rFonts w:ascii="宋体" w:hAnsi="宋体"/>
                <w:i/>
                <w:color w:val="000000"/>
                <w:szCs w:val="21"/>
                <w:u w:val="single"/>
              </w:rPr>
            </w:pPr>
            <w:r>
              <w:rPr>
                <w:rFonts w:ascii="宋体" w:hAnsi="宋体"/>
                <w:i/>
                <w:color w:val="000000"/>
                <w:szCs w:val="21"/>
                <w:u w:val="single"/>
              </w:rPr>
              <w:t>满足/不满足</w:t>
            </w:r>
          </w:p>
        </w:tc>
        <w:tc>
          <w:tcPr>
            <w:tcW w:w="1134" w:type="dxa"/>
            <w:tcBorders>
              <w:top w:val="single" w:color="auto" w:sz="4" w:space="0"/>
              <w:left w:val="single" w:color="auto" w:sz="4" w:space="0"/>
              <w:bottom w:val="single" w:color="auto" w:sz="4" w:space="0"/>
              <w:right w:val="single" w:color="auto" w:sz="4" w:space="0"/>
            </w:tcBorders>
            <w:vAlign w:val="center"/>
          </w:tcPr>
          <w:p w14:paraId="3A19EE67">
            <w:pPr>
              <w:spacing w:line="480" w:lineRule="auto"/>
              <w:rPr>
                <w:rFonts w:ascii="宋体" w:hAnsi="宋体"/>
                <w:color w:val="000000"/>
              </w:rPr>
            </w:pPr>
          </w:p>
        </w:tc>
      </w:tr>
      <w:tr w14:paraId="00F3B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58" w:type="dxa"/>
            <w:tcBorders>
              <w:top w:val="single" w:color="auto" w:sz="4" w:space="0"/>
              <w:left w:val="single" w:color="auto" w:sz="4" w:space="0"/>
              <w:bottom w:val="single" w:color="auto" w:sz="4" w:space="0"/>
              <w:right w:val="single" w:color="auto" w:sz="4" w:space="0"/>
            </w:tcBorders>
            <w:vAlign w:val="center"/>
          </w:tcPr>
          <w:p w14:paraId="3D520937">
            <w:pPr>
              <w:spacing w:line="480" w:lineRule="auto"/>
              <w:jc w:val="center"/>
              <w:rPr>
                <w:rFonts w:ascii="宋体" w:hAnsi="宋体"/>
                <w:color w:val="000000"/>
              </w:rPr>
            </w:pPr>
            <w:r>
              <w:rPr>
                <w:rFonts w:hint="eastAsia" w:ascii="宋体" w:hAnsi="宋体"/>
                <w:color w:val="000000"/>
              </w:rPr>
              <w:t>5</w:t>
            </w:r>
          </w:p>
        </w:tc>
        <w:tc>
          <w:tcPr>
            <w:tcW w:w="6254" w:type="dxa"/>
            <w:gridSpan w:val="2"/>
            <w:tcBorders>
              <w:top w:val="single" w:color="auto" w:sz="4" w:space="0"/>
              <w:left w:val="single" w:color="auto" w:sz="4" w:space="0"/>
              <w:bottom w:val="single" w:color="auto" w:sz="4" w:space="0"/>
              <w:right w:val="single" w:color="auto" w:sz="4" w:space="0"/>
            </w:tcBorders>
            <w:vAlign w:val="center"/>
          </w:tcPr>
          <w:p w14:paraId="672C9D35">
            <w:pPr>
              <w:rPr>
                <w:color w:val="000000"/>
              </w:rPr>
            </w:pPr>
            <w:r>
              <w:rPr>
                <w:rFonts w:hint="eastAsia"/>
                <w:color w:val="000000"/>
              </w:rPr>
              <w:t>所投产品质量标准符合招标文件“合格（符合国家强制标准等），全新原厂原件”的要求</w:t>
            </w:r>
          </w:p>
        </w:tc>
        <w:tc>
          <w:tcPr>
            <w:tcW w:w="1985" w:type="dxa"/>
            <w:tcBorders>
              <w:top w:val="single" w:color="auto" w:sz="4" w:space="0"/>
              <w:left w:val="single" w:color="auto" w:sz="4" w:space="0"/>
              <w:bottom w:val="single" w:color="auto" w:sz="4" w:space="0"/>
              <w:right w:val="single" w:color="auto" w:sz="4" w:space="0"/>
            </w:tcBorders>
            <w:vAlign w:val="center"/>
          </w:tcPr>
          <w:p w14:paraId="2FF3D67F">
            <w:pPr>
              <w:spacing w:line="480" w:lineRule="auto"/>
              <w:jc w:val="center"/>
              <w:rPr>
                <w:rFonts w:ascii="宋体" w:hAnsi="宋体"/>
                <w:i/>
                <w:color w:val="000000"/>
                <w:szCs w:val="21"/>
                <w:u w:val="single"/>
              </w:rPr>
            </w:pPr>
            <w:r>
              <w:rPr>
                <w:rFonts w:ascii="宋体" w:hAnsi="宋体"/>
                <w:i/>
                <w:color w:val="000000"/>
                <w:szCs w:val="21"/>
                <w:u w:val="single"/>
              </w:rPr>
              <w:t>满足/不满足</w:t>
            </w:r>
          </w:p>
        </w:tc>
        <w:tc>
          <w:tcPr>
            <w:tcW w:w="1134" w:type="dxa"/>
            <w:tcBorders>
              <w:top w:val="single" w:color="auto" w:sz="4" w:space="0"/>
              <w:left w:val="single" w:color="auto" w:sz="4" w:space="0"/>
              <w:bottom w:val="single" w:color="auto" w:sz="4" w:space="0"/>
              <w:right w:val="single" w:color="auto" w:sz="4" w:space="0"/>
            </w:tcBorders>
            <w:vAlign w:val="center"/>
          </w:tcPr>
          <w:p w14:paraId="32397F59">
            <w:pPr>
              <w:spacing w:line="480" w:lineRule="auto"/>
              <w:rPr>
                <w:rFonts w:ascii="宋体" w:hAnsi="宋体"/>
                <w:color w:val="000000"/>
              </w:rPr>
            </w:pPr>
          </w:p>
        </w:tc>
      </w:tr>
      <w:tr w14:paraId="457CB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58" w:type="dxa"/>
            <w:tcBorders>
              <w:top w:val="single" w:color="auto" w:sz="4" w:space="0"/>
              <w:left w:val="single" w:color="auto" w:sz="4" w:space="0"/>
              <w:bottom w:val="single" w:color="auto" w:sz="4" w:space="0"/>
              <w:right w:val="single" w:color="auto" w:sz="4" w:space="0"/>
            </w:tcBorders>
            <w:vAlign w:val="center"/>
          </w:tcPr>
          <w:p w14:paraId="531A268B">
            <w:pPr>
              <w:jc w:val="center"/>
              <w:rPr>
                <w:color w:val="000000"/>
              </w:rPr>
            </w:pPr>
            <w:r>
              <w:rPr>
                <w:rFonts w:hint="eastAsia"/>
                <w:color w:val="000000"/>
              </w:rPr>
              <w:t>6</w:t>
            </w:r>
          </w:p>
        </w:tc>
        <w:tc>
          <w:tcPr>
            <w:tcW w:w="6254" w:type="dxa"/>
            <w:gridSpan w:val="2"/>
            <w:tcBorders>
              <w:top w:val="single" w:color="auto" w:sz="4" w:space="0"/>
              <w:left w:val="single" w:color="auto" w:sz="4" w:space="0"/>
              <w:bottom w:val="single" w:color="auto" w:sz="4" w:space="0"/>
              <w:right w:val="single" w:color="auto" w:sz="4" w:space="0"/>
            </w:tcBorders>
            <w:vAlign w:val="center"/>
          </w:tcPr>
          <w:p w14:paraId="4B5025BF">
            <w:pPr>
              <w:rPr>
                <w:color w:val="000000"/>
              </w:rPr>
            </w:pPr>
            <w:r>
              <w:rPr>
                <w:rFonts w:hint="eastAsia" w:ascii="宋体" w:hAnsi="宋体"/>
                <w:color w:val="000000"/>
              </w:rPr>
              <w:t>所投产品符合采购文件“进口产品”的要求</w:t>
            </w:r>
          </w:p>
        </w:tc>
        <w:tc>
          <w:tcPr>
            <w:tcW w:w="1985" w:type="dxa"/>
            <w:tcBorders>
              <w:top w:val="single" w:color="auto" w:sz="4" w:space="0"/>
              <w:left w:val="single" w:color="auto" w:sz="4" w:space="0"/>
              <w:bottom w:val="single" w:color="auto" w:sz="4" w:space="0"/>
              <w:right w:val="single" w:color="auto" w:sz="4" w:space="0"/>
            </w:tcBorders>
            <w:vAlign w:val="center"/>
          </w:tcPr>
          <w:p w14:paraId="3A9DEFF1">
            <w:pPr>
              <w:spacing w:line="480" w:lineRule="auto"/>
              <w:jc w:val="center"/>
              <w:rPr>
                <w:rFonts w:ascii="宋体" w:hAnsi="宋体"/>
                <w:i/>
                <w:color w:val="000000"/>
              </w:rPr>
            </w:pPr>
            <w:r>
              <w:rPr>
                <w:rFonts w:ascii="宋体" w:hAnsi="宋体"/>
                <w:i/>
                <w:color w:val="000000"/>
                <w:szCs w:val="21"/>
                <w:u w:val="single"/>
              </w:rPr>
              <w:t>满足/不满足</w:t>
            </w:r>
          </w:p>
        </w:tc>
        <w:tc>
          <w:tcPr>
            <w:tcW w:w="1134" w:type="dxa"/>
            <w:tcBorders>
              <w:top w:val="single" w:color="auto" w:sz="4" w:space="0"/>
              <w:left w:val="single" w:color="auto" w:sz="4" w:space="0"/>
              <w:bottom w:val="single" w:color="auto" w:sz="4" w:space="0"/>
              <w:right w:val="single" w:color="auto" w:sz="4" w:space="0"/>
            </w:tcBorders>
            <w:vAlign w:val="center"/>
          </w:tcPr>
          <w:p w14:paraId="5C6CE02E">
            <w:pPr>
              <w:rPr>
                <w:b/>
                <w:color w:val="000000"/>
              </w:rPr>
            </w:pPr>
          </w:p>
        </w:tc>
      </w:tr>
      <w:tr w14:paraId="7202A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58" w:type="dxa"/>
            <w:tcBorders>
              <w:top w:val="single" w:color="auto" w:sz="4" w:space="0"/>
              <w:left w:val="single" w:color="auto" w:sz="4" w:space="0"/>
              <w:bottom w:val="single" w:color="auto" w:sz="4" w:space="0"/>
              <w:right w:val="single" w:color="auto" w:sz="4" w:space="0"/>
            </w:tcBorders>
            <w:vAlign w:val="center"/>
          </w:tcPr>
          <w:p w14:paraId="2030589E">
            <w:pPr>
              <w:jc w:val="center"/>
              <w:rPr>
                <w:color w:val="000000"/>
              </w:rPr>
            </w:pPr>
            <w:r>
              <w:rPr>
                <w:rFonts w:hint="eastAsia"/>
                <w:color w:val="000000"/>
              </w:rPr>
              <w:t>7</w:t>
            </w:r>
          </w:p>
        </w:tc>
        <w:tc>
          <w:tcPr>
            <w:tcW w:w="6254" w:type="dxa"/>
            <w:gridSpan w:val="2"/>
            <w:tcBorders>
              <w:top w:val="single" w:color="auto" w:sz="4" w:space="0"/>
              <w:left w:val="single" w:color="auto" w:sz="4" w:space="0"/>
              <w:bottom w:val="single" w:color="auto" w:sz="4" w:space="0"/>
              <w:right w:val="single" w:color="auto" w:sz="4" w:space="0"/>
            </w:tcBorders>
            <w:vAlign w:val="center"/>
          </w:tcPr>
          <w:p w14:paraId="16F98B2F">
            <w:pPr>
              <w:spacing w:line="480" w:lineRule="auto"/>
              <w:rPr>
                <w:color w:val="000000"/>
              </w:rPr>
            </w:pPr>
            <w:r>
              <w:rPr>
                <w:rFonts w:hint="eastAsia" w:ascii="宋体" w:hAnsi="宋体"/>
                <w:color w:val="000000"/>
                <w:szCs w:val="21"/>
              </w:rPr>
              <w:t>投标人不得进行多方案投标（多方案的</w:t>
            </w:r>
            <w:r>
              <w:rPr>
                <w:rFonts w:hint="eastAsia" w:ascii="宋体" w:hAnsi="宋体" w:cs="宋体"/>
                <w:color w:val="000000"/>
                <w:szCs w:val="21"/>
              </w:rPr>
              <w:t>将被认定为</w:t>
            </w:r>
            <w:r>
              <w:rPr>
                <w:rFonts w:hint="eastAsia" w:ascii="宋体" w:hAnsi="宋体" w:cs="宋体"/>
                <w:bCs/>
                <w:color w:val="000000"/>
                <w:szCs w:val="21"/>
              </w:rPr>
              <w:t>投标无效</w:t>
            </w:r>
            <w:r>
              <w:rPr>
                <w:rFonts w:hint="eastAsia" w:ascii="宋体" w:hAnsi="宋体"/>
                <w:color w:val="000000"/>
                <w:szCs w:val="21"/>
              </w:rPr>
              <w:t>）</w:t>
            </w:r>
          </w:p>
        </w:tc>
        <w:tc>
          <w:tcPr>
            <w:tcW w:w="1985" w:type="dxa"/>
            <w:tcBorders>
              <w:top w:val="single" w:color="auto" w:sz="4" w:space="0"/>
              <w:left w:val="single" w:color="auto" w:sz="4" w:space="0"/>
              <w:bottom w:val="single" w:color="auto" w:sz="4" w:space="0"/>
              <w:right w:val="single" w:color="auto" w:sz="4" w:space="0"/>
            </w:tcBorders>
            <w:vAlign w:val="center"/>
          </w:tcPr>
          <w:p w14:paraId="6DA15AB2">
            <w:pPr>
              <w:spacing w:line="480" w:lineRule="auto"/>
              <w:jc w:val="center"/>
              <w:rPr>
                <w:rFonts w:ascii="宋体" w:hAnsi="宋体"/>
                <w:i/>
                <w:color w:val="000000"/>
              </w:rPr>
            </w:pPr>
            <w:r>
              <w:rPr>
                <w:rFonts w:ascii="宋体" w:hAnsi="宋体"/>
                <w:i/>
                <w:color w:val="000000"/>
                <w:szCs w:val="21"/>
                <w:u w:val="single"/>
              </w:rPr>
              <w:t>满足/不满足</w:t>
            </w:r>
          </w:p>
        </w:tc>
        <w:tc>
          <w:tcPr>
            <w:tcW w:w="1134" w:type="dxa"/>
            <w:tcBorders>
              <w:top w:val="single" w:color="auto" w:sz="4" w:space="0"/>
              <w:left w:val="single" w:color="auto" w:sz="4" w:space="0"/>
              <w:bottom w:val="single" w:color="auto" w:sz="4" w:space="0"/>
              <w:right w:val="single" w:color="auto" w:sz="4" w:space="0"/>
            </w:tcBorders>
            <w:vAlign w:val="center"/>
          </w:tcPr>
          <w:p w14:paraId="6A2DAC8E">
            <w:pPr>
              <w:rPr>
                <w:b/>
                <w:color w:val="000000"/>
              </w:rPr>
            </w:pPr>
          </w:p>
        </w:tc>
      </w:tr>
      <w:tr w14:paraId="395F0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58" w:type="dxa"/>
            <w:tcBorders>
              <w:top w:val="single" w:color="auto" w:sz="4" w:space="0"/>
              <w:left w:val="single" w:color="auto" w:sz="4" w:space="0"/>
              <w:bottom w:val="single" w:color="auto" w:sz="4" w:space="0"/>
              <w:right w:val="single" w:color="auto" w:sz="4" w:space="0"/>
            </w:tcBorders>
            <w:vAlign w:val="center"/>
          </w:tcPr>
          <w:p w14:paraId="753A33F7">
            <w:pPr>
              <w:spacing w:line="480" w:lineRule="auto"/>
              <w:jc w:val="center"/>
              <w:rPr>
                <w:rFonts w:ascii="宋体" w:hAnsi="宋体"/>
                <w:color w:val="000000"/>
              </w:rPr>
            </w:pPr>
            <w:r>
              <w:rPr>
                <w:rFonts w:hint="eastAsia" w:ascii="宋体" w:hAnsi="宋体"/>
                <w:color w:val="000000"/>
              </w:rPr>
              <w:t>8</w:t>
            </w:r>
          </w:p>
        </w:tc>
        <w:tc>
          <w:tcPr>
            <w:tcW w:w="6254" w:type="dxa"/>
            <w:gridSpan w:val="2"/>
            <w:tcBorders>
              <w:top w:val="single" w:color="auto" w:sz="4" w:space="0"/>
              <w:left w:val="single" w:color="auto" w:sz="4" w:space="0"/>
              <w:bottom w:val="single" w:color="auto" w:sz="4" w:space="0"/>
              <w:right w:val="single" w:color="auto" w:sz="4" w:space="0"/>
            </w:tcBorders>
            <w:vAlign w:val="center"/>
          </w:tcPr>
          <w:p w14:paraId="5DB8085A">
            <w:pPr>
              <w:spacing w:line="480" w:lineRule="auto"/>
              <w:rPr>
                <w:color w:val="000000"/>
              </w:rPr>
            </w:pPr>
            <w:r>
              <w:rPr>
                <w:rFonts w:hint="eastAsia"/>
                <w:color w:val="000000"/>
              </w:rPr>
              <w:t>接受招标文件约定的交付或者实施的地点（范围）（施工地点）</w:t>
            </w:r>
          </w:p>
        </w:tc>
        <w:tc>
          <w:tcPr>
            <w:tcW w:w="1985" w:type="dxa"/>
            <w:tcBorders>
              <w:top w:val="single" w:color="auto" w:sz="4" w:space="0"/>
              <w:left w:val="single" w:color="auto" w:sz="4" w:space="0"/>
              <w:bottom w:val="single" w:color="auto" w:sz="4" w:space="0"/>
              <w:right w:val="single" w:color="auto" w:sz="4" w:space="0"/>
            </w:tcBorders>
            <w:vAlign w:val="center"/>
          </w:tcPr>
          <w:p w14:paraId="550E28CC">
            <w:pPr>
              <w:spacing w:line="480" w:lineRule="auto"/>
              <w:jc w:val="center"/>
              <w:rPr>
                <w:rFonts w:ascii="宋体" w:hAnsi="宋体"/>
                <w:i/>
                <w:color w:val="000000"/>
              </w:rPr>
            </w:pPr>
            <w:r>
              <w:rPr>
                <w:rFonts w:ascii="宋体" w:hAnsi="宋体"/>
                <w:i/>
                <w:color w:val="000000"/>
                <w:szCs w:val="21"/>
                <w:u w:val="single"/>
              </w:rPr>
              <w:t>满足/不满足</w:t>
            </w:r>
          </w:p>
        </w:tc>
        <w:tc>
          <w:tcPr>
            <w:tcW w:w="1134" w:type="dxa"/>
            <w:tcBorders>
              <w:top w:val="single" w:color="auto" w:sz="4" w:space="0"/>
              <w:left w:val="single" w:color="auto" w:sz="4" w:space="0"/>
              <w:bottom w:val="single" w:color="auto" w:sz="4" w:space="0"/>
              <w:right w:val="single" w:color="auto" w:sz="4" w:space="0"/>
            </w:tcBorders>
            <w:vAlign w:val="center"/>
          </w:tcPr>
          <w:p w14:paraId="42EC25CD">
            <w:pPr>
              <w:spacing w:line="480" w:lineRule="auto"/>
              <w:rPr>
                <w:rFonts w:ascii="宋体" w:hAnsi="宋体"/>
                <w:color w:val="000000"/>
              </w:rPr>
            </w:pPr>
          </w:p>
        </w:tc>
      </w:tr>
      <w:tr w14:paraId="6BF52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58" w:type="dxa"/>
            <w:tcBorders>
              <w:top w:val="single" w:color="auto" w:sz="4" w:space="0"/>
              <w:left w:val="single" w:color="auto" w:sz="4" w:space="0"/>
              <w:bottom w:val="single" w:color="auto" w:sz="4" w:space="0"/>
              <w:right w:val="single" w:color="auto" w:sz="4" w:space="0"/>
            </w:tcBorders>
            <w:vAlign w:val="center"/>
          </w:tcPr>
          <w:p w14:paraId="35138234">
            <w:pPr>
              <w:spacing w:line="480" w:lineRule="auto"/>
              <w:jc w:val="center"/>
              <w:rPr>
                <w:rFonts w:ascii="宋体" w:hAnsi="宋体"/>
                <w:color w:val="000000"/>
              </w:rPr>
            </w:pPr>
            <w:r>
              <w:rPr>
                <w:rFonts w:hint="eastAsia" w:ascii="宋体" w:hAnsi="宋体"/>
                <w:color w:val="000000"/>
              </w:rPr>
              <w:t>9</w:t>
            </w:r>
          </w:p>
        </w:tc>
        <w:tc>
          <w:tcPr>
            <w:tcW w:w="6254" w:type="dxa"/>
            <w:gridSpan w:val="2"/>
            <w:tcBorders>
              <w:top w:val="single" w:color="auto" w:sz="4" w:space="0"/>
              <w:left w:val="single" w:color="auto" w:sz="4" w:space="0"/>
              <w:bottom w:val="single" w:color="auto" w:sz="4" w:space="0"/>
              <w:right w:val="single" w:color="auto" w:sz="4" w:space="0"/>
            </w:tcBorders>
            <w:vAlign w:val="center"/>
          </w:tcPr>
          <w:p w14:paraId="0DECF556">
            <w:pPr>
              <w:spacing w:line="480" w:lineRule="auto"/>
              <w:rPr>
                <w:rFonts w:ascii="宋体" w:hAnsi="宋体"/>
                <w:color w:val="000000"/>
              </w:rPr>
            </w:pPr>
            <w:r>
              <w:rPr>
                <w:rFonts w:hint="eastAsia" w:ascii="宋体" w:hAnsi="宋体"/>
                <w:color w:val="000000"/>
              </w:rPr>
              <w:t>接受招标文件约定的采购资金的支付方式、时间、条件（付款条件）</w:t>
            </w:r>
          </w:p>
        </w:tc>
        <w:tc>
          <w:tcPr>
            <w:tcW w:w="1985" w:type="dxa"/>
            <w:tcBorders>
              <w:top w:val="single" w:color="auto" w:sz="4" w:space="0"/>
              <w:left w:val="single" w:color="auto" w:sz="4" w:space="0"/>
              <w:bottom w:val="single" w:color="auto" w:sz="4" w:space="0"/>
              <w:right w:val="single" w:color="auto" w:sz="4" w:space="0"/>
            </w:tcBorders>
            <w:vAlign w:val="center"/>
          </w:tcPr>
          <w:p w14:paraId="51F0DCAE">
            <w:pPr>
              <w:spacing w:line="480" w:lineRule="auto"/>
              <w:jc w:val="center"/>
              <w:rPr>
                <w:rFonts w:ascii="宋体" w:hAnsi="宋体"/>
                <w:i/>
                <w:color w:val="000000"/>
              </w:rPr>
            </w:pPr>
            <w:r>
              <w:rPr>
                <w:rFonts w:ascii="宋体" w:hAnsi="宋体"/>
                <w:i/>
                <w:color w:val="000000"/>
                <w:szCs w:val="21"/>
                <w:u w:val="single"/>
              </w:rPr>
              <w:t>满足/不满足</w:t>
            </w:r>
          </w:p>
        </w:tc>
        <w:tc>
          <w:tcPr>
            <w:tcW w:w="1134" w:type="dxa"/>
            <w:tcBorders>
              <w:top w:val="single" w:color="auto" w:sz="4" w:space="0"/>
              <w:left w:val="single" w:color="auto" w:sz="4" w:space="0"/>
              <w:bottom w:val="single" w:color="auto" w:sz="4" w:space="0"/>
              <w:right w:val="single" w:color="auto" w:sz="4" w:space="0"/>
            </w:tcBorders>
            <w:vAlign w:val="center"/>
          </w:tcPr>
          <w:p w14:paraId="1A1DC99D">
            <w:pPr>
              <w:spacing w:line="480" w:lineRule="auto"/>
              <w:rPr>
                <w:rFonts w:ascii="宋体" w:hAnsi="宋体"/>
                <w:color w:val="000000"/>
              </w:rPr>
            </w:pPr>
          </w:p>
        </w:tc>
      </w:tr>
      <w:tr w14:paraId="0A919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58" w:type="dxa"/>
            <w:tcBorders>
              <w:top w:val="single" w:color="auto" w:sz="4" w:space="0"/>
              <w:left w:val="single" w:color="auto" w:sz="4" w:space="0"/>
              <w:bottom w:val="single" w:color="auto" w:sz="4" w:space="0"/>
              <w:right w:val="single" w:color="auto" w:sz="4" w:space="0"/>
            </w:tcBorders>
            <w:vAlign w:val="center"/>
          </w:tcPr>
          <w:p w14:paraId="60FC5175">
            <w:pPr>
              <w:spacing w:line="480" w:lineRule="auto"/>
              <w:jc w:val="center"/>
              <w:rPr>
                <w:rFonts w:ascii="宋体" w:hAnsi="宋体"/>
                <w:color w:val="000000"/>
              </w:rPr>
            </w:pPr>
          </w:p>
        </w:tc>
        <w:tc>
          <w:tcPr>
            <w:tcW w:w="6254" w:type="dxa"/>
            <w:gridSpan w:val="2"/>
            <w:tcBorders>
              <w:top w:val="single" w:color="auto" w:sz="4" w:space="0"/>
              <w:left w:val="single" w:color="auto" w:sz="4" w:space="0"/>
              <w:bottom w:val="single" w:color="auto" w:sz="4" w:space="0"/>
              <w:right w:val="single" w:color="auto" w:sz="4" w:space="0"/>
            </w:tcBorders>
            <w:vAlign w:val="center"/>
          </w:tcPr>
          <w:p w14:paraId="7C08AC5A">
            <w:pPr>
              <w:spacing w:line="480" w:lineRule="auto"/>
              <w:rPr>
                <w:rFonts w:ascii="宋体" w:hAnsi="宋体"/>
                <w:i/>
                <w:color w:val="000000"/>
              </w:rPr>
            </w:pPr>
            <w:r>
              <w:rPr>
                <w:rFonts w:hint="eastAsia" w:ascii="宋体" w:hAnsi="宋体"/>
                <w:i/>
                <w:color w:val="000000"/>
              </w:rPr>
              <w:t>其它要求（可自行添加或另页详述，但须标注其所在页码）</w:t>
            </w:r>
          </w:p>
        </w:tc>
        <w:tc>
          <w:tcPr>
            <w:tcW w:w="1985" w:type="dxa"/>
            <w:tcBorders>
              <w:top w:val="single" w:color="auto" w:sz="4" w:space="0"/>
              <w:left w:val="single" w:color="auto" w:sz="4" w:space="0"/>
              <w:bottom w:val="single" w:color="auto" w:sz="4" w:space="0"/>
              <w:right w:val="single" w:color="auto" w:sz="4" w:space="0"/>
            </w:tcBorders>
            <w:vAlign w:val="center"/>
          </w:tcPr>
          <w:p w14:paraId="0D3BB0EC">
            <w:pPr>
              <w:spacing w:line="480" w:lineRule="auto"/>
              <w:jc w:val="center"/>
              <w:rPr>
                <w:rFonts w:ascii="宋体" w:hAnsi="宋体"/>
                <w:i/>
                <w:color w:val="000000"/>
              </w:rPr>
            </w:pPr>
            <w:r>
              <w:rPr>
                <w:rFonts w:ascii="宋体" w:hAnsi="宋体"/>
                <w:i/>
                <w:color w:val="000000"/>
                <w:szCs w:val="21"/>
                <w:u w:val="single"/>
              </w:rPr>
              <w:t>满足/不满足</w:t>
            </w:r>
          </w:p>
        </w:tc>
        <w:tc>
          <w:tcPr>
            <w:tcW w:w="1134" w:type="dxa"/>
            <w:tcBorders>
              <w:top w:val="single" w:color="auto" w:sz="4" w:space="0"/>
              <w:left w:val="single" w:color="auto" w:sz="4" w:space="0"/>
              <w:bottom w:val="single" w:color="auto" w:sz="4" w:space="0"/>
              <w:right w:val="single" w:color="auto" w:sz="4" w:space="0"/>
            </w:tcBorders>
            <w:vAlign w:val="center"/>
          </w:tcPr>
          <w:p w14:paraId="0381B885">
            <w:pPr>
              <w:spacing w:line="480" w:lineRule="auto"/>
              <w:rPr>
                <w:rFonts w:ascii="宋体" w:hAnsi="宋体"/>
                <w:color w:val="000000"/>
              </w:rPr>
            </w:pPr>
          </w:p>
        </w:tc>
      </w:tr>
      <w:tr w14:paraId="7DA99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031" w:type="dxa"/>
            <w:gridSpan w:val="5"/>
            <w:tcBorders>
              <w:top w:val="single" w:color="auto" w:sz="4" w:space="0"/>
              <w:left w:val="single" w:color="auto" w:sz="4" w:space="0"/>
              <w:bottom w:val="single" w:color="auto" w:sz="4" w:space="0"/>
              <w:right w:val="single" w:color="auto" w:sz="4" w:space="0"/>
            </w:tcBorders>
            <w:vAlign w:val="center"/>
          </w:tcPr>
          <w:p w14:paraId="23CC852F">
            <w:pPr>
              <w:spacing w:line="480" w:lineRule="auto"/>
              <w:jc w:val="left"/>
              <w:rPr>
                <w:rFonts w:ascii="宋体" w:hAnsi="宋体"/>
                <w:color w:val="000000"/>
                <w:sz w:val="24"/>
                <w:u w:val="single"/>
              </w:rPr>
            </w:pPr>
            <w:r>
              <w:rPr>
                <w:rFonts w:hint="eastAsia" w:ascii="宋体" w:hAnsi="宋体"/>
                <w:color w:val="000000"/>
                <w:sz w:val="24"/>
                <w:u w:val="single"/>
              </w:rPr>
              <w:t xml:space="preserve">供应商(盖公章)：                                 </w:t>
            </w:r>
          </w:p>
          <w:p w14:paraId="6F40C2C1">
            <w:pPr>
              <w:spacing w:line="480" w:lineRule="auto"/>
              <w:jc w:val="left"/>
              <w:rPr>
                <w:rFonts w:ascii="宋体" w:hAnsi="宋体"/>
                <w:b/>
                <w:color w:val="000000"/>
                <w:szCs w:val="21"/>
                <w:u w:val="single"/>
              </w:rPr>
            </w:pPr>
            <w:r>
              <w:rPr>
                <w:rFonts w:hint="eastAsia" w:ascii="宋体" w:hAnsi="宋体"/>
                <w:color w:val="000000"/>
                <w:sz w:val="24"/>
                <w:u w:val="single"/>
              </w:rPr>
              <w:t>法定代表人或其委托</w:t>
            </w:r>
            <w:r>
              <w:rPr>
                <w:rFonts w:ascii="宋体" w:hAnsi="宋体"/>
                <w:color w:val="000000"/>
                <w:sz w:val="24"/>
                <w:u w:val="single"/>
              </w:rPr>
              <w:t>代理人</w:t>
            </w:r>
            <w:r>
              <w:rPr>
                <w:rFonts w:hint="eastAsia" w:ascii="宋体" w:hAnsi="宋体" w:cs="宋体"/>
                <w:color w:val="000000"/>
                <w:sz w:val="24"/>
                <w:u w:val="single"/>
              </w:rPr>
              <w:t>（签字或签章）</w:t>
            </w:r>
            <w:r>
              <w:rPr>
                <w:rFonts w:hint="eastAsia" w:ascii="宋体" w:hAnsi="宋体"/>
                <w:color w:val="000000"/>
                <w:sz w:val="24"/>
                <w:u w:val="single"/>
              </w:rPr>
              <w:t xml:space="preserve">：          </w:t>
            </w:r>
          </w:p>
        </w:tc>
      </w:tr>
      <w:tr w14:paraId="1CCB5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031" w:type="dxa"/>
            <w:gridSpan w:val="5"/>
            <w:tcBorders>
              <w:top w:val="single" w:color="auto" w:sz="4" w:space="0"/>
              <w:left w:val="single" w:color="auto" w:sz="4" w:space="0"/>
              <w:bottom w:val="single" w:color="auto" w:sz="4" w:space="0"/>
              <w:right w:val="single" w:color="auto" w:sz="4" w:space="0"/>
            </w:tcBorders>
            <w:vAlign w:val="center"/>
          </w:tcPr>
          <w:p w14:paraId="023321C3">
            <w:pPr>
              <w:rPr>
                <w:rFonts w:ascii="宋体" w:hAnsi="宋体"/>
                <w:color w:val="000000"/>
                <w:szCs w:val="21"/>
              </w:rPr>
            </w:pPr>
            <w:r>
              <w:rPr>
                <w:rFonts w:hint="eastAsia" w:ascii="宋体" w:hAnsi="宋体"/>
                <w:b/>
                <w:color w:val="000000"/>
                <w:szCs w:val="21"/>
              </w:rPr>
              <w:t>注：</w:t>
            </w:r>
            <w:r>
              <w:rPr>
                <w:rFonts w:ascii="宋体" w:hAnsi="宋体"/>
                <w:b/>
                <w:color w:val="000000"/>
                <w:szCs w:val="21"/>
              </w:rPr>
              <w:t>1.</w:t>
            </w:r>
            <w:r>
              <w:rPr>
                <w:rFonts w:hint="eastAsia" w:ascii="宋体" w:hAnsi="宋体"/>
                <w:b/>
                <w:color w:val="000000"/>
                <w:szCs w:val="21"/>
              </w:rPr>
              <w:t>供应商</w:t>
            </w:r>
            <w:r>
              <w:rPr>
                <w:rFonts w:ascii="宋体" w:hAnsi="宋体"/>
                <w:b/>
                <w:color w:val="000000"/>
                <w:szCs w:val="21"/>
              </w:rPr>
              <w:t>用“满足</w:t>
            </w:r>
            <w:r>
              <w:rPr>
                <w:rFonts w:hint="eastAsia" w:ascii="宋体" w:hAnsi="宋体"/>
                <w:b/>
                <w:color w:val="000000"/>
                <w:szCs w:val="21"/>
              </w:rPr>
              <w:t>或</w:t>
            </w:r>
            <w:r>
              <w:rPr>
                <w:rFonts w:ascii="宋体" w:hAnsi="宋体"/>
                <w:b/>
                <w:color w:val="000000"/>
                <w:szCs w:val="21"/>
              </w:rPr>
              <w:t>不满足”来表明该要求是否满足</w:t>
            </w:r>
            <w:r>
              <w:rPr>
                <w:rFonts w:hint="eastAsia" w:ascii="宋体" w:hAnsi="宋体"/>
                <w:b/>
                <w:color w:val="000000"/>
                <w:szCs w:val="21"/>
              </w:rPr>
              <w:t>；</w:t>
            </w:r>
          </w:p>
          <w:p w14:paraId="53C364E4">
            <w:pPr>
              <w:rPr>
                <w:rFonts w:ascii="宋体" w:hAnsi="宋体"/>
                <w:color w:val="000000"/>
                <w:sz w:val="18"/>
                <w:szCs w:val="18"/>
              </w:rPr>
            </w:pPr>
            <w:r>
              <w:rPr>
                <w:rFonts w:ascii="宋体" w:hAnsi="宋体"/>
                <w:color w:val="000000"/>
                <w:sz w:val="18"/>
                <w:szCs w:val="18"/>
              </w:rPr>
              <w:t>2</w:t>
            </w:r>
            <w:r>
              <w:rPr>
                <w:rFonts w:hint="eastAsia" w:ascii="宋体" w:hAnsi="宋体"/>
                <w:color w:val="000000"/>
                <w:sz w:val="18"/>
                <w:szCs w:val="18"/>
              </w:rPr>
              <w:t>.</w:t>
            </w:r>
            <w:r>
              <w:rPr>
                <w:rFonts w:ascii="宋体" w:hAnsi="宋体"/>
                <w:color w:val="000000"/>
                <w:sz w:val="18"/>
                <w:szCs w:val="18"/>
              </w:rPr>
              <w:t>供应商可根据其投标内容进一步细化上述表格，</w:t>
            </w:r>
            <w:r>
              <w:rPr>
                <w:rFonts w:hint="eastAsia" w:ascii="宋体" w:hAnsi="宋体"/>
                <w:color w:val="000000"/>
                <w:sz w:val="18"/>
                <w:szCs w:val="18"/>
              </w:rPr>
              <w:t>如本表表格填写不便的，可以另页</w:t>
            </w:r>
            <w:r>
              <w:rPr>
                <w:rFonts w:ascii="宋体" w:hAnsi="宋体"/>
                <w:color w:val="000000"/>
                <w:sz w:val="18"/>
                <w:szCs w:val="18"/>
              </w:rPr>
              <w:t>详述</w:t>
            </w:r>
            <w:r>
              <w:rPr>
                <w:rFonts w:hint="eastAsia" w:ascii="宋体" w:hAnsi="宋体"/>
                <w:color w:val="000000"/>
                <w:sz w:val="18"/>
                <w:szCs w:val="18"/>
              </w:rPr>
              <w:t>（</w:t>
            </w:r>
            <w:r>
              <w:rPr>
                <w:rFonts w:ascii="宋体" w:hAnsi="宋体"/>
                <w:color w:val="000000"/>
                <w:sz w:val="18"/>
                <w:szCs w:val="18"/>
              </w:rPr>
              <w:t>应答</w:t>
            </w:r>
            <w:r>
              <w:rPr>
                <w:rFonts w:hint="eastAsia" w:ascii="宋体" w:hAnsi="宋体"/>
                <w:color w:val="000000"/>
                <w:sz w:val="18"/>
                <w:szCs w:val="18"/>
              </w:rPr>
              <w:t>）</w:t>
            </w:r>
            <w:r>
              <w:rPr>
                <w:rFonts w:ascii="宋体" w:hAnsi="宋体"/>
                <w:color w:val="000000"/>
                <w:sz w:val="18"/>
                <w:szCs w:val="18"/>
              </w:rPr>
              <w:t>，但必须给出确切的位置索引</w:t>
            </w:r>
            <w:r>
              <w:rPr>
                <w:rFonts w:hint="eastAsia" w:ascii="宋体" w:hAnsi="宋体"/>
                <w:color w:val="000000"/>
                <w:sz w:val="18"/>
                <w:szCs w:val="18"/>
              </w:rPr>
              <w:t>（标注内容的所在页码）</w:t>
            </w:r>
            <w:r>
              <w:rPr>
                <w:rFonts w:ascii="宋体" w:hAnsi="宋体"/>
                <w:color w:val="000000"/>
                <w:sz w:val="18"/>
                <w:szCs w:val="18"/>
              </w:rPr>
              <w:t>。</w:t>
            </w:r>
            <w:r>
              <w:rPr>
                <w:rFonts w:hint="eastAsia" w:ascii="宋体" w:hAnsi="宋体"/>
                <w:color w:val="000000"/>
                <w:sz w:val="18"/>
                <w:szCs w:val="18"/>
              </w:rPr>
              <w:t>3.如供应商知道关联关系</w:t>
            </w:r>
            <w:r>
              <w:rPr>
                <w:rFonts w:ascii="宋体" w:hAnsi="宋体"/>
                <w:color w:val="000000"/>
                <w:sz w:val="18"/>
                <w:szCs w:val="18"/>
              </w:rPr>
              <w:t>单位</w:t>
            </w:r>
            <w:r>
              <w:rPr>
                <w:rFonts w:hint="eastAsia" w:ascii="宋体" w:hAnsi="宋体"/>
                <w:color w:val="000000"/>
                <w:sz w:val="18"/>
                <w:szCs w:val="18"/>
              </w:rPr>
              <w:t>（</w:t>
            </w:r>
            <w:r>
              <w:rPr>
                <w:rFonts w:ascii="宋体" w:hAnsi="宋体"/>
                <w:color w:val="000000"/>
                <w:sz w:val="18"/>
                <w:szCs w:val="18"/>
              </w:rPr>
              <w:t>与供应商单位负责人为同一人</w:t>
            </w:r>
            <w:r>
              <w:rPr>
                <w:rFonts w:hint="eastAsia" w:ascii="宋体" w:hAnsi="宋体"/>
                <w:color w:val="000000"/>
                <w:sz w:val="18"/>
                <w:szCs w:val="18"/>
              </w:rPr>
              <w:t>或</w:t>
            </w:r>
            <w:r>
              <w:rPr>
                <w:rFonts w:ascii="宋体" w:hAnsi="宋体"/>
                <w:color w:val="000000"/>
                <w:sz w:val="18"/>
                <w:szCs w:val="18"/>
              </w:rPr>
              <w:t>存在直接控股、管理关系的其他单位</w:t>
            </w:r>
            <w:r>
              <w:rPr>
                <w:rFonts w:hint="eastAsia" w:ascii="宋体" w:hAnsi="宋体"/>
                <w:color w:val="000000"/>
                <w:sz w:val="18"/>
                <w:szCs w:val="18"/>
              </w:rPr>
              <w:t>）未参加</w:t>
            </w:r>
            <w:r>
              <w:rPr>
                <w:rFonts w:ascii="宋体" w:hAnsi="宋体"/>
                <w:color w:val="000000"/>
                <w:sz w:val="18"/>
                <w:szCs w:val="18"/>
              </w:rPr>
              <w:t>同一合同项下的政府采购活动</w:t>
            </w:r>
            <w:r>
              <w:rPr>
                <w:rFonts w:hint="eastAsia" w:ascii="宋体" w:hAnsi="宋体"/>
                <w:color w:val="000000"/>
                <w:sz w:val="18"/>
                <w:szCs w:val="18"/>
              </w:rPr>
              <w:t>的，填“满足”</w:t>
            </w:r>
            <w:r>
              <w:rPr>
                <w:rFonts w:ascii="宋体" w:hAnsi="宋体"/>
                <w:color w:val="000000"/>
                <w:sz w:val="18"/>
                <w:szCs w:val="18"/>
              </w:rPr>
              <w:t>。</w:t>
            </w:r>
            <w:r>
              <w:rPr>
                <w:rFonts w:hint="eastAsia" w:ascii="宋体" w:hAnsi="宋体"/>
                <w:color w:val="000000"/>
                <w:sz w:val="18"/>
                <w:szCs w:val="18"/>
              </w:rPr>
              <w:t>如供应商不知道，须列出所有有关联关系的</w:t>
            </w:r>
            <w:r>
              <w:rPr>
                <w:rFonts w:ascii="宋体" w:hAnsi="宋体"/>
                <w:color w:val="000000"/>
                <w:sz w:val="18"/>
                <w:szCs w:val="18"/>
              </w:rPr>
              <w:t>单位</w:t>
            </w:r>
            <w:r>
              <w:rPr>
                <w:rFonts w:hint="eastAsia" w:ascii="宋体" w:hAnsi="宋体"/>
                <w:color w:val="000000"/>
                <w:sz w:val="18"/>
                <w:szCs w:val="18"/>
              </w:rPr>
              <w:t>（可另页表达）。</w:t>
            </w:r>
          </w:p>
        </w:tc>
      </w:tr>
    </w:tbl>
    <w:p w14:paraId="69690742">
      <w:pPr>
        <w:pStyle w:val="8"/>
        <w:rPr>
          <w:color w:val="000000"/>
        </w:rPr>
      </w:pPr>
    </w:p>
    <w:p w14:paraId="65EEB24A">
      <w:pPr>
        <w:pStyle w:val="8"/>
        <w:rPr>
          <w:color w:val="000000"/>
        </w:rPr>
      </w:pPr>
    </w:p>
    <w:p w14:paraId="024F876F">
      <w:pPr>
        <w:pStyle w:val="8"/>
        <w:rPr>
          <w:color w:val="000000"/>
        </w:rPr>
      </w:pPr>
    </w:p>
    <w:p w14:paraId="796077D9">
      <w:pPr>
        <w:pStyle w:val="8"/>
        <w:rPr>
          <w:color w:val="000000"/>
        </w:rPr>
        <w:sectPr>
          <w:headerReference r:id="rId4" w:type="default"/>
          <w:footerReference r:id="rId5" w:type="default"/>
          <w:pgSz w:w="11906" w:h="16838"/>
          <w:pgMar w:top="720" w:right="720" w:bottom="720" w:left="720" w:header="851" w:footer="992" w:gutter="0"/>
          <w:cols w:space="720" w:num="1"/>
          <w:docGrid w:type="lines" w:linePitch="312" w:charSpace="0"/>
        </w:sectPr>
      </w:pPr>
    </w:p>
    <w:p w14:paraId="5C48AF2C">
      <w:pPr>
        <w:spacing w:line="552" w:lineRule="auto"/>
        <w:jc w:val="center"/>
        <w:outlineLvl w:val="1"/>
        <w:rPr>
          <w:rFonts w:ascii="宋体" w:hAnsi="宋体" w:cs="宋体"/>
          <w:b/>
          <w:bCs/>
          <w:color w:val="000000"/>
          <w:sz w:val="28"/>
          <w:szCs w:val="28"/>
        </w:rPr>
      </w:pPr>
      <w:bookmarkStart w:id="479" w:name="_Toc184029958"/>
      <w:r>
        <w:rPr>
          <w:rFonts w:hint="eastAsia" w:ascii="宋体" w:hAnsi="宋体" w:cs="宋体"/>
          <w:b/>
          <w:bCs/>
          <w:color w:val="000000"/>
          <w:sz w:val="28"/>
          <w:szCs w:val="28"/>
          <w:lang w:eastAsia="zh-CN"/>
        </w:rPr>
        <w:t>七</w:t>
      </w:r>
      <w:r>
        <w:rPr>
          <w:rFonts w:hint="eastAsia" w:ascii="宋体" w:hAnsi="宋体" w:cs="宋体"/>
          <w:b/>
          <w:bCs/>
          <w:color w:val="000000"/>
          <w:sz w:val="28"/>
          <w:szCs w:val="28"/>
        </w:rPr>
        <w:t>、投标（响应）文件的其它内容</w:t>
      </w:r>
      <w:bookmarkEnd w:id="479"/>
    </w:p>
    <w:p w14:paraId="126E049C">
      <w:pPr>
        <w:spacing w:line="360" w:lineRule="auto"/>
        <w:jc w:val="center"/>
        <w:rPr>
          <w:rFonts w:ascii="宋体" w:hAnsi="宋体" w:cs="宋体"/>
          <w:b/>
          <w:color w:val="000000"/>
          <w:szCs w:val="21"/>
        </w:rPr>
      </w:pPr>
      <w:r>
        <w:rPr>
          <w:rFonts w:hint="eastAsia" w:ascii="宋体" w:hAnsi="宋体" w:cs="宋体"/>
          <w:b/>
          <w:color w:val="000000"/>
          <w:szCs w:val="21"/>
        </w:rPr>
        <w:t>证明投标标的的合格性和符合采购文件规定的技术文件</w:t>
      </w:r>
      <w:r>
        <w:rPr>
          <w:rFonts w:hint="eastAsia" w:ascii="宋体" w:hAnsi="宋体"/>
          <w:b/>
          <w:color w:val="000000"/>
          <w:szCs w:val="21"/>
        </w:rPr>
        <w:t>等</w:t>
      </w:r>
    </w:p>
    <w:p w14:paraId="603E77A7">
      <w:pPr>
        <w:spacing w:line="360" w:lineRule="auto"/>
        <w:jc w:val="center"/>
        <w:rPr>
          <w:rFonts w:ascii="宋体" w:hAnsi="宋体" w:cs="宋体"/>
          <w:b/>
          <w:color w:val="000000"/>
          <w:szCs w:val="21"/>
        </w:rPr>
      </w:pPr>
      <w:r>
        <w:rPr>
          <w:rFonts w:hint="eastAsia" w:ascii="宋体" w:hAnsi="宋体" w:cs="宋体"/>
          <w:b/>
          <w:color w:val="000000"/>
          <w:szCs w:val="21"/>
        </w:rPr>
        <w:t>（包括但不限于:采购文件要求及供应商认为应当提供相关</w:t>
      </w:r>
      <w:r>
        <w:rPr>
          <w:rFonts w:hint="eastAsia" w:ascii="宋体" w:hAnsi="宋体"/>
          <w:b/>
          <w:color w:val="000000"/>
          <w:szCs w:val="21"/>
        </w:rPr>
        <w:t>文件</w:t>
      </w:r>
      <w:r>
        <w:rPr>
          <w:rFonts w:hint="eastAsia" w:ascii="宋体" w:hAnsi="宋体" w:cs="宋体"/>
          <w:b/>
          <w:color w:val="000000"/>
          <w:szCs w:val="21"/>
        </w:rPr>
        <w:t>等）</w:t>
      </w:r>
    </w:p>
    <w:p w14:paraId="7DD976D4">
      <w:pPr>
        <w:spacing w:line="360" w:lineRule="auto"/>
        <w:jc w:val="center"/>
        <w:rPr>
          <w:rFonts w:ascii="宋体" w:hAnsi="宋体" w:cs="宋体"/>
          <w:b/>
          <w:color w:val="000000"/>
          <w:szCs w:val="21"/>
        </w:rPr>
      </w:pPr>
      <w:r>
        <w:rPr>
          <w:rFonts w:ascii="宋体" w:hAnsi="宋体" w:cs="宋体"/>
          <w:b/>
          <w:color w:val="000000"/>
          <w:szCs w:val="21"/>
        </w:rPr>
        <w:t>注：</w:t>
      </w:r>
      <w:r>
        <w:rPr>
          <w:b/>
          <w:color w:val="000000"/>
          <w:szCs w:val="21"/>
        </w:rPr>
        <w:t>中小企业应当</w:t>
      </w:r>
      <w:r>
        <w:rPr>
          <w:rFonts w:hint="eastAsia"/>
          <w:b/>
          <w:color w:val="000000"/>
          <w:szCs w:val="21"/>
        </w:rPr>
        <w:t>按照《</w:t>
      </w:r>
      <w:r>
        <w:rPr>
          <w:b/>
          <w:color w:val="000000"/>
          <w:szCs w:val="21"/>
        </w:rPr>
        <w:t>政府采购促进中小企业发展管理办法</w:t>
      </w:r>
      <w:r>
        <w:rPr>
          <w:rFonts w:hint="eastAsia"/>
          <w:b/>
          <w:color w:val="000000"/>
          <w:szCs w:val="21"/>
        </w:rPr>
        <w:t>》等相关</w:t>
      </w:r>
      <w:r>
        <w:rPr>
          <w:b/>
          <w:color w:val="000000"/>
          <w:szCs w:val="21"/>
        </w:rPr>
        <w:t>规定出具《中小企业声明函》</w:t>
      </w:r>
      <w:r>
        <w:rPr>
          <w:rFonts w:hint="eastAsia"/>
          <w:b/>
          <w:color w:val="000000"/>
          <w:szCs w:val="21"/>
        </w:rPr>
        <w:t>等相关证明（自行从财政部官方网站下载）</w:t>
      </w:r>
      <w:r>
        <w:rPr>
          <w:b/>
          <w:color w:val="000000"/>
          <w:szCs w:val="21"/>
        </w:rPr>
        <w:t>，否则不得享受相关中小企业扶持政策。</w:t>
      </w:r>
    </w:p>
    <w:p w14:paraId="5B743010">
      <w:pPr>
        <w:spacing w:line="480" w:lineRule="auto"/>
        <w:rPr>
          <w:rFonts w:ascii="宋体" w:hAnsi="宋体" w:cs="宋体"/>
          <w:b/>
          <w:bCs/>
          <w:color w:val="000000"/>
          <w:szCs w:val="21"/>
        </w:rPr>
      </w:pPr>
      <w:r>
        <w:rPr>
          <w:rFonts w:hint="eastAsia" w:ascii="宋体" w:hAnsi="宋体" w:cs="宋体"/>
          <w:b/>
          <w:bCs/>
          <w:color w:val="000000"/>
          <w:szCs w:val="21"/>
        </w:rPr>
        <w:t>附表：主要材料品牌表</w:t>
      </w:r>
    </w:p>
    <w:tbl>
      <w:tblPr>
        <w:tblStyle w:val="27"/>
        <w:tblW w:w="989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7"/>
        <w:gridCol w:w="2013"/>
        <w:gridCol w:w="2285"/>
        <w:gridCol w:w="3202"/>
        <w:gridCol w:w="1751"/>
      </w:tblGrid>
      <w:tr w14:paraId="7E71C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trPr>
        <w:tc>
          <w:tcPr>
            <w:tcW w:w="647" w:type="dxa"/>
            <w:tcBorders>
              <w:top w:val="single" w:color="000000" w:sz="4" w:space="0"/>
              <w:left w:val="single" w:color="000000" w:sz="4" w:space="0"/>
              <w:bottom w:val="single" w:color="auto" w:sz="4" w:space="0"/>
              <w:right w:val="single" w:color="auto" w:sz="4" w:space="0"/>
            </w:tcBorders>
            <w:vAlign w:val="center"/>
          </w:tcPr>
          <w:p w14:paraId="7AADC0BB">
            <w:pPr>
              <w:jc w:val="center"/>
              <w:rPr>
                <w:rFonts w:hint="eastAsia" w:cs="宋体"/>
                <w:b/>
                <w:bCs/>
                <w:u w:val="none"/>
              </w:rPr>
            </w:pPr>
            <w:r>
              <w:rPr>
                <w:rFonts w:hint="eastAsia" w:cs="宋体"/>
                <w:b/>
                <w:bCs/>
                <w:u w:val="none"/>
              </w:rPr>
              <w:t>序号</w:t>
            </w:r>
          </w:p>
        </w:tc>
        <w:tc>
          <w:tcPr>
            <w:tcW w:w="2013" w:type="dxa"/>
            <w:tcBorders>
              <w:top w:val="single" w:color="000000" w:sz="4" w:space="0"/>
              <w:left w:val="single" w:color="auto" w:sz="4" w:space="0"/>
              <w:bottom w:val="single" w:color="auto" w:sz="4" w:space="0"/>
              <w:right w:val="single" w:color="000000" w:sz="4" w:space="0"/>
            </w:tcBorders>
            <w:vAlign w:val="center"/>
          </w:tcPr>
          <w:p w14:paraId="0B0CCD9F">
            <w:pPr>
              <w:jc w:val="center"/>
              <w:rPr>
                <w:rFonts w:hint="eastAsia" w:cs="宋体"/>
                <w:b/>
                <w:bCs/>
                <w:u w:val="none"/>
              </w:rPr>
            </w:pPr>
            <w:r>
              <w:rPr>
                <w:rFonts w:hint="eastAsia" w:cs="宋体"/>
                <w:b/>
                <w:bCs/>
                <w:u w:val="none"/>
              </w:rPr>
              <w:t>材料设备名称</w:t>
            </w:r>
          </w:p>
        </w:tc>
        <w:tc>
          <w:tcPr>
            <w:tcW w:w="2285" w:type="dxa"/>
            <w:tcBorders>
              <w:top w:val="single" w:color="000000" w:sz="4" w:space="0"/>
              <w:left w:val="single" w:color="000000" w:sz="4" w:space="0"/>
              <w:bottom w:val="single" w:color="auto" w:sz="4" w:space="0"/>
              <w:right w:val="single" w:color="000000" w:sz="4" w:space="0"/>
            </w:tcBorders>
            <w:vAlign w:val="center"/>
          </w:tcPr>
          <w:p w14:paraId="24795937">
            <w:pPr>
              <w:jc w:val="center"/>
              <w:rPr>
                <w:rFonts w:hint="eastAsia" w:cs="宋体"/>
                <w:b/>
                <w:bCs/>
                <w:u w:val="none"/>
              </w:rPr>
            </w:pPr>
            <w:r>
              <w:rPr>
                <w:rFonts w:hint="eastAsia" w:cs="宋体"/>
                <w:b/>
                <w:bCs/>
                <w:u w:val="none"/>
              </w:rPr>
              <w:t>材料主要性能要求</w:t>
            </w:r>
          </w:p>
        </w:tc>
        <w:tc>
          <w:tcPr>
            <w:tcW w:w="3202" w:type="dxa"/>
            <w:tcBorders>
              <w:top w:val="single" w:color="000000" w:sz="4" w:space="0"/>
              <w:left w:val="single" w:color="000000" w:sz="4" w:space="0"/>
              <w:bottom w:val="single" w:color="auto" w:sz="4" w:space="0"/>
              <w:right w:val="single" w:color="000000" w:sz="4" w:space="0"/>
            </w:tcBorders>
            <w:vAlign w:val="center"/>
          </w:tcPr>
          <w:p w14:paraId="621C6B05">
            <w:pPr>
              <w:jc w:val="center"/>
              <w:rPr>
                <w:rFonts w:hint="eastAsia" w:cs="宋体"/>
                <w:b/>
                <w:bCs/>
                <w:u w:val="none"/>
              </w:rPr>
            </w:pPr>
            <w:r>
              <w:rPr>
                <w:rFonts w:hint="eastAsia" w:cs="宋体"/>
                <w:b/>
                <w:bCs/>
                <w:u w:val="none"/>
                <w:lang w:eastAsia="zh-CN"/>
              </w:rPr>
              <w:t>参照或相当于</w:t>
            </w:r>
            <w:r>
              <w:rPr>
                <w:rFonts w:hint="eastAsia" w:cs="宋体"/>
                <w:b/>
                <w:bCs/>
                <w:u w:val="none"/>
              </w:rPr>
              <w:t>品牌</w:t>
            </w:r>
          </w:p>
        </w:tc>
        <w:tc>
          <w:tcPr>
            <w:tcW w:w="1751" w:type="dxa"/>
            <w:tcBorders>
              <w:top w:val="single" w:color="000000" w:sz="4" w:space="0"/>
              <w:left w:val="single" w:color="000000" w:sz="4" w:space="0"/>
              <w:bottom w:val="single" w:color="auto" w:sz="4" w:space="0"/>
              <w:right w:val="single" w:color="000000" w:sz="4" w:space="0"/>
            </w:tcBorders>
            <w:vAlign w:val="center"/>
          </w:tcPr>
          <w:p w14:paraId="6E30F286">
            <w:pPr>
              <w:jc w:val="center"/>
              <w:rPr>
                <w:rFonts w:hint="eastAsia" w:cs="宋体"/>
                <w:b/>
                <w:bCs/>
                <w:u w:val="none"/>
              </w:rPr>
            </w:pPr>
            <w:r>
              <w:rPr>
                <w:rFonts w:hint="eastAsia" w:cs="宋体"/>
                <w:b/>
                <w:bCs/>
                <w:u w:val="none"/>
              </w:rPr>
              <w:t>投标人选用品牌</w:t>
            </w:r>
          </w:p>
        </w:tc>
      </w:tr>
      <w:tr w14:paraId="67306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trPr>
        <w:tc>
          <w:tcPr>
            <w:tcW w:w="647" w:type="dxa"/>
            <w:tcBorders>
              <w:top w:val="single" w:color="auto" w:sz="4" w:space="0"/>
              <w:left w:val="single" w:color="000000" w:sz="4" w:space="0"/>
              <w:bottom w:val="single" w:color="000000" w:sz="4" w:space="0"/>
              <w:right w:val="single" w:color="auto" w:sz="4" w:space="0"/>
            </w:tcBorders>
            <w:vAlign w:val="center"/>
          </w:tcPr>
          <w:p w14:paraId="32DFEC43">
            <w:pPr>
              <w:jc w:val="center"/>
              <w:rPr>
                <w:rFonts w:hint="eastAsia" w:cs="宋体"/>
                <w:sz w:val="21"/>
                <w:szCs w:val="21"/>
                <w:u w:val="none"/>
              </w:rPr>
            </w:pPr>
            <w:r>
              <w:rPr>
                <w:rFonts w:hint="eastAsia" w:cs="宋体"/>
                <w:sz w:val="21"/>
                <w:szCs w:val="21"/>
                <w:u w:val="none"/>
              </w:rPr>
              <w:t>1</w:t>
            </w:r>
          </w:p>
        </w:tc>
        <w:tc>
          <w:tcPr>
            <w:tcW w:w="2013" w:type="dxa"/>
            <w:tcBorders>
              <w:top w:val="single" w:color="auto" w:sz="4" w:space="0"/>
              <w:left w:val="single" w:color="auto" w:sz="4" w:space="0"/>
              <w:bottom w:val="single" w:color="000000" w:sz="4" w:space="0"/>
              <w:right w:val="single" w:color="000000" w:sz="4" w:space="0"/>
            </w:tcBorders>
            <w:vAlign w:val="center"/>
          </w:tcPr>
          <w:p w14:paraId="5DF7516E">
            <w:pPr>
              <w:jc w:val="center"/>
              <w:rPr>
                <w:rFonts w:hint="eastAsia" w:cs="宋体"/>
                <w:sz w:val="21"/>
                <w:szCs w:val="21"/>
                <w:u w:val="none"/>
              </w:rPr>
            </w:pPr>
            <w:r>
              <w:rPr>
                <w:rFonts w:hint="eastAsia" w:ascii="Times New Roman" w:hAnsi="Times New Roman" w:eastAsia="宋体" w:cs="宋体"/>
                <w:sz w:val="21"/>
                <w:szCs w:val="21"/>
                <w:u w:val="none"/>
                <w:lang w:val="en-US" w:eastAsia="zh-CN"/>
              </w:rPr>
              <w:t>防腐油漆</w:t>
            </w:r>
          </w:p>
        </w:tc>
        <w:tc>
          <w:tcPr>
            <w:tcW w:w="2285" w:type="dxa"/>
            <w:tcBorders>
              <w:top w:val="single" w:color="auto" w:sz="4" w:space="0"/>
              <w:left w:val="single" w:color="000000" w:sz="4" w:space="0"/>
              <w:bottom w:val="single" w:color="000000" w:sz="4" w:space="0"/>
              <w:right w:val="single" w:color="000000" w:sz="4" w:space="0"/>
            </w:tcBorders>
            <w:vAlign w:val="center"/>
          </w:tcPr>
          <w:p w14:paraId="5B1DB78E">
            <w:pPr>
              <w:jc w:val="center"/>
              <w:rPr>
                <w:rFonts w:hint="eastAsia" w:cs="宋体"/>
                <w:sz w:val="21"/>
                <w:szCs w:val="21"/>
                <w:u w:val="none"/>
              </w:rPr>
            </w:pPr>
            <w:r>
              <w:rPr>
                <w:rFonts w:hint="eastAsia" w:cs="宋体"/>
                <w:sz w:val="21"/>
                <w:szCs w:val="21"/>
                <w:u w:val="none"/>
              </w:rPr>
              <w:t>合格品及其以上等级</w:t>
            </w:r>
          </w:p>
        </w:tc>
        <w:tc>
          <w:tcPr>
            <w:tcW w:w="3202" w:type="dxa"/>
            <w:tcBorders>
              <w:top w:val="single" w:color="auto" w:sz="4" w:space="0"/>
              <w:left w:val="single" w:color="000000" w:sz="4" w:space="0"/>
              <w:bottom w:val="single" w:color="000000" w:sz="4" w:space="0"/>
              <w:right w:val="single" w:color="000000" w:sz="4" w:space="0"/>
            </w:tcBorders>
            <w:vAlign w:val="center"/>
          </w:tcPr>
          <w:p w14:paraId="57C9EAC1">
            <w:pPr>
              <w:jc w:val="center"/>
              <w:rPr>
                <w:rFonts w:hint="eastAsia" w:cs="宋体"/>
                <w:sz w:val="21"/>
                <w:szCs w:val="21"/>
                <w:u w:val="none"/>
              </w:rPr>
            </w:pPr>
            <w:r>
              <w:rPr>
                <w:rFonts w:hint="eastAsia" w:ascii="Times New Roman" w:hAnsi="Times New Roman" w:eastAsia="宋体" w:cs="宋体"/>
                <w:sz w:val="21"/>
                <w:szCs w:val="21"/>
                <w:u w:val="none"/>
                <w:lang w:val="en-US" w:eastAsia="zh-CN"/>
              </w:rPr>
              <w:t>江苏金陵、江苏兰陵、立邦、三棵树、山东聚东、三棵树</w:t>
            </w:r>
          </w:p>
        </w:tc>
        <w:tc>
          <w:tcPr>
            <w:tcW w:w="1751" w:type="dxa"/>
            <w:tcBorders>
              <w:top w:val="single" w:color="auto" w:sz="4" w:space="0"/>
              <w:left w:val="single" w:color="000000" w:sz="4" w:space="0"/>
              <w:bottom w:val="single" w:color="000000" w:sz="4" w:space="0"/>
              <w:right w:val="single" w:color="000000" w:sz="4" w:space="0"/>
            </w:tcBorders>
          </w:tcPr>
          <w:p w14:paraId="7BF3CCA8">
            <w:pPr>
              <w:jc w:val="center"/>
              <w:rPr>
                <w:rFonts w:hint="eastAsia" w:cs="宋体"/>
                <w:sz w:val="21"/>
                <w:szCs w:val="21"/>
                <w:u w:val="none"/>
              </w:rPr>
            </w:pPr>
          </w:p>
        </w:tc>
      </w:tr>
      <w:tr w14:paraId="40BCF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647" w:type="dxa"/>
            <w:tcBorders>
              <w:top w:val="single" w:color="000000" w:sz="4" w:space="0"/>
              <w:left w:val="single" w:color="000000" w:sz="4" w:space="0"/>
              <w:bottom w:val="single" w:color="000000" w:sz="4" w:space="0"/>
              <w:right w:val="single" w:color="auto" w:sz="4" w:space="0"/>
            </w:tcBorders>
            <w:vAlign w:val="center"/>
          </w:tcPr>
          <w:p w14:paraId="32B759FA">
            <w:pPr>
              <w:jc w:val="center"/>
              <w:rPr>
                <w:rFonts w:hint="eastAsia" w:eastAsia="宋体" w:cs="宋体"/>
                <w:sz w:val="21"/>
                <w:szCs w:val="21"/>
                <w:u w:val="none"/>
                <w:lang w:eastAsia="zh-CN"/>
              </w:rPr>
            </w:pPr>
            <w:r>
              <w:rPr>
                <w:rFonts w:hint="eastAsia" w:cs="宋体"/>
                <w:sz w:val="21"/>
                <w:szCs w:val="21"/>
                <w:u w:val="none"/>
                <w:lang w:val="en-US" w:eastAsia="zh-CN"/>
              </w:rPr>
              <w:t>.</w:t>
            </w:r>
          </w:p>
        </w:tc>
        <w:tc>
          <w:tcPr>
            <w:tcW w:w="2013" w:type="dxa"/>
            <w:tcBorders>
              <w:top w:val="single" w:color="000000" w:sz="4" w:space="0"/>
              <w:left w:val="single" w:color="auto" w:sz="4" w:space="0"/>
              <w:bottom w:val="single" w:color="000000" w:sz="4" w:space="0"/>
              <w:right w:val="single" w:color="000000" w:sz="4" w:space="0"/>
            </w:tcBorders>
            <w:vAlign w:val="center"/>
          </w:tcPr>
          <w:p w14:paraId="160538CF">
            <w:pPr>
              <w:jc w:val="center"/>
              <w:rPr>
                <w:rFonts w:hint="eastAsia" w:eastAsia="宋体" w:cs="宋体"/>
                <w:sz w:val="21"/>
                <w:szCs w:val="21"/>
                <w:u w:val="none"/>
                <w:lang w:val="en-US" w:eastAsia="zh-CN"/>
              </w:rPr>
            </w:pPr>
            <w:r>
              <w:rPr>
                <w:rFonts w:hint="eastAsia" w:cs="宋体"/>
                <w:sz w:val="21"/>
                <w:szCs w:val="21"/>
                <w:u w:val="none"/>
                <w:lang w:val="en-US" w:eastAsia="zh-CN"/>
              </w:rPr>
              <w:t>.</w:t>
            </w:r>
          </w:p>
        </w:tc>
        <w:tc>
          <w:tcPr>
            <w:tcW w:w="2285" w:type="dxa"/>
            <w:tcBorders>
              <w:top w:val="single" w:color="000000" w:sz="4" w:space="0"/>
              <w:left w:val="single" w:color="000000" w:sz="4" w:space="0"/>
              <w:bottom w:val="single" w:color="000000" w:sz="4" w:space="0"/>
              <w:right w:val="single" w:color="000000" w:sz="4" w:space="0"/>
            </w:tcBorders>
            <w:vAlign w:val="center"/>
          </w:tcPr>
          <w:p w14:paraId="07D964F1">
            <w:pPr>
              <w:jc w:val="center"/>
              <w:rPr>
                <w:rFonts w:hint="eastAsia" w:eastAsia="宋体" w:cs="宋体"/>
                <w:sz w:val="21"/>
                <w:szCs w:val="21"/>
                <w:u w:val="none"/>
                <w:lang w:eastAsia="zh-CN"/>
              </w:rPr>
            </w:pPr>
            <w:r>
              <w:rPr>
                <w:rFonts w:hint="eastAsia" w:cs="宋体"/>
                <w:sz w:val="21"/>
                <w:szCs w:val="21"/>
                <w:u w:val="none"/>
                <w:lang w:val="en-US" w:eastAsia="zh-CN"/>
              </w:rPr>
              <w:t>.</w:t>
            </w:r>
          </w:p>
        </w:tc>
        <w:tc>
          <w:tcPr>
            <w:tcW w:w="3202" w:type="dxa"/>
            <w:tcBorders>
              <w:top w:val="single" w:color="000000" w:sz="4" w:space="0"/>
              <w:left w:val="single" w:color="000000" w:sz="4" w:space="0"/>
              <w:bottom w:val="single" w:color="000000" w:sz="4" w:space="0"/>
              <w:right w:val="single" w:color="000000" w:sz="4" w:space="0"/>
            </w:tcBorders>
            <w:vAlign w:val="center"/>
          </w:tcPr>
          <w:p w14:paraId="268A1A0B">
            <w:pPr>
              <w:jc w:val="center"/>
              <w:rPr>
                <w:rFonts w:hint="eastAsia" w:eastAsia="宋体" w:cs="宋体"/>
                <w:sz w:val="21"/>
                <w:szCs w:val="21"/>
                <w:u w:val="none"/>
                <w:lang w:val="en-US" w:eastAsia="zh-CN"/>
              </w:rPr>
            </w:pPr>
            <w:r>
              <w:rPr>
                <w:rFonts w:hint="eastAsia" w:cs="宋体"/>
                <w:sz w:val="21"/>
                <w:szCs w:val="21"/>
                <w:u w:val="none"/>
                <w:lang w:val="en-US" w:eastAsia="zh-CN"/>
              </w:rPr>
              <w:t>.</w:t>
            </w:r>
          </w:p>
        </w:tc>
        <w:tc>
          <w:tcPr>
            <w:tcW w:w="1751" w:type="dxa"/>
            <w:tcBorders>
              <w:top w:val="single" w:color="000000" w:sz="4" w:space="0"/>
              <w:left w:val="single" w:color="000000" w:sz="4" w:space="0"/>
              <w:bottom w:val="single" w:color="000000" w:sz="4" w:space="0"/>
              <w:right w:val="single" w:color="000000" w:sz="4" w:space="0"/>
            </w:tcBorders>
          </w:tcPr>
          <w:p w14:paraId="71773BB8">
            <w:pPr>
              <w:jc w:val="center"/>
              <w:rPr>
                <w:rFonts w:hint="eastAsia" w:eastAsia="宋体" w:cs="宋体"/>
                <w:sz w:val="21"/>
                <w:szCs w:val="21"/>
                <w:u w:val="none"/>
                <w:lang w:val="en-US" w:eastAsia="zh-CN"/>
              </w:rPr>
            </w:pPr>
            <w:r>
              <w:rPr>
                <w:rFonts w:hint="eastAsia" w:cs="宋体"/>
                <w:sz w:val="21"/>
                <w:szCs w:val="21"/>
                <w:u w:val="none"/>
                <w:lang w:val="en-US" w:eastAsia="zh-CN"/>
              </w:rPr>
              <w:t>.</w:t>
            </w:r>
          </w:p>
        </w:tc>
      </w:tr>
      <w:tr w14:paraId="2E85C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647" w:type="dxa"/>
            <w:tcBorders>
              <w:top w:val="single" w:color="000000" w:sz="4" w:space="0"/>
              <w:left w:val="single" w:color="000000" w:sz="4" w:space="0"/>
              <w:bottom w:val="single" w:color="000000" w:sz="4" w:space="0"/>
              <w:right w:val="single" w:color="auto" w:sz="4" w:space="0"/>
            </w:tcBorders>
            <w:vAlign w:val="center"/>
          </w:tcPr>
          <w:p w14:paraId="53817904">
            <w:pPr>
              <w:jc w:val="center"/>
              <w:rPr>
                <w:rFonts w:hint="eastAsia" w:eastAsia="宋体" w:cs="宋体"/>
                <w:sz w:val="21"/>
                <w:szCs w:val="21"/>
                <w:u w:val="none"/>
                <w:lang w:val="en-US" w:eastAsia="zh-CN"/>
              </w:rPr>
            </w:pPr>
            <w:r>
              <w:rPr>
                <w:rFonts w:hint="eastAsia" w:cs="宋体"/>
                <w:sz w:val="21"/>
                <w:szCs w:val="21"/>
                <w:u w:val="none"/>
                <w:lang w:val="en-US" w:eastAsia="zh-CN"/>
              </w:rPr>
              <w:t>.</w:t>
            </w:r>
          </w:p>
        </w:tc>
        <w:tc>
          <w:tcPr>
            <w:tcW w:w="2013" w:type="dxa"/>
            <w:tcBorders>
              <w:top w:val="single" w:color="000000" w:sz="4" w:space="0"/>
              <w:left w:val="single" w:color="auto" w:sz="4" w:space="0"/>
              <w:bottom w:val="single" w:color="000000" w:sz="4" w:space="0"/>
              <w:right w:val="single" w:color="000000" w:sz="4" w:space="0"/>
            </w:tcBorders>
            <w:vAlign w:val="center"/>
          </w:tcPr>
          <w:p w14:paraId="73039EA1">
            <w:pPr>
              <w:jc w:val="center"/>
              <w:rPr>
                <w:rFonts w:hint="eastAsia" w:eastAsia="宋体" w:cs="宋体"/>
                <w:sz w:val="21"/>
                <w:szCs w:val="21"/>
                <w:u w:val="none"/>
                <w:lang w:val="en-US" w:eastAsia="zh-CN"/>
              </w:rPr>
            </w:pPr>
            <w:r>
              <w:rPr>
                <w:rFonts w:hint="eastAsia" w:cs="宋体"/>
                <w:sz w:val="21"/>
                <w:szCs w:val="21"/>
                <w:u w:val="none"/>
                <w:lang w:val="en-US" w:eastAsia="zh-CN"/>
              </w:rPr>
              <w:t>.</w:t>
            </w:r>
          </w:p>
        </w:tc>
        <w:tc>
          <w:tcPr>
            <w:tcW w:w="2285" w:type="dxa"/>
            <w:tcBorders>
              <w:top w:val="single" w:color="000000" w:sz="4" w:space="0"/>
              <w:left w:val="single" w:color="000000" w:sz="4" w:space="0"/>
              <w:bottom w:val="single" w:color="000000" w:sz="4" w:space="0"/>
              <w:right w:val="single" w:color="000000" w:sz="4" w:space="0"/>
            </w:tcBorders>
            <w:vAlign w:val="center"/>
          </w:tcPr>
          <w:p w14:paraId="2CAC483B">
            <w:pPr>
              <w:jc w:val="center"/>
              <w:rPr>
                <w:rFonts w:hint="eastAsia" w:eastAsia="宋体" w:cs="宋体"/>
                <w:sz w:val="21"/>
                <w:szCs w:val="21"/>
                <w:u w:val="none"/>
                <w:lang w:val="en-US" w:eastAsia="zh-CN"/>
              </w:rPr>
            </w:pPr>
            <w:r>
              <w:rPr>
                <w:rFonts w:hint="eastAsia" w:cs="宋体"/>
                <w:sz w:val="21"/>
                <w:szCs w:val="21"/>
                <w:u w:val="none"/>
                <w:lang w:val="en-US" w:eastAsia="zh-CN"/>
              </w:rPr>
              <w:t>.</w:t>
            </w:r>
          </w:p>
        </w:tc>
        <w:tc>
          <w:tcPr>
            <w:tcW w:w="3202" w:type="dxa"/>
            <w:tcBorders>
              <w:top w:val="single" w:color="000000" w:sz="4" w:space="0"/>
              <w:left w:val="single" w:color="000000" w:sz="4" w:space="0"/>
              <w:bottom w:val="single" w:color="000000" w:sz="4" w:space="0"/>
              <w:right w:val="single" w:color="000000" w:sz="4" w:space="0"/>
            </w:tcBorders>
            <w:vAlign w:val="center"/>
          </w:tcPr>
          <w:p w14:paraId="62EF28FD">
            <w:pPr>
              <w:jc w:val="center"/>
              <w:rPr>
                <w:rFonts w:hint="eastAsia" w:eastAsia="宋体" w:cs="宋体"/>
                <w:sz w:val="21"/>
                <w:szCs w:val="21"/>
                <w:u w:val="none"/>
                <w:lang w:val="en-US" w:eastAsia="zh-CN"/>
              </w:rPr>
            </w:pPr>
            <w:r>
              <w:rPr>
                <w:rFonts w:hint="eastAsia" w:cs="宋体"/>
                <w:sz w:val="21"/>
                <w:szCs w:val="21"/>
                <w:u w:val="none"/>
                <w:lang w:val="en-US" w:eastAsia="zh-CN"/>
              </w:rPr>
              <w:t>.</w:t>
            </w:r>
          </w:p>
        </w:tc>
        <w:tc>
          <w:tcPr>
            <w:tcW w:w="1751" w:type="dxa"/>
            <w:tcBorders>
              <w:top w:val="single" w:color="000000" w:sz="4" w:space="0"/>
              <w:left w:val="single" w:color="000000" w:sz="4" w:space="0"/>
              <w:bottom w:val="single" w:color="000000" w:sz="4" w:space="0"/>
              <w:right w:val="single" w:color="000000" w:sz="4" w:space="0"/>
            </w:tcBorders>
          </w:tcPr>
          <w:p w14:paraId="591D0383">
            <w:pPr>
              <w:jc w:val="center"/>
              <w:rPr>
                <w:rFonts w:hint="eastAsia" w:eastAsia="宋体" w:cs="宋体"/>
                <w:sz w:val="21"/>
                <w:szCs w:val="21"/>
                <w:u w:val="none"/>
                <w:lang w:val="en-US" w:eastAsia="zh-CN"/>
              </w:rPr>
            </w:pPr>
            <w:r>
              <w:rPr>
                <w:rFonts w:hint="eastAsia" w:cs="宋体"/>
                <w:sz w:val="21"/>
                <w:szCs w:val="21"/>
                <w:u w:val="none"/>
                <w:lang w:val="en-US" w:eastAsia="zh-CN"/>
              </w:rPr>
              <w:t>.</w:t>
            </w:r>
          </w:p>
        </w:tc>
      </w:tr>
      <w:tr w14:paraId="3D051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647" w:type="dxa"/>
            <w:tcBorders>
              <w:top w:val="single" w:color="000000" w:sz="4" w:space="0"/>
              <w:left w:val="single" w:color="000000" w:sz="4" w:space="0"/>
              <w:bottom w:val="single" w:color="000000" w:sz="4" w:space="0"/>
              <w:right w:val="single" w:color="auto" w:sz="4" w:space="0"/>
            </w:tcBorders>
            <w:vAlign w:val="center"/>
          </w:tcPr>
          <w:p w14:paraId="298A4073">
            <w:pPr>
              <w:jc w:val="center"/>
              <w:rPr>
                <w:rFonts w:hint="eastAsia" w:eastAsia="宋体" w:cs="宋体"/>
                <w:sz w:val="21"/>
                <w:szCs w:val="21"/>
                <w:u w:val="none"/>
                <w:lang w:val="en-US" w:eastAsia="zh-CN"/>
              </w:rPr>
            </w:pPr>
            <w:r>
              <w:rPr>
                <w:rFonts w:hint="eastAsia" w:cs="宋体"/>
                <w:sz w:val="21"/>
                <w:szCs w:val="21"/>
                <w:u w:val="none"/>
                <w:lang w:val="en-US" w:eastAsia="zh-CN"/>
              </w:rPr>
              <w:t>.</w:t>
            </w:r>
          </w:p>
        </w:tc>
        <w:tc>
          <w:tcPr>
            <w:tcW w:w="2013" w:type="dxa"/>
            <w:tcBorders>
              <w:top w:val="single" w:color="000000" w:sz="4" w:space="0"/>
              <w:left w:val="single" w:color="auto" w:sz="4" w:space="0"/>
              <w:bottom w:val="single" w:color="000000" w:sz="4" w:space="0"/>
              <w:right w:val="single" w:color="000000" w:sz="4" w:space="0"/>
            </w:tcBorders>
            <w:vAlign w:val="center"/>
          </w:tcPr>
          <w:p w14:paraId="1DC49762">
            <w:pPr>
              <w:jc w:val="center"/>
              <w:rPr>
                <w:rFonts w:hint="eastAsia" w:eastAsia="宋体" w:cs="宋体"/>
                <w:sz w:val="21"/>
                <w:szCs w:val="21"/>
                <w:u w:val="none"/>
                <w:lang w:val="en-US" w:eastAsia="zh-CN"/>
              </w:rPr>
            </w:pPr>
            <w:r>
              <w:rPr>
                <w:rFonts w:hint="eastAsia" w:cs="宋体"/>
                <w:sz w:val="21"/>
                <w:szCs w:val="21"/>
                <w:u w:val="none"/>
                <w:lang w:val="en-US" w:eastAsia="zh-CN"/>
              </w:rPr>
              <w:t>.</w:t>
            </w:r>
          </w:p>
        </w:tc>
        <w:tc>
          <w:tcPr>
            <w:tcW w:w="2285" w:type="dxa"/>
            <w:tcBorders>
              <w:top w:val="single" w:color="000000" w:sz="4" w:space="0"/>
              <w:left w:val="single" w:color="000000" w:sz="4" w:space="0"/>
              <w:bottom w:val="single" w:color="000000" w:sz="4" w:space="0"/>
              <w:right w:val="single" w:color="000000" w:sz="4" w:space="0"/>
            </w:tcBorders>
            <w:vAlign w:val="center"/>
          </w:tcPr>
          <w:p w14:paraId="676D9FE6">
            <w:pPr>
              <w:jc w:val="center"/>
              <w:rPr>
                <w:rFonts w:hint="eastAsia" w:eastAsia="宋体" w:cs="宋体"/>
                <w:sz w:val="21"/>
                <w:szCs w:val="21"/>
                <w:u w:val="none"/>
                <w:lang w:val="en-US" w:eastAsia="zh-CN"/>
              </w:rPr>
            </w:pPr>
            <w:r>
              <w:rPr>
                <w:rFonts w:hint="eastAsia" w:cs="宋体"/>
                <w:sz w:val="21"/>
                <w:szCs w:val="21"/>
                <w:u w:val="none"/>
                <w:lang w:val="en-US" w:eastAsia="zh-CN"/>
              </w:rPr>
              <w:t>.</w:t>
            </w:r>
          </w:p>
        </w:tc>
        <w:tc>
          <w:tcPr>
            <w:tcW w:w="3202" w:type="dxa"/>
            <w:tcBorders>
              <w:top w:val="single" w:color="000000" w:sz="4" w:space="0"/>
              <w:left w:val="single" w:color="000000" w:sz="4" w:space="0"/>
              <w:bottom w:val="single" w:color="000000" w:sz="4" w:space="0"/>
              <w:right w:val="single" w:color="000000" w:sz="4" w:space="0"/>
            </w:tcBorders>
            <w:vAlign w:val="center"/>
          </w:tcPr>
          <w:p w14:paraId="09E61EBB">
            <w:pPr>
              <w:jc w:val="center"/>
              <w:rPr>
                <w:rFonts w:hint="eastAsia" w:eastAsia="宋体" w:cs="宋体"/>
                <w:sz w:val="21"/>
                <w:szCs w:val="21"/>
                <w:u w:val="none"/>
                <w:lang w:val="en-US" w:eastAsia="zh-CN"/>
              </w:rPr>
            </w:pPr>
            <w:r>
              <w:rPr>
                <w:rFonts w:hint="eastAsia" w:cs="宋体"/>
                <w:sz w:val="21"/>
                <w:szCs w:val="21"/>
                <w:u w:val="none"/>
                <w:lang w:val="en-US" w:eastAsia="zh-CN"/>
              </w:rPr>
              <w:t>.</w:t>
            </w:r>
          </w:p>
        </w:tc>
        <w:tc>
          <w:tcPr>
            <w:tcW w:w="1751" w:type="dxa"/>
            <w:tcBorders>
              <w:top w:val="single" w:color="000000" w:sz="4" w:space="0"/>
              <w:left w:val="single" w:color="000000" w:sz="4" w:space="0"/>
              <w:bottom w:val="single" w:color="000000" w:sz="4" w:space="0"/>
              <w:right w:val="single" w:color="000000" w:sz="4" w:space="0"/>
            </w:tcBorders>
          </w:tcPr>
          <w:p w14:paraId="65CB98E0">
            <w:pPr>
              <w:jc w:val="center"/>
              <w:rPr>
                <w:rFonts w:hint="eastAsia" w:eastAsia="宋体" w:cs="宋体"/>
                <w:sz w:val="21"/>
                <w:szCs w:val="21"/>
                <w:u w:val="none"/>
                <w:lang w:val="en-US" w:eastAsia="zh-CN"/>
              </w:rPr>
            </w:pPr>
            <w:r>
              <w:rPr>
                <w:rFonts w:hint="eastAsia" w:cs="宋体"/>
                <w:sz w:val="21"/>
                <w:szCs w:val="21"/>
                <w:u w:val="none"/>
                <w:lang w:val="en-US" w:eastAsia="zh-CN"/>
              </w:rPr>
              <w:t>.</w:t>
            </w:r>
          </w:p>
        </w:tc>
      </w:tr>
    </w:tbl>
    <w:p w14:paraId="5A2E3A36">
      <w:pPr>
        <w:spacing w:line="276" w:lineRule="auto"/>
        <w:ind w:firstLine="211" w:firstLineChars="100"/>
        <w:rPr>
          <w:rFonts w:ascii="宋体" w:hAnsi="宋体" w:cs="宋体"/>
          <w:b/>
          <w:bCs/>
          <w:szCs w:val="21"/>
        </w:rPr>
      </w:pPr>
      <w:r>
        <w:rPr>
          <w:rFonts w:hint="eastAsia" w:ascii="宋体" w:hAnsi="宋体" w:cs="宋体"/>
          <w:b/>
          <w:bCs/>
          <w:szCs w:val="21"/>
        </w:rPr>
        <w:t>注：</w:t>
      </w:r>
    </w:p>
    <w:p w14:paraId="19BF1106">
      <w:pPr>
        <w:keepNext w:val="0"/>
        <w:keepLines w:val="0"/>
        <w:pageBreakBefore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sz w:val="21"/>
          <w:szCs w:val="21"/>
          <w:lang w:val="en-US" w:eastAsia="zh-CN"/>
        </w:rPr>
      </w:pPr>
      <w:r>
        <w:rPr>
          <w:rFonts w:hint="eastAsia" w:ascii="宋体" w:hAnsi="宋体" w:eastAsia="宋体" w:cs="宋体"/>
          <w:b/>
          <w:bCs/>
          <w:kern w:val="2"/>
          <w:sz w:val="21"/>
          <w:szCs w:val="21"/>
          <w:lang w:val="en-US" w:eastAsia="zh-CN" w:bidi="ar-SA"/>
        </w:rPr>
        <w:t>★</w:t>
      </w:r>
      <w:r>
        <w:rPr>
          <w:rFonts w:hint="eastAsia" w:asciiTheme="minorEastAsia" w:hAnsiTheme="minorEastAsia" w:eastAsiaTheme="minorEastAsia" w:cstheme="minorEastAsia"/>
          <w:b/>
          <w:bCs/>
          <w:kern w:val="2"/>
          <w:sz w:val="21"/>
          <w:szCs w:val="21"/>
          <w:lang w:val="en-US" w:eastAsia="zh-CN" w:bidi="ar-SA"/>
        </w:rPr>
        <w:t>1、</w:t>
      </w:r>
      <w:r>
        <w:rPr>
          <w:rFonts w:hint="eastAsia" w:asciiTheme="minorEastAsia" w:hAnsiTheme="minorEastAsia" w:eastAsiaTheme="minorEastAsia" w:cstheme="minorEastAsia"/>
          <w:b/>
          <w:bCs/>
          <w:sz w:val="21"/>
          <w:szCs w:val="21"/>
          <w:lang w:val="en-US" w:eastAsia="zh-CN"/>
        </w:rPr>
        <w:t>投标时投标人必须注明所投产品品牌，否则按未实质性响应处理；</w:t>
      </w:r>
    </w:p>
    <w:p w14:paraId="2CD10DB8">
      <w:pPr>
        <w:keepNext w:val="0"/>
        <w:keepLines w:val="0"/>
        <w:pageBreakBefore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2</w:t>
      </w:r>
      <w:r>
        <w:rPr>
          <w:rFonts w:hint="eastAsia" w:asciiTheme="minorEastAsia" w:hAnsiTheme="minorEastAsia" w:eastAsiaTheme="minorEastAsia" w:cstheme="minorEastAsia"/>
          <w:b/>
          <w:bCs/>
          <w:sz w:val="21"/>
          <w:szCs w:val="21"/>
        </w:rPr>
        <w:t>、以上材料在进场前须经</w:t>
      </w:r>
      <w:r>
        <w:rPr>
          <w:rFonts w:hint="eastAsia" w:asciiTheme="minorEastAsia" w:hAnsiTheme="minorEastAsia" w:eastAsiaTheme="minorEastAsia" w:cstheme="minorEastAsia"/>
          <w:b/>
          <w:bCs/>
          <w:sz w:val="21"/>
          <w:szCs w:val="21"/>
          <w:lang w:eastAsia="zh-CN"/>
        </w:rPr>
        <w:t>招标人</w:t>
      </w:r>
      <w:r>
        <w:rPr>
          <w:rFonts w:hint="eastAsia" w:asciiTheme="minorEastAsia" w:hAnsiTheme="minorEastAsia" w:eastAsiaTheme="minorEastAsia" w:cstheme="minorEastAsia"/>
          <w:b/>
          <w:bCs/>
          <w:sz w:val="21"/>
          <w:szCs w:val="21"/>
        </w:rPr>
        <w:t>和设计单位认可，</w:t>
      </w:r>
      <w:r>
        <w:rPr>
          <w:rFonts w:hint="eastAsia" w:asciiTheme="minorEastAsia" w:hAnsiTheme="minorEastAsia" w:eastAsiaTheme="minorEastAsia" w:cstheme="minorEastAsia"/>
          <w:b/>
          <w:bCs/>
          <w:sz w:val="21"/>
          <w:szCs w:val="21"/>
          <w:lang w:eastAsia="zh-CN"/>
        </w:rPr>
        <w:t>招标人</w:t>
      </w:r>
      <w:r>
        <w:rPr>
          <w:rFonts w:hint="eastAsia" w:asciiTheme="minorEastAsia" w:hAnsiTheme="minorEastAsia" w:eastAsiaTheme="minorEastAsia" w:cstheme="minorEastAsia"/>
          <w:b/>
          <w:bCs/>
          <w:sz w:val="21"/>
          <w:szCs w:val="21"/>
        </w:rPr>
        <w:t>有权在颜色、样式、用量、材质、配置等方面做出适当调整，但价格不予调整</w:t>
      </w:r>
      <w:r>
        <w:rPr>
          <w:rFonts w:hint="eastAsia" w:asciiTheme="minorEastAsia" w:hAnsiTheme="minorEastAsia" w:eastAsiaTheme="minorEastAsia" w:cstheme="minorEastAsia"/>
          <w:b/>
          <w:bCs/>
          <w:sz w:val="21"/>
          <w:szCs w:val="21"/>
          <w:lang w:eastAsia="zh-CN"/>
        </w:rPr>
        <w:t>；</w:t>
      </w:r>
    </w:p>
    <w:p w14:paraId="029E59FC">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3</w:t>
      </w:r>
      <w:r>
        <w:rPr>
          <w:rFonts w:hint="eastAsia" w:asciiTheme="minorEastAsia" w:hAnsiTheme="minorEastAsia" w:eastAsiaTheme="minorEastAsia" w:cstheme="minorEastAsia"/>
          <w:b/>
          <w:bCs/>
          <w:sz w:val="21"/>
          <w:szCs w:val="21"/>
        </w:rPr>
        <w:t>、如投标人采用推荐品牌以外的其他产品供货的，质量和性能等技术指标必须优于或者相当于推荐品牌。一旦中标，中标人不得以任何理由更换选定品牌,并于领取中标通知书后三天内向</w:t>
      </w:r>
      <w:r>
        <w:rPr>
          <w:rFonts w:hint="eastAsia" w:asciiTheme="minorEastAsia" w:hAnsiTheme="minorEastAsia" w:eastAsiaTheme="minorEastAsia" w:cstheme="minorEastAsia"/>
          <w:b/>
          <w:bCs/>
          <w:sz w:val="21"/>
          <w:szCs w:val="21"/>
          <w:lang w:eastAsia="zh-CN"/>
        </w:rPr>
        <w:t>招标人</w:t>
      </w:r>
      <w:r>
        <w:rPr>
          <w:rFonts w:hint="eastAsia" w:asciiTheme="minorEastAsia" w:hAnsiTheme="minorEastAsia" w:eastAsiaTheme="minorEastAsia" w:cstheme="minorEastAsia"/>
          <w:b/>
          <w:bCs/>
          <w:sz w:val="21"/>
          <w:szCs w:val="21"/>
        </w:rPr>
        <w:t>提供样品，经</w:t>
      </w:r>
      <w:r>
        <w:rPr>
          <w:rFonts w:hint="eastAsia" w:asciiTheme="minorEastAsia" w:hAnsiTheme="minorEastAsia" w:eastAsiaTheme="minorEastAsia" w:cstheme="minorEastAsia"/>
          <w:b/>
          <w:bCs/>
          <w:sz w:val="21"/>
          <w:szCs w:val="21"/>
          <w:lang w:eastAsia="zh-CN"/>
        </w:rPr>
        <w:t>招标人</w:t>
      </w:r>
      <w:r>
        <w:rPr>
          <w:rFonts w:hint="eastAsia" w:asciiTheme="minorEastAsia" w:hAnsiTheme="minorEastAsia" w:eastAsiaTheme="minorEastAsia" w:cstheme="minorEastAsia"/>
          <w:b/>
          <w:bCs/>
          <w:sz w:val="21"/>
          <w:szCs w:val="21"/>
        </w:rPr>
        <w:t>认可后方可签订合同。</w:t>
      </w:r>
    </w:p>
    <w:p w14:paraId="24BE6215">
      <w:pPr>
        <w:spacing w:line="400" w:lineRule="exact"/>
        <w:ind w:firstLine="422" w:firstLineChars="200"/>
        <w:jc w:val="left"/>
        <w:rPr>
          <w:rFonts w:ascii="宋体" w:hAnsi="宋体" w:cs="宋体"/>
          <w:b/>
          <w:bCs/>
          <w:color w:val="FF0000"/>
          <w:szCs w:val="21"/>
        </w:rPr>
      </w:pPr>
    </w:p>
    <w:p w14:paraId="37521E2D">
      <w:pPr>
        <w:spacing w:before="156" w:beforeLines="50" w:line="360" w:lineRule="auto"/>
        <w:ind w:firstLine="422"/>
        <w:jc w:val="right"/>
        <w:rPr>
          <w:rFonts w:ascii="宋体" w:hAnsi="宋体" w:cs="宋体"/>
          <w:b/>
          <w:bCs/>
          <w:szCs w:val="21"/>
        </w:rPr>
      </w:pPr>
      <w:r>
        <w:rPr>
          <w:rFonts w:hint="eastAsia" w:ascii="宋体" w:hAnsi="宋体" w:cs="宋体"/>
          <w:b/>
          <w:bCs/>
          <w:szCs w:val="21"/>
        </w:rPr>
        <w:t>投标人（单位公章）：</w:t>
      </w:r>
    </w:p>
    <w:p w14:paraId="003851EC">
      <w:pPr>
        <w:wordWrap w:val="0"/>
        <w:spacing w:before="156" w:beforeLines="50" w:line="360" w:lineRule="auto"/>
        <w:ind w:right="240" w:firstLine="422"/>
        <w:jc w:val="right"/>
        <w:rPr>
          <w:rFonts w:ascii="宋体" w:hAnsi="宋体" w:cs="宋体"/>
          <w:b/>
          <w:bCs/>
          <w:szCs w:val="21"/>
        </w:rPr>
      </w:pPr>
      <w:r>
        <w:rPr>
          <w:rFonts w:hint="eastAsia" w:ascii="宋体" w:hAnsi="宋体" w:cs="宋体"/>
          <w:b/>
          <w:bCs/>
          <w:szCs w:val="21"/>
        </w:rPr>
        <w:t>年   月   日</w:t>
      </w:r>
    </w:p>
    <w:p w14:paraId="6A139047">
      <w:pPr>
        <w:pStyle w:val="8"/>
        <w:rPr>
          <w:rFonts w:hAnsi="宋体"/>
          <w:color w:val="000000"/>
        </w:rPr>
      </w:pPr>
    </w:p>
    <w:p w14:paraId="6AA71623">
      <w:pPr>
        <w:pStyle w:val="8"/>
        <w:spacing w:line="312" w:lineRule="auto"/>
        <w:rPr>
          <w:rFonts w:hAnsi="宋体"/>
          <w:b/>
          <w:color w:val="000000"/>
          <w:sz w:val="21"/>
          <w:szCs w:val="21"/>
        </w:rPr>
      </w:pPr>
    </w:p>
    <w:p w14:paraId="36C46580">
      <w:pPr>
        <w:pStyle w:val="8"/>
        <w:spacing w:line="312" w:lineRule="auto"/>
        <w:rPr>
          <w:rFonts w:hAnsi="宋体"/>
          <w:b/>
          <w:color w:val="000000"/>
          <w:sz w:val="21"/>
          <w:szCs w:val="21"/>
        </w:rPr>
      </w:pPr>
    </w:p>
    <w:p w14:paraId="19C9956B">
      <w:pPr>
        <w:rPr>
          <w:rFonts w:hAnsi="宋体"/>
          <w:b/>
          <w:color w:val="000000"/>
          <w:szCs w:val="21"/>
        </w:rPr>
      </w:pPr>
    </w:p>
    <w:p w14:paraId="24B0ECF9">
      <w:pPr>
        <w:rPr>
          <w:rFonts w:hAnsi="宋体"/>
          <w:b/>
          <w:color w:val="000000"/>
          <w:szCs w:val="21"/>
        </w:rPr>
      </w:pPr>
    </w:p>
    <w:p w14:paraId="3D6E314B">
      <w:pPr>
        <w:rPr>
          <w:rFonts w:hAnsi="宋体"/>
          <w:b/>
          <w:color w:val="000000"/>
          <w:szCs w:val="21"/>
        </w:rPr>
      </w:pPr>
    </w:p>
    <w:p w14:paraId="78AE614F">
      <w:pPr>
        <w:rPr>
          <w:rFonts w:hAnsi="宋体"/>
          <w:b/>
          <w:color w:val="000000"/>
          <w:szCs w:val="21"/>
        </w:rPr>
      </w:pPr>
    </w:p>
    <w:p w14:paraId="4C24957D">
      <w:pPr>
        <w:rPr>
          <w:rFonts w:hAnsi="宋体"/>
          <w:b/>
          <w:color w:val="000000"/>
          <w:szCs w:val="21"/>
        </w:rPr>
      </w:pPr>
    </w:p>
    <w:p w14:paraId="16A3E9AA">
      <w:pPr>
        <w:rPr>
          <w:rFonts w:hAnsi="宋体"/>
          <w:b/>
          <w:color w:val="000000"/>
          <w:szCs w:val="21"/>
        </w:rPr>
      </w:pPr>
    </w:p>
    <w:p w14:paraId="0D267E29">
      <w:pPr>
        <w:rPr>
          <w:rFonts w:hAnsi="宋体"/>
          <w:b/>
          <w:color w:val="000000"/>
          <w:szCs w:val="21"/>
        </w:rPr>
      </w:pPr>
    </w:p>
    <w:p w14:paraId="50F5FE51">
      <w:pPr>
        <w:rPr>
          <w:rFonts w:hAnsi="宋体"/>
          <w:b/>
          <w:color w:val="000000"/>
          <w:szCs w:val="21"/>
        </w:rPr>
      </w:pPr>
    </w:p>
    <w:p w14:paraId="6862572C">
      <w:pPr>
        <w:rPr>
          <w:rFonts w:hAnsi="宋体"/>
          <w:b/>
          <w:color w:val="000000"/>
          <w:szCs w:val="21"/>
        </w:rPr>
      </w:pPr>
    </w:p>
    <w:p w14:paraId="1293C5B9">
      <w:pPr>
        <w:rPr>
          <w:rFonts w:hAnsi="宋体"/>
          <w:b/>
          <w:color w:val="000000"/>
          <w:szCs w:val="21"/>
        </w:rPr>
      </w:pPr>
    </w:p>
    <w:p w14:paraId="3BA51D10">
      <w:pPr>
        <w:rPr>
          <w:rFonts w:hAnsi="宋体"/>
          <w:b/>
          <w:color w:val="000000"/>
          <w:szCs w:val="21"/>
        </w:rPr>
      </w:pPr>
    </w:p>
    <w:p w14:paraId="7D3C6E39">
      <w:pPr>
        <w:rPr>
          <w:rFonts w:hAnsi="宋体"/>
          <w:b/>
          <w:color w:val="000000"/>
          <w:szCs w:val="21"/>
        </w:rPr>
      </w:pPr>
    </w:p>
    <w:p w14:paraId="7C6E2B49">
      <w:pPr>
        <w:rPr>
          <w:rFonts w:hAnsi="宋体"/>
          <w:b/>
          <w:color w:val="000000"/>
          <w:szCs w:val="21"/>
        </w:rPr>
      </w:pPr>
    </w:p>
    <w:p w14:paraId="21C4F6A2">
      <w:pPr>
        <w:rPr>
          <w:rFonts w:hAnsi="宋体"/>
          <w:b/>
          <w:color w:val="000000"/>
          <w:szCs w:val="21"/>
        </w:rPr>
      </w:pPr>
    </w:p>
    <w:p w14:paraId="6C10F569">
      <w:pPr>
        <w:pStyle w:val="8"/>
        <w:spacing w:line="360" w:lineRule="auto"/>
        <w:ind w:firstLine="420" w:firstLineChars="200"/>
        <w:jc w:val="center"/>
        <w:rPr>
          <w:rFonts w:hAnsi="宋体"/>
          <w:color w:val="000000"/>
          <w:sz w:val="21"/>
          <w:szCs w:val="21"/>
        </w:rPr>
      </w:pPr>
    </w:p>
    <w:p w14:paraId="3FD09845">
      <w:pPr>
        <w:pStyle w:val="8"/>
        <w:spacing w:line="360" w:lineRule="auto"/>
        <w:ind w:firstLine="420" w:firstLineChars="200"/>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携手阳光下、政府采购人自己的故事”是江苏省首届政府采购培训活动的征文题，我们以“携手阳光”为公司的名号，旨在将政府采购这项阳光事业作为我司毕生的事业。通过不懈的学习与努力，为政府采购参与人提供最专业的服务，携手共建政府采购的美好明天。</w:t>
      </w:r>
    </w:p>
    <w:p w14:paraId="36C0999F">
      <w:pPr>
        <w:pStyle w:val="8"/>
        <w:spacing w:line="360" w:lineRule="auto"/>
        <w:ind w:firstLine="422" w:firstLineChars="200"/>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以下空白，感谢您对携手阳光公司的支持。</w:t>
      </w:r>
    </w:p>
    <w:p w14:paraId="2977206B">
      <w:pPr>
        <w:rPr>
          <w:rFonts w:ascii="宋体" w:hAnsi="宋体"/>
          <w:b/>
          <w:color w:val="000000"/>
          <w:sz w:val="28"/>
          <w:szCs w:val="28"/>
        </w:rPr>
      </w:pPr>
    </w:p>
    <w:sectPr>
      <w:headerReference r:id="rId8" w:type="first"/>
      <w:headerReference r:id="rId6" w:type="default"/>
      <w:footerReference r:id="rId9" w:type="default"/>
      <w:headerReference r:id="rId7" w:type="even"/>
      <w:footerReference r:id="rId10" w:type="even"/>
      <w:pgSz w:w="11906" w:h="16838"/>
      <w:pgMar w:top="1077" w:right="1077" w:bottom="1191"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幼圆">
    <w:altName w:val="宋体"/>
    <w:panose1 w:val="0201050906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大黑简体">
    <w:altName w:val="黑体"/>
    <w:panose1 w:val="02010601030101010101"/>
    <w:charset w:val="86"/>
    <w:family w:val="auto"/>
    <w:pitch w:val="default"/>
    <w:sig w:usb0="00000000" w:usb1="00000000" w:usb2="00000000" w:usb3="00000000" w:csb0="00040000" w:csb1="00000000"/>
  </w:font>
  <w:font w:name="汉仪粗黑简">
    <w:altName w:val="宋体"/>
    <w:panose1 w:val="00000000000000000000"/>
    <w:charset w:val="86"/>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AEFA7">
    <w:pPr>
      <w:jc w:val="center"/>
      <w:rPr>
        <w:b/>
        <w:szCs w:val="21"/>
      </w:rPr>
    </w:pPr>
    <w:r>
      <w:rPr>
        <w:rFonts w:hint="eastAsia" w:ascii="宋体" w:hAnsi="宋体"/>
        <w:b/>
        <w:szCs w:val="21"/>
      </w:rPr>
      <w:t>盐城市携手阳光集中采购代理有限公司</w:t>
    </w:r>
    <w:r>
      <w:rPr>
        <w:rFonts w:hint="eastAsia"/>
        <w:b/>
        <w:color w:val="000000"/>
        <w:szCs w:val="21"/>
      </w:rPr>
      <w:t>（</w:t>
    </w:r>
    <w:r>
      <w:rPr>
        <w:rFonts w:ascii="宋体" w:hAnsi="宋体"/>
        <w:b/>
        <w:color w:val="000000"/>
        <w:szCs w:val="21"/>
      </w:rPr>
      <w:t>第</w:t>
    </w:r>
    <w:r>
      <w:rPr>
        <w:rFonts w:ascii="宋体" w:hAnsi="宋体"/>
        <w:b/>
        <w:color w:val="000000"/>
        <w:szCs w:val="21"/>
      </w:rPr>
      <w:fldChar w:fldCharType="begin"/>
    </w:r>
    <w:r>
      <w:rPr>
        <w:rFonts w:ascii="宋体" w:hAnsi="宋体"/>
        <w:b/>
        <w:color w:val="000000"/>
        <w:szCs w:val="21"/>
      </w:rPr>
      <w:instrText xml:space="preserve"> PAGE   \* MERGEFORMAT </w:instrText>
    </w:r>
    <w:r>
      <w:rPr>
        <w:rFonts w:ascii="宋体" w:hAnsi="宋体"/>
        <w:b/>
        <w:color w:val="000000"/>
        <w:szCs w:val="21"/>
      </w:rPr>
      <w:fldChar w:fldCharType="separate"/>
    </w:r>
    <w:r>
      <w:t>2</w:t>
    </w:r>
    <w:r>
      <w:rPr>
        <w:rFonts w:ascii="宋体" w:hAnsi="宋体"/>
        <w:b/>
        <w:color w:val="000000"/>
        <w:szCs w:val="21"/>
      </w:rPr>
      <w:fldChar w:fldCharType="end"/>
    </w:r>
    <w:r>
      <w:rPr>
        <w:rFonts w:ascii="宋体" w:hAnsi="宋体"/>
        <w:b/>
        <w:color w:val="000000"/>
        <w:szCs w:val="21"/>
      </w:rPr>
      <w:t>页</w:t>
    </w:r>
    <w:r>
      <w:rPr>
        <w:rFonts w:hint="eastAsia" w:ascii="宋体" w:hAnsi="宋体"/>
        <w:b/>
        <w:color w:val="000000"/>
        <w:szCs w:val="21"/>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0CBBE">
    <w:pPr>
      <w:ind w:firstLine="271" w:firstLineChars="150"/>
      <w:jc w:val="center"/>
      <w:rPr>
        <w:rFonts w:ascii="宋体" w:hAnsi="宋体"/>
        <w:b/>
        <w:color w:val="FF0000"/>
        <w:sz w:val="18"/>
        <w:szCs w:val="18"/>
      </w:rPr>
    </w:pPr>
    <w:r>
      <w:rPr>
        <w:rFonts w:hint="eastAsia" w:ascii="宋体" w:hAnsi="宋体"/>
        <w:b/>
        <w:sz w:val="18"/>
        <w:szCs w:val="18"/>
      </w:rPr>
      <w:t>盐城市携手阳光集中采购代理有限公司</w:t>
    </w:r>
    <w:r>
      <w:rPr>
        <w:rFonts w:hint="eastAsia" w:ascii="宋体" w:hAnsi="宋体"/>
        <w:b/>
        <w:color w:val="000000"/>
        <w:sz w:val="18"/>
        <w:szCs w:val="18"/>
      </w:rPr>
      <w:t>（第</w:t>
    </w:r>
    <w:r>
      <w:rPr>
        <w:rFonts w:ascii="宋体" w:hAnsi="宋体"/>
        <w:b/>
        <w:color w:val="000000"/>
        <w:sz w:val="18"/>
        <w:szCs w:val="18"/>
      </w:rPr>
      <w:fldChar w:fldCharType="begin"/>
    </w:r>
    <w:r>
      <w:rPr>
        <w:rFonts w:ascii="宋体" w:hAnsi="宋体"/>
        <w:b/>
        <w:color w:val="000000"/>
        <w:sz w:val="18"/>
        <w:szCs w:val="18"/>
      </w:rPr>
      <w:instrText xml:space="preserve"> PAGE </w:instrText>
    </w:r>
    <w:r>
      <w:rPr>
        <w:rFonts w:ascii="宋体" w:hAnsi="宋体"/>
        <w:b/>
        <w:color w:val="000000"/>
        <w:sz w:val="18"/>
        <w:szCs w:val="18"/>
      </w:rPr>
      <w:fldChar w:fldCharType="separate"/>
    </w:r>
    <w:r>
      <w:rPr>
        <w:rFonts w:ascii="宋体" w:hAnsi="宋体"/>
        <w:b/>
        <w:color w:val="000000"/>
        <w:sz w:val="18"/>
        <w:szCs w:val="18"/>
      </w:rPr>
      <w:t>38</w:t>
    </w:r>
    <w:r>
      <w:rPr>
        <w:rFonts w:ascii="宋体" w:hAnsi="宋体"/>
        <w:b/>
        <w:color w:val="000000"/>
        <w:sz w:val="18"/>
        <w:szCs w:val="18"/>
      </w:rPr>
      <w:fldChar w:fldCharType="end"/>
    </w:r>
    <w:r>
      <w:rPr>
        <w:rFonts w:hint="eastAsia" w:ascii="宋体" w:hAnsi="宋体"/>
        <w:b/>
        <w:color w:val="000000"/>
        <w:sz w:val="18"/>
        <w:szCs w:val="18"/>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E7397">
    <w:pPr>
      <w:pStyle w:val="15"/>
      <w:framePr w:wrap="around" w:vAnchor="text" w:hAnchor="margin" w:xAlign="right" w:y="1"/>
      <w:rPr>
        <w:rStyle w:val="31"/>
      </w:rPr>
    </w:pPr>
    <w:r>
      <w:fldChar w:fldCharType="begin"/>
    </w:r>
    <w:r>
      <w:rPr>
        <w:rStyle w:val="31"/>
      </w:rPr>
      <w:instrText xml:space="preserve">PAGE  </w:instrText>
    </w:r>
    <w:r>
      <w:fldChar w:fldCharType="separate"/>
    </w:r>
    <w:r>
      <w:rPr>
        <w:rStyle w:val="31"/>
      </w:rPr>
      <w:t>13</w:t>
    </w:r>
    <w:r>
      <w:fldChar w:fldCharType="end"/>
    </w:r>
  </w:p>
  <w:p w14:paraId="409D9AD1">
    <w:pPr>
      <w:pStyle w:val="1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359FE">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3A178">
    <w:pPr>
      <w:jc w:val="center"/>
      <w:rPr>
        <w:b/>
        <w:szCs w:val="21"/>
      </w:rPr>
    </w:pPr>
    <w:r>
      <w:rPr>
        <w:b/>
      </w:rPr>
      <w:pict>
        <v:shape id="PowerPlusWaterMarkObject" o:spid="_x0000_s2049" o:spt="136" type="#_x0000_t136" style="position:absolute;left:0pt;height:25.4pt;width:661.4pt;mso-position-horizontal:center;mso-position-horizontal-relative:margin;mso-position-vertical:center;mso-position-vertical-relative:margin;rotation:20643840f;z-index:-251640832;mso-width-relative:page;mso-height-relative:page;" fillcolor="#C0C0C0" filled="t" stroked="f" coordsize="21600,21600" o:allowincell="f">
          <v:path/>
          <v:fill on="t" opacity="32768f" focussize="0,0"/>
          <v:stroke on="f"/>
          <v:imagedata o:title=""/>
          <o:lock v:ext="edit" text="f"/>
          <v:textpath on="t" fitshape="t" fitpath="t" trim="t" xscale="f" string="盐城市携手阳光集中采购代理有限公司版权所有、严禁摘抄" style="font-family:宋体;font-size:8pt;v-text-align:center;"/>
        </v:shape>
      </w:pict>
    </w:r>
    <w:r>
      <w:rPr>
        <w:rFonts w:hint="eastAsia"/>
        <w:b/>
        <w:szCs w:val="21"/>
      </w:rPr>
      <w:t>术业有专攻、政采有阳光</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22D39">
    <w:pPr>
      <w:jc w:val="center"/>
      <w:rPr>
        <w:b/>
        <w:szCs w:val="21"/>
      </w:rPr>
    </w:pPr>
    <w:r>
      <w:pict>
        <v:shape id="PowerPlusWaterMarkObject1007653222" o:spid="_x0000_s2051" o:spt="136" type="#_x0000_t136" style="position:absolute;left:0pt;height:31.95pt;width:639.35pt;mso-position-horizontal:center;mso-position-horizontal-relative:margin;mso-position-vertical:center;mso-position-vertical-relative:margin;rotation:20643840f;z-index:-251637760;mso-width-relative:page;mso-height-relative:page;" fillcolor="#C0C0C0" filled="t" stroked="f" coordsize="21600,21600" o:allowincell="f">
          <v:path/>
          <v:fill on="t" opacity="32768f" focussize="0,0"/>
          <v:stroke on="f"/>
          <v:imagedata o:title=""/>
          <o:lock v:ext="edit" text="f"/>
          <v:textpath on="t" fitshape="t" fitpath="t" trim="t" xscale="f" string="仅限本项目使用。未经书面许可，严禁摘抄。" style="font-family:宋体;font-size:8pt;v-text-align:center;"/>
        </v:shape>
      </w:pict>
    </w:r>
    <w:r>
      <w:rPr>
        <w:rFonts w:hint="eastAsia"/>
        <w:b/>
        <w:szCs w:val="21"/>
      </w:rPr>
      <w:t>术业有专攻、政采有阳光</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4AE5B">
    <w:pPr>
      <w:pStyle w:val="17"/>
    </w:pPr>
    <w:r>
      <w:pict>
        <v:shape id="PowerPlusWaterMarkObject1007653221" o:spid="_x0000_s2052" o:spt="136" type="#_x0000_t136" style="position:absolute;left:0pt;height:31.95pt;width:639.35pt;mso-position-horizontal:center;mso-position-horizontal-relative:margin;mso-position-vertical:center;mso-position-vertical-relative:margin;rotation:20643840f;z-index:-251638784;mso-width-relative:page;mso-height-relative:page;" fillcolor="#C0C0C0" filled="t" stroked="f" coordsize="21600,21600" o:allowincell="f">
          <v:path/>
          <v:fill on="t" opacity="32768f" focussize="0,0"/>
          <v:stroke on="f"/>
          <v:imagedata o:title=""/>
          <o:lock v:ext="edit" text="f"/>
          <v:textpath on="t" fitshape="t" fitpath="t" trim="t" xscale="f" string="仅限本项目使用。未经书面许可，严禁摘抄。" style="font-family:宋体;font-size:8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73668">
    <w:pPr>
      <w:pStyle w:val="17"/>
    </w:pPr>
    <w:r>
      <w:pict>
        <v:shape id="PowerPlusWaterMarkObject1007653220" o:spid="_x0000_s2050" o:spt="136" type="#_x0000_t136" style="position:absolute;left:0pt;height:31.95pt;width:639.35pt;mso-position-horizontal:center;mso-position-horizontal-relative:margin;mso-position-vertical:center;mso-position-vertical-relative:margin;rotation:20643840f;z-index:-251639808;mso-width-relative:page;mso-height-relative:page;" fillcolor="#C0C0C0" filled="t" stroked="f" coordsize="21600,21600" o:allowincell="f">
          <v:path/>
          <v:fill on="t" opacity="32768f" focussize="0,0"/>
          <v:stroke on="f"/>
          <v:imagedata o:title=""/>
          <o:lock v:ext="edit" text="f"/>
          <v:textpath on="t" fitshape="t" fitpath="t" trim="t" xscale="f" string="仅限本项目使用。未经书面许可，严禁摘抄。" style="font-family:宋体;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631CA1"/>
    <w:multiLevelType w:val="singleLevel"/>
    <w:tmpl w:val="02631CA1"/>
    <w:lvl w:ilvl="0" w:tentative="0">
      <w:start w:val="6"/>
      <w:numFmt w:val="chineseCounting"/>
      <w:pStyle w:val="67"/>
      <w:suff w:val="nothing"/>
      <w:lvlText w:val="%1、"/>
      <w:lvlJc w:val="left"/>
      <w:rPr>
        <w:rFonts w:hint="eastAsia"/>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2"/>
    </o:shapelayout>
  </w:hdrShapeDefault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hOTBlYTA2NTg3OWVlNTBkZjk2NzYwNGYyZDJjYjUifQ=="/>
  </w:docVars>
  <w:rsids>
    <w:rsidRoot w:val="362A1B67"/>
    <w:rsid w:val="000016F8"/>
    <w:rsid w:val="00001C8E"/>
    <w:rsid w:val="00005FDA"/>
    <w:rsid w:val="00023AE2"/>
    <w:rsid w:val="000275B9"/>
    <w:rsid w:val="000316B8"/>
    <w:rsid w:val="00034000"/>
    <w:rsid w:val="00036B07"/>
    <w:rsid w:val="00041E63"/>
    <w:rsid w:val="000439E7"/>
    <w:rsid w:val="00046A2D"/>
    <w:rsid w:val="00071B8E"/>
    <w:rsid w:val="00081B72"/>
    <w:rsid w:val="00082625"/>
    <w:rsid w:val="000851B2"/>
    <w:rsid w:val="00085646"/>
    <w:rsid w:val="0008597E"/>
    <w:rsid w:val="00091652"/>
    <w:rsid w:val="00091C88"/>
    <w:rsid w:val="000A2297"/>
    <w:rsid w:val="000A2513"/>
    <w:rsid w:val="000A53C7"/>
    <w:rsid w:val="000B4817"/>
    <w:rsid w:val="000B4A7A"/>
    <w:rsid w:val="000C53F2"/>
    <w:rsid w:val="000C625F"/>
    <w:rsid w:val="000D0124"/>
    <w:rsid w:val="000D31A9"/>
    <w:rsid w:val="000D51E0"/>
    <w:rsid w:val="000F1064"/>
    <w:rsid w:val="000F19FC"/>
    <w:rsid w:val="001000F5"/>
    <w:rsid w:val="00116683"/>
    <w:rsid w:val="00116AA0"/>
    <w:rsid w:val="00143410"/>
    <w:rsid w:val="001467EC"/>
    <w:rsid w:val="00150AD5"/>
    <w:rsid w:val="00154AAC"/>
    <w:rsid w:val="00172A18"/>
    <w:rsid w:val="001756B4"/>
    <w:rsid w:val="001814E7"/>
    <w:rsid w:val="00184034"/>
    <w:rsid w:val="001979B0"/>
    <w:rsid w:val="001A69B1"/>
    <w:rsid w:val="001A6E3C"/>
    <w:rsid w:val="001C0BC5"/>
    <w:rsid w:val="001C0E56"/>
    <w:rsid w:val="001E500B"/>
    <w:rsid w:val="001F31CE"/>
    <w:rsid w:val="001F64AD"/>
    <w:rsid w:val="001F720C"/>
    <w:rsid w:val="0020613E"/>
    <w:rsid w:val="00224128"/>
    <w:rsid w:val="002269D4"/>
    <w:rsid w:val="00234A27"/>
    <w:rsid w:val="00246233"/>
    <w:rsid w:val="00247964"/>
    <w:rsid w:val="00274219"/>
    <w:rsid w:val="00274234"/>
    <w:rsid w:val="002852DA"/>
    <w:rsid w:val="00285E01"/>
    <w:rsid w:val="002951E1"/>
    <w:rsid w:val="002A05CA"/>
    <w:rsid w:val="002A377A"/>
    <w:rsid w:val="002A3AD8"/>
    <w:rsid w:val="002A3F4A"/>
    <w:rsid w:val="002B41DE"/>
    <w:rsid w:val="002C2589"/>
    <w:rsid w:val="002D3B43"/>
    <w:rsid w:val="002E39CB"/>
    <w:rsid w:val="002E66A7"/>
    <w:rsid w:val="002F4571"/>
    <w:rsid w:val="002F5311"/>
    <w:rsid w:val="003002D2"/>
    <w:rsid w:val="00304E10"/>
    <w:rsid w:val="00305FBD"/>
    <w:rsid w:val="00311CCD"/>
    <w:rsid w:val="00312AE1"/>
    <w:rsid w:val="00327376"/>
    <w:rsid w:val="003303DC"/>
    <w:rsid w:val="003305FA"/>
    <w:rsid w:val="00341ED6"/>
    <w:rsid w:val="0034696A"/>
    <w:rsid w:val="003535F8"/>
    <w:rsid w:val="003550AC"/>
    <w:rsid w:val="003563FD"/>
    <w:rsid w:val="00364D57"/>
    <w:rsid w:val="00365845"/>
    <w:rsid w:val="00376AAD"/>
    <w:rsid w:val="00396429"/>
    <w:rsid w:val="00396D0E"/>
    <w:rsid w:val="00396DEE"/>
    <w:rsid w:val="003A2FD2"/>
    <w:rsid w:val="003A51C4"/>
    <w:rsid w:val="003B022D"/>
    <w:rsid w:val="003B44A6"/>
    <w:rsid w:val="003B6F35"/>
    <w:rsid w:val="003D670D"/>
    <w:rsid w:val="003D7E60"/>
    <w:rsid w:val="003E36A4"/>
    <w:rsid w:val="003E4A1B"/>
    <w:rsid w:val="003F2C20"/>
    <w:rsid w:val="003F3DFB"/>
    <w:rsid w:val="0040150C"/>
    <w:rsid w:val="0040274E"/>
    <w:rsid w:val="0040589F"/>
    <w:rsid w:val="004110F2"/>
    <w:rsid w:val="00414698"/>
    <w:rsid w:val="00423C6D"/>
    <w:rsid w:val="004266DA"/>
    <w:rsid w:val="00426ADE"/>
    <w:rsid w:val="00427431"/>
    <w:rsid w:val="004313ED"/>
    <w:rsid w:val="00434E6A"/>
    <w:rsid w:val="00435474"/>
    <w:rsid w:val="00436FD0"/>
    <w:rsid w:val="00440672"/>
    <w:rsid w:val="004479E5"/>
    <w:rsid w:val="0045397C"/>
    <w:rsid w:val="00453B69"/>
    <w:rsid w:val="00460AB1"/>
    <w:rsid w:val="004616BE"/>
    <w:rsid w:val="00465099"/>
    <w:rsid w:val="00473F8D"/>
    <w:rsid w:val="00483122"/>
    <w:rsid w:val="00493900"/>
    <w:rsid w:val="00495481"/>
    <w:rsid w:val="004B60F9"/>
    <w:rsid w:val="004B6EBB"/>
    <w:rsid w:val="004C5A40"/>
    <w:rsid w:val="004C7B41"/>
    <w:rsid w:val="004D068A"/>
    <w:rsid w:val="004E03CD"/>
    <w:rsid w:val="004E616D"/>
    <w:rsid w:val="004F3F79"/>
    <w:rsid w:val="004F69A5"/>
    <w:rsid w:val="0051278D"/>
    <w:rsid w:val="00521363"/>
    <w:rsid w:val="0052445A"/>
    <w:rsid w:val="00527906"/>
    <w:rsid w:val="00530752"/>
    <w:rsid w:val="00541A85"/>
    <w:rsid w:val="0054217F"/>
    <w:rsid w:val="00542988"/>
    <w:rsid w:val="005433AB"/>
    <w:rsid w:val="00545461"/>
    <w:rsid w:val="00546EDC"/>
    <w:rsid w:val="00555137"/>
    <w:rsid w:val="0055637C"/>
    <w:rsid w:val="00557262"/>
    <w:rsid w:val="00563A6B"/>
    <w:rsid w:val="00565C8E"/>
    <w:rsid w:val="00567379"/>
    <w:rsid w:val="00574BA8"/>
    <w:rsid w:val="00586ACD"/>
    <w:rsid w:val="0059165B"/>
    <w:rsid w:val="005A19CE"/>
    <w:rsid w:val="005A3F05"/>
    <w:rsid w:val="005A5813"/>
    <w:rsid w:val="005A77F1"/>
    <w:rsid w:val="005B0EC8"/>
    <w:rsid w:val="005C3538"/>
    <w:rsid w:val="005C779F"/>
    <w:rsid w:val="005E7397"/>
    <w:rsid w:val="005F09CF"/>
    <w:rsid w:val="005F25FC"/>
    <w:rsid w:val="0061633E"/>
    <w:rsid w:val="00616591"/>
    <w:rsid w:val="0062008D"/>
    <w:rsid w:val="006208A0"/>
    <w:rsid w:val="006259B3"/>
    <w:rsid w:val="00627D76"/>
    <w:rsid w:val="00627E6B"/>
    <w:rsid w:val="006432CA"/>
    <w:rsid w:val="00646C7C"/>
    <w:rsid w:val="006475C4"/>
    <w:rsid w:val="00647D65"/>
    <w:rsid w:val="006540DA"/>
    <w:rsid w:val="00654AFE"/>
    <w:rsid w:val="006558A6"/>
    <w:rsid w:val="0066593D"/>
    <w:rsid w:val="006718B2"/>
    <w:rsid w:val="00675CC3"/>
    <w:rsid w:val="006768C1"/>
    <w:rsid w:val="00694131"/>
    <w:rsid w:val="006A1B37"/>
    <w:rsid w:val="006A73E4"/>
    <w:rsid w:val="006A7A8F"/>
    <w:rsid w:val="006B3EBE"/>
    <w:rsid w:val="006C4E28"/>
    <w:rsid w:val="006C72BC"/>
    <w:rsid w:val="006D58EC"/>
    <w:rsid w:val="006D6351"/>
    <w:rsid w:val="006E10CB"/>
    <w:rsid w:val="006E56E0"/>
    <w:rsid w:val="006F0A27"/>
    <w:rsid w:val="00701372"/>
    <w:rsid w:val="00705FF9"/>
    <w:rsid w:val="00712758"/>
    <w:rsid w:val="0072221F"/>
    <w:rsid w:val="00727F5B"/>
    <w:rsid w:val="00735312"/>
    <w:rsid w:val="00752306"/>
    <w:rsid w:val="00754D1B"/>
    <w:rsid w:val="0076073D"/>
    <w:rsid w:val="00761733"/>
    <w:rsid w:val="007720C1"/>
    <w:rsid w:val="0077332A"/>
    <w:rsid w:val="00775CD2"/>
    <w:rsid w:val="00776047"/>
    <w:rsid w:val="00776058"/>
    <w:rsid w:val="007770DD"/>
    <w:rsid w:val="00780493"/>
    <w:rsid w:val="007805D8"/>
    <w:rsid w:val="0078070D"/>
    <w:rsid w:val="00781373"/>
    <w:rsid w:val="00782992"/>
    <w:rsid w:val="00784788"/>
    <w:rsid w:val="00784EA9"/>
    <w:rsid w:val="007862F6"/>
    <w:rsid w:val="00790537"/>
    <w:rsid w:val="00792F91"/>
    <w:rsid w:val="007959C2"/>
    <w:rsid w:val="00797F83"/>
    <w:rsid w:val="007A0403"/>
    <w:rsid w:val="007A07A7"/>
    <w:rsid w:val="007A2FE6"/>
    <w:rsid w:val="007B6903"/>
    <w:rsid w:val="007C5601"/>
    <w:rsid w:val="007D011C"/>
    <w:rsid w:val="007D116B"/>
    <w:rsid w:val="007D3802"/>
    <w:rsid w:val="007D75C3"/>
    <w:rsid w:val="007E0903"/>
    <w:rsid w:val="007E4B02"/>
    <w:rsid w:val="007E5501"/>
    <w:rsid w:val="007E790B"/>
    <w:rsid w:val="007F2B41"/>
    <w:rsid w:val="007F7916"/>
    <w:rsid w:val="0080783C"/>
    <w:rsid w:val="00807E4E"/>
    <w:rsid w:val="00811B26"/>
    <w:rsid w:val="008156D0"/>
    <w:rsid w:val="00817BC0"/>
    <w:rsid w:val="008208C7"/>
    <w:rsid w:val="00831D9A"/>
    <w:rsid w:val="00832BDC"/>
    <w:rsid w:val="008368D9"/>
    <w:rsid w:val="00845B0D"/>
    <w:rsid w:val="00847DE1"/>
    <w:rsid w:val="00856FAF"/>
    <w:rsid w:val="00863463"/>
    <w:rsid w:val="00881355"/>
    <w:rsid w:val="00884FF9"/>
    <w:rsid w:val="00890EE5"/>
    <w:rsid w:val="008911D9"/>
    <w:rsid w:val="008932D8"/>
    <w:rsid w:val="00895E46"/>
    <w:rsid w:val="008967CE"/>
    <w:rsid w:val="008A1149"/>
    <w:rsid w:val="008B3E6D"/>
    <w:rsid w:val="008C08A6"/>
    <w:rsid w:val="008D55FE"/>
    <w:rsid w:val="008D5CB7"/>
    <w:rsid w:val="008E0FC7"/>
    <w:rsid w:val="008E1482"/>
    <w:rsid w:val="008E1D7B"/>
    <w:rsid w:val="008E30FB"/>
    <w:rsid w:val="008F0B95"/>
    <w:rsid w:val="008F1806"/>
    <w:rsid w:val="008F7CB4"/>
    <w:rsid w:val="00906222"/>
    <w:rsid w:val="009070D7"/>
    <w:rsid w:val="0091066F"/>
    <w:rsid w:val="00914C32"/>
    <w:rsid w:val="00925CA5"/>
    <w:rsid w:val="00940AA8"/>
    <w:rsid w:val="00942D36"/>
    <w:rsid w:val="00952109"/>
    <w:rsid w:val="00957081"/>
    <w:rsid w:val="00970147"/>
    <w:rsid w:val="009777FB"/>
    <w:rsid w:val="0098087D"/>
    <w:rsid w:val="00997605"/>
    <w:rsid w:val="009C7CD4"/>
    <w:rsid w:val="009D16B6"/>
    <w:rsid w:val="009D226B"/>
    <w:rsid w:val="009D7531"/>
    <w:rsid w:val="009E0EBD"/>
    <w:rsid w:val="009E54DF"/>
    <w:rsid w:val="009E60FA"/>
    <w:rsid w:val="009F06B2"/>
    <w:rsid w:val="00A028AE"/>
    <w:rsid w:val="00A27E1A"/>
    <w:rsid w:val="00A33257"/>
    <w:rsid w:val="00A438CF"/>
    <w:rsid w:val="00A45F9D"/>
    <w:rsid w:val="00A566D5"/>
    <w:rsid w:val="00A603D0"/>
    <w:rsid w:val="00A645CB"/>
    <w:rsid w:val="00A67F48"/>
    <w:rsid w:val="00A7744D"/>
    <w:rsid w:val="00A81A6E"/>
    <w:rsid w:val="00A84C4D"/>
    <w:rsid w:val="00A914AD"/>
    <w:rsid w:val="00A962E3"/>
    <w:rsid w:val="00AA1A86"/>
    <w:rsid w:val="00AA2EF4"/>
    <w:rsid w:val="00AA536A"/>
    <w:rsid w:val="00AA60B4"/>
    <w:rsid w:val="00AA7D21"/>
    <w:rsid w:val="00AB35EA"/>
    <w:rsid w:val="00AD309C"/>
    <w:rsid w:val="00AD7CF5"/>
    <w:rsid w:val="00AE4605"/>
    <w:rsid w:val="00AE660F"/>
    <w:rsid w:val="00AF28C5"/>
    <w:rsid w:val="00AF6A22"/>
    <w:rsid w:val="00B1375E"/>
    <w:rsid w:val="00B21298"/>
    <w:rsid w:val="00B2195F"/>
    <w:rsid w:val="00B36A4F"/>
    <w:rsid w:val="00B5460E"/>
    <w:rsid w:val="00B63F3A"/>
    <w:rsid w:val="00B655B7"/>
    <w:rsid w:val="00B7130A"/>
    <w:rsid w:val="00B80BC0"/>
    <w:rsid w:val="00B84AA7"/>
    <w:rsid w:val="00B87A8B"/>
    <w:rsid w:val="00B87F32"/>
    <w:rsid w:val="00B96F49"/>
    <w:rsid w:val="00BA1C5D"/>
    <w:rsid w:val="00BA2A2B"/>
    <w:rsid w:val="00BB2EE9"/>
    <w:rsid w:val="00BB43FE"/>
    <w:rsid w:val="00BC23E8"/>
    <w:rsid w:val="00BC2B21"/>
    <w:rsid w:val="00BE3458"/>
    <w:rsid w:val="00BE6EF2"/>
    <w:rsid w:val="00BF6C3A"/>
    <w:rsid w:val="00BF7932"/>
    <w:rsid w:val="00C027DF"/>
    <w:rsid w:val="00C03A49"/>
    <w:rsid w:val="00C13CBE"/>
    <w:rsid w:val="00C15F71"/>
    <w:rsid w:val="00C22B0E"/>
    <w:rsid w:val="00C26819"/>
    <w:rsid w:val="00C27489"/>
    <w:rsid w:val="00C42980"/>
    <w:rsid w:val="00C44AB2"/>
    <w:rsid w:val="00C536EE"/>
    <w:rsid w:val="00C55603"/>
    <w:rsid w:val="00C579A4"/>
    <w:rsid w:val="00C613FB"/>
    <w:rsid w:val="00C64C19"/>
    <w:rsid w:val="00C71DDA"/>
    <w:rsid w:val="00C7527B"/>
    <w:rsid w:val="00C763AC"/>
    <w:rsid w:val="00C9002B"/>
    <w:rsid w:val="00C94652"/>
    <w:rsid w:val="00C9625E"/>
    <w:rsid w:val="00CA0A5D"/>
    <w:rsid w:val="00CA1F46"/>
    <w:rsid w:val="00CA5DEE"/>
    <w:rsid w:val="00CB4723"/>
    <w:rsid w:val="00CB74BC"/>
    <w:rsid w:val="00CC57D5"/>
    <w:rsid w:val="00CD4CF7"/>
    <w:rsid w:val="00CF6BF6"/>
    <w:rsid w:val="00CF6C8C"/>
    <w:rsid w:val="00D02170"/>
    <w:rsid w:val="00D02320"/>
    <w:rsid w:val="00D02FD2"/>
    <w:rsid w:val="00D032A1"/>
    <w:rsid w:val="00D15007"/>
    <w:rsid w:val="00D169E3"/>
    <w:rsid w:val="00D22DDA"/>
    <w:rsid w:val="00D31AD7"/>
    <w:rsid w:val="00D415E4"/>
    <w:rsid w:val="00D46AA8"/>
    <w:rsid w:val="00D5688F"/>
    <w:rsid w:val="00D56F13"/>
    <w:rsid w:val="00D62393"/>
    <w:rsid w:val="00D67D98"/>
    <w:rsid w:val="00D71EB5"/>
    <w:rsid w:val="00D7446B"/>
    <w:rsid w:val="00D75EE6"/>
    <w:rsid w:val="00D81569"/>
    <w:rsid w:val="00DA1A24"/>
    <w:rsid w:val="00DA2290"/>
    <w:rsid w:val="00DA2629"/>
    <w:rsid w:val="00DA33D5"/>
    <w:rsid w:val="00DA787D"/>
    <w:rsid w:val="00DB74EE"/>
    <w:rsid w:val="00DC22D6"/>
    <w:rsid w:val="00DD1A8A"/>
    <w:rsid w:val="00DD4BCB"/>
    <w:rsid w:val="00DF2CF7"/>
    <w:rsid w:val="00E00E73"/>
    <w:rsid w:val="00E02E27"/>
    <w:rsid w:val="00E02EFD"/>
    <w:rsid w:val="00E15216"/>
    <w:rsid w:val="00E17E64"/>
    <w:rsid w:val="00E231A7"/>
    <w:rsid w:val="00E308CC"/>
    <w:rsid w:val="00E31848"/>
    <w:rsid w:val="00E322FB"/>
    <w:rsid w:val="00E32886"/>
    <w:rsid w:val="00E348C1"/>
    <w:rsid w:val="00E37F75"/>
    <w:rsid w:val="00E40880"/>
    <w:rsid w:val="00E425DE"/>
    <w:rsid w:val="00E50204"/>
    <w:rsid w:val="00E51046"/>
    <w:rsid w:val="00E53934"/>
    <w:rsid w:val="00E54D24"/>
    <w:rsid w:val="00E55E42"/>
    <w:rsid w:val="00E63694"/>
    <w:rsid w:val="00E67CC9"/>
    <w:rsid w:val="00E67E8E"/>
    <w:rsid w:val="00E72C5D"/>
    <w:rsid w:val="00E81CD8"/>
    <w:rsid w:val="00E82ECF"/>
    <w:rsid w:val="00E83862"/>
    <w:rsid w:val="00E8449F"/>
    <w:rsid w:val="00E93FBB"/>
    <w:rsid w:val="00EA1037"/>
    <w:rsid w:val="00EA2F2F"/>
    <w:rsid w:val="00EB00E5"/>
    <w:rsid w:val="00EB2252"/>
    <w:rsid w:val="00EB4F05"/>
    <w:rsid w:val="00EB560A"/>
    <w:rsid w:val="00EB5FF9"/>
    <w:rsid w:val="00EC0008"/>
    <w:rsid w:val="00EC40FB"/>
    <w:rsid w:val="00EC4AAC"/>
    <w:rsid w:val="00EC4C50"/>
    <w:rsid w:val="00EE0D76"/>
    <w:rsid w:val="00EE276B"/>
    <w:rsid w:val="00EE47F7"/>
    <w:rsid w:val="00EE48D4"/>
    <w:rsid w:val="00EE4E92"/>
    <w:rsid w:val="00EF3994"/>
    <w:rsid w:val="00EF3F0B"/>
    <w:rsid w:val="00F0096F"/>
    <w:rsid w:val="00F014CC"/>
    <w:rsid w:val="00F146D4"/>
    <w:rsid w:val="00F17454"/>
    <w:rsid w:val="00F174AF"/>
    <w:rsid w:val="00F1791D"/>
    <w:rsid w:val="00F21AAB"/>
    <w:rsid w:val="00F22FF2"/>
    <w:rsid w:val="00F27856"/>
    <w:rsid w:val="00F36BA7"/>
    <w:rsid w:val="00F36C45"/>
    <w:rsid w:val="00F47C77"/>
    <w:rsid w:val="00F53038"/>
    <w:rsid w:val="00F530CC"/>
    <w:rsid w:val="00F61750"/>
    <w:rsid w:val="00F63BB1"/>
    <w:rsid w:val="00F64770"/>
    <w:rsid w:val="00F71289"/>
    <w:rsid w:val="00F7210C"/>
    <w:rsid w:val="00F738A0"/>
    <w:rsid w:val="00F74729"/>
    <w:rsid w:val="00F771DD"/>
    <w:rsid w:val="00F8158C"/>
    <w:rsid w:val="00F913D4"/>
    <w:rsid w:val="00F93584"/>
    <w:rsid w:val="00F95EA2"/>
    <w:rsid w:val="00F973C7"/>
    <w:rsid w:val="00FA0028"/>
    <w:rsid w:val="00FA3D79"/>
    <w:rsid w:val="00FB2763"/>
    <w:rsid w:val="00FB4D48"/>
    <w:rsid w:val="00FB7B0A"/>
    <w:rsid w:val="00FC0D61"/>
    <w:rsid w:val="00FD2CBB"/>
    <w:rsid w:val="00FE1D87"/>
    <w:rsid w:val="00FF6605"/>
    <w:rsid w:val="00FF708A"/>
    <w:rsid w:val="01141165"/>
    <w:rsid w:val="01227B80"/>
    <w:rsid w:val="01255120"/>
    <w:rsid w:val="015679D0"/>
    <w:rsid w:val="016A347B"/>
    <w:rsid w:val="01973B44"/>
    <w:rsid w:val="01B110AA"/>
    <w:rsid w:val="01C34939"/>
    <w:rsid w:val="01F36FCC"/>
    <w:rsid w:val="01FB40D3"/>
    <w:rsid w:val="020250AD"/>
    <w:rsid w:val="022278B2"/>
    <w:rsid w:val="02251150"/>
    <w:rsid w:val="0242356F"/>
    <w:rsid w:val="025A704C"/>
    <w:rsid w:val="026B1746"/>
    <w:rsid w:val="02705A59"/>
    <w:rsid w:val="02765728"/>
    <w:rsid w:val="027D0F8C"/>
    <w:rsid w:val="027F4D04"/>
    <w:rsid w:val="02837B03"/>
    <w:rsid w:val="02883D22"/>
    <w:rsid w:val="02EE1086"/>
    <w:rsid w:val="02FB6CDA"/>
    <w:rsid w:val="03012D45"/>
    <w:rsid w:val="03057289"/>
    <w:rsid w:val="031F2ECC"/>
    <w:rsid w:val="03675EC4"/>
    <w:rsid w:val="037F55BF"/>
    <w:rsid w:val="03A51506"/>
    <w:rsid w:val="03CF2906"/>
    <w:rsid w:val="03EC0177"/>
    <w:rsid w:val="03F079D9"/>
    <w:rsid w:val="03FB660C"/>
    <w:rsid w:val="040500AF"/>
    <w:rsid w:val="040C0819"/>
    <w:rsid w:val="04193896"/>
    <w:rsid w:val="041B280B"/>
    <w:rsid w:val="044262F7"/>
    <w:rsid w:val="044E1D39"/>
    <w:rsid w:val="0454692A"/>
    <w:rsid w:val="046046C1"/>
    <w:rsid w:val="04610B65"/>
    <w:rsid w:val="04670C6B"/>
    <w:rsid w:val="046930FC"/>
    <w:rsid w:val="0499464F"/>
    <w:rsid w:val="04B0389B"/>
    <w:rsid w:val="04B8274F"/>
    <w:rsid w:val="04B944C7"/>
    <w:rsid w:val="04C335CE"/>
    <w:rsid w:val="04C54360"/>
    <w:rsid w:val="052120A3"/>
    <w:rsid w:val="052676B9"/>
    <w:rsid w:val="05300538"/>
    <w:rsid w:val="053E4A03"/>
    <w:rsid w:val="054115C5"/>
    <w:rsid w:val="054933A7"/>
    <w:rsid w:val="05753047"/>
    <w:rsid w:val="05832D5D"/>
    <w:rsid w:val="059C656F"/>
    <w:rsid w:val="05A76A4C"/>
    <w:rsid w:val="05AA02EA"/>
    <w:rsid w:val="05DF2F6E"/>
    <w:rsid w:val="05EC3CFE"/>
    <w:rsid w:val="05F72E03"/>
    <w:rsid w:val="062365AE"/>
    <w:rsid w:val="06336531"/>
    <w:rsid w:val="06383B48"/>
    <w:rsid w:val="06417EB4"/>
    <w:rsid w:val="06450013"/>
    <w:rsid w:val="065A6526"/>
    <w:rsid w:val="06695AAF"/>
    <w:rsid w:val="066B5CCB"/>
    <w:rsid w:val="068E5516"/>
    <w:rsid w:val="069A210C"/>
    <w:rsid w:val="06A37B17"/>
    <w:rsid w:val="06A66D03"/>
    <w:rsid w:val="06B93983"/>
    <w:rsid w:val="06C947A0"/>
    <w:rsid w:val="06D01BEE"/>
    <w:rsid w:val="06D43123"/>
    <w:rsid w:val="06D66EBD"/>
    <w:rsid w:val="06DC2725"/>
    <w:rsid w:val="06F061D0"/>
    <w:rsid w:val="070C4535"/>
    <w:rsid w:val="071719AF"/>
    <w:rsid w:val="07181283"/>
    <w:rsid w:val="07267138"/>
    <w:rsid w:val="07293490"/>
    <w:rsid w:val="073E518E"/>
    <w:rsid w:val="07512D0C"/>
    <w:rsid w:val="07571DAC"/>
    <w:rsid w:val="077D2FDF"/>
    <w:rsid w:val="079B25E0"/>
    <w:rsid w:val="07BC2556"/>
    <w:rsid w:val="07C40E9D"/>
    <w:rsid w:val="07D77390"/>
    <w:rsid w:val="07E163D5"/>
    <w:rsid w:val="07E212EE"/>
    <w:rsid w:val="07F46FEF"/>
    <w:rsid w:val="08070A00"/>
    <w:rsid w:val="083B791F"/>
    <w:rsid w:val="08422F06"/>
    <w:rsid w:val="084847E4"/>
    <w:rsid w:val="084B0776"/>
    <w:rsid w:val="0865674A"/>
    <w:rsid w:val="08940143"/>
    <w:rsid w:val="08971C0E"/>
    <w:rsid w:val="089F7EAE"/>
    <w:rsid w:val="08AD3BAB"/>
    <w:rsid w:val="08B64722"/>
    <w:rsid w:val="08BA0844"/>
    <w:rsid w:val="08BA5C89"/>
    <w:rsid w:val="08CA0902"/>
    <w:rsid w:val="08CF4683"/>
    <w:rsid w:val="08D262A8"/>
    <w:rsid w:val="08EA41E4"/>
    <w:rsid w:val="08FF35C4"/>
    <w:rsid w:val="090976D7"/>
    <w:rsid w:val="092C1016"/>
    <w:rsid w:val="093D2F14"/>
    <w:rsid w:val="094D16B8"/>
    <w:rsid w:val="094E3682"/>
    <w:rsid w:val="0962481E"/>
    <w:rsid w:val="097D7547"/>
    <w:rsid w:val="097D7E05"/>
    <w:rsid w:val="097E3AE5"/>
    <w:rsid w:val="0994055C"/>
    <w:rsid w:val="099472E7"/>
    <w:rsid w:val="0995137D"/>
    <w:rsid w:val="09A651D4"/>
    <w:rsid w:val="09A677DE"/>
    <w:rsid w:val="09CF2342"/>
    <w:rsid w:val="09D83256"/>
    <w:rsid w:val="09DA6CC4"/>
    <w:rsid w:val="09DE4A06"/>
    <w:rsid w:val="09E6794E"/>
    <w:rsid w:val="09FE4D70"/>
    <w:rsid w:val="0A2A11AD"/>
    <w:rsid w:val="0A595E3B"/>
    <w:rsid w:val="0A5B632D"/>
    <w:rsid w:val="0A6C019B"/>
    <w:rsid w:val="0A6D18E6"/>
    <w:rsid w:val="0A79472F"/>
    <w:rsid w:val="0A7E07AB"/>
    <w:rsid w:val="0A825C26"/>
    <w:rsid w:val="0A924098"/>
    <w:rsid w:val="0AA03A6A"/>
    <w:rsid w:val="0AC27AB4"/>
    <w:rsid w:val="0AE04712"/>
    <w:rsid w:val="0AFF4C34"/>
    <w:rsid w:val="0B1F2196"/>
    <w:rsid w:val="0B2428ED"/>
    <w:rsid w:val="0B3568A8"/>
    <w:rsid w:val="0B425F77"/>
    <w:rsid w:val="0B6161A3"/>
    <w:rsid w:val="0B776EC0"/>
    <w:rsid w:val="0B897DCB"/>
    <w:rsid w:val="0B980BE5"/>
    <w:rsid w:val="0BA31874"/>
    <w:rsid w:val="0BB717D7"/>
    <w:rsid w:val="0BC30111"/>
    <w:rsid w:val="0BC47C2C"/>
    <w:rsid w:val="0BE12940"/>
    <w:rsid w:val="0C1B5A9E"/>
    <w:rsid w:val="0C236700"/>
    <w:rsid w:val="0C25673D"/>
    <w:rsid w:val="0C291044"/>
    <w:rsid w:val="0C2A7A8F"/>
    <w:rsid w:val="0C2C7CAB"/>
    <w:rsid w:val="0C3923C8"/>
    <w:rsid w:val="0C3C259B"/>
    <w:rsid w:val="0C403DDB"/>
    <w:rsid w:val="0C41302A"/>
    <w:rsid w:val="0C4F1BEB"/>
    <w:rsid w:val="0C516F71"/>
    <w:rsid w:val="0C6F1945"/>
    <w:rsid w:val="0C782EF0"/>
    <w:rsid w:val="0CA05FA3"/>
    <w:rsid w:val="0CB136E8"/>
    <w:rsid w:val="0CB13789"/>
    <w:rsid w:val="0CC53C5B"/>
    <w:rsid w:val="0CCC4FEA"/>
    <w:rsid w:val="0CD90540"/>
    <w:rsid w:val="0D1129FD"/>
    <w:rsid w:val="0D183D8B"/>
    <w:rsid w:val="0D2564A8"/>
    <w:rsid w:val="0D335069"/>
    <w:rsid w:val="0D3F57BC"/>
    <w:rsid w:val="0D4C1C87"/>
    <w:rsid w:val="0D5C45C0"/>
    <w:rsid w:val="0D5D44B5"/>
    <w:rsid w:val="0D774F56"/>
    <w:rsid w:val="0D9A669A"/>
    <w:rsid w:val="0D9D0734"/>
    <w:rsid w:val="0DBD756F"/>
    <w:rsid w:val="0DC95E8B"/>
    <w:rsid w:val="0DD26630"/>
    <w:rsid w:val="0DE66142"/>
    <w:rsid w:val="0DE7680D"/>
    <w:rsid w:val="0DEB5944"/>
    <w:rsid w:val="0DED346A"/>
    <w:rsid w:val="0E010E09"/>
    <w:rsid w:val="0E03489D"/>
    <w:rsid w:val="0E0B7D94"/>
    <w:rsid w:val="0E146F9D"/>
    <w:rsid w:val="0E19425F"/>
    <w:rsid w:val="0E286250"/>
    <w:rsid w:val="0E39045D"/>
    <w:rsid w:val="0E3C3018"/>
    <w:rsid w:val="0E46051D"/>
    <w:rsid w:val="0E62296F"/>
    <w:rsid w:val="0E71409B"/>
    <w:rsid w:val="0E985859"/>
    <w:rsid w:val="0ED20405"/>
    <w:rsid w:val="0ED4462A"/>
    <w:rsid w:val="0EDA2FEF"/>
    <w:rsid w:val="0EE228A3"/>
    <w:rsid w:val="0F063606"/>
    <w:rsid w:val="0F083F8A"/>
    <w:rsid w:val="0F15222C"/>
    <w:rsid w:val="0F18046C"/>
    <w:rsid w:val="0F410148"/>
    <w:rsid w:val="0F475A3E"/>
    <w:rsid w:val="0F5B4403"/>
    <w:rsid w:val="0F7D306C"/>
    <w:rsid w:val="0F7F21A6"/>
    <w:rsid w:val="0F882BE7"/>
    <w:rsid w:val="0F8B1A2C"/>
    <w:rsid w:val="0F9A4F2B"/>
    <w:rsid w:val="0FAE09D7"/>
    <w:rsid w:val="0FB12275"/>
    <w:rsid w:val="0FB57FB7"/>
    <w:rsid w:val="0FC65D20"/>
    <w:rsid w:val="0FC72505"/>
    <w:rsid w:val="0FD04DF1"/>
    <w:rsid w:val="0FDC7F8A"/>
    <w:rsid w:val="10141182"/>
    <w:rsid w:val="10273790"/>
    <w:rsid w:val="10476E1D"/>
    <w:rsid w:val="104A6951"/>
    <w:rsid w:val="105D5D5A"/>
    <w:rsid w:val="107240FA"/>
    <w:rsid w:val="10795489"/>
    <w:rsid w:val="107C6D27"/>
    <w:rsid w:val="10AF4A06"/>
    <w:rsid w:val="10C167E4"/>
    <w:rsid w:val="10C763EA"/>
    <w:rsid w:val="10E87F18"/>
    <w:rsid w:val="10FD1C16"/>
    <w:rsid w:val="11116391"/>
    <w:rsid w:val="11164A85"/>
    <w:rsid w:val="111D5E14"/>
    <w:rsid w:val="11262D69"/>
    <w:rsid w:val="11271AB8"/>
    <w:rsid w:val="113849FC"/>
    <w:rsid w:val="114F61E9"/>
    <w:rsid w:val="11984976"/>
    <w:rsid w:val="11A007F3"/>
    <w:rsid w:val="11A46535"/>
    <w:rsid w:val="11AC0F46"/>
    <w:rsid w:val="11AE540E"/>
    <w:rsid w:val="11C73FD2"/>
    <w:rsid w:val="11CA48D8"/>
    <w:rsid w:val="11D21AE6"/>
    <w:rsid w:val="11D706B9"/>
    <w:rsid w:val="11F50CE9"/>
    <w:rsid w:val="11F823DD"/>
    <w:rsid w:val="12080872"/>
    <w:rsid w:val="12107727"/>
    <w:rsid w:val="12117DB8"/>
    <w:rsid w:val="121C02BE"/>
    <w:rsid w:val="121C431D"/>
    <w:rsid w:val="123C49C0"/>
    <w:rsid w:val="12423F8B"/>
    <w:rsid w:val="125D34BF"/>
    <w:rsid w:val="125E7D6E"/>
    <w:rsid w:val="12687563"/>
    <w:rsid w:val="12754004"/>
    <w:rsid w:val="128B2877"/>
    <w:rsid w:val="12975631"/>
    <w:rsid w:val="1299771C"/>
    <w:rsid w:val="129C4AFB"/>
    <w:rsid w:val="12C16C73"/>
    <w:rsid w:val="12D06EB6"/>
    <w:rsid w:val="12E3308D"/>
    <w:rsid w:val="12F7648C"/>
    <w:rsid w:val="131E6243"/>
    <w:rsid w:val="133B4C77"/>
    <w:rsid w:val="13426191"/>
    <w:rsid w:val="1347361C"/>
    <w:rsid w:val="134E49AB"/>
    <w:rsid w:val="13660293"/>
    <w:rsid w:val="1368169B"/>
    <w:rsid w:val="136E6DFB"/>
    <w:rsid w:val="13710699"/>
    <w:rsid w:val="137B5074"/>
    <w:rsid w:val="13A445CA"/>
    <w:rsid w:val="13B47B12"/>
    <w:rsid w:val="13D44784"/>
    <w:rsid w:val="13E53DDF"/>
    <w:rsid w:val="13EB3FA7"/>
    <w:rsid w:val="13F3192F"/>
    <w:rsid w:val="14076907"/>
    <w:rsid w:val="140F5871"/>
    <w:rsid w:val="14293706"/>
    <w:rsid w:val="144A5C2E"/>
    <w:rsid w:val="144B713C"/>
    <w:rsid w:val="145E2AD3"/>
    <w:rsid w:val="1466786F"/>
    <w:rsid w:val="14717E92"/>
    <w:rsid w:val="14724AB6"/>
    <w:rsid w:val="14810A3E"/>
    <w:rsid w:val="148B7538"/>
    <w:rsid w:val="148E3042"/>
    <w:rsid w:val="14997EA7"/>
    <w:rsid w:val="149F41D0"/>
    <w:rsid w:val="14C55CE2"/>
    <w:rsid w:val="14CA0061"/>
    <w:rsid w:val="14DA49C1"/>
    <w:rsid w:val="14ED2408"/>
    <w:rsid w:val="14F03EE3"/>
    <w:rsid w:val="151439D2"/>
    <w:rsid w:val="15211C4B"/>
    <w:rsid w:val="15324B8E"/>
    <w:rsid w:val="153320AA"/>
    <w:rsid w:val="153B5B4F"/>
    <w:rsid w:val="15443765"/>
    <w:rsid w:val="157D650A"/>
    <w:rsid w:val="157F578C"/>
    <w:rsid w:val="15866F2A"/>
    <w:rsid w:val="158E5868"/>
    <w:rsid w:val="15945E76"/>
    <w:rsid w:val="15A9411A"/>
    <w:rsid w:val="15C6392F"/>
    <w:rsid w:val="160A4F1B"/>
    <w:rsid w:val="160B6B83"/>
    <w:rsid w:val="160C6659"/>
    <w:rsid w:val="162A33A1"/>
    <w:rsid w:val="16341CFD"/>
    <w:rsid w:val="16393D39"/>
    <w:rsid w:val="167744DB"/>
    <w:rsid w:val="16826719"/>
    <w:rsid w:val="1683496B"/>
    <w:rsid w:val="16886814"/>
    <w:rsid w:val="16975463"/>
    <w:rsid w:val="169E79F7"/>
    <w:rsid w:val="16C84A74"/>
    <w:rsid w:val="16D27BE2"/>
    <w:rsid w:val="16D771C7"/>
    <w:rsid w:val="16E01DBD"/>
    <w:rsid w:val="171B0984"/>
    <w:rsid w:val="17261D73"/>
    <w:rsid w:val="17397720"/>
    <w:rsid w:val="17465999"/>
    <w:rsid w:val="17485BB5"/>
    <w:rsid w:val="174F7450"/>
    <w:rsid w:val="175F3493"/>
    <w:rsid w:val="177B16DD"/>
    <w:rsid w:val="179B1662"/>
    <w:rsid w:val="17AF1790"/>
    <w:rsid w:val="17B80644"/>
    <w:rsid w:val="17D01916"/>
    <w:rsid w:val="17DE3E23"/>
    <w:rsid w:val="17F35B20"/>
    <w:rsid w:val="17F77241"/>
    <w:rsid w:val="18021CD6"/>
    <w:rsid w:val="181B72DB"/>
    <w:rsid w:val="18203A26"/>
    <w:rsid w:val="184019AC"/>
    <w:rsid w:val="18407B66"/>
    <w:rsid w:val="18437C28"/>
    <w:rsid w:val="186662F2"/>
    <w:rsid w:val="188104BD"/>
    <w:rsid w:val="18860743"/>
    <w:rsid w:val="18965ABA"/>
    <w:rsid w:val="18B03A11"/>
    <w:rsid w:val="18C106AC"/>
    <w:rsid w:val="18C43019"/>
    <w:rsid w:val="18CC6CC2"/>
    <w:rsid w:val="18CE20EA"/>
    <w:rsid w:val="18CE7660"/>
    <w:rsid w:val="18E919B2"/>
    <w:rsid w:val="18F712F7"/>
    <w:rsid w:val="190E0811"/>
    <w:rsid w:val="191775ED"/>
    <w:rsid w:val="1926420A"/>
    <w:rsid w:val="19287A4C"/>
    <w:rsid w:val="193006AE"/>
    <w:rsid w:val="19422C35"/>
    <w:rsid w:val="19476AB2"/>
    <w:rsid w:val="19486114"/>
    <w:rsid w:val="196A2073"/>
    <w:rsid w:val="197A603E"/>
    <w:rsid w:val="198F3627"/>
    <w:rsid w:val="199B1FCC"/>
    <w:rsid w:val="19A90B8D"/>
    <w:rsid w:val="19AA66B3"/>
    <w:rsid w:val="19AC7DD1"/>
    <w:rsid w:val="19B25567"/>
    <w:rsid w:val="19EB3229"/>
    <w:rsid w:val="19FA7E71"/>
    <w:rsid w:val="19FD67E3"/>
    <w:rsid w:val="1A02204B"/>
    <w:rsid w:val="1A03691A"/>
    <w:rsid w:val="1A07140F"/>
    <w:rsid w:val="1A154DA1"/>
    <w:rsid w:val="1A2056A9"/>
    <w:rsid w:val="1A347B93"/>
    <w:rsid w:val="1A497C7A"/>
    <w:rsid w:val="1A4C59BC"/>
    <w:rsid w:val="1A55652A"/>
    <w:rsid w:val="1A562397"/>
    <w:rsid w:val="1A6F38CC"/>
    <w:rsid w:val="1A864B29"/>
    <w:rsid w:val="1A9223BA"/>
    <w:rsid w:val="1A9A04D5"/>
    <w:rsid w:val="1AAB623F"/>
    <w:rsid w:val="1ABD41C4"/>
    <w:rsid w:val="1ACB068F"/>
    <w:rsid w:val="1ACD62A6"/>
    <w:rsid w:val="1B157B5C"/>
    <w:rsid w:val="1B1B17E0"/>
    <w:rsid w:val="1B2349D2"/>
    <w:rsid w:val="1B326960"/>
    <w:rsid w:val="1B373F76"/>
    <w:rsid w:val="1B59213E"/>
    <w:rsid w:val="1B6A4FBB"/>
    <w:rsid w:val="1B7C2C5F"/>
    <w:rsid w:val="1BA55384"/>
    <w:rsid w:val="1BAF1D5E"/>
    <w:rsid w:val="1BCC4A05"/>
    <w:rsid w:val="1BDB0DA5"/>
    <w:rsid w:val="1BDB2B53"/>
    <w:rsid w:val="1BE063BC"/>
    <w:rsid w:val="1C0E117B"/>
    <w:rsid w:val="1C2645E3"/>
    <w:rsid w:val="1C321E98"/>
    <w:rsid w:val="1C3E7811"/>
    <w:rsid w:val="1C784846"/>
    <w:rsid w:val="1C7C14FF"/>
    <w:rsid w:val="1C821221"/>
    <w:rsid w:val="1C881132"/>
    <w:rsid w:val="1C99525B"/>
    <w:rsid w:val="1CAB4C1C"/>
    <w:rsid w:val="1CB11952"/>
    <w:rsid w:val="1CCB1FF0"/>
    <w:rsid w:val="1CE1575A"/>
    <w:rsid w:val="1CEC6434"/>
    <w:rsid w:val="1CF2284B"/>
    <w:rsid w:val="1D130FDA"/>
    <w:rsid w:val="1D1A3B4F"/>
    <w:rsid w:val="1D2F75FB"/>
    <w:rsid w:val="1D3725B5"/>
    <w:rsid w:val="1D506B65"/>
    <w:rsid w:val="1D5147B4"/>
    <w:rsid w:val="1D516351"/>
    <w:rsid w:val="1D5337BB"/>
    <w:rsid w:val="1D550375"/>
    <w:rsid w:val="1D570900"/>
    <w:rsid w:val="1D61352C"/>
    <w:rsid w:val="1D6A233A"/>
    <w:rsid w:val="1D8D4321"/>
    <w:rsid w:val="1D976F4E"/>
    <w:rsid w:val="1DCA1E79"/>
    <w:rsid w:val="1DCB2DDC"/>
    <w:rsid w:val="1DDE4890"/>
    <w:rsid w:val="1DE33CD0"/>
    <w:rsid w:val="1DF223D6"/>
    <w:rsid w:val="1DFE701D"/>
    <w:rsid w:val="1E0C0F88"/>
    <w:rsid w:val="1E14059F"/>
    <w:rsid w:val="1E1B192D"/>
    <w:rsid w:val="1E205195"/>
    <w:rsid w:val="1E226631"/>
    <w:rsid w:val="1E262080"/>
    <w:rsid w:val="1E313FB3"/>
    <w:rsid w:val="1E4075E6"/>
    <w:rsid w:val="1E5B7F7C"/>
    <w:rsid w:val="1E6F6EC6"/>
    <w:rsid w:val="1E7B061E"/>
    <w:rsid w:val="1E8066E5"/>
    <w:rsid w:val="1E8219AC"/>
    <w:rsid w:val="1E854FF8"/>
    <w:rsid w:val="1E94348E"/>
    <w:rsid w:val="1EB3600A"/>
    <w:rsid w:val="1EB81632"/>
    <w:rsid w:val="1EC336C9"/>
    <w:rsid w:val="1ED470A1"/>
    <w:rsid w:val="1EDE6ADB"/>
    <w:rsid w:val="1EF64B18"/>
    <w:rsid w:val="1F01504A"/>
    <w:rsid w:val="1F1162C7"/>
    <w:rsid w:val="1F157FEC"/>
    <w:rsid w:val="1F244811"/>
    <w:rsid w:val="1F3543D1"/>
    <w:rsid w:val="1F386FFD"/>
    <w:rsid w:val="1F501341"/>
    <w:rsid w:val="1F552C1D"/>
    <w:rsid w:val="1F58358F"/>
    <w:rsid w:val="1F6F0CDC"/>
    <w:rsid w:val="1F721A21"/>
    <w:rsid w:val="1F852AAF"/>
    <w:rsid w:val="1F853F49"/>
    <w:rsid w:val="1FBA579B"/>
    <w:rsid w:val="1FCF29CF"/>
    <w:rsid w:val="1FFD287D"/>
    <w:rsid w:val="2000702C"/>
    <w:rsid w:val="20317AB3"/>
    <w:rsid w:val="20362A4E"/>
    <w:rsid w:val="206A094A"/>
    <w:rsid w:val="20763E47"/>
    <w:rsid w:val="2091237A"/>
    <w:rsid w:val="20A563AA"/>
    <w:rsid w:val="20AB655B"/>
    <w:rsid w:val="20BF0710"/>
    <w:rsid w:val="20C74A2E"/>
    <w:rsid w:val="20CC33B3"/>
    <w:rsid w:val="20CE2C87"/>
    <w:rsid w:val="20D66D3A"/>
    <w:rsid w:val="20DD55C0"/>
    <w:rsid w:val="20E029BA"/>
    <w:rsid w:val="2120725A"/>
    <w:rsid w:val="21256543"/>
    <w:rsid w:val="21286B8A"/>
    <w:rsid w:val="21290D39"/>
    <w:rsid w:val="2149055F"/>
    <w:rsid w:val="214C004F"/>
    <w:rsid w:val="215C0EAE"/>
    <w:rsid w:val="21670C2F"/>
    <w:rsid w:val="2178128D"/>
    <w:rsid w:val="21815F4B"/>
    <w:rsid w:val="21823A71"/>
    <w:rsid w:val="21863561"/>
    <w:rsid w:val="219E6AFD"/>
    <w:rsid w:val="21C108CE"/>
    <w:rsid w:val="21CB18BC"/>
    <w:rsid w:val="21D5726B"/>
    <w:rsid w:val="21F030D1"/>
    <w:rsid w:val="21F36C22"/>
    <w:rsid w:val="2202224A"/>
    <w:rsid w:val="22156F08"/>
    <w:rsid w:val="222114DC"/>
    <w:rsid w:val="2221328A"/>
    <w:rsid w:val="2230727D"/>
    <w:rsid w:val="224C4B12"/>
    <w:rsid w:val="224D3AFB"/>
    <w:rsid w:val="227B299A"/>
    <w:rsid w:val="228D0920"/>
    <w:rsid w:val="22921111"/>
    <w:rsid w:val="22934188"/>
    <w:rsid w:val="22A46395"/>
    <w:rsid w:val="22AE0FC2"/>
    <w:rsid w:val="22B32A8D"/>
    <w:rsid w:val="22B45EAC"/>
    <w:rsid w:val="22B8599C"/>
    <w:rsid w:val="22C6199A"/>
    <w:rsid w:val="22C92FCC"/>
    <w:rsid w:val="22CC31F6"/>
    <w:rsid w:val="22CD7F3B"/>
    <w:rsid w:val="22D30A28"/>
    <w:rsid w:val="22DB48C8"/>
    <w:rsid w:val="22F340D5"/>
    <w:rsid w:val="22F62969"/>
    <w:rsid w:val="22F97D63"/>
    <w:rsid w:val="22FA160E"/>
    <w:rsid w:val="234C277D"/>
    <w:rsid w:val="23712C4B"/>
    <w:rsid w:val="238E2BA1"/>
    <w:rsid w:val="2393640A"/>
    <w:rsid w:val="23A71402"/>
    <w:rsid w:val="23AE66CF"/>
    <w:rsid w:val="23B855B4"/>
    <w:rsid w:val="23C10881"/>
    <w:rsid w:val="23DC7061"/>
    <w:rsid w:val="23F52C20"/>
    <w:rsid w:val="23FA0237"/>
    <w:rsid w:val="24084702"/>
    <w:rsid w:val="240D7F6A"/>
    <w:rsid w:val="24305BD0"/>
    <w:rsid w:val="244252F2"/>
    <w:rsid w:val="246456B0"/>
    <w:rsid w:val="2466617A"/>
    <w:rsid w:val="247022A7"/>
    <w:rsid w:val="249C309C"/>
    <w:rsid w:val="24A95308"/>
    <w:rsid w:val="24B672B1"/>
    <w:rsid w:val="24C6497E"/>
    <w:rsid w:val="24E85F25"/>
    <w:rsid w:val="24E862E1"/>
    <w:rsid w:val="24F26274"/>
    <w:rsid w:val="24F86524"/>
    <w:rsid w:val="250E4D5D"/>
    <w:rsid w:val="252A7D7C"/>
    <w:rsid w:val="253C1F85"/>
    <w:rsid w:val="254479BB"/>
    <w:rsid w:val="2556149D"/>
    <w:rsid w:val="255617B4"/>
    <w:rsid w:val="256E2CA0"/>
    <w:rsid w:val="25714529"/>
    <w:rsid w:val="25764776"/>
    <w:rsid w:val="257A620F"/>
    <w:rsid w:val="259F7FE3"/>
    <w:rsid w:val="25A8619C"/>
    <w:rsid w:val="25D564AB"/>
    <w:rsid w:val="25E20F82"/>
    <w:rsid w:val="25E47AF0"/>
    <w:rsid w:val="25E71733"/>
    <w:rsid w:val="25F34F3E"/>
    <w:rsid w:val="26040EF9"/>
    <w:rsid w:val="2604714B"/>
    <w:rsid w:val="26121868"/>
    <w:rsid w:val="262449BF"/>
    <w:rsid w:val="262D176D"/>
    <w:rsid w:val="262F5BC1"/>
    <w:rsid w:val="2634595C"/>
    <w:rsid w:val="26346C43"/>
    <w:rsid w:val="263F16B0"/>
    <w:rsid w:val="265C0D35"/>
    <w:rsid w:val="26606A77"/>
    <w:rsid w:val="2669103C"/>
    <w:rsid w:val="26763BCF"/>
    <w:rsid w:val="26793695"/>
    <w:rsid w:val="268409FF"/>
    <w:rsid w:val="269009DE"/>
    <w:rsid w:val="269F0C21"/>
    <w:rsid w:val="26B836F3"/>
    <w:rsid w:val="26BE5AD4"/>
    <w:rsid w:val="26CB02AF"/>
    <w:rsid w:val="26DD5EB5"/>
    <w:rsid w:val="26E44C79"/>
    <w:rsid w:val="26F31699"/>
    <w:rsid w:val="27007912"/>
    <w:rsid w:val="270A69E3"/>
    <w:rsid w:val="27117B86"/>
    <w:rsid w:val="27165388"/>
    <w:rsid w:val="271F3D3B"/>
    <w:rsid w:val="272445CF"/>
    <w:rsid w:val="272730F1"/>
    <w:rsid w:val="27291DCA"/>
    <w:rsid w:val="273C6CCC"/>
    <w:rsid w:val="273E043A"/>
    <w:rsid w:val="27430C56"/>
    <w:rsid w:val="27617631"/>
    <w:rsid w:val="276F1A45"/>
    <w:rsid w:val="279562D2"/>
    <w:rsid w:val="27D56FF1"/>
    <w:rsid w:val="27DD5EA5"/>
    <w:rsid w:val="27EF5E2F"/>
    <w:rsid w:val="2828082C"/>
    <w:rsid w:val="28387B79"/>
    <w:rsid w:val="284C442A"/>
    <w:rsid w:val="28727A72"/>
    <w:rsid w:val="28901037"/>
    <w:rsid w:val="289651BD"/>
    <w:rsid w:val="28AA5A71"/>
    <w:rsid w:val="28B577B6"/>
    <w:rsid w:val="28D81409"/>
    <w:rsid w:val="28E051EA"/>
    <w:rsid w:val="28E141FE"/>
    <w:rsid w:val="28E55011"/>
    <w:rsid w:val="28F107FE"/>
    <w:rsid w:val="2907142C"/>
    <w:rsid w:val="2912392D"/>
    <w:rsid w:val="29296022"/>
    <w:rsid w:val="294C5FAE"/>
    <w:rsid w:val="295959FF"/>
    <w:rsid w:val="297F5EFD"/>
    <w:rsid w:val="29802F8C"/>
    <w:rsid w:val="298514FB"/>
    <w:rsid w:val="29A50C45"/>
    <w:rsid w:val="29AC1FD3"/>
    <w:rsid w:val="29BD1AEA"/>
    <w:rsid w:val="29CA4B8D"/>
    <w:rsid w:val="29CE019B"/>
    <w:rsid w:val="29EC0622"/>
    <w:rsid w:val="2A043BBD"/>
    <w:rsid w:val="2A047719"/>
    <w:rsid w:val="2A0E0598"/>
    <w:rsid w:val="2A100EEF"/>
    <w:rsid w:val="2A151926"/>
    <w:rsid w:val="2A28561B"/>
    <w:rsid w:val="2A44045E"/>
    <w:rsid w:val="2A486993"/>
    <w:rsid w:val="2A513ACE"/>
    <w:rsid w:val="2A5341FD"/>
    <w:rsid w:val="2A5F4D16"/>
    <w:rsid w:val="2A745D44"/>
    <w:rsid w:val="2A8D3BB3"/>
    <w:rsid w:val="2A9071FF"/>
    <w:rsid w:val="2A9133E6"/>
    <w:rsid w:val="2AA44A22"/>
    <w:rsid w:val="2AAA2063"/>
    <w:rsid w:val="2AAB5086"/>
    <w:rsid w:val="2ABC4498"/>
    <w:rsid w:val="2AC80521"/>
    <w:rsid w:val="2AC8468D"/>
    <w:rsid w:val="2ACA2711"/>
    <w:rsid w:val="2AD215C5"/>
    <w:rsid w:val="2AD43590"/>
    <w:rsid w:val="2AEE7399"/>
    <w:rsid w:val="2AF21C68"/>
    <w:rsid w:val="2B00796F"/>
    <w:rsid w:val="2B031B1F"/>
    <w:rsid w:val="2B03342D"/>
    <w:rsid w:val="2B1D5EB2"/>
    <w:rsid w:val="2B585F6F"/>
    <w:rsid w:val="2B591CE7"/>
    <w:rsid w:val="2B771B53"/>
    <w:rsid w:val="2B772B27"/>
    <w:rsid w:val="2B7C6D8D"/>
    <w:rsid w:val="2B8723B0"/>
    <w:rsid w:val="2B8A48CA"/>
    <w:rsid w:val="2B8C5BD2"/>
    <w:rsid w:val="2BA9515B"/>
    <w:rsid w:val="2BB331A5"/>
    <w:rsid w:val="2BB72C49"/>
    <w:rsid w:val="2BC2163A"/>
    <w:rsid w:val="2BCF3D57"/>
    <w:rsid w:val="2BE041B6"/>
    <w:rsid w:val="2BEE68D3"/>
    <w:rsid w:val="2BFA5278"/>
    <w:rsid w:val="2C043A01"/>
    <w:rsid w:val="2C0C0B07"/>
    <w:rsid w:val="2C22032B"/>
    <w:rsid w:val="2C2B5431"/>
    <w:rsid w:val="2C2E4F21"/>
    <w:rsid w:val="2C5B55EB"/>
    <w:rsid w:val="2C672FBC"/>
    <w:rsid w:val="2C773DF0"/>
    <w:rsid w:val="2C7C3EDF"/>
    <w:rsid w:val="2C86549C"/>
    <w:rsid w:val="2C8B3FEE"/>
    <w:rsid w:val="2C8B5ED0"/>
    <w:rsid w:val="2C9354E6"/>
    <w:rsid w:val="2C9638AE"/>
    <w:rsid w:val="2CA647B0"/>
    <w:rsid w:val="2CAD6FBD"/>
    <w:rsid w:val="2CC338BC"/>
    <w:rsid w:val="2CD31625"/>
    <w:rsid w:val="2CEA2E1D"/>
    <w:rsid w:val="2CEA52EC"/>
    <w:rsid w:val="2CED6B8B"/>
    <w:rsid w:val="2CFB12A7"/>
    <w:rsid w:val="2D00170E"/>
    <w:rsid w:val="2D0D0FDB"/>
    <w:rsid w:val="2D12214D"/>
    <w:rsid w:val="2D2D342B"/>
    <w:rsid w:val="2D3C71CA"/>
    <w:rsid w:val="2D4453D3"/>
    <w:rsid w:val="2D4C1B03"/>
    <w:rsid w:val="2D517119"/>
    <w:rsid w:val="2D68635B"/>
    <w:rsid w:val="2D6C5D01"/>
    <w:rsid w:val="2D7E3C87"/>
    <w:rsid w:val="2D855015"/>
    <w:rsid w:val="2D9E60D7"/>
    <w:rsid w:val="2DA27975"/>
    <w:rsid w:val="2DA3549B"/>
    <w:rsid w:val="2DFB239F"/>
    <w:rsid w:val="2DFD4010"/>
    <w:rsid w:val="2E0F48DF"/>
    <w:rsid w:val="2E1B5A55"/>
    <w:rsid w:val="2E2465DC"/>
    <w:rsid w:val="2E2C3D21"/>
    <w:rsid w:val="2E2D4A25"/>
    <w:rsid w:val="2E355A57"/>
    <w:rsid w:val="2E381630"/>
    <w:rsid w:val="2E3F3416"/>
    <w:rsid w:val="2E5F1A8F"/>
    <w:rsid w:val="2E6C3ADF"/>
    <w:rsid w:val="2E7A61FC"/>
    <w:rsid w:val="2E7C01C6"/>
    <w:rsid w:val="2E8535A2"/>
    <w:rsid w:val="2E890E4A"/>
    <w:rsid w:val="2E963931"/>
    <w:rsid w:val="2E9C43C4"/>
    <w:rsid w:val="2EAA7A1E"/>
    <w:rsid w:val="2EC92CDF"/>
    <w:rsid w:val="2ECF4A9C"/>
    <w:rsid w:val="2ED246EE"/>
    <w:rsid w:val="2ED51684"/>
    <w:rsid w:val="2EDA313F"/>
    <w:rsid w:val="2EFC4E63"/>
    <w:rsid w:val="2F300FB0"/>
    <w:rsid w:val="2F336EC0"/>
    <w:rsid w:val="2F3C7955"/>
    <w:rsid w:val="2F634EE2"/>
    <w:rsid w:val="2F740E9D"/>
    <w:rsid w:val="2F8636C9"/>
    <w:rsid w:val="2F8B61E7"/>
    <w:rsid w:val="2FA15A0A"/>
    <w:rsid w:val="2FA93C74"/>
    <w:rsid w:val="2FAA7FCD"/>
    <w:rsid w:val="2FC67DE1"/>
    <w:rsid w:val="2FD268A1"/>
    <w:rsid w:val="2FDE4077"/>
    <w:rsid w:val="2FE04785"/>
    <w:rsid w:val="2FE75B13"/>
    <w:rsid w:val="2FED0C50"/>
    <w:rsid w:val="2FEE7D26"/>
    <w:rsid w:val="2FF76305"/>
    <w:rsid w:val="2FF81ACE"/>
    <w:rsid w:val="30032221"/>
    <w:rsid w:val="300466C5"/>
    <w:rsid w:val="300E150D"/>
    <w:rsid w:val="300E30A0"/>
    <w:rsid w:val="30110DE2"/>
    <w:rsid w:val="30123FFF"/>
    <w:rsid w:val="30180806"/>
    <w:rsid w:val="3034062C"/>
    <w:rsid w:val="305D7845"/>
    <w:rsid w:val="306F163B"/>
    <w:rsid w:val="30777DC4"/>
    <w:rsid w:val="307B769F"/>
    <w:rsid w:val="30E107B4"/>
    <w:rsid w:val="30E738F1"/>
    <w:rsid w:val="31175F84"/>
    <w:rsid w:val="3126266B"/>
    <w:rsid w:val="312B2284"/>
    <w:rsid w:val="31556AAC"/>
    <w:rsid w:val="315A2315"/>
    <w:rsid w:val="31774904"/>
    <w:rsid w:val="31790FDA"/>
    <w:rsid w:val="31807FCD"/>
    <w:rsid w:val="31815AF3"/>
    <w:rsid w:val="31983647"/>
    <w:rsid w:val="319D3AE7"/>
    <w:rsid w:val="31AF440F"/>
    <w:rsid w:val="31B400AF"/>
    <w:rsid w:val="31B50B0C"/>
    <w:rsid w:val="31B8508B"/>
    <w:rsid w:val="31BA4166"/>
    <w:rsid w:val="31CD0D39"/>
    <w:rsid w:val="31D67BED"/>
    <w:rsid w:val="31D810C6"/>
    <w:rsid w:val="31E130B4"/>
    <w:rsid w:val="31E83DC4"/>
    <w:rsid w:val="31F55998"/>
    <w:rsid w:val="31FE0EF2"/>
    <w:rsid w:val="31FE335B"/>
    <w:rsid w:val="3202782C"/>
    <w:rsid w:val="321B36E9"/>
    <w:rsid w:val="3229511D"/>
    <w:rsid w:val="322975DE"/>
    <w:rsid w:val="323D2338"/>
    <w:rsid w:val="32425283"/>
    <w:rsid w:val="326351F9"/>
    <w:rsid w:val="32666042"/>
    <w:rsid w:val="326E42CA"/>
    <w:rsid w:val="32725B2C"/>
    <w:rsid w:val="32773D06"/>
    <w:rsid w:val="327D275F"/>
    <w:rsid w:val="32821B23"/>
    <w:rsid w:val="329B4D38"/>
    <w:rsid w:val="329F4D04"/>
    <w:rsid w:val="32A7158A"/>
    <w:rsid w:val="32B10AC5"/>
    <w:rsid w:val="32B5388A"/>
    <w:rsid w:val="32E14A9C"/>
    <w:rsid w:val="32E225C2"/>
    <w:rsid w:val="330C5891"/>
    <w:rsid w:val="33311883"/>
    <w:rsid w:val="334119DE"/>
    <w:rsid w:val="33574D5E"/>
    <w:rsid w:val="33672BF5"/>
    <w:rsid w:val="33712D71"/>
    <w:rsid w:val="33801D40"/>
    <w:rsid w:val="338F3C47"/>
    <w:rsid w:val="33951EF8"/>
    <w:rsid w:val="33A063C1"/>
    <w:rsid w:val="33A71511"/>
    <w:rsid w:val="33B57CD6"/>
    <w:rsid w:val="33F829BD"/>
    <w:rsid w:val="341F6F52"/>
    <w:rsid w:val="3421711A"/>
    <w:rsid w:val="34325348"/>
    <w:rsid w:val="34346E4D"/>
    <w:rsid w:val="34357EA6"/>
    <w:rsid w:val="34473024"/>
    <w:rsid w:val="34480949"/>
    <w:rsid w:val="344A041F"/>
    <w:rsid w:val="345C0152"/>
    <w:rsid w:val="34884182"/>
    <w:rsid w:val="34930017"/>
    <w:rsid w:val="349B3370"/>
    <w:rsid w:val="34AE4E51"/>
    <w:rsid w:val="34B901C8"/>
    <w:rsid w:val="34D348B8"/>
    <w:rsid w:val="34D91EBE"/>
    <w:rsid w:val="34E22D4D"/>
    <w:rsid w:val="34E24A8D"/>
    <w:rsid w:val="3502033E"/>
    <w:rsid w:val="35026026"/>
    <w:rsid w:val="3502780C"/>
    <w:rsid w:val="350667E1"/>
    <w:rsid w:val="350F3ED7"/>
    <w:rsid w:val="35241A74"/>
    <w:rsid w:val="352B0250"/>
    <w:rsid w:val="35335357"/>
    <w:rsid w:val="353C06AF"/>
    <w:rsid w:val="35462B94"/>
    <w:rsid w:val="3550415A"/>
    <w:rsid w:val="355F7EFA"/>
    <w:rsid w:val="35603F38"/>
    <w:rsid w:val="35727C2D"/>
    <w:rsid w:val="35753BC1"/>
    <w:rsid w:val="35777939"/>
    <w:rsid w:val="359535BE"/>
    <w:rsid w:val="35971C6B"/>
    <w:rsid w:val="35A85D44"/>
    <w:rsid w:val="35B04BF9"/>
    <w:rsid w:val="35B20971"/>
    <w:rsid w:val="35C3186D"/>
    <w:rsid w:val="35E1035F"/>
    <w:rsid w:val="35F7332A"/>
    <w:rsid w:val="35F965A0"/>
    <w:rsid w:val="361E7DB5"/>
    <w:rsid w:val="362A1B67"/>
    <w:rsid w:val="364C4922"/>
    <w:rsid w:val="36590DED"/>
    <w:rsid w:val="365B24AB"/>
    <w:rsid w:val="36B6623F"/>
    <w:rsid w:val="36C175C6"/>
    <w:rsid w:val="36EA0D42"/>
    <w:rsid w:val="370E7E29"/>
    <w:rsid w:val="3710594F"/>
    <w:rsid w:val="371600E9"/>
    <w:rsid w:val="372B50A7"/>
    <w:rsid w:val="373158C6"/>
    <w:rsid w:val="3736112E"/>
    <w:rsid w:val="37513B77"/>
    <w:rsid w:val="375A2988"/>
    <w:rsid w:val="375D1D0F"/>
    <w:rsid w:val="379C0A32"/>
    <w:rsid w:val="37A10C9D"/>
    <w:rsid w:val="37A20571"/>
    <w:rsid w:val="37CD674B"/>
    <w:rsid w:val="37DE5A4E"/>
    <w:rsid w:val="37F039D3"/>
    <w:rsid w:val="380B55F3"/>
    <w:rsid w:val="38251764"/>
    <w:rsid w:val="382A45EF"/>
    <w:rsid w:val="3864178A"/>
    <w:rsid w:val="38685317"/>
    <w:rsid w:val="388F4F9A"/>
    <w:rsid w:val="38991974"/>
    <w:rsid w:val="38A65E3F"/>
    <w:rsid w:val="38BE22E2"/>
    <w:rsid w:val="38D15CEB"/>
    <w:rsid w:val="38DD5D05"/>
    <w:rsid w:val="38E93E8B"/>
    <w:rsid w:val="39130EE6"/>
    <w:rsid w:val="3914724D"/>
    <w:rsid w:val="39251DC5"/>
    <w:rsid w:val="393755D6"/>
    <w:rsid w:val="393C0F67"/>
    <w:rsid w:val="39424D13"/>
    <w:rsid w:val="394D193A"/>
    <w:rsid w:val="395B4E7C"/>
    <w:rsid w:val="397D1296"/>
    <w:rsid w:val="397F6DBC"/>
    <w:rsid w:val="399402E8"/>
    <w:rsid w:val="399E0E42"/>
    <w:rsid w:val="39C63F2C"/>
    <w:rsid w:val="39CA4F29"/>
    <w:rsid w:val="39D4668B"/>
    <w:rsid w:val="39D52E79"/>
    <w:rsid w:val="39E210F9"/>
    <w:rsid w:val="39EC3D26"/>
    <w:rsid w:val="3A165DBB"/>
    <w:rsid w:val="3A485400"/>
    <w:rsid w:val="3A4A561C"/>
    <w:rsid w:val="3A4A73CA"/>
    <w:rsid w:val="3A5913BB"/>
    <w:rsid w:val="3A601248"/>
    <w:rsid w:val="3A704957"/>
    <w:rsid w:val="3A762824"/>
    <w:rsid w:val="3A873793"/>
    <w:rsid w:val="3A95616C"/>
    <w:rsid w:val="3AA54031"/>
    <w:rsid w:val="3ABB3E24"/>
    <w:rsid w:val="3AD90A06"/>
    <w:rsid w:val="3AE80991"/>
    <w:rsid w:val="3AF31810"/>
    <w:rsid w:val="3AF923D7"/>
    <w:rsid w:val="3AFD55BB"/>
    <w:rsid w:val="3AFF613D"/>
    <w:rsid w:val="3B007A89"/>
    <w:rsid w:val="3B023801"/>
    <w:rsid w:val="3B033680"/>
    <w:rsid w:val="3B084C2D"/>
    <w:rsid w:val="3B20012B"/>
    <w:rsid w:val="3B4F1D9F"/>
    <w:rsid w:val="3B5129DA"/>
    <w:rsid w:val="3B5B3212"/>
    <w:rsid w:val="3B6348DA"/>
    <w:rsid w:val="3B7A5A8D"/>
    <w:rsid w:val="3B8406BA"/>
    <w:rsid w:val="3B882551"/>
    <w:rsid w:val="3B8B1A48"/>
    <w:rsid w:val="3B8C1490"/>
    <w:rsid w:val="3B9603ED"/>
    <w:rsid w:val="3BB32D4D"/>
    <w:rsid w:val="3BBA7C64"/>
    <w:rsid w:val="3BC13445"/>
    <w:rsid w:val="3BD00198"/>
    <w:rsid w:val="3BD2044D"/>
    <w:rsid w:val="3BD5458B"/>
    <w:rsid w:val="3BD72EE0"/>
    <w:rsid w:val="3BDC6748"/>
    <w:rsid w:val="3C023A99"/>
    <w:rsid w:val="3C0E2679"/>
    <w:rsid w:val="3C3F2833"/>
    <w:rsid w:val="3C4D13F4"/>
    <w:rsid w:val="3C516CC1"/>
    <w:rsid w:val="3C5A58BF"/>
    <w:rsid w:val="3C5F1072"/>
    <w:rsid w:val="3C7076A7"/>
    <w:rsid w:val="3C9106F7"/>
    <w:rsid w:val="3C942B7F"/>
    <w:rsid w:val="3CD76F0F"/>
    <w:rsid w:val="3D000214"/>
    <w:rsid w:val="3D485717"/>
    <w:rsid w:val="3D582E2A"/>
    <w:rsid w:val="3D624A2B"/>
    <w:rsid w:val="3D6C098B"/>
    <w:rsid w:val="3D7117EB"/>
    <w:rsid w:val="3D887584"/>
    <w:rsid w:val="3D941E11"/>
    <w:rsid w:val="3D9F17DB"/>
    <w:rsid w:val="3DB73753"/>
    <w:rsid w:val="3DD7038D"/>
    <w:rsid w:val="3DED69EA"/>
    <w:rsid w:val="3DEE2870"/>
    <w:rsid w:val="3DF00DF6"/>
    <w:rsid w:val="3E032ABD"/>
    <w:rsid w:val="3E1A6821"/>
    <w:rsid w:val="3E2B7513"/>
    <w:rsid w:val="3E3D2DA2"/>
    <w:rsid w:val="3E5F0F6A"/>
    <w:rsid w:val="3E642A25"/>
    <w:rsid w:val="3E6A0E6E"/>
    <w:rsid w:val="3E6D3687"/>
    <w:rsid w:val="3E7341AD"/>
    <w:rsid w:val="3E854E75"/>
    <w:rsid w:val="3EA10BF2"/>
    <w:rsid w:val="3ED701A7"/>
    <w:rsid w:val="3EEB275F"/>
    <w:rsid w:val="3EFC2A5E"/>
    <w:rsid w:val="3F0062A9"/>
    <w:rsid w:val="3F110BCB"/>
    <w:rsid w:val="3F125FDD"/>
    <w:rsid w:val="3F1D32FF"/>
    <w:rsid w:val="3F312A4E"/>
    <w:rsid w:val="3F3C78B5"/>
    <w:rsid w:val="3F484CFB"/>
    <w:rsid w:val="3F487C50"/>
    <w:rsid w:val="3F4E170B"/>
    <w:rsid w:val="3F52465F"/>
    <w:rsid w:val="3F582DB4"/>
    <w:rsid w:val="3F5B4E1A"/>
    <w:rsid w:val="3F5C79A7"/>
    <w:rsid w:val="3F7D5B4C"/>
    <w:rsid w:val="3F7D78FA"/>
    <w:rsid w:val="3F7E275E"/>
    <w:rsid w:val="3FC574F3"/>
    <w:rsid w:val="3FD37851"/>
    <w:rsid w:val="3FDC5A97"/>
    <w:rsid w:val="3FEC4A80"/>
    <w:rsid w:val="3FFE510E"/>
    <w:rsid w:val="40026051"/>
    <w:rsid w:val="4010515C"/>
    <w:rsid w:val="401907F3"/>
    <w:rsid w:val="401E25EE"/>
    <w:rsid w:val="40272501"/>
    <w:rsid w:val="403E60B6"/>
    <w:rsid w:val="40416B7A"/>
    <w:rsid w:val="404C70FC"/>
    <w:rsid w:val="40503261"/>
    <w:rsid w:val="40752AFC"/>
    <w:rsid w:val="40755B94"/>
    <w:rsid w:val="40756BD0"/>
    <w:rsid w:val="408D1DBF"/>
    <w:rsid w:val="4093153B"/>
    <w:rsid w:val="40970E8F"/>
    <w:rsid w:val="40BE4471"/>
    <w:rsid w:val="40E45794"/>
    <w:rsid w:val="410B7187"/>
    <w:rsid w:val="41156AC3"/>
    <w:rsid w:val="412C5C81"/>
    <w:rsid w:val="41432F6C"/>
    <w:rsid w:val="414A5F02"/>
    <w:rsid w:val="41644DF5"/>
    <w:rsid w:val="41717932"/>
    <w:rsid w:val="41931657"/>
    <w:rsid w:val="419378A9"/>
    <w:rsid w:val="4197500C"/>
    <w:rsid w:val="41C10754"/>
    <w:rsid w:val="41C72FB2"/>
    <w:rsid w:val="41D061CE"/>
    <w:rsid w:val="41DD3D70"/>
    <w:rsid w:val="41EF4A6B"/>
    <w:rsid w:val="41F33FC2"/>
    <w:rsid w:val="41FD11C6"/>
    <w:rsid w:val="420460B1"/>
    <w:rsid w:val="42100EF9"/>
    <w:rsid w:val="421B4715"/>
    <w:rsid w:val="42201E72"/>
    <w:rsid w:val="42332E3A"/>
    <w:rsid w:val="423B584A"/>
    <w:rsid w:val="425C4AE5"/>
    <w:rsid w:val="42743CAE"/>
    <w:rsid w:val="42925DB2"/>
    <w:rsid w:val="42985594"/>
    <w:rsid w:val="42A15FF5"/>
    <w:rsid w:val="42C46549"/>
    <w:rsid w:val="42F02AD9"/>
    <w:rsid w:val="42F02E93"/>
    <w:rsid w:val="42FA5706"/>
    <w:rsid w:val="43087A30"/>
    <w:rsid w:val="43322CF2"/>
    <w:rsid w:val="436C6603"/>
    <w:rsid w:val="436D6668"/>
    <w:rsid w:val="437F22A3"/>
    <w:rsid w:val="438020AF"/>
    <w:rsid w:val="43823375"/>
    <w:rsid w:val="438C22CB"/>
    <w:rsid w:val="43B4601F"/>
    <w:rsid w:val="43B8019F"/>
    <w:rsid w:val="43C755E8"/>
    <w:rsid w:val="43CA332A"/>
    <w:rsid w:val="43D23F8D"/>
    <w:rsid w:val="43E42222"/>
    <w:rsid w:val="43E97E7C"/>
    <w:rsid w:val="43F32881"/>
    <w:rsid w:val="44242A3A"/>
    <w:rsid w:val="443133A9"/>
    <w:rsid w:val="44406DAA"/>
    <w:rsid w:val="445D368E"/>
    <w:rsid w:val="446C4D53"/>
    <w:rsid w:val="4473751E"/>
    <w:rsid w:val="44DB21F3"/>
    <w:rsid w:val="44F1580E"/>
    <w:rsid w:val="44F468B0"/>
    <w:rsid w:val="450E26B8"/>
    <w:rsid w:val="450F36EA"/>
    <w:rsid w:val="45123BD8"/>
    <w:rsid w:val="45207905"/>
    <w:rsid w:val="452D47A4"/>
    <w:rsid w:val="45317FC9"/>
    <w:rsid w:val="453E5BDD"/>
    <w:rsid w:val="453F2418"/>
    <w:rsid w:val="454D612E"/>
    <w:rsid w:val="456652D4"/>
    <w:rsid w:val="4581664C"/>
    <w:rsid w:val="45837C34"/>
    <w:rsid w:val="458B5D94"/>
    <w:rsid w:val="458C7E36"/>
    <w:rsid w:val="459D4C65"/>
    <w:rsid w:val="45C344D5"/>
    <w:rsid w:val="46004DE1"/>
    <w:rsid w:val="460D0F18"/>
    <w:rsid w:val="462D0E5D"/>
    <w:rsid w:val="462F0DEF"/>
    <w:rsid w:val="466808A0"/>
    <w:rsid w:val="467852BF"/>
    <w:rsid w:val="469F0A9E"/>
    <w:rsid w:val="46A56BA1"/>
    <w:rsid w:val="46B522AF"/>
    <w:rsid w:val="46E666CD"/>
    <w:rsid w:val="46FD57C4"/>
    <w:rsid w:val="47002980"/>
    <w:rsid w:val="470B69A7"/>
    <w:rsid w:val="47262F6D"/>
    <w:rsid w:val="47332F94"/>
    <w:rsid w:val="4743767B"/>
    <w:rsid w:val="476D1B91"/>
    <w:rsid w:val="478B1022"/>
    <w:rsid w:val="478B3D72"/>
    <w:rsid w:val="478F28C0"/>
    <w:rsid w:val="47941C85"/>
    <w:rsid w:val="47961EA1"/>
    <w:rsid w:val="47A04ACD"/>
    <w:rsid w:val="47A83982"/>
    <w:rsid w:val="47B40579"/>
    <w:rsid w:val="47CB380C"/>
    <w:rsid w:val="47DB3D58"/>
    <w:rsid w:val="47FD6C65"/>
    <w:rsid w:val="48020765"/>
    <w:rsid w:val="48141018"/>
    <w:rsid w:val="482C45B3"/>
    <w:rsid w:val="487537DE"/>
    <w:rsid w:val="487D096B"/>
    <w:rsid w:val="48914416"/>
    <w:rsid w:val="48E36096"/>
    <w:rsid w:val="48F350D1"/>
    <w:rsid w:val="48FC3F85"/>
    <w:rsid w:val="490177EE"/>
    <w:rsid w:val="490337A2"/>
    <w:rsid w:val="4910358D"/>
    <w:rsid w:val="49170DBF"/>
    <w:rsid w:val="491A440C"/>
    <w:rsid w:val="491F394F"/>
    <w:rsid w:val="49300BE1"/>
    <w:rsid w:val="493642ED"/>
    <w:rsid w:val="49463453"/>
    <w:rsid w:val="494E2307"/>
    <w:rsid w:val="49564E45"/>
    <w:rsid w:val="4970308C"/>
    <w:rsid w:val="49746212"/>
    <w:rsid w:val="49755AE6"/>
    <w:rsid w:val="49940662"/>
    <w:rsid w:val="49BE123B"/>
    <w:rsid w:val="49C5556E"/>
    <w:rsid w:val="49D97E23"/>
    <w:rsid w:val="49F654D9"/>
    <w:rsid w:val="4A1B1292"/>
    <w:rsid w:val="4A2B43F6"/>
    <w:rsid w:val="4A3C3C0B"/>
    <w:rsid w:val="4A413C1A"/>
    <w:rsid w:val="4A4E5B36"/>
    <w:rsid w:val="4A5A33C8"/>
    <w:rsid w:val="4A7144FF"/>
    <w:rsid w:val="4A8330FE"/>
    <w:rsid w:val="4A873469"/>
    <w:rsid w:val="4A8913ED"/>
    <w:rsid w:val="4AAA5C63"/>
    <w:rsid w:val="4AB417BD"/>
    <w:rsid w:val="4ACF06BE"/>
    <w:rsid w:val="4AD90EB1"/>
    <w:rsid w:val="4ADD4937"/>
    <w:rsid w:val="4AEB582E"/>
    <w:rsid w:val="4AEC627C"/>
    <w:rsid w:val="4B045373"/>
    <w:rsid w:val="4B1D43D5"/>
    <w:rsid w:val="4B1E616B"/>
    <w:rsid w:val="4B241572"/>
    <w:rsid w:val="4B38501D"/>
    <w:rsid w:val="4B3E2818"/>
    <w:rsid w:val="4B5D7EA8"/>
    <w:rsid w:val="4B7A193D"/>
    <w:rsid w:val="4B7C23F1"/>
    <w:rsid w:val="4B7F0E9E"/>
    <w:rsid w:val="4B810772"/>
    <w:rsid w:val="4B976928"/>
    <w:rsid w:val="4BA10E14"/>
    <w:rsid w:val="4BAF2DEC"/>
    <w:rsid w:val="4BB050FB"/>
    <w:rsid w:val="4BB37B85"/>
    <w:rsid w:val="4BB70638"/>
    <w:rsid w:val="4BBE0F3C"/>
    <w:rsid w:val="4BF278C5"/>
    <w:rsid w:val="4C1D4C9C"/>
    <w:rsid w:val="4C213D03"/>
    <w:rsid w:val="4C215AB1"/>
    <w:rsid w:val="4C2E4820"/>
    <w:rsid w:val="4C2E5100"/>
    <w:rsid w:val="4C371778"/>
    <w:rsid w:val="4C37194B"/>
    <w:rsid w:val="4C51283A"/>
    <w:rsid w:val="4C60482B"/>
    <w:rsid w:val="4C6A4B20"/>
    <w:rsid w:val="4C72455F"/>
    <w:rsid w:val="4C7D362F"/>
    <w:rsid w:val="4C7F267A"/>
    <w:rsid w:val="4C894D6F"/>
    <w:rsid w:val="4C8F3363"/>
    <w:rsid w:val="4C96179F"/>
    <w:rsid w:val="4C9B3AB5"/>
    <w:rsid w:val="4C9E7102"/>
    <w:rsid w:val="4CBE5242"/>
    <w:rsid w:val="4CC74B51"/>
    <w:rsid w:val="4CC76658"/>
    <w:rsid w:val="4CD34FFD"/>
    <w:rsid w:val="4CE0596C"/>
    <w:rsid w:val="4CE924D7"/>
    <w:rsid w:val="4CF60CEC"/>
    <w:rsid w:val="4CF803E4"/>
    <w:rsid w:val="4D0D5601"/>
    <w:rsid w:val="4D0F5E59"/>
    <w:rsid w:val="4D153B69"/>
    <w:rsid w:val="4D227A97"/>
    <w:rsid w:val="4D2515D1"/>
    <w:rsid w:val="4D3C6078"/>
    <w:rsid w:val="4D423F31"/>
    <w:rsid w:val="4D60180E"/>
    <w:rsid w:val="4D6F79FF"/>
    <w:rsid w:val="4D7100D7"/>
    <w:rsid w:val="4D9D0319"/>
    <w:rsid w:val="4DA129EE"/>
    <w:rsid w:val="4DD0587C"/>
    <w:rsid w:val="4DE65204"/>
    <w:rsid w:val="4DEB45C9"/>
    <w:rsid w:val="4DF80E20"/>
    <w:rsid w:val="4DFB5952"/>
    <w:rsid w:val="4E0256F8"/>
    <w:rsid w:val="4E044182"/>
    <w:rsid w:val="4E164E84"/>
    <w:rsid w:val="4E1F24C4"/>
    <w:rsid w:val="4E6846F8"/>
    <w:rsid w:val="4EA215B1"/>
    <w:rsid w:val="4EAA6232"/>
    <w:rsid w:val="4EC310A1"/>
    <w:rsid w:val="4EE11CA2"/>
    <w:rsid w:val="4F126A45"/>
    <w:rsid w:val="4F165675"/>
    <w:rsid w:val="4F22402A"/>
    <w:rsid w:val="4F5902F9"/>
    <w:rsid w:val="4F661CD0"/>
    <w:rsid w:val="4F754A92"/>
    <w:rsid w:val="4F842ED4"/>
    <w:rsid w:val="4F952A3E"/>
    <w:rsid w:val="4F9C2DEA"/>
    <w:rsid w:val="4FB31116"/>
    <w:rsid w:val="4FBC0B08"/>
    <w:rsid w:val="4FC450D1"/>
    <w:rsid w:val="4FDD43E5"/>
    <w:rsid w:val="4FE961BD"/>
    <w:rsid w:val="4FEB1908"/>
    <w:rsid w:val="4FF20B5F"/>
    <w:rsid w:val="50081462"/>
    <w:rsid w:val="501F1CC8"/>
    <w:rsid w:val="50396D0A"/>
    <w:rsid w:val="503E30D6"/>
    <w:rsid w:val="507765E7"/>
    <w:rsid w:val="507A08A8"/>
    <w:rsid w:val="50872924"/>
    <w:rsid w:val="508D557C"/>
    <w:rsid w:val="50A15412"/>
    <w:rsid w:val="50AC6291"/>
    <w:rsid w:val="50B213CE"/>
    <w:rsid w:val="50C07DA5"/>
    <w:rsid w:val="50C730CB"/>
    <w:rsid w:val="51022355"/>
    <w:rsid w:val="512C5E58"/>
    <w:rsid w:val="51361FFF"/>
    <w:rsid w:val="514F30C0"/>
    <w:rsid w:val="5153495F"/>
    <w:rsid w:val="5159179E"/>
    <w:rsid w:val="51630116"/>
    <w:rsid w:val="5167040A"/>
    <w:rsid w:val="517B5C63"/>
    <w:rsid w:val="5184221D"/>
    <w:rsid w:val="51B23E9C"/>
    <w:rsid w:val="51BD44CE"/>
    <w:rsid w:val="51C4585C"/>
    <w:rsid w:val="51D13AD5"/>
    <w:rsid w:val="51DC2BA6"/>
    <w:rsid w:val="51E77C7B"/>
    <w:rsid w:val="51F31C9E"/>
    <w:rsid w:val="520378E4"/>
    <w:rsid w:val="52151C14"/>
    <w:rsid w:val="521C0134"/>
    <w:rsid w:val="52257A67"/>
    <w:rsid w:val="523C1897"/>
    <w:rsid w:val="52446A42"/>
    <w:rsid w:val="524F6CA8"/>
    <w:rsid w:val="5253273C"/>
    <w:rsid w:val="52650DED"/>
    <w:rsid w:val="526B217C"/>
    <w:rsid w:val="52707792"/>
    <w:rsid w:val="527C7EE5"/>
    <w:rsid w:val="52844092"/>
    <w:rsid w:val="52A0149C"/>
    <w:rsid w:val="52A9540C"/>
    <w:rsid w:val="52B13FA8"/>
    <w:rsid w:val="52C10884"/>
    <w:rsid w:val="52C2246A"/>
    <w:rsid w:val="52C8137C"/>
    <w:rsid w:val="52D049DF"/>
    <w:rsid w:val="52D15A59"/>
    <w:rsid w:val="52E31D12"/>
    <w:rsid w:val="52EE4D3F"/>
    <w:rsid w:val="52F554A8"/>
    <w:rsid w:val="52F7756C"/>
    <w:rsid w:val="52FE08FA"/>
    <w:rsid w:val="531047F5"/>
    <w:rsid w:val="531A3230"/>
    <w:rsid w:val="5334431C"/>
    <w:rsid w:val="53373E0C"/>
    <w:rsid w:val="53446C55"/>
    <w:rsid w:val="536C1D08"/>
    <w:rsid w:val="536C1ECE"/>
    <w:rsid w:val="537F5EDF"/>
    <w:rsid w:val="538A2BC1"/>
    <w:rsid w:val="53946ACA"/>
    <w:rsid w:val="5399227B"/>
    <w:rsid w:val="539F032F"/>
    <w:rsid w:val="53B4545D"/>
    <w:rsid w:val="53BD36C9"/>
    <w:rsid w:val="53C5766A"/>
    <w:rsid w:val="53CB7B14"/>
    <w:rsid w:val="53CE29C2"/>
    <w:rsid w:val="53D8114B"/>
    <w:rsid w:val="53D9073D"/>
    <w:rsid w:val="53F9144F"/>
    <w:rsid w:val="53FF492A"/>
    <w:rsid w:val="540957A8"/>
    <w:rsid w:val="54113C3E"/>
    <w:rsid w:val="541505F1"/>
    <w:rsid w:val="54183C3E"/>
    <w:rsid w:val="541B530F"/>
    <w:rsid w:val="541B5F0D"/>
    <w:rsid w:val="542B3971"/>
    <w:rsid w:val="542C1497"/>
    <w:rsid w:val="54352A41"/>
    <w:rsid w:val="543D5452"/>
    <w:rsid w:val="543F741C"/>
    <w:rsid w:val="54452097"/>
    <w:rsid w:val="54703817"/>
    <w:rsid w:val="54762769"/>
    <w:rsid w:val="5486504B"/>
    <w:rsid w:val="54A56C35"/>
    <w:rsid w:val="54AD25D8"/>
    <w:rsid w:val="54BB2F47"/>
    <w:rsid w:val="54C8174B"/>
    <w:rsid w:val="54CC1486"/>
    <w:rsid w:val="54E61B86"/>
    <w:rsid w:val="54F14BBA"/>
    <w:rsid w:val="55050666"/>
    <w:rsid w:val="550D3076"/>
    <w:rsid w:val="552D346E"/>
    <w:rsid w:val="552F11B7"/>
    <w:rsid w:val="554051FA"/>
    <w:rsid w:val="5553717F"/>
    <w:rsid w:val="555733D8"/>
    <w:rsid w:val="5567079D"/>
    <w:rsid w:val="556B6251"/>
    <w:rsid w:val="55741FDF"/>
    <w:rsid w:val="5583536A"/>
    <w:rsid w:val="55915A56"/>
    <w:rsid w:val="559F5298"/>
    <w:rsid w:val="55A01340"/>
    <w:rsid w:val="56083D5B"/>
    <w:rsid w:val="56266DAF"/>
    <w:rsid w:val="562E599A"/>
    <w:rsid w:val="56336B0D"/>
    <w:rsid w:val="56356D29"/>
    <w:rsid w:val="56582A17"/>
    <w:rsid w:val="565F7902"/>
    <w:rsid w:val="56B27079"/>
    <w:rsid w:val="56CB571F"/>
    <w:rsid w:val="56E60023"/>
    <w:rsid w:val="572834C6"/>
    <w:rsid w:val="57560D05"/>
    <w:rsid w:val="576355D3"/>
    <w:rsid w:val="57640FA0"/>
    <w:rsid w:val="57664CC0"/>
    <w:rsid w:val="57904E7E"/>
    <w:rsid w:val="57921934"/>
    <w:rsid w:val="57A66520"/>
    <w:rsid w:val="57BC080B"/>
    <w:rsid w:val="57BD0D84"/>
    <w:rsid w:val="57BE68AA"/>
    <w:rsid w:val="57D40281"/>
    <w:rsid w:val="57E75E01"/>
    <w:rsid w:val="580E6203"/>
    <w:rsid w:val="581F1A3E"/>
    <w:rsid w:val="58704048"/>
    <w:rsid w:val="587F6039"/>
    <w:rsid w:val="58A65CBC"/>
    <w:rsid w:val="58B63628"/>
    <w:rsid w:val="58C24114"/>
    <w:rsid w:val="58C24893"/>
    <w:rsid w:val="58C779E0"/>
    <w:rsid w:val="58C83E84"/>
    <w:rsid w:val="58CA7BFC"/>
    <w:rsid w:val="58D11042"/>
    <w:rsid w:val="58E30119"/>
    <w:rsid w:val="59376914"/>
    <w:rsid w:val="593C100D"/>
    <w:rsid w:val="593F3A1A"/>
    <w:rsid w:val="594159E5"/>
    <w:rsid w:val="594B0611"/>
    <w:rsid w:val="5952374E"/>
    <w:rsid w:val="595E20F3"/>
    <w:rsid w:val="597F3864"/>
    <w:rsid w:val="59A10231"/>
    <w:rsid w:val="59B30690"/>
    <w:rsid w:val="59B61F2F"/>
    <w:rsid w:val="59B9557B"/>
    <w:rsid w:val="59DA5CBA"/>
    <w:rsid w:val="5A02222C"/>
    <w:rsid w:val="5A074538"/>
    <w:rsid w:val="5A1B5605"/>
    <w:rsid w:val="5A53777D"/>
    <w:rsid w:val="5A6C4CE3"/>
    <w:rsid w:val="5A7476F4"/>
    <w:rsid w:val="5A7B7B51"/>
    <w:rsid w:val="5A9F6E67"/>
    <w:rsid w:val="5AA719E3"/>
    <w:rsid w:val="5AA955EF"/>
    <w:rsid w:val="5ADA7E9F"/>
    <w:rsid w:val="5AE85AFD"/>
    <w:rsid w:val="5B060C94"/>
    <w:rsid w:val="5B0B44FC"/>
    <w:rsid w:val="5B2347E5"/>
    <w:rsid w:val="5B3A26EB"/>
    <w:rsid w:val="5B3E042E"/>
    <w:rsid w:val="5B417F1E"/>
    <w:rsid w:val="5B5437AD"/>
    <w:rsid w:val="5B5F72E5"/>
    <w:rsid w:val="5B871DD5"/>
    <w:rsid w:val="5B922527"/>
    <w:rsid w:val="5BA457BF"/>
    <w:rsid w:val="5BA83942"/>
    <w:rsid w:val="5BAD110F"/>
    <w:rsid w:val="5BBC0880"/>
    <w:rsid w:val="5BD70E12"/>
    <w:rsid w:val="5BD82630"/>
    <w:rsid w:val="5BEF34D6"/>
    <w:rsid w:val="5BEF4C00"/>
    <w:rsid w:val="5C063701"/>
    <w:rsid w:val="5C204225"/>
    <w:rsid w:val="5C2855D3"/>
    <w:rsid w:val="5C34538D"/>
    <w:rsid w:val="5C3655A9"/>
    <w:rsid w:val="5C3929A3"/>
    <w:rsid w:val="5C43411E"/>
    <w:rsid w:val="5C6304E0"/>
    <w:rsid w:val="5C7B7A02"/>
    <w:rsid w:val="5C910A31"/>
    <w:rsid w:val="5CA73351"/>
    <w:rsid w:val="5CAA564F"/>
    <w:rsid w:val="5CB84210"/>
    <w:rsid w:val="5CBF48D8"/>
    <w:rsid w:val="5CBF614D"/>
    <w:rsid w:val="5CC26737"/>
    <w:rsid w:val="5CDF179C"/>
    <w:rsid w:val="5D02548B"/>
    <w:rsid w:val="5D1A7C60"/>
    <w:rsid w:val="5D221689"/>
    <w:rsid w:val="5D261179"/>
    <w:rsid w:val="5D600B2F"/>
    <w:rsid w:val="5D6F0D72"/>
    <w:rsid w:val="5D787D8E"/>
    <w:rsid w:val="5D7F0DE6"/>
    <w:rsid w:val="5D852344"/>
    <w:rsid w:val="5D8D11F8"/>
    <w:rsid w:val="5D8D5264"/>
    <w:rsid w:val="5D9205BD"/>
    <w:rsid w:val="5DD0462F"/>
    <w:rsid w:val="5DEF5A0F"/>
    <w:rsid w:val="5DF26102"/>
    <w:rsid w:val="5E03770C"/>
    <w:rsid w:val="5E61439A"/>
    <w:rsid w:val="5E6847CD"/>
    <w:rsid w:val="5E7303EE"/>
    <w:rsid w:val="5E7A5C21"/>
    <w:rsid w:val="5E8555FA"/>
    <w:rsid w:val="5E9228D4"/>
    <w:rsid w:val="5EAA7B88"/>
    <w:rsid w:val="5EB033F0"/>
    <w:rsid w:val="5EB31E59"/>
    <w:rsid w:val="5EB839EA"/>
    <w:rsid w:val="5ED115B9"/>
    <w:rsid w:val="5F0279C4"/>
    <w:rsid w:val="5F1A4D0E"/>
    <w:rsid w:val="5F28567D"/>
    <w:rsid w:val="5F2931A3"/>
    <w:rsid w:val="5F313E05"/>
    <w:rsid w:val="5F367B26"/>
    <w:rsid w:val="5F4D6E91"/>
    <w:rsid w:val="5F6661A5"/>
    <w:rsid w:val="5F7F1015"/>
    <w:rsid w:val="5FA64E91"/>
    <w:rsid w:val="5FB62BC7"/>
    <w:rsid w:val="5FBF1411"/>
    <w:rsid w:val="5FC66C44"/>
    <w:rsid w:val="5FD17AC2"/>
    <w:rsid w:val="5FDA04EC"/>
    <w:rsid w:val="5FF217E7"/>
    <w:rsid w:val="5FF34A8E"/>
    <w:rsid w:val="600808F0"/>
    <w:rsid w:val="60286248"/>
    <w:rsid w:val="602C46E8"/>
    <w:rsid w:val="60367925"/>
    <w:rsid w:val="603E2C7E"/>
    <w:rsid w:val="604324C2"/>
    <w:rsid w:val="60483AFC"/>
    <w:rsid w:val="606326F5"/>
    <w:rsid w:val="60681B1C"/>
    <w:rsid w:val="60730B79"/>
    <w:rsid w:val="60874625"/>
    <w:rsid w:val="608D150F"/>
    <w:rsid w:val="60934D78"/>
    <w:rsid w:val="60995CEB"/>
    <w:rsid w:val="60AC10A4"/>
    <w:rsid w:val="60B62814"/>
    <w:rsid w:val="60C457EE"/>
    <w:rsid w:val="60D45F50"/>
    <w:rsid w:val="60E20A32"/>
    <w:rsid w:val="60FB3360"/>
    <w:rsid w:val="610F160F"/>
    <w:rsid w:val="611C2337"/>
    <w:rsid w:val="612861BC"/>
    <w:rsid w:val="612B2820"/>
    <w:rsid w:val="612D7B77"/>
    <w:rsid w:val="61326FFC"/>
    <w:rsid w:val="613876CD"/>
    <w:rsid w:val="614A3380"/>
    <w:rsid w:val="61671FBA"/>
    <w:rsid w:val="616C52DB"/>
    <w:rsid w:val="616C7377"/>
    <w:rsid w:val="61702784"/>
    <w:rsid w:val="61753621"/>
    <w:rsid w:val="617565F6"/>
    <w:rsid w:val="618943CD"/>
    <w:rsid w:val="61986DEC"/>
    <w:rsid w:val="619E1C26"/>
    <w:rsid w:val="61B82265"/>
    <w:rsid w:val="61C158B1"/>
    <w:rsid w:val="61CB6793"/>
    <w:rsid w:val="61E23389"/>
    <w:rsid w:val="61EF2482"/>
    <w:rsid w:val="61EF54AA"/>
    <w:rsid w:val="61FE4473"/>
    <w:rsid w:val="620677CB"/>
    <w:rsid w:val="621D6D4D"/>
    <w:rsid w:val="622639C9"/>
    <w:rsid w:val="62353789"/>
    <w:rsid w:val="624B7144"/>
    <w:rsid w:val="62562501"/>
    <w:rsid w:val="62602AAB"/>
    <w:rsid w:val="62642590"/>
    <w:rsid w:val="628E2720"/>
    <w:rsid w:val="629C0520"/>
    <w:rsid w:val="62AD7971"/>
    <w:rsid w:val="62CE02E9"/>
    <w:rsid w:val="62D058DC"/>
    <w:rsid w:val="62DB2A06"/>
    <w:rsid w:val="62E32B18"/>
    <w:rsid w:val="62ED4B6E"/>
    <w:rsid w:val="63133F4E"/>
    <w:rsid w:val="631D301E"/>
    <w:rsid w:val="631E3B7C"/>
    <w:rsid w:val="631F28F3"/>
    <w:rsid w:val="63324681"/>
    <w:rsid w:val="63352116"/>
    <w:rsid w:val="633B5253"/>
    <w:rsid w:val="634603C6"/>
    <w:rsid w:val="63650337"/>
    <w:rsid w:val="6367429A"/>
    <w:rsid w:val="636C71C1"/>
    <w:rsid w:val="636D46E3"/>
    <w:rsid w:val="638C4074"/>
    <w:rsid w:val="63A728E8"/>
    <w:rsid w:val="63B8046B"/>
    <w:rsid w:val="63D27965"/>
    <w:rsid w:val="64002A47"/>
    <w:rsid w:val="640502D6"/>
    <w:rsid w:val="64066FDC"/>
    <w:rsid w:val="640779B7"/>
    <w:rsid w:val="640B731B"/>
    <w:rsid w:val="642F3009"/>
    <w:rsid w:val="64446389"/>
    <w:rsid w:val="644840CB"/>
    <w:rsid w:val="64813139"/>
    <w:rsid w:val="648151B4"/>
    <w:rsid w:val="64855C0F"/>
    <w:rsid w:val="649015CE"/>
    <w:rsid w:val="64A5151D"/>
    <w:rsid w:val="64C5571C"/>
    <w:rsid w:val="650325A3"/>
    <w:rsid w:val="65066F2E"/>
    <w:rsid w:val="653325E9"/>
    <w:rsid w:val="653528A1"/>
    <w:rsid w:val="653C401F"/>
    <w:rsid w:val="656B2FE5"/>
    <w:rsid w:val="65796B36"/>
    <w:rsid w:val="65817895"/>
    <w:rsid w:val="659C2113"/>
    <w:rsid w:val="65A215B9"/>
    <w:rsid w:val="65A90EBC"/>
    <w:rsid w:val="65C81A4F"/>
    <w:rsid w:val="65D73958"/>
    <w:rsid w:val="65DF45BB"/>
    <w:rsid w:val="65EA3499"/>
    <w:rsid w:val="661A3845"/>
    <w:rsid w:val="66231048"/>
    <w:rsid w:val="662621EA"/>
    <w:rsid w:val="66575D7D"/>
    <w:rsid w:val="665A00E6"/>
    <w:rsid w:val="66756CCD"/>
    <w:rsid w:val="667B0788"/>
    <w:rsid w:val="66954F1E"/>
    <w:rsid w:val="669F0930"/>
    <w:rsid w:val="66AB50FE"/>
    <w:rsid w:val="66AC6B93"/>
    <w:rsid w:val="66AE2ECB"/>
    <w:rsid w:val="66B45A48"/>
    <w:rsid w:val="66E92A3D"/>
    <w:rsid w:val="66EA2B70"/>
    <w:rsid w:val="66F13DA0"/>
    <w:rsid w:val="66F916AD"/>
    <w:rsid w:val="67193AFD"/>
    <w:rsid w:val="6727446C"/>
    <w:rsid w:val="6732696D"/>
    <w:rsid w:val="674C3ED2"/>
    <w:rsid w:val="674F751F"/>
    <w:rsid w:val="675759A0"/>
    <w:rsid w:val="67633AB0"/>
    <w:rsid w:val="67760F4F"/>
    <w:rsid w:val="678C2521"/>
    <w:rsid w:val="679933E7"/>
    <w:rsid w:val="67AB0BF9"/>
    <w:rsid w:val="67B61761"/>
    <w:rsid w:val="67BD6639"/>
    <w:rsid w:val="67F7371C"/>
    <w:rsid w:val="680D3662"/>
    <w:rsid w:val="685E5CDD"/>
    <w:rsid w:val="6870599E"/>
    <w:rsid w:val="68706417"/>
    <w:rsid w:val="68784853"/>
    <w:rsid w:val="687B6CB9"/>
    <w:rsid w:val="689005C2"/>
    <w:rsid w:val="68A11FFC"/>
    <w:rsid w:val="68AC6398"/>
    <w:rsid w:val="68B01E03"/>
    <w:rsid w:val="68B61D88"/>
    <w:rsid w:val="68B65AF9"/>
    <w:rsid w:val="68D4417F"/>
    <w:rsid w:val="68EF55BF"/>
    <w:rsid w:val="68F23CD8"/>
    <w:rsid w:val="68F40B39"/>
    <w:rsid w:val="68FC0779"/>
    <w:rsid w:val="68FD6917"/>
    <w:rsid w:val="69020CEC"/>
    <w:rsid w:val="690D143F"/>
    <w:rsid w:val="69246AA9"/>
    <w:rsid w:val="69261E17"/>
    <w:rsid w:val="693764BC"/>
    <w:rsid w:val="694D5CE0"/>
    <w:rsid w:val="6954706E"/>
    <w:rsid w:val="69643755"/>
    <w:rsid w:val="69664ACC"/>
    <w:rsid w:val="69825989"/>
    <w:rsid w:val="698E560F"/>
    <w:rsid w:val="69922853"/>
    <w:rsid w:val="69A71894"/>
    <w:rsid w:val="69B30239"/>
    <w:rsid w:val="69D0066A"/>
    <w:rsid w:val="69D14C3F"/>
    <w:rsid w:val="69DC05B3"/>
    <w:rsid w:val="6A0E546F"/>
    <w:rsid w:val="6A244992"/>
    <w:rsid w:val="6A261FD4"/>
    <w:rsid w:val="6A3D1BFD"/>
    <w:rsid w:val="6A5070DE"/>
    <w:rsid w:val="6A6B0B13"/>
    <w:rsid w:val="6A77650A"/>
    <w:rsid w:val="6A7A6FA8"/>
    <w:rsid w:val="6AA656A7"/>
    <w:rsid w:val="6AAB3FEE"/>
    <w:rsid w:val="6AB97AD1"/>
    <w:rsid w:val="6ADC77CB"/>
    <w:rsid w:val="6AE83F12"/>
    <w:rsid w:val="6AF162E4"/>
    <w:rsid w:val="6AFD68E0"/>
    <w:rsid w:val="6B2108C9"/>
    <w:rsid w:val="6B2313EE"/>
    <w:rsid w:val="6B316C7D"/>
    <w:rsid w:val="6B5127AE"/>
    <w:rsid w:val="6B695F28"/>
    <w:rsid w:val="6B700A62"/>
    <w:rsid w:val="6B7610BB"/>
    <w:rsid w:val="6B87197D"/>
    <w:rsid w:val="6BA30330"/>
    <w:rsid w:val="6BA92EEC"/>
    <w:rsid w:val="6BAB0F22"/>
    <w:rsid w:val="6BB40298"/>
    <w:rsid w:val="6BBF1117"/>
    <w:rsid w:val="6BCB1861"/>
    <w:rsid w:val="6BCB18F0"/>
    <w:rsid w:val="6BD46244"/>
    <w:rsid w:val="6BE76250"/>
    <w:rsid w:val="6C0C3C30"/>
    <w:rsid w:val="6C1A00FB"/>
    <w:rsid w:val="6C1E0459"/>
    <w:rsid w:val="6C224BFB"/>
    <w:rsid w:val="6C3C1A66"/>
    <w:rsid w:val="6C4A6222"/>
    <w:rsid w:val="6C5B1825"/>
    <w:rsid w:val="6C7517D5"/>
    <w:rsid w:val="6C8D4FD3"/>
    <w:rsid w:val="6C9C4FB4"/>
    <w:rsid w:val="6CA67BE1"/>
    <w:rsid w:val="6CC16DF8"/>
    <w:rsid w:val="6CC25503"/>
    <w:rsid w:val="6CCD33BF"/>
    <w:rsid w:val="6CDC482D"/>
    <w:rsid w:val="6CF46CB8"/>
    <w:rsid w:val="6CFA617E"/>
    <w:rsid w:val="6D1A60D0"/>
    <w:rsid w:val="6D221B3E"/>
    <w:rsid w:val="6D3A657B"/>
    <w:rsid w:val="6D3A78E6"/>
    <w:rsid w:val="6D3E250F"/>
    <w:rsid w:val="6D505D9E"/>
    <w:rsid w:val="6D6D4BA2"/>
    <w:rsid w:val="6D7777CF"/>
    <w:rsid w:val="6D9D5488"/>
    <w:rsid w:val="6DAE1443"/>
    <w:rsid w:val="6DB30807"/>
    <w:rsid w:val="6DC36570"/>
    <w:rsid w:val="6DC70686"/>
    <w:rsid w:val="6DC747D0"/>
    <w:rsid w:val="6DD30EA9"/>
    <w:rsid w:val="6DE54739"/>
    <w:rsid w:val="6DE85BCB"/>
    <w:rsid w:val="6DFA6436"/>
    <w:rsid w:val="6DFB21AE"/>
    <w:rsid w:val="6DFD1A82"/>
    <w:rsid w:val="6E0E3C8F"/>
    <w:rsid w:val="6E2E74DD"/>
    <w:rsid w:val="6E331948"/>
    <w:rsid w:val="6E497A61"/>
    <w:rsid w:val="6E4A0A40"/>
    <w:rsid w:val="6E4E22DE"/>
    <w:rsid w:val="6E567D69"/>
    <w:rsid w:val="6E6876E0"/>
    <w:rsid w:val="6E6B2E90"/>
    <w:rsid w:val="6E71421E"/>
    <w:rsid w:val="6E731D44"/>
    <w:rsid w:val="6E8B0E4A"/>
    <w:rsid w:val="6E937F29"/>
    <w:rsid w:val="6EB760D5"/>
    <w:rsid w:val="6EC407F2"/>
    <w:rsid w:val="6F003164"/>
    <w:rsid w:val="6F046E40"/>
    <w:rsid w:val="6F0A2187"/>
    <w:rsid w:val="6F0D4FF3"/>
    <w:rsid w:val="6F165703"/>
    <w:rsid w:val="6F173018"/>
    <w:rsid w:val="6F255735"/>
    <w:rsid w:val="6F4E709D"/>
    <w:rsid w:val="6F525B32"/>
    <w:rsid w:val="6F632D80"/>
    <w:rsid w:val="6F63625D"/>
    <w:rsid w:val="6F660ADE"/>
    <w:rsid w:val="6F683873"/>
    <w:rsid w:val="6F7A0DAE"/>
    <w:rsid w:val="6F836B0B"/>
    <w:rsid w:val="6FA04DBB"/>
    <w:rsid w:val="6FC41797"/>
    <w:rsid w:val="6FCA12D5"/>
    <w:rsid w:val="6FF957E3"/>
    <w:rsid w:val="6FFA10C7"/>
    <w:rsid w:val="6FFB6495"/>
    <w:rsid w:val="70117A67"/>
    <w:rsid w:val="701D465E"/>
    <w:rsid w:val="702308F0"/>
    <w:rsid w:val="702F7EED"/>
    <w:rsid w:val="7036127C"/>
    <w:rsid w:val="70495453"/>
    <w:rsid w:val="704C075F"/>
    <w:rsid w:val="706933FF"/>
    <w:rsid w:val="706C685F"/>
    <w:rsid w:val="706D73FE"/>
    <w:rsid w:val="707433B6"/>
    <w:rsid w:val="70765B1C"/>
    <w:rsid w:val="708E1B55"/>
    <w:rsid w:val="70C73094"/>
    <w:rsid w:val="70D016D0"/>
    <w:rsid w:val="71031AA6"/>
    <w:rsid w:val="711B176D"/>
    <w:rsid w:val="712864E8"/>
    <w:rsid w:val="713F0604"/>
    <w:rsid w:val="71566079"/>
    <w:rsid w:val="717D3CD5"/>
    <w:rsid w:val="71926986"/>
    <w:rsid w:val="71931673"/>
    <w:rsid w:val="71931C0B"/>
    <w:rsid w:val="719E532A"/>
    <w:rsid w:val="71A373EB"/>
    <w:rsid w:val="71A6519E"/>
    <w:rsid w:val="71C17073"/>
    <w:rsid w:val="71C70D7B"/>
    <w:rsid w:val="71CF3736"/>
    <w:rsid w:val="71D058CF"/>
    <w:rsid w:val="72013BF9"/>
    <w:rsid w:val="720A0BFF"/>
    <w:rsid w:val="7222121A"/>
    <w:rsid w:val="72264D1E"/>
    <w:rsid w:val="72336CE6"/>
    <w:rsid w:val="723B701D"/>
    <w:rsid w:val="723F34BB"/>
    <w:rsid w:val="724F0D1A"/>
    <w:rsid w:val="726A345E"/>
    <w:rsid w:val="728C01CB"/>
    <w:rsid w:val="728C5ACB"/>
    <w:rsid w:val="72A526E9"/>
    <w:rsid w:val="72A52CC7"/>
    <w:rsid w:val="72AB7BB5"/>
    <w:rsid w:val="72BA082F"/>
    <w:rsid w:val="72BF415D"/>
    <w:rsid w:val="72E06587"/>
    <w:rsid w:val="72E471B3"/>
    <w:rsid w:val="72F77CB0"/>
    <w:rsid w:val="72FB430F"/>
    <w:rsid w:val="73281C56"/>
    <w:rsid w:val="7343262D"/>
    <w:rsid w:val="7350457E"/>
    <w:rsid w:val="735859AD"/>
    <w:rsid w:val="73612AB3"/>
    <w:rsid w:val="73624258"/>
    <w:rsid w:val="73695125"/>
    <w:rsid w:val="736D1458"/>
    <w:rsid w:val="73791D2E"/>
    <w:rsid w:val="7384715C"/>
    <w:rsid w:val="73867F6D"/>
    <w:rsid w:val="73B01345"/>
    <w:rsid w:val="73BA5622"/>
    <w:rsid w:val="73BE3C54"/>
    <w:rsid w:val="73C60A25"/>
    <w:rsid w:val="73C67785"/>
    <w:rsid w:val="73D72D76"/>
    <w:rsid w:val="73E41BF3"/>
    <w:rsid w:val="73FB6A64"/>
    <w:rsid w:val="740F62AB"/>
    <w:rsid w:val="741510DC"/>
    <w:rsid w:val="7416389E"/>
    <w:rsid w:val="74171171"/>
    <w:rsid w:val="74192A57"/>
    <w:rsid w:val="74406B6D"/>
    <w:rsid w:val="744120B0"/>
    <w:rsid w:val="74515D0F"/>
    <w:rsid w:val="745919DD"/>
    <w:rsid w:val="74732A9E"/>
    <w:rsid w:val="748E5B2A"/>
    <w:rsid w:val="74983962"/>
    <w:rsid w:val="74A50BEC"/>
    <w:rsid w:val="74AA1CA9"/>
    <w:rsid w:val="74B65081"/>
    <w:rsid w:val="74B9551A"/>
    <w:rsid w:val="74C725A2"/>
    <w:rsid w:val="74D575BA"/>
    <w:rsid w:val="74D774D1"/>
    <w:rsid w:val="74E8308A"/>
    <w:rsid w:val="74ED4817"/>
    <w:rsid w:val="75303664"/>
    <w:rsid w:val="7544443B"/>
    <w:rsid w:val="75472470"/>
    <w:rsid w:val="754D1541"/>
    <w:rsid w:val="754E6641"/>
    <w:rsid w:val="755723C0"/>
    <w:rsid w:val="7578482D"/>
    <w:rsid w:val="759622C6"/>
    <w:rsid w:val="75A44ED9"/>
    <w:rsid w:val="75BC2223"/>
    <w:rsid w:val="75BF1D13"/>
    <w:rsid w:val="75D524F2"/>
    <w:rsid w:val="75E66D42"/>
    <w:rsid w:val="75E672A0"/>
    <w:rsid w:val="760F67F7"/>
    <w:rsid w:val="76355EFA"/>
    <w:rsid w:val="765661D4"/>
    <w:rsid w:val="76642C4E"/>
    <w:rsid w:val="766C59F7"/>
    <w:rsid w:val="7675235D"/>
    <w:rsid w:val="76760624"/>
    <w:rsid w:val="767A40FC"/>
    <w:rsid w:val="769B54C8"/>
    <w:rsid w:val="76D313AC"/>
    <w:rsid w:val="76D773C6"/>
    <w:rsid w:val="76DA66C0"/>
    <w:rsid w:val="76DF08BF"/>
    <w:rsid w:val="76DF26F2"/>
    <w:rsid w:val="76F105F2"/>
    <w:rsid w:val="76FD6F97"/>
    <w:rsid w:val="771D4F43"/>
    <w:rsid w:val="772937FE"/>
    <w:rsid w:val="776F54FE"/>
    <w:rsid w:val="777F5BFE"/>
    <w:rsid w:val="77B070F5"/>
    <w:rsid w:val="77B37656"/>
    <w:rsid w:val="77B51620"/>
    <w:rsid w:val="77C23F98"/>
    <w:rsid w:val="77F53699"/>
    <w:rsid w:val="784976AB"/>
    <w:rsid w:val="78580F26"/>
    <w:rsid w:val="78585CB2"/>
    <w:rsid w:val="786170B2"/>
    <w:rsid w:val="7883380E"/>
    <w:rsid w:val="78886D34"/>
    <w:rsid w:val="788E2390"/>
    <w:rsid w:val="789711D5"/>
    <w:rsid w:val="78AC5F5A"/>
    <w:rsid w:val="78B22DD4"/>
    <w:rsid w:val="78D45AD6"/>
    <w:rsid w:val="78F9378E"/>
    <w:rsid w:val="79053EE1"/>
    <w:rsid w:val="790A7749"/>
    <w:rsid w:val="79142376"/>
    <w:rsid w:val="79152036"/>
    <w:rsid w:val="791B3704"/>
    <w:rsid w:val="793A6280"/>
    <w:rsid w:val="793B3DA7"/>
    <w:rsid w:val="79542F67"/>
    <w:rsid w:val="795804B5"/>
    <w:rsid w:val="795F1843"/>
    <w:rsid w:val="796F0971"/>
    <w:rsid w:val="798D4602"/>
    <w:rsid w:val="799040F2"/>
    <w:rsid w:val="79975481"/>
    <w:rsid w:val="799A528E"/>
    <w:rsid w:val="79AC7312"/>
    <w:rsid w:val="79BD2A0E"/>
    <w:rsid w:val="79CA35C3"/>
    <w:rsid w:val="79CC239E"/>
    <w:rsid w:val="79F67C69"/>
    <w:rsid w:val="7A0B5527"/>
    <w:rsid w:val="7A305A3A"/>
    <w:rsid w:val="7A3B22B0"/>
    <w:rsid w:val="7A3C1B84"/>
    <w:rsid w:val="7A405098"/>
    <w:rsid w:val="7A5F5873"/>
    <w:rsid w:val="7A9279F6"/>
    <w:rsid w:val="7AA5597C"/>
    <w:rsid w:val="7AC83418"/>
    <w:rsid w:val="7ACB4CB6"/>
    <w:rsid w:val="7AE30252"/>
    <w:rsid w:val="7AE53FCA"/>
    <w:rsid w:val="7B187EFC"/>
    <w:rsid w:val="7B191EC6"/>
    <w:rsid w:val="7B5B0730"/>
    <w:rsid w:val="7B7B66DC"/>
    <w:rsid w:val="7B876E2F"/>
    <w:rsid w:val="7B8A691F"/>
    <w:rsid w:val="7B911AAE"/>
    <w:rsid w:val="7B95779E"/>
    <w:rsid w:val="7BB816DF"/>
    <w:rsid w:val="7BD06A28"/>
    <w:rsid w:val="7BD36518"/>
    <w:rsid w:val="7BDC34AC"/>
    <w:rsid w:val="7BFA03E0"/>
    <w:rsid w:val="7C014E34"/>
    <w:rsid w:val="7C0F6C70"/>
    <w:rsid w:val="7C280612"/>
    <w:rsid w:val="7C350F81"/>
    <w:rsid w:val="7C58336E"/>
    <w:rsid w:val="7C6B0496"/>
    <w:rsid w:val="7C7A6994"/>
    <w:rsid w:val="7C914C70"/>
    <w:rsid w:val="7CAB1B33"/>
    <w:rsid w:val="7CAD0B17"/>
    <w:rsid w:val="7CCE35F1"/>
    <w:rsid w:val="7CE959A6"/>
    <w:rsid w:val="7CF1204D"/>
    <w:rsid w:val="7CF67CAA"/>
    <w:rsid w:val="7D01709E"/>
    <w:rsid w:val="7D11248E"/>
    <w:rsid w:val="7D1B1F25"/>
    <w:rsid w:val="7D4944D0"/>
    <w:rsid w:val="7D586CD5"/>
    <w:rsid w:val="7D6027A4"/>
    <w:rsid w:val="7D781125"/>
    <w:rsid w:val="7D7F0706"/>
    <w:rsid w:val="7D8400C5"/>
    <w:rsid w:val="7D877976"/>
    <w:rsid w:val="7D8C5DEA"/>
    <w:rsid w:val="7D8E7AB2"/>
    <w:rsid w:val="7DB163E5"/>
    <w:rsid w:val="7DF86D46"/>
    <w:rsid w:val="7DFB1059"/>
    <w:rsid w:val="7DFC3B04"/>
    <w:rsid w:val="7DFC4599"/>
    <w:rsid w:val="7E933D3D"/>
    <w:rsid w:val="7EA83C8C"/>
    <w:rsid w:val="7EC565EC"/>
    <w:rsid w:val="7EDF5174"/>
    <w:rsid w:val="7EE36A72"/>
    <w:rsid w:val="7EEA1BAF"/>
    <w:rsid w:val="7EF46ED2"/>
    <w:rsid w:val="7F29299F"/>
    <w:rsid w:val="7F4D213E"/>
    <w:rsid w:val="7F594F87"/>
    <w:rsid w:val="7F612A25"/>
    <w:rsid w:val="7F62204B"/>
    <w:rsid w:val="7F647934"/>
    <w:rsid w:val="7F6C1FFF"/>
    <w:rsid w:val="7F767AB1"/>
    <w:rsid w:val="7FA75CF2"/>
    <w:rsid w:val="7FB1091F"/>
    <w:rsid w:val="7FB27487"/>
    <w:rsid w:val="7FC566AD"/>
    <w:rsid w:val="7FCD0635"/>
    <w:rsid w:val="7FD12D6F"/>
    <w:rsid w:val="7FD60E21"/>
    <w:rsid w:val="7FE16674"/>
    <w:rsid w:val="7FE24F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nhideWhenUsed="0" w:uiPriority="9" w:semiHidden="0" w:name="heading 7"/>
    <w:lsdException w:qFormat="1" w:uiPriority="0" w:name="heading 8"/>
    <w:lsdException w:qFormat="1" w:uiPriority="0" w:name="heading 9"/>
    <w:lsdException w:uiPriority="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qFormat="1" w:uiPriority="99" w:semiHidden="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iPriority="0" w:semiHidden="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00" w:after="90" w:line="578" w:lineRule="auto"/>
      <w:outlineLvl w:val="0"/>
    </w:pPr>
    <w:rPr>
      <w:rFonts w:eastAsia="华文细黑"/>
      <w:b/>
      <w:bCs/>
      <w:kern w:val="44"/>
      <w:sz w:val="30"/>
      <w:szCs w:val="44"/>
    </w:rPr>
  </w:style>
  <w:style w:type="paragraph" w:styleId="3">
    <w:name w:val="heading 2"/>
    <w:basedOn w:val="1"/>
    <w:next w:val="4"/>
    <w:qFormat/>
    <w:uiPriority w:val="9"/>
    <w:pPr>
      <w:keepNext/>
      <w:keepLines/>
      <w:spacing w:before="260" w:after="260" w:line="416" w:lineRule="auto"/>
      <w:jc w:val="center"/>
      <w:outlineLvl w:val="1"/>
    </w:pPr>
    <w:rPr>
      <w:rFonts w:ascii="Arial" w:hAnsi="Arial" w:eastAsia="幼圆"/>
      <w:b/>
      <w:kern w:val="0"/>
      <w:sz w:val="44"/>
      <w:szCs w:val="20"/>
    </w:rPr>
  </w:style>
  <w:style w:type="paragraph" w:styleId="5">
    <w:name w:val="heading 3"/>
    <w:basedOn w:val="1"/>
    <w:next w:val="1"/>
    <w:link w:val="49"/>
    <w:qFormat/>
    <w:uiPriority w:val="0"/>
    <w:pPr>
      <w:keepNext/>
      <w:keepLines/>
      <w:spacing w:line="416" w:lineRule="auto"/>
      <w:outlineLvl w:val="2"/>
    </w:pPr>
    <w:rPr>
      <w:b/>
      <w:kern w:val="0"/>
      <w:sz w:val="32"/>
      <w:szCs w:val="20"/>
    </w:rPr>
  </w:style>
  <w:style w:type="paragraph" w:styleId="6">
    <w:name w:val="heading 7"/>
    <w:basedOn w:val="1"/>
    <w:next w:val="1"/>
    <w:qFormat/>
    <w:uiPriority w:val="9"/>
    <w:pPr>
      <w:keepNext/>
      <w:keepLines/>
      <w:spacing w:before="240" w:after="64" w:line="320" w:lineRule="auto"/>
      <w:outlineLvl w:val="6"/>
    </w:pPr>
    <w:rPr>
      <w:b/>
      <w:bCs/>
      <w:sz w:val="24"/>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pPr>
    <w:rPr>
      <w:kern w:val="0"/>
      <w:sz w:val="20"/>
      <w:szCs w:val="20"/>
    </w:rPr>
  </w:style>
  <w:style w:type="paragraph" w:styleId="7">
    <w:name w:val="annotation text"/>
    <w:basedOn w:val="1"/>
    <w:link w:val="52"/>
    <w:qFormat/>
    <w:uiPriority w:val="99"/>
    <w:pPr>
      <w:jc w:val="left"/>
    </w:pPr>
    <w:rPr>
      <w:kern w:val="0"/>
      <w:sz w:val="20"/>
    </w:rPr>
  </w:style>
  <w:style w:type="paragraph" w:styleId="8">
    <w:name w:val="Body Text"/>
    <w:basedOn w:val="1"/>
    <w:qFormat/>
    <w:uiPriority w:val="99"/>
    <w:rPr>
      <w:rFonts w:ascii="楷体_GB2312" w:hAnsi="Arial" w:eastAsia="楷体_GB2312"/>
      <w:kern w:val="0"/>
      <w:sz w:val="28"/>
      <w:szCs w:val="20"/>
    </w:rPr>
  </w:style>
  <w:style w:type="paragraph" w:styleId="9">
    <w:name w:val="Body Text Indent"/>
    <w:basedOn w:val="1"/>
    <w:qFormat/>
    <w:uiPriority w:val="0"/>
    <w:pPr>
      <w:ind w:firstLine="645"/>
    </w:pPr>
    <w:rPr>
      <w:rFonts w:ascii="楷体_GB2312" w:eastAsia="楷体_GB2312"/>
      <w:kern w:val="0"/>
      <w:sz w:val="32"/>
      <w:szCs w:val="20"/>
    </w:rPr>
  </w:style>
  <w:style w:type="paragraph" w:styleId="10">
    <w:name w:val="index 4"/>
    <w:basedOn w:val="1"/>
    <w:next w:val="1"/>
    <w:unhideWhenUsed/>
    <w:qFormat/>
    <w:uiPriority w:val="99"/>
    <w:pPr>
      <w:ind w:firstLine="420" w:firstLineChars="200"/>
      <w:jc w:val="left"/>
    </w:pPr>
    <w:rPr>
      <w:rFonts w:ascii="宋体" w:hAnsi="宋体"/>
      <w:color w:val="FF0000"/>
      <w:szCs w:val="21"/>
    </w:rPr>
  </w:style>
  <w:style w:type="paragraph" w:styleId="11">
    <w:name w:val="toc 3"/>
    <w:basedOn w:val="1"/>
    <w:next w:val="1"/>
    <w:unhideWhenUsed/>
    <w:qFormat/>
    <w:uiPriority w:val="39"/>
    <w:pPr>
      <w:ind w:left="840" w:leftChars="400"/>
    </w:pPr>
  </w:style>
  <w:style w:type="paragraph" w:styleId="12">
    <w:name w:val="Plain Text"/>
    <w:basedOn w:val="1"/>
    <w:link w:val="50"/>
    <w:qFormat/>
    <w:uiPriority w:val="0"/>
    <w:rPr>
      <w:rFonts w:ascii="宋体" w:hAnsi="Courier New"/>
      <w:kern w:val="0"/>
      <w:sz w:val="20"/>
      <w:szCs w:val="20"/>
    </w:rPr>
  </w:style>
  <w:style w:type="paragraph" w:styleId="13">
    <w:name w:val="Body Text Indent 2"/>
    <w:basedOn w:val="1"/>
    <w:qFormat/>
    <w:uiPriority w:val="0"/>
    <w:pPr>
      <w:widowControl/>
      <w:spacing w:before="100" w:beforeAutospacing="1" w:after="100" w:afterAutospacing="1"/>
      <w:jc w:val="left"/>
    </w:pPr>
    <w:rPr>
      <w:rFonts w:ascii="宋体" w:hAnsi="宋体"/>
      <w:kern w:val="0"/>
      <w:sz w:val="24"/>
    </w:rPr>
  </w:style>
  <w:style w:type="paragraph" w:styleId="14">
    <w:name w:val="Balloon Text"/>
    <w:basedOn w:val="1"/>
    <w:link w:val="40"/>
    <w:qFormat/>
    <w:uiPriority w:val="0"/>
    <w:rPr>
      <w:sz w:val="18"/>
      <w:szCs w:val="18"/>
    </w:rPr>
  </w:style>
  <w:style w:type="paragraph" w:styleId="15">
    <w:name w:val="footer"/>
    <w:basedOn w:val="1"/>
    <w:link w:val="41"/>
    <w:qFormat/>
    <w:uiPriority w:val="0"/>
    <w:pPr>
      <w:tabs>
        <w:tab w:val="center" w:pos="4153"/>
        <w:tab w:val="right" w:pos="8306"/>
      </w:tabs>
      <w:snapToGrid w:val="0"/>
      <w:jc w:val="left"/>
    </w:pPr>
    <w:rPr>
      <w:sz w:val="18"/>
      <w:szCs w:val="18"/>
    </w:rPr>
  </w:style>
  <w:style w:type="paragraph" w:styleId="16">
    <w:name w:val="envelope return"/>
    <w:basedOn w:val="1"/>
    <w:unhideWhenUsed/>
    <w:qFormat/>
    <w:uiPriority w:val="0"/>
    <w:pPr>
      <w:snapToGrid w:val="0"/>
    </w:pPr>
    <w:rPr>
      <w:rFonts w:ascii="Arial" w:hAnsi="Arial"/>
    </w:rPr>
  </w:style>
  <w:style w:type="paragraph" w:styleId="17">
    <w:name w:val="header"/>
    <w:basedOn w:val="1"/>
    <w:link w:val="39"/>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spacing w:line="360" w:lineRule="auto"/>
    </w:pPr>
    <w:rPr>
      <w:rFonts w:asciiTheme="minorHAnsi" w:hAnsiTheme="minorHAnsi" w:cstheme="minorBidi"/>
      <w:sz w:val="24"/>
    </w:rPr>
  </w:style>
  <w:style w:type="paragraph" w:styleId="19">
    <w:name w:val="index 9"/>
    <w:basedOn w:val="1"/>
    <w:next w:val="1"/>
    <w:unhideWhenUsed/>
    <w:qFormat/>
    <w:uiPriority w:val="99"/>
    <w:pPr>
      <w:ind w:left="1600" w:leftChars="1600"/>
    </w:pPr>
  </w:style>
  <w:style w:type="paragraph" w:styleId="20">
    <w:name w:val="toc 2"/>
    <w:basedOn w:val="1"/>
    <w:next w:val="1"/>
    <w:autoRedefine/>
    <w:qFormat/>
    <w:uiPriority w:val="39"/>
    <w:pPr>
      <w:spacing w:line="360" w:lineRule="auto"/>
      <w:ind w:left="420" w:leftChars="200"/>
    </w:pPr>
    <w:rPr>
      <w:rFonts w:asciiTheme="minorHAnsi" w:hAnsiTheme="minorHAnsi" w:cstheme="minorBidi"/>
      <w:sz w:val="24"/>
    </w:rPr>
  </w:style>
  <w:style w:type="paragraph" w:styleId="21">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rPr>
  </w:style>
  <w:style w:type="paragraph" w:styleId="22">
    <w:name w:val="Normal (Web)"/>
    <w:basedOn w:val="1"/>
    <w:autoRedefine/>
    <w:qFormat/>
    <w:uiPriority w:val="99"/>
    <w:pPr>
      <w:widowControl/>
      <w:spacing w:before="100" w:beforeAutospacing="1" w:after="100" w:afterAutospacing="1"/>
    </w:pPr>
    <w:rPr>
      <w:rFonts w:ascii="宋体" w:hAnsi="宋体"/>
      <w:kern w:val="0"/>
      <w:sz w:val="24"/>
      <w:szCs w:val="20"/>
    </w:rPr>
  </w:style>
  <w:style w:type="paragraph" w:styleId="23">
    <w:name w:val="Title"/>
    <w:basedOn w:val="1"/>
    <w:next w:val="1"/>
    <w:link w:val="51"/>
    <w:autoRedefine/>
    <w:qFormat/>
    <w:uiPriority w:val="0"/>
    <w:pPr>
      <w:spacing w:before="240" w:after="60"/>
      <w:jc w:val="center"/>
      <w:outlineLvl w:val="0"/>
    </w:pPr>
    <w:rPr>
      <w:rFonts w:asciiTheme="majorHAnsi" w:hAnsiTheme="majorHAnsi" w:eastAsiaTheme="majorEastAsia" w:cstheme="majorBidi"/>
      <w:b/>
      <w:bCs/>
      <w:sz w:val="32"/>
      <w:szCs w:val="32"/>
    </w:rPr>
  </w:style>
  <w:style w:type="paragraph" w:styleId="24">
    <w:name w:val="annotation subject"/>
    <w:basedOn w:val="7"/>
    <w:next w:val="7"/>
    <w:link w:val="53"/>
    <w:autoRedefine/>
    <w:semiHidden/>
    <w:unhideWhenUsed/>
    <w:qFormat/>
    <w:uiPriority w:val="0"/>
    <w:rPr>
      <w:b/>
      <w:bCs/>
      <w:kern w:val="2"/>
      <w:sz w:val="21"/>
    </w:rPr>
  </w:style>
  <w:style w:type="paragraph" w:styleId="25">
    <w:name w:val="Body Text First Indent"/>
    <w:basedOn w:val="1"/>
    <w:next w:val="1"/>
    <w:unhideWhenUsed/>
    <w:qFormat/>
    <w:uiPriority w:val="99"/>
    <w:pPr>
      <w:spacing w:after="120"/>
      <w:ind w:firstLine="420" w:firstLineChars="100"/>
    </w:pPr>
    <w:rPr>
      <w:rFonts w:ascii="Times New Roman"/>
      <w:sz w:val="21"/>
    </w:rPr>
  </w:style>
  <w:style w:type="paragraph" w:styleId="26">
    <w:name w:val="Body Text First Indent 2"/>
    <w:basedOn w:val="9"/>
    <w:next w:val="1"/>
    <w:qFormat/>
    <w:uiPriority w:val="0"/>
    <w:pPr>
      <w:spacing w:line="360" w:lineRule="auto"/>
      <w:ind w:firstLine="420" w:firstLineChars="200"/>
    </w:pPr>
    <w:rPr>
      <w:rFonts w:ascii="宋体" w:hAnsi="宋体"/>
    </w:rPr>
  </w:style>
  <w:style w:type="table" w:styleId="28">
    <w:name w:val="Table Grid"/>
    <w:basedOn w:val="2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22"/>
    <w:rPr>
      <w:b/>
      <w:bCs/>
    </w:rPr>
  </w:style>
  <w:style w:type="character" w:styleId="31">
    <w:name w:val="page number"/>
    <w:basedOn w:val="29"/>
    <w:qFormat/>
    <w:uiPriority w:val="0"/>
  </w:style>
  <w:style w:type="character" w:styleId="32">
    <w:name w:val="Hyperlink"/>
    <w:qFormat/>
    <w:uiPriority w:val="99"/>
    <w:rPr>
      <w:color w:val="0000FF"/>
      <w:u w:val="single"/>
    </w:rPr>
  </w:style>
  <w:style w:type="character" w:styleId="33">
    <w:name w:val="annotation reference"/>
    <w:qFormat/>
    <w:uiPriority w:val="99"/>
    <w:rPr>
      <w:sz w:val="21"/>
      <w:szCs w:val="21"/>
    </w:rPr>
  </w:style>
  <w:style w:type="paragraph" w:customStyle="1" w:styleId="34">
    <w:name w:val="一级条标题"/>
    <w:basedOn w:val="35"/>
    <w:next w:val="36"/>
    <w:qFormat/>
    <w:uiPriority w:val="99"/>
    <w:pPr>
      <w:tabs>
        <w:tab w:val="left" w:pos="810"/>
        <w:tab w:val="left" w:pos="907"/>
        <w:tab w:val="left" w:pos="1265"/>
      </w:tabs>
      <w:spacing w:before="0" w:after="0"/>
      <w:ind w:left="907" w:hanging="907"/>
      <w:outlineLvl w:val="2"/>
    </w:pPr>
    <w:rPr>
      <w:rFonts w:hAnsi="宋体"/>
      <w:kern w:val="0"/>
      <w:sz w:val="20"/>
      <w:szCs w:val="20"/>
    </w:rPr>
  </w:style>
  <w:style w:type="paragraph" w:customStyle="1" w:styleId="35">
    <w:name w:val="章标题"/>
    <w:next w:val="1"/>
    <w:qFormat/>
    <w:uiPriority w:val="0"/>
    <w:pPr>
      <w:tabs>
        <w:tab w:val="left" w:pos="810"/>
        <w:tab w:val="left" w:pos="1265"/>
      </w:tabs>
      <w:spacing w:before="50" w:after="50"/>
      <w:ind w:left="810" w:hanging="810"/>
      <w:jc w:val="both"/>
      <w:outlineLvl w:val="1"/>
    </w:pPr>
    <w:rPr>
      <w:rFonts w:ascii="黑体" w:hAnsi="Times New Roman" w:eastAsia="黑体" w:cs="Times New Roman"/>
      <w:kern w:val="2"/>
      <w:sz w:val="21"/>
      <w:szCs w:val="22"/>
      <w:lang w:val="en-US" w:eastAsia="zh-CN" w:bidi="ar-SA"/>
    </w:rPr>
  </w:style>
  <w:style w:type="paragraph" w:customStyle="1" w:styleId="36">
    <w:name w:val="段"/>
    <w:next w:val="1"/>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37">
    <w:name w:val="Heading1"/>
    <w:basedOn w:val="1"/>
    <w:next w:val="1"/>
    <w:qFormat/>
    <w:uiPriority w:val="0"/>
    <w:pPr>
      <w:keepNext/>
      <w:textAlignment w:val="baseline"/>
    </w:pPr>
    <w:rPr>
      <w:rFonts w:ascii="等线 Light" w:eastAsia="等线 Light"/>
      <w:sz w:val="28"/>
      <w:szCs w:val="20"/>
    </w:rPr>
  </w:style>
  <w:style w:type="paragraph" w:customStyle="1" w:styleId="38">
    <w:name w:val="首行缩进"/>
    <w:basedOn w:val="1"/>
    <w:qFormat/>
    <w:uiPriority w:val="0"/>
    <w:pPr>
      <w:ind w:firstLine="480" w:firstLineChars="200"/>
    </w:pPr>
    <w:rPr>
      <w:szCs w:val="20"/>
      <w:lang w:val="zh-CN"/>
    </w:rPr>
  </w:style>
  <w:style w:type="character" w:customStyle="1" w:styleId="39">
    <w:name w:val="页眉 Char"/>
    <w:link w:val="17"/>
    <w:qFormat/>
    <w:uiPriority w:val="0"/>
    <w:rPr>
      <w:rFonts w:ascii="Times New Roman" w:hAnsi="Times New Roman" w:eastAsia="宋体" w:cs="Times New Roman"/>
      <w:kern w:val="2"/>
      <w:sz w:val="18"/>
      <w:szCs w:val="18"/>
    </w:rPr>
  </w:style>
  <w:style w:type="character" w:customStyle="1" w:styleId="40">
    <w:name w:val="批注框文本 Char"/>
    <w:link w:val="14"/>
    <w:qFormat/>
    <w:uiPriority w:val="0"/>
    <w:rPr>
      <w:rFonts w:ascii="Times New Roman" w:hAnsi="Times New Roman" w:eastAsia="宋体" w:cs="Times New Roman"/>
      <w:kern w:val="2"/>
      <w:sz w:val="18"/>
      <w:szCs w:val="18"/>
    </w:rPr>
  </w:style>
  <w:style w:type="character" w:customStyle="1" w:styleId="41">
    <w:name w:val="页脚 Char"/>
    <w:link w:val="15"/>
    <w:qFormat/>
    <w:uiPriority w:val="0"/>
    <w:rPr>
      <w:rFonts w:ascii="Times New Roman" w:hAnsi="Times New Roman" w:eastAsia="宋体" w:cs="Times New Roman"/>
      <w:kern w:val="2"/>
      <w:sz w:val="18"/>
      <w:szCs w:val="18"/>
    </w:rPr>
  </w:style>
  <w:style w:type="paragraph" w:styleId="42">
    <w:name w:val="List Paragraph"/>
    <w:basedOn w:val="1"/>
    <w:qFormat/>
    <w:uiPriority w:val="34"/>
    <w:pPr>
      <w:ind w:firstLine="420" w:firstLineChars="200"/>
    </w:pPr>
    <w:rPr>
      <w:rFonts w:ascii="Calibri" w:hAnsi="Calibri"/>
      <w:kern w:val="0"/>
      <w:sz w:val="20"/>
      <w:szCs w:val="20"/>
    </w:rPr>
  </w:style>
  <w:style w:type="paragraph" w:customStyle="1" w:styleId="43">
    <w:name w:val="正文缩进1"/>
    <w:basedOn w:val="1"/>
    <w:next w:val="1"/>
    <w:qFormat/>
    <w:uiPriority w:val="0"/>
    <w:pPr>
      <w:autoSpaceDE w:val="0"/>
      <w:autoSpaceDN w:val="0"/>
      <w:adjustRightInd w:val="0"/>
      <w:ind w:firstLine="420"/>
      <w:jc w:val="left"/>
    </w:pPr>
    <w:rPr>
      <w:rFonts w:ascii="宋体"/>
      <w:kern w:val="0"/>
      <w:sz w:val="24"/>
      <w:szCs w:val="20"/>
    </w:rPr>
  </w:style>
  <w:style w:type="paragraph" w:customStyle="1" w:styleId="44">
    <w:name w:val="普通正文"/>
    <w:basedOn w:val="1"/>
    <w:qFormat/>
    <w:uiPriority w:val="99"/>
    <w:pPr>
      <w:adjustRightInd w:val="0"/>
      <w:spacing w:before="120" w:after="120" w:line="360" w:lineRule="auto"/>
      <w:ind w:firstLine="480"/>
      <w:jc w:val="left"/>
      <w:textAlignment w:val="baseline"/>
    </w:pPr>
    <w:rPr>
      <w:rFonts w:ascii="Arial" w:hAnsi="Arial"/>
      <w:kern w:val="0"/>
      <w:sz w:val="24"/>
    </w:rPr>
  </w:style>
  <w:style w:type="paragraph" w:customStyle="1" w:styleId="45">
    <w:name w:val="纯文本1"/>
    <w:basedOn w:val="1"/>
    <w:qFormat/>
    <w:uiPriority w:val="0"/>
    <w:pPr>
      <w:adjustRightInd w:val="0"/>
    </w:pPr>
    <w:rPr>
      <w:rFonts w:ascii="宋体" w:hAnsi="Courier New" w:eastAsia="楷体_GB2312"/>
      <w:sz w:val="28"/>
      <w:szCs w:val="20"/>
    </w:rPr>
  </w:style>
  <w:style w:type="table" w:customStyle="1" w:styleId="46">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47">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8">
    <w:name w:val="正文1"/>
    <w:next w:val="1"/>
    <w:qFormat/>
    <w:uiPriority w:val="0"/>
    <w:pPr>
      <w:widowControl w:val="0"/>
      <w:jc w:val="both"/>
    </w:pPr>
    <w:rPr>
      <w:rFonts w:ascii="Calibri" w:hAnsi="Calibri" w:eastAsia="宋体" w:cs="Times New Roman"/>
      <w:kern w:val="2"/>
      <w:sz w:val="21"/>
      <w:szCs w:val="21"/>
      <w:lang w:val="en-US" w:eastAsia="zh-CN" w:bidi="ar-SA"/>
    </w:rPr>
  </w:style>
  <w:style w:type="character" w:customStyle="1" w:styleId="49">
    <w:name w:val="标题 3 Char"/>
    <w:link w:val="5"/>
    <w:qFormat/>
    <w:uiPriority w:val="0"/>
    <w:rPr>
      <w:b/>
      <w:sz w:val="32"/>
    </w:rPr>
  </w:style>
  <w:style w:type="character" w:customStyle="1" w:styleId="50">
    <w:name w:val="纯文本 Char"/>
    <w:link w:val="12"/>
    <w:qFormat/>
    <w:locked/>
    <w:uiPriority w:val="0"/>
    <w:rPr>
      <w:rFonts w:ascii="宋体" w:hAnsi="Courier New"/>
    </w:rPr>
  </w:style>
  <w:style w:type="character" w:customStyle="1" w:styleId="51">
    <w:name w:val="标题 Char"/>
    <w:basedOn w:val="29"/>
    <w:link w:val="23"/>
    <w:qFormat/>
    <w:uiPriority w:val="0"/>
    <w:rPr>
      <w:rFonts w:asciiTheme="majorHAnsi" w:hAnsiTheme="majorHAnsi" w:eastAsiaTheme="majorEastAsia" w:cstheme="majorBidi"/>
      <w:b/>
      <w:bCs/>
      <w:kern w:val="2"/>
      <w:sz w:val="32"/>
      <w:szCs w:val="32"/>
    </w:rPr>
  </w:style>
  <w:style w:type="character" w:customStyle="1" w:styleId="52">
    <w:name w:val="批注文字 Char"/>
    <w:basedOn w:val="29"/>
    <w:link w:val="7"/>
    <w:qFormat/>
    <w:uiPriority w:val="99"/>
    <w:rPr>
      <w:szCs w:val="24"/>
    </w:rPr>
  </w:style>
  <w:style w:type="character" w:customStyle="1" w:styleId="53">
    <w:name w:val="批注主题 Char"/>
    <w:basedOn w:val="52"/>
    <w:link w:val="24"/>
    <w:semiHidden/>
    <w:qFormat/>
    <w:uiPriority w:val="0"/>
    <w:rPr>
      <w:b/>
      <w:bCs/>
      <w:kern w:val="2"/>
      <w:sz w:val="21"/>
      <w:szCs w:val="24"/>
    </w:rPr>
  </w:style>
  <w:style w:type="paragraph" w:customStyle="1" w:styleId="5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55">
    <w:name w:val="一、（二级标题）"/>
    <w:qFormat/>
    <w:uiPriority w:val="0"/>
    <w:pPr>
      <w:widowControl w:val="0"/>
      <w:tabs>
        <w:tab w:val="left" w:pos="993"/>
        <w:tab w:val="left" w:pos="1276"/>
      </w:tabs>
      <w:wordWrap w:val="0"/>
      <w:ind w:firstLine="200" w:firstLineChars="200"/>
      <w:outlineLvl w:val="1"/>
    </w:pPr>
    <w:rPr>
      <w:rFonts w:ascii="Arial" w:hAnsi="Arial" w:eastAsia="黑体" w:cs="Times New Roman"/>
      <w:bCs/>
      <w:kern w:val="2"/>
      <w:sz w:val="28"/>
      <w:szCs w:val="32"/>
      <w:lang w:val="en-US" w:eastAsia="zh-CN" w:bidi="ar-SA"/>
    </w:rPr>
  </w:style>
  <w:style w:type="paragraph" w:customStyle="1" w:styleId="56">
    <w:name w:val="（一）正文标题"/>
    <w:basedOn w:val="5"/>
    <w:qFormat/>
    <w:uiPriority w:val="0"/>
    <w:pPr>
      <w:keepNext w:val="0"/>
      <w:keepLines w:val="0"/>
      <w:tabs>
        <w:tab w:val="left" w:pos="993"/>
        <w:tab w:val="left" w:pos="1134"/>
        <w:tab w:val="left" w:pos="1276"/>
        <w:tab w:val="left" w:pos="1418"/>
      </w:tabs>
      <w:wordWrap w:val="0"/>
      <w:ind w:firstLine="200" w:firstLineChars="200"/>
    </w:pPr>
    <w:rPr>
      <w:rFonts w:ascii="仿宋_GB2312" w:hAnsi="仿宋_GB2312" w:eastAsia="楷体"/>
      <w:szCs w:val="28"/>
    </w:rPr>
  </w:style>
  <w:style w:type="paragraph" w:customStyle="1" w:styleId="57">
    <w:name w:val="文本"/>
    <w:qFormat/>
    <w:uiPriority w:val="0"/>
    <w:pPr>
      <w:widowControl w:val="0"/>
      <w:wordWrap w:val="0"/>
      <w:spacing w:line="360" w:lineRule="auto"/>
      <w:ind w:firstLine="200" w:firstLineChars="200"/>
    </w:pPr>
    <w:rPr>
      <w:rFonts w:ascii="仿宋_GB2312" w:hAnsi="Times New Roman" w:eastAsia="仿宋_GB2312" w:cs="Times New Roman"/>
      <w:kern w:val="2"/>
      <w:sz w:val="28"/>
      <w:szCs w:val="24"/>
      <w:lang w:val="en-US" w:eastAsia="zh-CN" w:bidi="ar-SA"/>
    </w:rPr>
  </w:style>
  <w:style w:type="paragraph" w:customStyle="1" w:styleId="58">
    <w:name w:val="1."/>
    <w:qFormat/>
    <w:uiPriority w:val="0"/>
    <w:pPr>
      <w:widowControl w:val="0"/>
      <w:tabs>
        <w:tab w:val="left" w:pos="851"/>
        <w:tab w:val="left" w:pos="1418"/>
      </w:tabs>
      <w:wordWrap w:val="0"/>
      <w:ind w:firstLine="200" w:firstLineChars="200"/>
      <w:outlineLvl w:val="3"/>
    </w:pPr>
    <w:rPr>
      <w:rFonts w:ascii="仿宋_GB2312" w:hAnsi="Times New Roman" w:eastAsia="仿宋_GB2312" w:cs="Times New Roman"/>
      <w:bCs/>
      <w:kern w:val="2"/>
      <w:sz w:val="28"/>
      <w:szCs w:val="28"/>
      <w:lang w:val="en-US" w:eastAsia="zh-CN" w:bidi="ar-SA"/>
    </w:rPr>
  </w:style>
  <w:style w:type="paragraph" w:customStyle="1" w:styleId="59">
    <w:name w:val="Table Text"/>
    <w:basedOn w:val="1"/>
    <w:semiHidden/>
    <w:qFormat/>
    <w:uiPriority w:val="0"/>
    <w:rPr>
      <w:rFonts w:ascii="宋体" w:hAnsi="宋体" w:cs="宋体"/>
      <w:sz w:val="20"/>
      <w:szCs w:val="20"/>
      <w:lang w:eastAsia="en-US"/>
    </w:rPr>
  </w:style>
  <w:style w:type="paragraph" w:customStyle="1" w:styleId="60">
    <w:name w:val="Table Paragraph"/>
    <w:basedOn w:val="1"/>
    <w:qFormat/>
    <w:uiPriority w:val="1"/>
    <w:rPr>
      <w:rFonts w:ascii="仿宋" w:hAnsi="仿宋" w:eastAsia="仿宋" w:cs="仿宋"/>
    </w:rPr>
  </w:style>
  <w:style w:type="paragraph" w:customStyle="1" w:styleId="61">
    <w:name w:val="列出段落1"/>
    <w:basedOn w:val="1"/>
    <w:qFormat/>
    <w:uiPriority w:val="0"/>
    <w:pPr>
      <w:widowControl/>
      <w:ind w:left="720"/>
      <w:contextualSpacing/>
      <w:jc w:val="left"/>
    </w:pPr>
    <w:rPr>
      <w:rFonts w:ascii="Calibri" w:hAnsi="Calibri"/>
      <w:kern w:val="0"/>
      <w:sz w:val="24"/>
      <w:lang w:eastAsia="en-US" w:bidi="en-US"/>
    </w:rPr>
  </w:style>
  <w:style w:type="paragraph" w:customStyle="1" w:styleId="62">
    <w:name w:val="WPSOffice手动目录 1"/>
    <w:qFormat/>
    <w:uiPriority w:val="0"/>
    <w:rPr>
      <w:rFonts w:ascii="Times New Roman" w:hAnsi="Times New Roman" w:eastAsia="宋体" w:cs="Times New Roman"/>
      <w:lang w:val="en-US" w:eastAsia="zh-CN" w:bidi="ar-SA"/>
    </w:rPr>
  </w:style>
  <w:style w:type="paragraph" w:customStyle="1" w:styleId="6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64">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65">
    <w:name w:val="TOC 标题2"/>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styleId="66">
    <w:name w:val="Placeholder Text"/>
    <w:basedOn w:val="29"/>
    <w:unhideWhenUsed/>
    <w:qFormat/>
    <w:uiPriority w:val="99"/>
    <w:rPr>
      <w:color w:val="808080"/>
    </w:rPr>
  </w:style>
  <w:style w:type="paragraph" w:customStyle="1" w:styleId="67">
    <w:name w:val="附录1"/>
    <w:qFormat/>
    <w:uiPriority w:val="99"/>
    <w:pPr>
      <w:numPr>
        <w:ilvl w:val="0"/>
        <w:numId w:val="1"/>
      </w:numPr>
      <w:tabs>
        <w:tab w:val="left" w:pos="907"/>
      </w:tabs>
      <w:snapToGrid w:val="0"/>
      <w:spacing w:before="240" w:line="600" w:lineRule="atLeast"/>
    </w:pPr>
    <w:rPr>
      <w:rFonts w:ascii="Times New Roman" w:hAnsi="Times New Roman" w:eastAsia="宋体" w:cs="Times New Roman"/>
      <w:b/>
      <w:i/>
      <w:sz w:val="28"/>
      <w:lang w:val="en-US" w:eastAsia="zh-CN" w:bidi="ar-SA"/>
    </w:rPr>
  </w:style>
  <w:style w:type="paragraph" w:customStyle="1" w:styleId="68">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69">
    <w:name w:val="正文文本1"/>
    <w:basedOn w:val="1"/>
    <w:next w:val="43"/>
    <w:qFormat/>
    <w:uiPriority w:val="0"/>
    <w:rPr>
      <w:rFonts w:ascii="楷体_GB2312" w:hAnsi="Arial" w:eastAsia="楷体_GB2312"/>
      <w:sz w:val="28"/>
      <w:szCs w:val="28"/>
    </w:rPr>
  </w:style>
  <w:style w:type="paragraph" w:customStyle="1" w:styleId="70">
    <w:name w:val="Blockquote"/>
    <w:basedOn w:val="1"/>
    <w:qFormat/>
    <w:uiPriority w:val="0"/>
    <w:pPr>
      <w:spacing w:before="100" w:after="100"/>
      <w:ind w:left="360" w:right="360"/>
      <w:jc w:val="left"/>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2051"/>
    <customShpInfo spid="_x0000_s2052"/>
    <customShpInfo spid="_x0000_s2050"/>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6A5FC8-CF19-4DDD-849E-AFDDFB1E20A2}">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44</Pages>
  <Words>18073</Words>
  <Characters>19001</Characters>
  <Lines>246</Lines>
  <Paragraphs>69</Paragraphs>
  <TotalTime>7</TotalTime>
  <ScaleCrop>false</ScaleCrop>
  <LinksUpToDate>false</LinksUpToDate>
  <CharactersWithSpaces>20058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2024-09-04T01:44:00Z</dcterms:created>
  <dc:creator>ASUS</dc:creator>
  <cp:lastModifiedBy>三人行</cp:lastModifiedBy>
  <cp:lastPrinted>2023-06-20T00:18:00Z</cp:lastPrinted>
  <dcterms:modified xsi:type="dcterms:W3CDTF">2026-04-20T00:57:34Z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EFBE38E03CC143CB96D3B30072133ACC_13</vt:lpwstr>
  </property>
  <property fmtid="{D5CDD505-2E9C-101B-9397-08002B2CF9AE}" pid="4" name="KSOTemplateDocerSaveRecord">
    <vt:lpwstr>eyJoZGlkIjoiNzdhOTBlYTA2NTg3OWVlNTBkZjk2NzYwNGYyZDJjYjUiLCJ1c2VySWQiOiIxMDc1NDEyMTE5In0=</vt:lpwstr>
  </property>
</Properties>
</file>