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21B8A">
      <w:pPr>
        <w:pStyle w:val="44"/>
        <w:ind w:firstLine="0"/>
        <w:jc w:val="center"/>
        <w:rPr>
          <w:rFonts w:ascii="宋体" w:hAnsi="宋体" w:cs="宋体"/>
          <w:b/>
          <w:bCs/>
          <w:sz w:val="28"/>
          <w:szCs w:val="28"/>
        </w:rPr>
      </w:pPr>
      <w:r>
        <w:rPr>
          <w:rFonts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-1040765</wp:posOffset>
                </wp:positionH>
                <wp:positionV relativeFrom="paragraph">
                  <wp:posOffset>-1283335</wp:posOffset>
                </wp:positionV>
                <wp:extent cx="2752725" cy="2762250"/>
                <wp:effectExtent l="0" t="0" r="9525" b="0"/>
                <wp:wrapNone/>
                <wp:docPr id="39" name="椭圆 39"/>
                <wp:cNvGraphicFramePr/>
                <a:graphic xmlns:a="http://schemas.openxmlformats.org/drawingml/2006/main">
                  <a:graphicData uri="http://schemas.microsoft.com/office/word/2010/wordprocessingShape">
                    <wps:wsp>
                      <wps:cNvSpPr/>
                      <wps:spPr>
                        <a:xfrm>
                          <a:off x="0" y="0"/>
                          <a:ext cx="2752725" cy="2762250"/>
                        </a:xfrm>
                        <a:prstGeom prst="ellipse">
                          <a:avLst/>
                        </a:prstGeom>
                        <a:gradFill rotWithShape="0">
                          <a:gsLst>
                            <a:gs pos="0">
                              <a:srgbClr val="C00000">
                                <a:alpha val="0"/>
                              </a:srgbClr>
                            </a:gs>
                            <a:gs pos="100000">
                              <a:srgbClr val="FFFFFF">
                                <a:alpha val="59999"/>
                              </a:srgbClr>
                            </a:gs>
                          </a:gsLst>
                          <a:lin ang="5400000" scaled="1"/>
                          <a:tileRect/>
                        </a:gradFill>
                        <a:ln>
                          <a:noFill/>
                        </a:ln>
                        <a:effectLst/>
                      </wps:spPr>
                      <wps:txbx>
                        <w:txbxContent>
                          <w:p w14:paraId="06A682D7">
                            <w:pPr>
                              <w:jc w:val="center"/>
                            </w:pPr>
                          </w:p>
                        </w:txbxContent>
                      </wps:txbx>
                      <wps:bodyPr upright="1"/>
                    </wps:wsp>
                  </a:graphicData>
                </a:graphic>
              </wp:anchor>
            </w:drawing>
          </mc:Choice>
          <mc:Fallback>
            <w:pict>
              <v:shape id="_x0000_s1026" o:spid="_x0000_s1026" o:spt="3" type="#_x0000_t3" style="position:absolute;left:0pt;margin-left:-81.95pt;margin-top:-101.05pt;height:217.5pt;width:216.75pt;z-index:251667456;mso-width-relative:page;mso-height-relative:page;" fillcolor="#C00000" filled="t" stroked="f" coordsize="21600,21600" o:gfxdata="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lRgY83AAAAA0BAAAP&#10;AAAAAAAAAAEAIAAAACIAAABkcnMvZG93bnJldi54bWxQSwECFAAUAAAACACHTuJAJGCDKBQCAABU&#10;BAAADgAAAAAAAAABACAAAAArAQAAZHJzL2Uyb0RvYy54bWxQSwUGAAAAAAYABgBZAQAAsQUAAAAA&#10;">
                <v:fill type="gradient" on="t" color2="#FFFFFF" opacity="0f" o:opacity2="39320f" focus="100%" focussize="0,0"/>
                <v:stroke on="f"/>
                <v:imagedata o:title=""/>
                <o:lock v:ext="edit" aspectratio="f"/>
                <v:textbox>
                  <w:txbxContent>
                    <w:p w14:paraId="06A682D7">
                      <w:pPr>
                        <w:jc w:val="center"/>
                      </w:pPr>
                    </w:p>
                  </w:txbxContent>
                </v:textbox>
              </v:shape>
            </w:pict>
          </mc:Fallback>
        </mc:AlternateContent>
      </w:r>
      <w:r>
        <w:rPr>
          <w:rFonts w:ascii="宋体" w:hAnsi="宋体" w:cs="宋体"/>
          <w:b/>
          <w:color w:val="000000"/>
          <w:sz w:val="28"/>
          <w:szCs w:val="28"/>
        </w:rPr>
        <w:drawing>
          <wp:anchor distT="0" distB="0" distL="114300" distR="114300" simplePos="0" relativeHeight="251665408" behindDoc="1" locked="0" layoutInCell="1" allowOverlap="1">
            <wp:simplePos x="0" y="0"/>
            <wp:positionH relativeFrom="column">
              <wp:posOffset>3492500</wp:posOffset>
            </wp:positionH>
            <wp:positionV relativeFrom="paragraph">
              <wp:posOffset>-582930</wp:posOffset>
            </wp:positionV>
            <wp:extent cx="2019300" cy="1744345"/>
            <wp:effectExtent l="0" t="0" r="0" b="8255"/>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4" cstate="print"/>
                    <a:srcRect r="7275"/>
                    <a:stretch>
                      <a:fillRect/>
                    </a:stretch>
                  </pic:blipFill>
                  <pic:spPr>
                    <a:xfrm>
                      <a:off x="0" y="0"/>
                      <a:ext cx="2019300" cy="1744345"/>
                    </a:xfrm>
                    <a:prstGeom prst="rect">
                      <a:avLst/>
                    </a:prstGeom>
                    <a:noFill/>
                    <a:ln w="9525" cmpd="sng">
                      <a:noFill/>
                      <a:miter lim="800000"/>
                      <a:headEnd/>
                      <a:tailEnd/>
                    </a:ln>
                  </pic:spPr>
                </pic:pic>
              </a:graphicData>
            </a:graphic>
          </wp:anchor>
        </w:drawing>
      </w:r>
    </w:p>
    <w:p w14:paraId="60292124">
      <w:pPr>
        <w:ind w:leftChars="-695" w:hanging="1459" w:hangingChars="695"/>
        <w:jc w:val="right"/>
        <w:rPr>
          <w:rFonts w:ascii="宋体" w:hAnsi="宋体" w:cs="宋体"/>
          <w:b/>
          <w:bCs/>
          <w:sz w:val="44"/>
          <w:szCs w:val="44"/>
          <w:lang w:val="zh-CN"/>
        </w:rPr>
      </w:pPr>
      <w:r>
        <w:rPr>
          <w:rFonts w:ascii="宋体" w:hAnsi="宋体" w:cs="宋体"/>
        </w:rPr>
        <mc:AlternateContent>
          <mc:Choice Requires="wps">
            <w:drawing>
              <wp:anchor distT="0" distB="0" distL="114300" distR="114300" simplePos="0" relativeHeight="251674624" behindDoc="0" locked="0" layoutInCell="1" allowOverlap="1">
                <wp:simplePos x="0" y="0"/>
                <wp:positionH relativeFrom="column">
                  <wp:posOffset>1445895</wp:posOffset>
                </wp:positionH>
                <wp:positionV relativeFrom="paragraph">
                  <wp:posOffset>3974465</wp:posOffset>
                </wp:positionV>
                <wp:extent cx="4709795" cy="6121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980815" cy="612140"/>
                        </a:xfrm>
                        <a:prstGeom prst="rect">
                          <a:avLst/>
                        </a:prstGeom>
                        <a:noFill/>
                        <a:ln w="6350">
                          <a:noFill/>
                        </a:ln>
                        <a:effectLst/>
                      </wps:spPr>
                      <wps:txbx>
                        <w:txbxContent>
                          <w:p w14:paraId="22FF9D7F">
                            <w:r>
                              <w:rPr>
                                <w:rFonts w:hint="eastAsia" w:ascii="宋体" w:hAnsi="宋体" w:cs="宋体"/>
                                <w:b/>
                                <w:kern w:val="0"/>
                                <w:sz w:val="28"/>
                                <w:szCs w:val="28"/>
                              </w:rPr>
                              <w:t>江苏医药职业学院</w:t>
                            </w:r>
                            <w:r>
                              <w:rPr>
                                <w:rFonts w:hint="eastAsia" w:ascii="宋体" w:hAnsi="宋体" w:cs="宋体"/>
                                <w:b/>
                                <w:kern w:val="0"/>
                                <w:sz w:val="28"/>
                                <w:szCs w:val="28"/>
                                <w:lang w:val="en-US" w:eastAsia="zh-CN"/>
                              </w:rPr>
                              <w:t>西园风雨操场屋面钢结构防腐涂层施工项目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85pt;margin-top:312.95pt;height:48.2pt;width:370.85pt;z-index:251674624;mso-width-relative:page;mso-height-relative:page;" filled="f" stroked="f" coordsize="21600,21600" o:gfxdata="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ACOHn3AAAAAsBAAAPAAAAAAAAAAEA&#10;IAAAACIAAABkcnMvZG93bnJldi54bWxQSwECFAAUAAAACACHTuJA1m/qAkQCAAB2BAAADgAAAAAA&#10;AAABACAAAAArAQAAZHJzL2Uyb0RvYy54bWxQSwUGAAAAAAYABgBZAQAA4QUAAAAA&#10;">
                <v:fill on="f" focussize="0,0"/>
                <v:stroke on="f" weight="0.5pt"/>
                <v:imagedata o:title=""/>
                <o:lock v:ext="edit" aspectratio="f"/>
                <v:textbox>
                  <w:txbxContent>
                    <w:p w14:paraId="22FF9D7F">
                      <w:r>
                        <w:rPr>
                          <w:rFonts w:hint="eastAsia" w:ascii="宋体" w:hAnsi="宋体" w:cs="宋体"/>
                          <w:b/>
                          <w:kern w:val="0"/>
                          <w:sz w:val="28"/>
                          <w:szCs w:val="28"/>
                        </w:rPr>
                        <w:t>江苏医药职业学院</w:t>
                      </w:r>
                      <w:r>
                        <w:rPr>
                          <w:rFonts w:hint="eastAsia" w:ascii="宋体" w:hAnsi="宋体" w:cs="宋体"/>
                          <w:b/>
                          <w:kern w:val="0"/>
                          <w:sz w:val="28"/>
                          <w:szCs w:val="28"/>
                          <w:lang w:val="en-US" w:eastAsia="zh-CN"/>
                        </w:rPr>
                        <w:t>西园风雨操场屋面钢结构防腐涂层施工项目</w:t>
                      </w:r>
                    </w:p>
                  </w:txbxContent>
                </v:textbox>
              </v:shape>
            </w:pict>
          </mc:Fallback>
        </mc:AlternateContent>
      </w:r>
      <w:r>
        <w:rPr>
          <w:rFonts w:ascii="宋体" w:hAnsi="宋体" w:cs="宋体"/>
        </w:rPr>
        <mc:AlternateContent>
          <mc:Choice Requires="wps">
            <w:drawing>
              <wp:anchor distT="0" distB="0" distL="114300" distR="114300" simplePos="0" relativeHeight="251673600" behindDoc="0" locked="0" layoutInCell="1" allowOverlap="1">
                <wp:simplePos x="0" y="0"/>
                <wp:positionH relativeFrom="column">
                  <wp:posOffset>3300730</wp:posOffset>
                </wp:positionH>
                <wp:positionV relativeFrom="paragraph">
                  <wp:posOffset>5857875</wp:posOffset>
                </wp:positionV>
                <wp:extent cx="2752725" cy="2762250"/>
                <wp:effectExtent l="0" t="0" r="9525" b="0"/>
                <wp:wrapNone/>
                <wp:docPr id="41" name="椭圆 41"/>
                <wp:cNvGraphicFramePr/>
                <a:graphic xmlns:a="http://schemas.openxmlformats.org/drawingml/2006/main">
                  <a:graphicData uri="http://schemas.microsoft.com/office/word/2010/wordprocessingShape">
                    <wps:wsp>
                      <wps:cNvSpPr/>
                      <wps:spPr>
                        <a:xfrm>
                          <a:off x="0" y="0"/>
                          <a:ext cx="2752725" cy="2762250"/>
                        </a:xfrm>
                        <a:prstGeom prst="ellipse">
                          <a:avLst/>
                        </a:prstGeom>
                        <a:gradFill rotWithShape="0">
                          <a:gsLst>
                            <a:gs pos="0">
                              <a:srgbClr val="C00000">
                                <a:alpha val="0"/>
                              </a:srgbClr>
                            </a:gs>
                            <a:gs pos="100000">
                              <a:srgbClr val="FFFFFF"/>
                            </a:gs>
                          </a:gsLst>
                          <a:lin ang="5400000" scaled="1"/>
                          <a:tileRect/>
                        </a:gradFill>
                        <a:ln>
                          <a:noFill/>
                        </a:ln>
                        <a:effectLst/>
                      </wps:spPr>
                      <wps:txbx>
                        <w:txbxContent>
                          <w:p w14:paraId="3BFE0BA3"/>
                        </w:txbxContent>
                      </wps:txbx>
                      <wps:bodyPr upright="1"/>
                    </wps:wsp>
                  </a:graphicData>
                </a:graphic>
              </wp:anchor>
            </w:drawing>
          </mc:Choice>
          <mc:Fallback>
            <w:pict>
              <v:shape id="_x0000_s1026" o:spid="_x0000_s1026" o:spt="3" type="#_x0000_t3" style="position:absolute;left:0pt;margin-left:259.9pt;margin-top:461.25pt;height:217.5pt;width:216.75pt;z-index:251673600;mso-width-relative:page;mso-height-relative:page;" fillcolor="#C00000" filled="t" stroked="f" coordsize="21600,21600" o:gfxdata="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0lOS2QAAAAwBAAAPAAAAAAAAAAEAIAAA&#10;ACIAAABkcnMvZG93bnJldi54bWxQSwECFAAUAAAACACHTuJAw4GoswsCAAAzBAAADgAAAAAAAAAB&#10;ACAAAAAoAQAAZHJzL2Uyb0RvYy54bWxQSwUGAAAAAAYABgBZAQAApQUAAAAA&#10;">
                <v:fill type="gradient" on="t" color2="#FFFFFF" opacity="0f" focus="100%" focussize="0,0"/>
                <v:stroke on="f"/>
                <v:imagedata o:title=""/>
                <o:lock v:ext="edit" aspectratio="f"/>
                <v:textbox>
                  <w:txbxContent>
                    <w:p w14:paraId="3BFE0BA3"/>
                  </w:txbxContent>
                </v:textbox>
              </v:shape>
            </w:pict>
          </mc:Fallback>
        </mc:AlternateContent>
      </w: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1880870</wp:posOffset>
                </wp:positionV>
                <wp:extent cx="5604510" cy="1168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604510" cy="1168400"/>
                        </a:xfrm>
                        <a:prstGeom prst="rect">
                          <a:avLst/>
                        </a:prstGeom>
                        <a:noFill/>
                        <a:ln>
                          <a:noFill/>
                        </a:ln>
                        <a:effectLst/>
                      </wps:spPr>
                      <wps:txbx>
                        <w:txbxContent>
                          <w:p w14:paraId="6FCFFCC4">
                            <w:pPr>
                              <w:pStyle w:val="22"/>
                              <w:rPr>
                                <w:rFonts w:ascii="方正大黑简体" w:hAnsi="方正大黑简体" w:eastAsia="方正大黑简体" w:cs="方正大黑简体"/>
                                <w:bCs/>
                                <w:color w:val="DA251C"/>
                                <w:sz w:val="144"/>
                                <w:szCs w:val="144"/>
                              </w:rPr>
                            </w:pPr>
                            <w:r>
                              <w:rPr>
                                <w:rFonts w:hint="eastAsia" w:ascii="方正大黑简体" w:hAnsi="方正大黑简体" w:eastAsia="方正大黑简体" w:cs="方正大黑简体"/>
                                <w:bCs/>
                                <w:color w:val="DA251C"/>
                                <w:sz w:val="144"/>
                                <w:szCs w:val="144"/>
                              </w:rPr>
                              <w:t>询 价 文 件</w:t>
                            </w:r>
                          </w:p>
                        </w:txbxContent>
                      </wps:txbx>
                      <wps:bodyPr wrap="square" rtlCol="0">
                        <a:noAutofit/>
                      </wps:bodyPr>
                    </wps:wsp>
                  </a:graphicData>
                </a:graphic>
              </wp:anchor>
            </w:drawing>
          </mc:Choice>
          <mc:Fallback>
            <w:pict>
              <v:shape id="_x0000_s1026" o:spid="_x0000_s1026" o:spt="202" type="#_x0000_t202" style="position:absolute;left:0pt;margin-left:12.6pt;margin-top:148.1pt;height:92pt;width:441.3pt;z-index:251660288;mso-width-relative:page;mso-height-relative:page;" filled="f" stroked="f" coordsize="21600,21600" o:gfxdata="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9iiD1wAAAAoBAAAPAAAAAAAAAAEAIAAAACIAAABkcnMvZG93&#10;bnJldi54bWxQSwECFAAUAAAACACHTuJAbg2iKcgBAACGAwAADgAAAAAAAAABACAAAAAmAQAAZHJz&#10;L2Uyb0RvYy54bWxQSwUGAAAAAAYABgBZAQAAYAUAAAAA&#10;">
                <v:fill on="f" focussize="0,0"/>
                <v:stroke on="f"/>
                <v:imagedata o:title=""/>
                <o:lock v:ext="edit" aspectratio="f"/>
                <v:textbox>
                  <w:txbxContent>
                    <w:p w14:paraId="6FCFFCC4">
                      <w:pPr>
                        <w:pStyle w:val="22"/>
                        <w:rPr>
                          <w:rFonts w:ascii="方正大黑简体" w:hAnsi="方正大黑简体" w:eastAsia="方正大黑简体" w:cs="方正大黑简体"/>
                          <w:bCs/>
                          <w:color w:val="DA251C"/>
                          <w:sz w:val="144"/>
                          <w:szCs w:val="144"/>
                        </w:rPr>
                      </w:pPr>
                      <w:r>
                        <w:rPr>
                          <w:rFonts w:hint="eastAsia" w:ascii="方正大黑简体" w:hAnsi="方正大黑简体" w:eastAsia="方正大黑简体" w:cs="方正大黑简体"/>
                          <w:bCs/>
                          <w:color w:val="DA251C"/>
                          <w:sz w:val="144"/>
                          <w:szCs w:val="144"/>
                        </w:rPr>
                        <w:t>询 价 文 件</w:t>
                      </w:r>
                    </w:p>
                  </w:txbxContent>
                </v:textbox>
              </v:shape>
            </w:pict>
          </mc:Fallback>
        </mc:AlternateContent>
      </w:r>
    </w:p>
    <w:p w14:paraId="5A109E12">
      <w:pPr>
        <w:rPr>
          <w:rFonts w:ascii="宋体" w:hAnsi="宋体" w:cs="宋体"/>
          <w:sz w:val="44"/>
          <w:szCs w:val="44"/>
          <w:lang w:val="zh-CN"/>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-320040</wp:posOffset>
                </wp:positionH>
                <wp:positionV relativeFrom="paragraph">
                  <wp:posOffset>415290</wp:posOffset>
                </wp:positionV>
                <wp:extent cx="6870700" cy="944245"/>
                <wp:effectExtent l="0" t="0" r="0" b="8255"/>
                <wp:wrapNone/>
                <wp:docPr id="11" name="文本框 11"/>
                <wp:cNvGraphicFramePr/>
                <a:graphic xmlns:a="http://schemas.openxmlformats.org/drawingml/2006/main">
                  <a:graphicData uri="http://schemas.microsoft.com/office/word/2010/wordprocessingShape">
                    <wps:wsp>
                      <wps:cNvSpPr txBox="1"/>
                      <wps:spPr>
                        <a:xfrm>
                          <a:off x="0" y="0"/>
                          <a:ext cx="6870700" cy="944245"/>
                        </a:xfrm>
                        <a:prstGeom prst="rect">
                          <a:avLst/>
                        </a:prstGeom>
                        <a:noFill/>
                        <a:ln>
                          <a:noFill/>
                        </a:ln>
                        <a:effectLst/>
                      </wps:spPr>
                      <wps:txbx>
                        <w:txbxContent>
                          <w:p w14:paraId="6F2860DE">
                            <w:pPr>
                              <w:jc w:val="center"/>
                              <w:rPr>
                                <w:sz w:val="40"/>
                                <w:szCs w:val="48"/>
                              </w:rPr>
                            </w:pPr>
                            <w:r>
                              <w:rPr>
                                <w:rFonts w:hint="eastAsia" w:asciiTheme="majorEastAsia" w:hAnsiTheme="majorEastAsia" w:eastAsiaTheme="majorEastAsia" w:cstheme="majorEastAsia"/>
                                <w:b/>
                                <w:kern w:val="0"/>
                                <w:sz w:val="36"/>
                                <w:szCs w:val="36"/>
                              </w:rPr>
                              <w:t>江苏医药职业学院</w:t>
                            </w:r>
                            <w:r>
                              <w:rPr>
                                <w:rFonts w:hint="eastAsia" w:asciiTheme="majorEastAsia" w:hAnsiTheme="majorEastAsia" w:eastAsiaTheme="majorEastAsia" w:cstheme="majorEastAsia"/>
                                <w:b/>
                                <w:kern w:val="0"/>
                                <w:sz w:val="36"/>
                                <w:szCs w:val="36"/>
                                <w:lang w:val="en-US" w:eastAsia="zh-CN"/>
                              </w:rPr>
                              <w:t>西园风雨操场屋面钢结构防腐涂层施工项目</w:t>
                            </w:r>
                          </w:p>
                        </w:txbxContent>
                      </wps:txbx>
                      <wps:bodyPr wrap="square" rtlCol="0">
                        <a:noAutofit/>
                      </wps:bodyPr>
                    </wps:wsp>
                  </a:graphicData>
                </a:graphic>
              </wp:anchor>
            </w:drawing>
          </mc:Choice>
          <mc:Fallback>
            <w:pict>
              <v:shape id="_x0000_s1026" o:spid="_x0000_s1026" o:spt="202" type="#_x0000_t202" style="position:absolute;left:0pt;margin-left:-25.2pt;margin-top:32.7pt;height:74.35pt;width:541pt;z-index:251666432;mso-width-relative:page;mso-height-relative:page;" filled="f" stroked="f" coordsize="21600,21600" o:gfxdata="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dGbETYAAAACwEAAA8AAAAAAAAAAQAgAAAAIgAAAGRycy9kb3du&#10;cmV2LnhtbFBLAQIUABQAAAAIAIdO4kAakTSgxgEAAIUDAAAOAAAAAAAAAAEAIAAAACcBAABkcnMv&#10;ZTJvRG9jLnhtbFBLBQYAAAAABgAGAFkBAABfBQAAAAA=&#10;">
                <v:fill on="f" focussize="0,0"/>
                <v:stroke on="f"/>
                <v:imagedata o:title=""/>
                <o:lock v:ext="edit" aspectratio="f"/>
                <v:textbox>
                  <w:txbxContent>
                    <w:p w14:paraId="6F2860DE">
                      <w:pPr>
                        <w:jc w:val="center"/>
                        <w:rPr>
                          <w:sz w:val="40"/>
                          <w:szCs w:val="48"/>
                        </w:rPr>
                      </w:pPr>
                      <w:r>
                        <w:rPr>
                          <w:rFonts w:hint="eastAsia" w:asciiTheme="majorEastAsia" w:hAnsiTheme="majorEastAsia" w:eastAsiaTheme="majorEastAsia" w:cstheme="majorEastAsia"/>
                          <w:b/>
                          <w:kern w:val="0"/>
                          <w:sz w:val="36"/>
                          <w:szCs w:val="36"/>
                        </w:rPr>
                        <w:t>江苏医药职业学院</w:t>
                      </w:r>
                      <w:r>
                        <w:rPr>
                          <w:rFonts w:hint="eastAsia" w:asciiTheme="majorEastAsia" w:hAnsiTheme="majorEastAsia" w:eastAsiaTheme="majorEastAsia" w:cstheme="majorEastAsia"/>
                          <w:b/>
                          <w:kern w:val="0"/>
                          <w:sz w:val="36"/>
                          <w:szCs w:val="36"/>
                          <w:lang w:val="en-US" w:eastAsia="zh-CN"/>
                        </w:rPr>
                        <w:t>西园风雨操场屋面钢结构防腐涂层施工项目</w:t>
                      </w:r>
                    </w:p>
                  </w:txbxContent>
                </v:textbox>
              </v:shape>
            </w:pict>
          </mc:Fallback>
        </mc:AlternateContent>
      </w:r>
    </w:p>
    <w:p w14:paraId="7EEDA104">
      <w:pPr>
        <w:rPr>
          <w:rFonts w:ascii="宋体" w:hAnsi="宋体" w:cs="宋体"/>
          <w:sz w:val="44"/>
          <w:szCs w:val="44"/>
          <w:lang w:val="zh-CN"/>
        </w:rPr>
      </w:pPr>
    </w:p>
    <w:p w14:paraId="632DDD04">
      <w:pPr>
        <w:rPr>
          <w:rFonts w:ascii="宋体" w:hAnsi="宋体" w:cs="宋体"/>
          <w:sz w:val="44"/>
          <w:szCs w:val="44"/>
          <w:lang w:val="zh-CN"/>
        </w:rPr>
      </w:pPr>
    </w:p>
    <w:p w14:paraId="50319C27">
      <w:pPr>
        <w:rPr>
          <w:rFonts w:ascii="宋体" w:hAnsi="宋体" w:cs="宋体"/>
          <w:sz w:val="44"/>
          <w:szCs w:val="44"/>
          <w:lang w:val="zh-CN"/>
        </w:rPr>
      </w:pPr>
    </w:p>
    <w:p w14:paraId="57D931C1">
      <w:pPr>
        <w:rPr>
          <w:rFonts w:ascii="宋体" w:hAnsi="宋体" w:cs="宋体"/>
          <w:sz w:val="44"/>
          <w:szCs w:val="44"/>
          <w:lang w:val="zh-CN"/>
        </w:rPr>
      </w:pPr>
    </w:p>
    <w:p w14:paraId="084BFD1E">
      <w:pPr>
        <w:rPr>
          <w:rFonts w:ascii="宋体" w:hAnsi="宋体" w:cs="宋体"/>
          <w:sz w:val="44"/>
          <w:szCs w:val="44"/>
          <w:lang w:val="zh-CN"/>
        </w:rPr>
      </w:pPr>
    </w:p>
    <w:p w14:paraId="77D9B943">
      <w:pPr>
        <w:jc w:val="right"/>
        <w:rPr>
          <w:rFonts w:ascii="宋体" w:hAnsi="宋体" w:cs="宋体"/>
          <w:sz w:val="44"/>
          <w:szCs w:val="44"/>
          <w:lang w:val="zh-CN"/>
        </w:rPr>
      </w:pPr>
    </w:p>
    <w:p w14:paraId="47379FFD">
      <w:pPr>
        <w:rPr>
          <w:rFonts w:ascii="宋体" w:hAnsi="宋体" w:cs="宋体"/>
          <w:sz w:val="44"/>
          <w:szCs w:val="44"/>
          <w:lang w:val="zh-CN"/>
        </w:rPr>
        <w:sectPr>
          <w:headerReference r:id="rId5" w:type="default"/>
          <w:pgSz w:w="11906" w:h="16838"/>
          <w:pgMar w:top="1701" w:right="1474" w:bottom="1701" w:left="1474" w:header="851" w:footer="1134" w:gutter="0"/>
          <w:cols w:space="720" w:num="1"/>
          <w:docGrid w:linePitch="579" w:charSpace="1229"/>
        </w:sectPr>
      </w:pPr>
      <w:r>
        <w:rPr>
          <w:rFonts w:ascii="宋体" w:hAnsi="宋体" w:cs="宋体"/>
        </w:rPr>
        <mc:AlternateContent>
          <mc:Choice Requires="wps">
            <w:drawing>
              <wp:anchor distT="0" distB="0" distL="114300" distR="114300" simplePos="0" relativeHeight="251668480" behindDoc="0" locked="0" layoutInCell="1" allowOverlap="1">
                <wp:simplePos x="0" y="0"/>
                <wp:positionH relativeFrom="column">
                  <wp:posOffset>1571625</wp:posOffset>
                </wp:positionH>
                <wp:positionV relativeFrom="paragraph">
                  <wp:posOffset>597535</wp:posOffset>
                </wp:positionV>
                <wp:extent cx="2657475" cy="383540"/>
                <wp:effectExtent l="0" t="0" r="0" b="0"/>
                <wp:wrapNone/>
                <wp:docPr id="65" name="文本框 65"/>
                <wp:cNvGraphicFramePr/>
                <a:graphic xmlns:a="http://schemas.openxmlformats.org/drawingml/2006/main">
                  <a:graphicData uri="http://schemas.microsoft.com/office/word/2010/wordprocessingShape">
                    <wps:wsp>
                      <wps:cNvSpPr txBox="1"/>
                      <wps:spPr>
                        <a:xfrm flipH="1">
                          <a:off x="0" y="0"/>
                          <a:ext cx="2657475" cy="383540"/>
                        </a:xfrm>
                        <a:prstGeom prst="rect">
                          <a:avLst/>
                        </a:prstGeom>
                        <a:noFill/>
                        <a:ln>
                          <a:noFill/>
                        </a:ln>
                        <a:effectLst/>
                      </wps:spPr>
                      <wps:txbx>
                        <w:txbxContent>
                          <w:p w14:paraId="2DDDCBB9">
                            <w:pPr>
                              <w:rPr>
                                <w:rFonts w:hint="eastAsia" w:ascii="宋体" w:hAnsi="宋体" w:cs="宋体"/>
                                <w:b/>
                                <w:kern w:val="0"/>
                                <w:sz w:val="28"/>
                                <w:szCs w:val="28"/>
                              </w:rPr>
                            </w:pPr>
                            <w:r>
                              <w:rPr>
                                <w:rFonts w:hint="eastAsia" w:ascii="宋体" w:hAnsi="宋体" w:cs="宋体"/>
                                <w:b/>
                                <w:kern w:val="0"/>
                                <w:sz w:val="28"/>
                                <w:szCs w:val="28"/>
                              </w:rPr>
                              <w:t>SY2026-006-GC-XJ</w:t>
                            </w:r>
                          </w:p>
                        </w:txbxContent>
                      </wps:txbx>
                      <wps:bodyPr wrap="square" rtlCol="0">
                        <a:noAutofit/>
                      </wps:bodyPr>
                    </wps:wsp>
                  </a:graphicData>
                </a:graphic>
              </wp:anchor>
            </w:drawing>
          </mc:Choice>
          <mc:Fallback>
            <w:pict>
              <v:shape id="_x0000_s1026" o:spid="_x0000_s1026" o:spt="202" type="#_x0000_t202" style="position:absolute;left:0pt;flip:x;margin-left:123.75pt;margin-top:47.05pt;height:30.2pt;width:209.25pt;z-index:251668480;mso-width-relative:page;mso-height-relative:page;" filled="f" stroked="f" coordsize="21600,21600" o:gfxdata="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aIJQDaAAAACgEAAA8AAAAAAAAAAQAgAAAA&#10;IgAAAGRycy9kb3ducmV2LnhtbFBLAQIUABQAAAAIAIdO4kD4UQ+60AEAAI8DAAAOAAAAAAAAAAEA&#10;IAAAACkBAABkcnMvZTJvRG9jLnhtbFBLBQYAAAAABgAGAFkBAABrBQAAAAA=&#10;">
                <v:fill on="f" focussize="0,0"/>
                <v:stroke on="f"/>
                <v:imagedata o:title=""/>
                <o:lock v:ext="edit" aspectratio="f"/>
                <v:textbox>
                  <w:txbxContent>
                    <w:p w14:paraId="2DDDCBB9">
                      <w:pPr>
                        <w:rPr>
                          <w:rFonts w:hint="eastAsia" w:ascii="宋体" w:hAnsi="宋体" w:cs="宋体"/>
                          <w:b/>
                          <w:kern w:val="0"/>
                          <w:sz w:val="28"/>
                          <w:szCs w:val="28"/>
                        </w:rPr>
                      </w:pPr>
                      <w:r>
                        <w:rPr>
                          <w:rFonts w:hint="eastAsia" w:ascii="宋体" w:hAnsi="宋体" w:cs="宋体"/>
                          <w:b/>
                          <w:kern w:val="0"/>
                          <w:sz w:val="28"/>
                          <w:szCs w:val="28"/>
                        </w:rPr>
                        <w:t>SY2026-006-GC-XJ</w:t>
                      </w:r>
                    </w:p>
                  </w:txbxContent>
                </v:textbox>
              </v:shape>
            </w:pict>
          </mc:Fallback>
        </mc:AlternateContent>
      </w: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1460500</wp:posOffset>
                </wp:positionH>
                <wp:positionV relativeFrom="paragraph">
                  <wp:posOffset>2630170</wp:posOffset>
                </wp:positionV>
                <wp:extent cx="2423795" cy="401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423795" cy="401955"/>
                        </a:xfrm>
                        <a:prstGeom prst="rect">
                          <a:avLst/>
                        </a:prstGeom>
                        <a:noFill/>
                        <a:ln w="6350">
                          <a:noFill/>
                        </a:ln>
                        <a:effectLst/>
                      </wps:spPr>
                      <wps:txbx>
                        <w:txbxContent>
                          <w:p w14:paraId="2B91A846">
                            <w:pPr>
                              <w:rPr>
                                <w:rFonts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val="en-US" w:eastAsia="zh-CN"/>
                              </w:rPr>
                              <w:t>4</w:t>
                            </w:r>
                            <w:r>
                              <w:rPr>
                                <w:rFonts w:hint="eastAsia" w:ascii="黑体" w:hAnsi="黑体" w:eastAsia="黑体" w:cs="黑体"/>
                                <w:sz w:val="32"/>
                                <w:szCs w:val="32"/>
                              </w:rPr>
                              <w:t>月</w:t>
                            </w:r>
                            <w:r>
                              <w:rPr>
                                <w:rFonts w:hint="eastAsia" w:ascii="黑体" w:hAnsi="黑体" w:eastAsia="黑体" w:cs="黑体"/>
                                <w:sz w:val="32"/>
                                <w:szCs w:val="32"/>
                                <w:lang w:val="en-US" w:eastAsia="zh-CN"/>
                              </w:rPr>
                              <w:t>17</w:t>
                            </w:r>
                            <w:r>
                              <w:rPr>
                                <w:rFonts w:hint="eastAsia" w:ascii="黑体" w:hAnsi="黑体" w:eastAsia="黑体" w:cs="黑体"/>
                                <w:sz w:val="32"/>
                                <w:szCs w:val="32"/>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207.1pt;height:31.65pt;width:190.85pt;z-index:251659264;mso-width-relative:page;mso-height-relative:page;" filled="f" stroked="f" coordsize="21600,21600" o:gfxdata="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QHKotwAAAALAQAADwAAAAAAAAABACAA&#10;AAAiAAAAZHJzL2Rvd25yZXYueG1sUEsBAhQAFAAAAAgAh07iQP/KK69CAgAAdAQAAA4AAAAAAAAA&#10;AQAgAAAAKwEAAGRycy9lMm9Eb2MueG1sUEsFBgAAAAAGAAYAWQEAAN8FAAAAAA==&#10;">
                <v:fill on="f" focussize="0,0"/>
                <v:stroke on="f" weight="0.5pt"/>
                <v:imagedata o:title=""/>
                <o:lock v:ext="edit" aspectratio="f"/>
                <v:textbox>
                  <w:txbxContent>
                    <w:p w14:paraId="2B91A846">
                      <w:pPr>
                        <w:rPr>
                          <w:rFonts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val="en-US" w:eastAsia="zh-CN"/>
                        </w:rPr>
                        <w:t>4</w:t>
                      </w:r>
                      <w:r>
                        <w:rPr>
                          <w:rFonts w:hint="eastAsia" w:ascii="黑体" w:hAnsi="黑体" w:eastAsia="黑体" w:cs="黑体"/>
                          <w:sz w:val="32"/>
                          <w:szCs w:val="32"/>
                        </w:rPr>
                        <w:t>月</w:t>
                      </w:r>
                      <w:r>
                        <w:rPr>
                          <w:rFonts w:hint="eastAsia" w:ascii="黑体" w:hAnsi="黑体" w:eastAsia="黑体" w:cs="黑体"/>
                          <w:sz w:val="32"/>
                          <w:szCs w:val="32"/>
                          <w:lang w:val="en-US" w:eastAsia="zh-CN"/>
                        </w:rPr>
                        <w:t>17</w:t>
                      </w:r>
                      <w:r>
                        <w:rPr>
                          <w:rFonts w:hint="eastAsia" w:ascii="黑体" w:hAnsi="黑体" w:eastAsia="黑体" w:cs="黑体"/>
                          <w:sz w:val="32"/>
                          <w:szCs w:val="32"/>
                        </w:rPr>
                        <w:t>日</w:t>
                      </w:r>
                    </w:p>
                  </w:txbxContent>
                </v:textbox>
              </v:shape>
            </w:pict>
          </mc:Fallback>
        </mc:AlternateContent>
      </w:r>
      <w:r>
        <w:rPr>
          <w:rFonts w:ascii="宋体" w:hAnsi="宋体" w:cs="宋体"/>
        </w:rPr>
        <mc:AlternateContent>
          <mc:Choice Requires="wps">
            <w:drawing>
              <wp:anchor distT="0" distB="0" distL="114300" distR="114300" simplePos="0" relativeHeight="251671552" behindDoc="0" locked="0" layoutInCell="1" allowOverlap="1">
                <wp:simplePos x="0" y="0"/>
                <wp:positionH relativeFrom="column">
                  <wp:posOffset>1441450</wp:posOffset>
                </wp:positionH>
                <wp:positionV relativeFrom="paragraph">
                  <wp:posOffset>2265045</wp:posOffset>
                </wp:positionV>
                <wp:extent cx="3400425" cy="342900"/>
                <wp:effectExtent l="0" t="0" r="0" b="0"/>
                <wp:wrapNone/>
                <wp:docPr id="67" name="文本框 67"/>
                <wp:cNvGraphicFramePr/>
                <a:graphic xmlns:a="http://schemas.openxmlformats.org/drawingml/2006/main">
                  <a:graphicData uri="http://schemas.microsoft.com/office/word/2010/wordprocessingShape">
                    <wps:wsp>
                      <wps:cNvSpPr txBox="1"/>
                      <wps:spPr>
                        <a:xfrm flipH="1">
                          <a:off x="0" y="0"/>
                          <a:ext cx="3400425" cy="342900"/>
                        </a:xfrm>
                        <a:prstGeom prst="rect">
                          <a:avLst/>
                        </a:prstGeom>
                        <a:noFill/>
                        <a:ln>
                          <a:noFill/>
                        </a:ln>
                        <a:effectLst/>
                      </wps:spPr>
                      <wps:txbx>
                        <w:txbxContent>
                          <w:p w14:paraId="7DA41211">
                            <w:pPr>
                              <w:pStyle w:val="22"/>
                              <w:ind w:left="160" w:hanging="160" w:hangingChars="50"/>
                              <w:rPr>
                                <w:rFonts w:ascii="黑体" w:hAnsi="黑体" w:eastAsia="黑体" w:cs="黑体"/>
                                <w:sz w:val="32"/>
                                <w:szCs w:val="32"/>
                              </w:rPr>
                            </w:pPr>
                            <w:r>
                              <w:rPr>
                                <w:rFonts w:hint="eastAsia" w:ascii="黑体" w:hAnsi="黑体" w:eastAsia="黑体" w:cs="黑体"/>
                                <w:kern w:val="24"/>
                                <w:sz w:val="32"/>
                                <w:szCs w:val="32"/>
                              </w:rPr>
                              <w:t>盐城市携手阳光集中采购代理公司wcwcng 有限公司</w:t>
                            </w:r>
                          </w:p>
                        </w:txbxContent>
                      </wps:txbx>
                      <wps:bodyPr wrap="square" rtlCol="0">
                        <a:noAutofit/>
                      </wps:bodyPr>
                    </wps:wsp>
                  </a:graphicData>
                </a:graphic>
              </wp:anchor>
            </w:drawing>
          </mc:Choice>
          <mc:Fallback>
            <w:pict>
              <v:shape id="_x0000_s1026" o:spid="_x0000_s1026" o:spt="202" type="#_x0000_t202" style="position:absolute;left:0pt;flip:x;margin-left:113.5pt;margin-top:178.35pt;height:27pt;width:267.75pt;z-index:251671552;mso-width-relative:page;mso-height-relative:page;" filled="f" stroked="f" coordsize="21600,21600" o:gfxdata="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PLqR2wAAAAsBAAAPAAAAAAAAAAEAIAAA&#10;ACIAAABkcnMvZG93bnJldi54bWxQSwECFAAUAAAACACHTuJAS2SkEdABAACPAwAADgAAAAAAAAAB&#10;ACAAAAAqAQAAZHJzL2Uyb0RvYy54bWxQSwUGAAAAAAYABgBZAQAAbAUAAAAA&#10;">
                <v:fill on="f" focussize="0,0"/>
                <v:stroke on="f"/>
                <v:imagedata o:title=""/>
                <o:lock v:ext="edit" aspectratio="f"/>
                <v:textbox>
                  <w:txbxContent>
                    <w:p w14:paraId="7DA41211">
                      <w:pPr>
                        <w:pStyle w:val="22"/>
                        <w:ind w:left="160" w:hanging="160" w:hangingChars="50"/>
                        <w:rPr>
                          <w:rFonts w:ascii="黑体" w:hAnsi="黑体" w:eastAsia="黑体" w:cs="黑体"/>
                          <w:sz w:val="32"/>
                          <w:szCs w:val="32"/>
                        </w:rPr>
                      </w:pPr>
                      <w:r>
                        <w:rPr>
                          <w:rFonts w:hint="eastAsia" w:ascii="黑体" w:hAnsi="黑体" w:eastAsia="黑体" w:cs="黑体"/>
                          <w:kern w:val="24"/>
                          <w:sz w:val="32"/>
                          <w:szCs w:val="32"/>
                        </w:rPr>
                        <w:t>盐城市携手阳光集中采购代理公司wcwcng 有限公司</w:t>
                      </w:r>
                    </w:p>
                  </w:txbxContent>
                </v:textbox>
              </v:shape>
            </w:pict>
          </mc:Fallback>
        </mc:AlternateContent>
      </w:r>
      <w:r>
        <w:rPr>
          <w:rFonts w:ascii="宋体" w:hAnsi="宋体" w:cs="宋体"/>
        </w:rPr>
        <mc:AlternateContent>
          <mc:Choice Requires="wps">
            <w:drawing>
              <wp:anchor distT="0" distB="0" distL="114300" distR="114300" simplePos="0" relativeHeight="251670528" behindDoc="0" locked="0" layoutInCell="1" allowOverlap="1">
                <wp:simplePos x="0" y="0"/>
                <wp:positionH relativeFrom="column">
                  <wp:posOffset>1470025</wp:posOffset>
                </wp:positionH>
                <wp:positionV relativeFrom="paragraph">
                  <wp:posOffset>1840230</wp:posOffset>
                </wp:positionV>
                <wp:extent cx="2149475" cy="362585"/>
                <wp:effectExtent l="0" t="0" r="0" b="0"/>
                <wp:wrapNone/>
                <wp:docPr id="66" name="文本框 66"/>
                <wp:cNvGraphicFramePr/>
                <a:graphic xmlns:a="http://schemas.openxmlformats.org/drawingml/2006/main">
                  <a:graphicData uri="http://schemas.microsoft.com/office/word/2010/wordprocessingShape">
                    <wps:wsp>
                      <wps:cNvSpPr txBox="1"/>
                      <wps:spPr>
                        <a:xfrm flipH="1">
                          <a:off x="0" y="0"/>
                          <a:ext cx="2149475" cy="362585"/>
                        </a:xfrm>
                        <a:prstGeom prst="rect">
                          <a:avLst/>
                        </a:prstGeom>
                        <a:noFill/>
                        <a:ln>
                          <a:noFill/>
                        </a:ln>
                        <a:effectLst/>
                      </wps:spPr>
                      <wps:txbx>
                        <w:txbxContent>
                          <w:p w14:paraId="6B83D1A1">
                            <w:pPr>
                              <w:rPr>
                                <w:rFonts w:ascii="黑体" w:hAnsi="黑体" w:eastAsia="黑体" w:cs="黑体"/>
                                <w:kern w:val="24"/>
                                <w:sz w:val="32"/>
                                <w:szCs w:val="32"/>
                              </w:rPr>
                            </w:pPr>
                            <w:r>
                              <w:rPr>
                                <w:rFonts w:hint="eastAsia" w:ascii="黑体" w:hAnsi="黑体" w:eastAsia="黑体" w:cs="黑体"/>
                                <w:kern w:val="24"/>
                                <w:sz w:val="32"/>
                                <w:szCs w:val="32"/>
                              </w:rPr>
                              <w:t>江苏医药职业学院</w:t>
                            </w:r>
                          </w:p>
                        </w:txbxContent>
                      </wps:txbx>
                      <wps:bodyPr wrap="square" rtlCol="0">
                        <a:noAutofit/>
                      </wps:bodyPr>
                    </wps:wsp>
                  </a:graphicData>
                </a:graphic>
              </wp:anchor>
            </w:drawing>
          </mc:Choice>
          <mc:Fallback>
            <w:pict>
              <v:shape id="_x0000_s1026" o:spid="_x0000_s1026" o:spt="202" type="#_x0000_t202" style="position:absolute;left:0pt;flip:x;margin-left:115.75pt;margin-top:144.9pt;height:28.55pt;width:169.25pt;z-index:251670528;mso-width-relative:page;mso-height-relative:page;" filled="f" stroked="f" coordsize="21600,21600" o:gfxdata="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SAehPbAAAACwEAAA8AAAAAAAAAAQAgAAAA&#10;IgAAAGRycy9kb3ducmV2LnhtbFBLAQIUABQAAAAIAIdO4kAgR442zwEAAI8DAAAOAAAAAAAAAAEA&#10;IAAAACoBAABkcnMvZTJvRG9jLnhtbFBLBQYAAAAABgAGAFkBAABrBQAAAAA=&#10;">
                <v:fill on="f" focussize="0,0"/>
                <v:stroke on="f"/>
                <v:imagedata o:title=""/>
                <o:lock v:ext="edit" aspectratio="f"/>
                <v:textbox>
                  <w:txbxContent>
                    <w:p w14:paraId="6B83D1A1">
                      <w:pPr>
                        <w:rPr>
                          <w:rFonts w:ascii="黑体" w:hAnsi="黑体" w:eastAsia="黑体" w:cs="黑体"/>
                          <w:kern w:val="24"/>
                          <w:sz w:val="32"/>
                          <w:szCs w:val="32"/>
                        </w:rPr>
                      </w:pPr>
                      <w:r>
                        <w:rPr>
                          <w:rFonts w:hint="eastAsia" w:ascii="黑体" w:hAnsi="黑体" w:eastAsia="黑体" w:cs="黑体"/>
                          <w:kern w:val="24"/>
                          <w:sz w:val="32"/>
                          <w:szCs w:val="32"/>
                        </w:rPr>
                        <w:t>江苏医药职业学院</w:t>
                      </w:r>
                    </w:p>
                  </w:txbxContent>
                </v:textbox>
              </v:shape>
            </w:pict>
          </mc:Fallback>
        </mc:AlternateContent>
      </w: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796925</wp:posOffset>
                </wp:positionH>
                <wp:positionV relativeFrom="paragraph">
                  <wp:posOffset>2616835</wp:posOffset>
                </wp:positionV>
                <wp:extent cx="923925" cy="454025"/>
                <wp:effectExtent l="0" t="0" r="0" b="3175"/>
                <wp:wrapNone/>
                <wp:docPr id="21" name="文本框 21"/>
                <wp:cNvGraphicFramePr/>
                <a:graphic xmlns:a="http://schemas.openxmlformats.org/drawingml/2006/main">
                  <a:graphicData uri="http://schemas.microsoft.com/office/word/2010/wordprocessingShape">
                    <wps:wsp>
                      <wps:cNvSpPr txBox="1"/>
                      <wps:spPr>
                        <a:xfrm>
                          <a:off x="0" y="0"/>
                          <a:ext cx="923925" cy="454025"/>
                        </a:xfrm>
                        <a:prstGeom prst="rect">
                          <a:avLst/>
                        </a:prstGeom>
                        <a:noFill/>
                        <a:ln>
                          <a:noFill/>
                        </a:ln>
                        <a:effectLst/>
                      </wps:spPr>
                      <wps:txbx>
                        <w:txbxContent>
                          <w:p w14:paraId="386A3187">
                            <w:pPr>
                              <w:pStyle w:val="22"/>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kern w:val="24"/>
                                <w:sz w:val="32"/>
                                <w:szCs w:val="32"/>
                              </w:rPr>
                              <w:t>日期</w:t>
                            </w:r>
                          </w:p>
                        </w:txbxContent>
                      </wps:txbx>
                      <wps:bodyPr wrap="square" rtlCol="0">
                        <a:noAutofit/>
                      </wps:bodyPr>
                    </wps:wsp>
                  </a:graphicData>
                </a:graphic>
              </wp:anchor>
            </w:drawing>
          </mc:Choice>
          <mc:Fallback>
            <w:pict>
              <v:shape id="_x0000_s1026" o:spid="_x0000_s1026" o:spt="202" type="#_x0000_t202" style="position:absolute;left:0pt;margin-left:62.75pt;margin-top:206.05pt;height:35.75pt;width:72.75pt;z-index:251664384;mso-width-relative:page;mso-height-relative:page;" filled="f" stroked="f" coordsize="21600,21600" o:gfxdata="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ia60dcAAAALAQAADwAAAAAAAAABACAAAAAiAAAAZHJzL2Rvd25y&#10;ZXYueG1sUEsBAhQAFAAAAAgAh07iQOZCkPTGAQAAhAMAAA4AAAAAAAAAAQAgAAAAJgEAAGRycy9l&#10;Mm9Eb2MueG1sUEsFBgAAAAAGAAYAWQEAAF4FAAAAAA==&#10;">
                <v:fill on="f" focussize="0,0"/>
                <v:stroke on="f"/>
                <v:imagedata o:title=""/>
                <o:lock v:ext="edit" aspectratio="f"/>
                <v:textbox>
                  <w:txbxContent>
                    <w:p w14:paraId="386A3187">
                      <w:pPr>
                        <w:pStyle w:val="22"/>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kern w:val="24"/>
                          <w:sz w:val="32"/>
                          <w:szCs w:val="32"/>
                        </w:rPr>
                        <w:t>日期</w:t>
                      </w:r>
                    </w:p>
                  </w:txbxContent>
                </v:textbox>
              </v:shape>
            </w:pict>
          </mc:Fallback>
        </mc:AlternateContent>
      </w: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2199005</wp:posOffset>
                </wp:positionV>
                <wp:extent cx="1452880" cy="344805"/>
                <wp:effectExtent l="0" t="0" r="0" b="635"/>
                <wp:wrapNone/>
                <wp:docPr id="19" name="文本框 19"/>
                <wp:cNvGraphicFramePr/>
                <a:graphic xmlns:a="http://schemas.openxmlformats.org/drawingml/2006/main">
                  <a:graphicData uri="http://schemas.microsoft.com/office/word/2010/wordprocessingShape">
                    <wps:wsp>
                      <wps:cNvSpPr txBox="1"/>
                      <wps:spPr>
                        <a:xfrm flipH="1">
                          <a:off x="0" y="0"/>
                          <a:ext cx="1452880" cy="344805"/>
                        </a:xfrm>
                        <a:prstGeom prst="rect">
                          <a:avLst/>
                        </a:prstGeom>
                        <a:noFill/>
                        <a:ln>
                          <a:noFill/>
                        </a:ln>
                        <a:effectLst/>
                      </wps:spPr>
                      <wps:txbx>
                        <w:txbxContent>
                          <w:p w14:paraId="677E1A25">
                            <w:pPr>
                              <w:pStyle w:val="22"/>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采购代理机构</w:t>
                            </w:r>
                          </w:p>
                        </w:txbxContent>
                      </wps:txbx>
                      <wps:bodyPr wrap="square" rtlCol="0">
                        <a:spAutoFit/>
                      </wps:bodyPr>
                    </wps:wsp>
                  </a:graphicData>
                </a:graphic>
              </wp:anchor>
            </w:drawing>
          </mc:Choice>
          <mc:Fallback>
            <w:pict>
              <v:shape id="_x0000_s1026" o:spid="_x0000_s1026" o:spt="202" type="#_x0000_t202" style="position:absolute;left:0pt;flip:x;margin-left:-2.35pt;margin-top:173.15pt;height:27.15pt;width:114.4pt;z-index:251663360;mso-width-relative:page;mso-height-relative:page;" filled="f" stroked="f" coordsize="21600,21600" o:gfxdata="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rExMNsAAAAKAQAADwAAAAAAAAABACAAAAAi&#10;AAAAZHJzL2Rvd25yZXYueG1sUEsBAhQAFAAAAAgAh07iQNRmTnzOAQAAjwMAAA4AAAAAAAAAAQAg&#10;AAAAKgEAAGRycy9lMm9Eb2MueG1sUEsFBgAAAAAGAAYAWQEAAGoFAAAAAA==&#10;">
                <v:fill on="f" focussize="0,0"/>
                <v:stroke on="f"/>
                <v:imagedata o:title=""/>
                <o:lock v:ext="edit" aspectratio="f"/>
                <v:textbox style="mso-fit-shape-to-text:t;">
                  <w:txbxContent>
                    <w:p w14:paraId="677E1A25">
                      <w:pPr>
                        <w:pStyle w:val="22"/>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采购代理机构</w:t>
                      </w:r>
                    </w:p>
                  </w:txbxContent>
                </v:textbox>
              </v:shape>
            </w:pict>
          </mc:Fallback>
        </mc:AlternateContent>
      </w: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595630</wp:posOffset>
                </wp:positionH>
                <wp:positionV relativeFrom="paragraph">
                  <wp:posOffset>1837055</wp:posOffset>
                </wp:positionV>
                <wp:extent cx="1082675" cy="344805"/>
                <wp:effectExtent l="0" t="0" r="0" b="635"/>
                <wp:wrapNone/>
                <wp:docPr id="17" name="文本框 17"/>
                <wp:cNvGraphicFramePr/>
                <a:graphic xmlns:a="http://schemas.openxmlformats.org/drawingml/2006/main">
                  <a:graphicData uri="http://schemas.microsoft.com/office/word/2010/wordprocessingShape">
                    <wps:wsp>
                      <wps:cNvSpPr txBox="1"/>
                      <wps:spPr>
                        <a:xfrm flipH="1">
                          <a:off x="0" y="0"/>
                          <a:ext cx="1082675" cy="344805"/>
                        </a:xfrm>
                        <a:prstGeom prst="rect">
                          <a:avLst/>
                        </a:prstGeom>
                        <a:noFill/>
                        <a:ln>
                          <a:noFill/>
                        </a:ln>
                        <a:effectLst/>
                      </wps:spPr>
                      <wps:txbx>
                        <w:txbxContent>
                          <w:p w14:paraId="275D965E">
                            <w:pPr>
                              <w:pStyle w:val="22"/>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采购人</w:t>
                            </w:r>
                          </w:p>
                        </w:txbxContent>
                      </wps:txbx>
                      <wps:bodyPr wrap="square" rtlCol="0">
                        <a:spAutoFit/>
                      </wps:bodyPr>
                    </wps:wsp>
                  </a:graphicData>
                </a:graphic>
              </wp:anchor>
            </w:drawing>
          </mc:Choice>
          <mc:Fallback>
            <w:pict>
              <v:shape id="_x0000_s1026" o:spid="_x0000_s1026" o:spt="202" type="#_x0000_t202" style="position:absolute;left:0pt;flip:x;margin-left:46.9pt;margin-top:144.65pt;height:27.15pt;width:85.25pt;z-index:251662336;mso-width-relative:page;mso-height-relative:page;" filled="f" stroked="f" coordsize="21600,21600" o:gfxdata="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sCiVe3AAAAAoBAAAPAAAAAAAAAAEAIAAA&#10;ACIAAABkcnMvZG93bnJldi54bWxQSwECFAAUAAAACACHTuJAfbrJss8BAACPAwAADgAAAAAAAAAB&#10;ACAAAAArAQAAZHJzL2Uyb0RvYy54bWxQSwUGAAAAAAYABgBZAQAAbAUAAAAA&#10;">
                <v:fill on="f" focussize="0,0"/>
                <v:stroke on="f"/>
                <v:imagedata o:title=""/>
                <o:lock v:ext="edit" aspectratio="f"/>
                <v:textbox style="mso-fit-shape-to-text:t;">
                  <w:txbxContent>
                    <w:p w14:paraId="275D965E">
                      <w:pPr>
                        <w:pStyle w:val="22"/>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采购人</w:t>
                      </w:r>
                    </w:p>
                  </w:txbxContent>
                </v:textbox>
              </v:shape>
            </w:pict>
          </mc:Fallback>
        </mc:AlternateContent>
      </w: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128270</wp:posOffset>
                </wp:positionH>
                <wp:positionV relativeFrom="paragraph">
                  <wp:posOffset>588010</wp:posOffset>
                </wp:positionV>
                <wp:extent cx="1438910" cy="396240"/>
                <wp:effectExtent l="0" t="0" r="0" b="3810"/>
                <wp:wrapNone/>
                <wp:docPr id="15" name="文本框 15"/>
                <wp:cNvGraphicFramePr/>
                <a:graphic xmlns:a="http://schemas.openxmlformats.org/drawingml/2006/main">
                  <a:graphicData uri="http://schemas.microsoft.com/office/word/2010/wordprocessingShape">
                    <wps:wsp>
                      <wps:cNvSpPr txBox="1"/>
                      <wps:spPr>
                        <a:xfrm flipH="1">
                          <a:off x="0" y="0"/>
                          <a:ext cx="1438910" cy="396240"/>
                        </a:xfrm>
                        <a:prstGeom prst="rect">
                          <a:avLst/>
                        </a:prstGeom>
                        <a:noFill/>
                        <a:ln>
                          <a:noFill/>
                        </a:ln>
                        <a:effectLst/>
                      </wps:spPr>
                      <wps:txbx>
                        <w:txbxContent>
                          <w:p w14:paraId="08BF546E">
                            <w:pPr>
                              <w:pStyle w:val="22"/>
                              <w:ind w:left="418" w:leftChars="199"/>
                              <w:rPr>
                                <w:rFonts w:ascii="汉仪粗黑简" w:hAnsi="汉仪粗黑简" w:eastAsia="汉仪粗黑简" w:cs="汉仪粗黑简"/>
                                <w:color w:val="DA251C"/>
                                <w:sz w:val="32"/>
                                <w:szCs w:val="32"/>
                              </w:rPr>
                            </w:pPr>
                            <w:r>
                              <w:rPr>
                                <w:rFonts w:hint="eastAsia" w:ascii="方正大黑简体" w:hAnsi="方正大黑简体" w:eastAsia="方正大黑简体" w:cs="方正大黑简体"/>
                                <w:b/>
                                <w:bCs/>
                                <w:color w:val="DA251C"/>
                                <w:kern w:val="24"/>
                                <w:sz w:val="32"/>
                                <w:szCs w:val="32"/>
                              </w:rPr>
                              <w:t>项目编号</w:t>
                            </w:r>
                          </w:p>
                        </w:txbxContent>
                      </wps:txbx>
                      <wps:bodyPr wrap="square" rtlCol="0">
                        <a:noAutofit/>
                      </wps:bodyPr>
                    </wps:wsp>
                  </a:graphicData>
                </a:graphic>
              </wp:anchor>
            </w:drawing>
          </mc:Choice>
          <mc:Fallback>
            <w:pict>
              <v:shape id="_x0000_s1026" o:spid="_x0000_s1026" o:spt="202" type="#_x0000_t202" style="position:absolute;left:0pt;flip:x;margin-left:10.1pt;margin-top:46.3pt;height:31.2pt;width:113.3pt;z-index:251661312;mso-width-relative:page;mso-height-relative:page;" filled="f" stroked="f" coordsize="21600,21600" o:gfxdata="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M2gnHZAAAACQEAAA8AAAAAAAAAAQAgAAAAIgAA&#10;AGRycy9kb3ducmV2LnhtbFBLAQIUABQAAAAIAIdO4kANCfBpzgEAAI8DAAAOAAAAAAAAAAEAIAAA&#10;ACgBAABkcnMvZTJvRG9jLnhtbFBLBQYAAAAABgAGAFkBAABoBQAAAAA=&#10;">
                <v:fill on="f" focussize="0,0"/>
                <v:stroke on="f"/>
                <v:imagedata o:title=""/>
                <o:lock v:ext="edit" aspectratio="f"/>
                <v:textbox>
                  <w:txbxContent>
                    <w:p w14:paraId="08BF546E">
                      <w:pPr>
                        <w:pStyle w:val="22"/>
                        <w:ind w:left="418" w:leftChars="199"/>
                        <w:rPr>
                          <w:rFonts w:ascii="汉仪粗黑简" w:hAnsi="汉仪粗黑简" w:eastAsia="汉仪粗黑简" w:cs="汉仪粗黑简"/>
                          <w:color w:val="DA251C"/>
                          <w:sz w:val="32"/>
                          <w:szCs w:val="32"/>
                        </w:rPr>
                      </w:pPr>
                      <w:r>
                        <w:rPr>
                          <w:rFonts w:hint="eastAsia" w:ascii="方正大黑简体" w:hAnsi="方正大黑简体" w:eastAsia="方正大黑简体" w:cs="方正大黑简体"/>
                          <w:b/>
                          <w:bCs/>
                          <w:color w:val="DA251C"/>
                          <w:kern w:val="24"/>
                          <w:sz w:val="32"/>
                          <w:szCs w:val="32"/>
                        </w:rPr>
                        <w:t>项目编号</w:t>
                      </w:r>
                    </w:p>
                  </w:txbxContent>
                </v:textbox>
              </v:shape>
            </w:pict>
          </mc:Fallback>
        </mc:AlternateContent>
      </w:r>
      <w:r>
        <w:rPr>
          <w:rFonts w:ascii="宋体" w:hAnsi="宋体" w:cs="宋体"/>
        </w:rPr>
        <mc:AlternateContent>
          <mc:Choice Requires="wps">
            <w:drawing>
              <wp:anchor distT="0" distB="0" distL="114300" distR="114300" simplePos="0" relativeHeight="251672576" behindDoc="0" locked="0" layoutInCell="1" allowOverlap="1">
                <wp:simplePos x="0" y="0"/>
                <wp:positionH relativeFrom="column">
                  <wp:posOffset>380365</wp:posOffset>
                </wp:positionH>
                <wp:positionV relativeFrom="paragraph">
                  <wp:posOffset>1039495</wp:posOffset>
                </wp:positionV>
                <wp:extent cx="1028700" cy="4095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28700" cy="409575"/>
                        </a:xfrm>
                        <a:prstGeom prst="rect">
                          <a:avLst/>
                        </a:prstGeom>
                        <a:noFill/>
                        <a:ln w="6350">
                          <a:noFill/>
                        </a:ln>
                        <a:effectLst/>
                      </wps:spPr>
                      <wps:txbx>
                        <w:txbxContent>
                          <w:p w14:paraId="54B27F0F">
                            <w:pPr>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sz w:val="32"/>
                                <w:szCs w:val="32"/>
                              </w:rPr>
                              <w:t>项目名称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5pt;margin-top:81.85pt;height:32.25pt;width:81pt;z-index:251672576;mso-width-relative:page;mso-height-relative:page;" filled="f" stroked="f" coordsize="21600,21600" o:gfxdata="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rNnZtoAAAAKAQAADwAAAAAAAAABACAAAAAi&#10;AAAAZHJzL2Rvd25yZXYueG1sUEsBAhQAFAAAAAgAh07iQIWQIG1BAgAAdgQAAA4AAAAAAAAAAQAg&#10;AAAAKQEAAGRycy9lMm9Eb2MueG1sUEsFBgAAAAAGAAYAWQEAANwFAAAAAA==&#10;">
                <v:fill on="f" focussize="0,0"/>
                <v:stroke on="f" weight="0.5pt"/>
                <v:imagedata o:title=""/>
                <o:lock v:ext="edit" aspectratio="f"/>
                <v:textbox>
                  <w:txbxContent>
                    <w:p w14:paraId="54B27F0F">
                      <w:pPr>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sz w:val="32"/>
                          <w:szCs w:val="32"/>
                        </w:rPr>
                        <w:t>项目名称</w:t>
                      </w:r>
                    </w:p>
                  </w:txbxContent>
                </v:textbox>
              </v:shape>
            </w:pict>
          </mc:Fallback>
        </mc:AlternateContent>
      </w:r>
      <w:r>
        <w:rPr>
          <w:rFonts w:ascii="宋体" w:hAnsi="宋体" w:cs="宋体"/>
        </w:rPr>
        <mc:AlternateContent>
          <mc:Choice Requires="wps">
            <w:drawing>
              <wp:anchor distT="0" distB="0" distL="114300" distR="114300" simplePos="0" relativeHeight="251669504" behindDoc="0" locked="0" layoutInCell="1" allowOverlap="1">
                <wp:simplePos x="0" y="0"/>
                <wp:positionH relativeFrom="column">
                  <wp:posOffset>-986155</wp:posOffset>
                </wp:positionH>
                <wp:positionV relativeFrom="paragraph">
                  <wp:posOffset>1761490</wp:posOffset>
                </wp:positionV>
                <wp:extent cx="7013575" cy="3789680"/>
                <wp:effectExtent l="0" t="0" r="15875" b="1270"/>
                <wp:wrapNone/>
                <wp:docPr id="43" name="直角三角形 43"/>
                <wp:cNvGraphicFramePr/>
                <a:graphic xmlns:a="http://schemas.openxmlformats.org/drawingml/2006/main">
                  <a:graphicData uri="http://schemas.microsoft.com/office/word/2010/wordprocessingShape">
                    <wps:wsp>
                      <wps:cNvSpPr/>
                      <wps:spPr>
                        <a:xfrm flipH="1">
                          <a:off x="0" y="0"/>
                          <a:ext cx="7013575" cy="3789680"/>
                        </a:xfrm>
                        <a:prstGeom prst="rtTriangle">
                          <a:avLst/>
                        </a:prstGeom>
                        <a:gradFill rotWithShape="1">
                          <a:gsLst>
                            <a:gs pos="0">
                              <a:srgbClr val="012D86"/>
                            </a:gs>
                            <a:gs pos="100000">
                              <a:srgbClr val="FFFFFF"/>
                            </a:gs>
                          </a:gsLst>
                          <a:lin ang="5400000" scaled="1"/>
                          <a:tileRect/>
                        </a:gradFill>
                        <a:ln>
                          <a:noFill/>
                        </a:ln>
                        <a:effectLst/>
                      </wps:spPr>
                      <wps:txbx>
                        <w:txbxContent>
                          <w:p w14:paraId="0F47C01D"/>
                        </w:txbxContent>
                      </wps:txbx>
                      <wps:bodyPr upright="1"/>
                    </wps:wsp>
                  </a:graphicData>
                </a:graphic>
              </wp:anchor>
            </w:drawing>
          </mc:Choice>
          <mc:Fallback>
            <w:pict>
              <v:shape id="_x0000_s1026" o:spid="_x0000_s1026" o:spt="6" type="#_x0000_t6" style="position:absolute;left:0pt;flip:x;margin-left:-77.65pt;margin-top:138.7pt;height:298.4pt;width:552.25pt;z-index:251669504;mso-width-relative:page;mso-height-relative:page;" fillcolor="#012D86" filled="t" stroked="f" coordsize="21600,21600" o:gfxdata="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HdQ&#10;mtsAAAAMAQAADwAAAAAAAAABACAAAAAiAAAAZHJzL2Rvd25yZXYueG1sUEsBAhQAFAAAAAgAh07i&#10;QLGSGZQfAgAALAQAAA4AAAAAAAAAAQAgAAAAKgEAAGRycy9lMm9Eb2MueG1sUEsFBgAAAAAGAAYA&#10;WQEAALsFAAAAAA==&#10;">
                <v:fill type="gradient" on="t" color2="#FFFFFF" focus="100%" focussize="0,0" rotate="t"/>
                <v:stroke on="f"/>
                <v:imagedata o:title=""/>
                <o:lock v:ext="edit" aspectratio="f"/>
                <v:textbox>
                  <w:txbxContent>
                    <w:p w14:paraId="0F47C01D"/>
                  </w:txbxContent>
                </v:textbox>
              </v:shape>
            </w:pict>
          </mc:Fallback>
        </mc:AlternateContent>
      </w:r>
    </w:p>
    <w:sdt>
      <w:sdtPr>
        <w:rPr>
          <w:rFonts w:ascii="Times New Roman" w:hAnsi="Times New Roman" w:eastAsia="宋体" w:cs="Times New Roman"/>
          <w:b w:val="0"/>
          <w:bCs w:val="0"/>
          <w:color w:val="auto"/>
          <w:kern w:val="2"/>
          <w:sz w:val="21"/>
          <w:szCs w:val="24"/>
          <w:lang w:val="zh-CN"/>
        </w:rPr>
        <w:id w:val="-611968309"/>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237392F2">
          <w:pPr>
            <w:pStyle w:val="68"/>
            <w:jc w:val="center"/>
            <w:rPr>
              <w:sz w:val="36"/>
            </w:rPr>
          </w:pPr>
          <w:r>
            <w:rPr>
              <w:sz w:val="36"/>
              <w:lang w:val="zh-CN"/>
            </w:rPr>
            <w:t>目录</w:t>
          </w:r>
        </w:p>
        <w:p w14:paraId="70F286BF">
          <w:pPr>
            <w:pStyle w:val="18"/>
            <w:tabs>
              <w:tab w:val="right" w:leader="dot" w:pos="10456"/>
            </w:tabs>
            <w:rPr>
              <w:rFonts w:eastAsiaTheme="minorEastAsia"/>
              <w:sz w:val="21"/>
              <w:szCs w:val="22"/>
            </w:rPr>
          </w:pPr>
          <w:r>
            <w:fldChar w:fldCharType="begin"/>
          </w:r>
          <w:r>
            <w:instrText xml:space="preserve"> TOC \o "1-3" \h \z \u </w:instrText>
          </w:r>
          <w:r>
            <w:fldChar w:fldCharType="separate"/>
          </w:r>
          <w:r>
            <w:fldChar w:fldCharType="begin"/>
          </w:r>
          <w:r>
            <w:instrText xml:space="preserve"> HYPERLINK \l "_Toc184029939" </w:instrText>
          </w:r>
          <w:r>
            <w:fldChar w:fldCharType="separate"/>
          </w:r>
          <w:r>
            <w:rPr>
              <w:rStyle w:val="32"/>
              <w:rFonts w:hint="eastAsia" w:ascii="宋体" w:hAnsi="宋体"/>
              <w:b/>
            </w:rPr>
            <w:t>第一章</w:t>
          </w:r>
          <w:r>
            <w:rPr>
              <w:rStyle w:val="32"/>
              <w:rFonts w:ascii="宋体" w:hAnsi="宋体"/>
              <w:b/>
            </w:rPr>
            <w:t xml:space="preserve">  </w:t>
          </w:r>
          <w:r>
            <w:rPr>
              <w:rStyle w:val="32"/>
              <w:rFonts w:hint="eastAsia" w:ascii="宋体" w:hAnsi="宋体"/>
              <w:b/>
            </w:rPr>
            <w:t>采购公告</w:t>
          </w:r>
          <w:r>
            <w:tab/>
          </w:r>
          <w:r>
            <w:fldChar w:fldCharType="begin"/>
          </w:r>
          <w:r>
            <w:instrText xml:space="preserve"> PAGEREF _Toc184029939 \h </w:instrText>
          </w:r>
          <w:r>
            <w:fldChar w:fldCharType="separate"/>
          </w:r>
          <w:r>
            <w:t>3</w:t>
          </w:r>
          <w:r>
            <w:fldChar w:fldCharType="end"/>
          </w:r>
          <w:r>
            <w:fldChar w:fldCharType="end"/>
          </w:r>
        </w:p>
        <w:p w14:paraId="4552A5EA">
          <w:pPr>
            <w:pStyle w:val="18"/>
            <w:tabs>
              <w:tab w:val="right" w:leader="dot" w:pos="10456"/>
            </w:tabs>
            <w:rPr>
              <w:rFonts w:eastAsiaTheme="minorEastAsia"/>
              <w:sz w:val="21"/>
              <w:szCs w:val="22"/>
            </w:rPr>
          </w:pPr>
          <w:r>
            <w:fldChar w:fldCharType="begin"/>
          </w:r>
          <w:r>
            <w:instrText xml:space="preserve"> HYPERLINK \l "_Toc184029940" </w:instrText>
          </w:r>
          <w:r>
            <w:fldChar w:fldCharType="separate"/>
          </w:r>
          <w:r>
            <w:rPr>
              <w:rStyle w:val="32"/>
              <w:rFonts w:hint="eastAsia" w:ascii="宋体" w:hAnsi="宋体"/>
              <w:b/>
            </w:rPr>
            <w:t>第二章</w:t>
          </w:r>
          <w:r>
            <w:rPr>
              <w:rStyle w:val="32"/>
              <w:rFonts w:ascii="宋体" w:hAnsi="宋体"/>
              <w:b/>
            </w:rPr>
            <w:t xml:space="preserve">  </w:t>
          </w:r>
          <w:r>
            <w:rPr>
              <w:rStyle w:val="32"/>
              <w:rFonts w:hint="eastAsia" w:ascii="宋体" w:hAnsi="宋体"/>
              <w:b/>
            </w:rPr>
            <w:t>供货商须知</w:t>
          </w:r>
          <w:r>
            <w:tab/>
          </w:r>
          <w:r>
            <w:fldChar w:fldCharType="begin"/>
          </w:r>
          <w:r>
            <w:instrText xml:space="preserve"> PAGEREF _Toc184029940 \h </w:instrText>
          </w:r>
          <w:r>
            <w:fldChar w:fldCharType="separate"/>
          </w:r>
          <w:r>
            <w:t>5</w:t>
          </w:r>
          <w:r>
            <w:fldChar w:fldCharType="end"/>
          </w:r>
          <w:r>
            <w:fldChar w:fldCharType="end"/>
          </w:r>
        </w:p>
        <w:p w14:paraId="49BD766C">
          <w:pPr>
            <w:pStyle w:val="18"/>
            <w:tabs>
              <w:tab w:val="right" w:leader="dot" w:pos="10456"/>
            </w:tabs>
            <w:rPr>
              <w:rFonts w:eastAsiaTheme="minorEastAsia"/>
              <w:sz w:val="21"/>
              <w:szCs w:val="22"/>
            </w:rPr>
          </w:pPr>
          <w:r>
            <w:fldChar w:fldCharType="begin"/>
          </w:r>
          <w:r>
            <w:instrText xml:space="preserve"> HYPERLINK \l "_Toc184029941" </w:instrText>
          </w:r>
          <w:r>
            <w:fldChar w:fldCharType="separate"/>
          </w:r>
          <w:r>
            <w:rPr>
              <w:rStyle w:val="32"/>
              <w:rFonts w:hint="eastAsia" w:ascii="宋体" w:hAnsi="宋体"/>
              <w:b/>
            </w:rPr>
            <w:t>第三章</w:t>
          </w:r>
          <w:r>
            <w:rPr>
              <w:rStyle w:val="32"/>
              <w:rFonts w:ascii="宋体" w:hAnsi="宋体"/>
              <w:b/>
            </w:rPr>
            <w:t xml:space="preserve">  </w:t>
          </w:r>
          <w:r>
            <w:rPr>
              <w:rStyle w:val="32"/>
              <w:rFonts w:hint="eastAsia" w:ascii="宋体" w:hAnsi="宋体"/>
              <w:b/>
            </w:rPr>
            <w:t>采购需求及政府采购合同（拟签订的合同文本）</w:t>
          </w:r>
          <w:r>
            <w:tab/>
          </w:r>
          <w:r>
            <w:fldChar w:fldCharType="begin"/>
          </w:r>
          <w:r>
            <w:instrText xml:space="preserve"> PAGEREF _Toc184029941 \h </w:instrText>
          </w:r>
          <w:r>
            <w:fldChar w:fldCharType="separate"/>
          </w:r>
          <w:r>
            <w:t>11</w:t>
          </w:r>
          <w:r>
            <w:fldChar w:fldCharType="end"/>
          </w:r>
          <w:r>
            <w:fldChar w:fldCharType="end"/>
          </w:r>
        </w:p>
        <w:p w14:paraId="3009E048">
          <w:pPr>
            <w:pStyle w:val="20"/>
            <w:tabs>
              <w:tab w:val="right" w:leader="dot" w:pos="10456"/>
            </w:tabs>
            <w:rPr>
              <w:rFonts w:eastAsiaTheme="minorEastAsia"/>
              <w:sz w:val="21"/>
              <w:szCs w:val="22"/>
            </w:rPr>
          </w:pPr>
          <w:r>
            <w:fldChar w:fldCharType="begin"/>
          </w:r>
          <w:r>
            <w:instrText xml:space="preserve"> HYPERLINK \l "_Toc184029942" </w:instrText>
          </w:r>
          <w:r>
            <w:fldChar w:fldCharType="separate"/>
          </w:r>
          <w:r>
            <w:rPr>
              <w:rStyle w:val="32"/>
              <w:rFonts w:hint="eastAsia"/>
              <w:b/>
            </w:rPr>
            <w:t>一、采购需求</w:t>
          </w:r>
          <w:r>
            <w:tab/>
          </w:r>
          <w:r>
            <w:fldChar w:fldCharType="begin"/>
          </w:r>
          <w:r>
            <w:instrText xml:space="preserve"> PAGEREF _Toc184029942 \h </w:instrText>
          </w:r>
          <w:r>
            <w:fldChar w:fldCharType="separate"/>
          </w:r>
          <w:r>
            <w:t>12</w:t>
          </w:r>
          <w:r>
            <w:fldChar w:fldCharType="end"/>
          </w:r>
          <w:r>
            <w:fldChar w:fldCharType="end"/>
          </w:r>
        </w:p>
        <w:p w14:paraId="3593B775">
          <w:pPr>
            <w:pStyle w:val="11"/>
            <w:tabs>
              <w:tab w:val="right" w:leader="dot" w:pos="10456"/>
            </w:tabs>
            <w:rPr>
              <w:rFonts w:asciiTheme="minorHAnsi" w:hAnsiTheme="minorHAnsi" w:eastAsiaTheme="minorEastAsia" w:cstheme="minorBidi"/>
              <w:szCs w:val="22"/>
            </w:rPr>
          </w:pPr>
          <w:r>
            <w:fldChar w:fldCharType="begin"/>
          </w:r>
          <w:r>
            <w:instrText xml:space="preserve"> HYPERLINK \l "_Toc184029943" </w:instrText>
          </w:r>
          <w:r>
            <w:fldChar w:fldCharType="separate"/>
          </w:r>
          <w:r>
            <w:rPr>
              <w:rStyle w:val="32"/>
              <w:rFonts w:hint="eastAsia" w:asciiTheme="minorEastAsia" w:hAnsiTheme="minorEastAsia" w:cstheme="minorEastAsia"/>
              <w:b/>
              <w:bCs/>
              <w:kern w:val="0"/>
              <w:lang w:bidi="ar"/>
            </w:rPr>
            <w:t>一、项目清单表（规格、参考量、限价、品牌）</w:t>
          </w:r>
          <w:r>
            <w:tab/>
          </w:r>
          <w:r>
            <w:fldChar w:fldCharType="begin"/>
          </w:r>
          <w:r>
            <w:instrText xml:space="preserve"> PAGEREF _Toc184029943 \h </w:instrText>
          </w:r>
          <w:r>
            <w:fldChar w:fldCharType="separate"/>
          </w:r>
          <w:r>
            <w:t>12</w:t>
          </w:r>
          <w:r>
            <w:fldChar w:fldCharType="end"/>
          </w:r>
          <w:r>
            <w:fldChar w:fldCharType="end"/>
          </w:r>
        </w:p>
        <w:p w14:paraId="146848F7">
          <w:pPr>
            <w:pStyle w:val="11"/>
            <w:tabs>
              <w:tab w:val="right" w:leader="dot" w:pos="10456"/>
            </w:tabs>
            <w:rPr>
              <w:rFonts w:asciiTheme="minorHAnsi" w:hAnsiTheme="minorHAnsi" w:eastAsiaTheme="minorEastAsia" w:cstheme="minorBidi"/>
              <w:szCs w:val="22"/>
            </w:rPr>
          </w:pPr>
          <w:r>
            <w:fldChar w:fldCharType="begin"/>
          </w:r>
          <w:r>
            <w:instrText xml:space="preserve"> HYPERLINK \l "_Toc184029944" </w:instrText>
          </w:r>
          <w:r>
            <w:fldChar w:fldCharType="separate"/>
          </w:r>
          <w:r>
            <w:rPr>
              <w:rStyle w:val="32"/>
              <w:rFonts w:hint="eastAsia" w:ascii="宋体" w:hAnsi="宋体"/>
              <w:b/>
            </w:rPr>
            <w:t>二、</w:t>
          </w:r>
          <w:r>
            <w:rPr>
              <w:rStyle w:val="32"/>
              <w:rFonts w:hint="eastAsia" w:ascii="宋体" w:hAnsi="宋体" w:cs="宋体"/>
              <w:b/>
            </w:rPr>
            <w:t>供货及验收要求</w:t>
          </w:r>
          <w:r>
            <w:tab/>
          </w:r>
          <w:r>
            <w:fldChar w:fldCharType="begin"/>
          </w:r>
          <w:r>
            <w:instrText xml:space="preserve"> PAGEREF _Toc184029944 \h </w:instrText>
          </w:r>
          <w:r>
            <w:fldChar w:fldCharType="separate"/>
          </w:r>
          <w:r>
            <w:t>16</w:t>
          </w:r>
          <w:r>
            <w:fldChar w:fldCharType="end"/>
          </w:r>
          <w:r>
            <w:fldChar w:fldCharType="end"/>
          </w:r>
        </w:p>
        <w:p w14:paraId="2D4AED8F">
          <w:pPr>
            <w:pStyle w:val="20"/>
            <w:tabs>
              <w:tab w:val="right" w:leader="dot" w:pos="10456"/>
            </w:tabs>
            <w:rPr>
              <w:rFonts w:eastAsiaTheme="minorEastAsia"/>
              <w:sz w:val="21"/>
              <w:szCs w:val="22"/>
            </w:rPr>
          </w:pPr>
          <w:r>
            <w:fldChar w:fldCharType="begin"/>
          </w:r>
          <w:r>
            <w:instrText xml:space="preserve"> HYPERLINK \l "_Toc184029945" </w:instrText>
          </w:r>
          <w:r>
            <w:fldChar w:fldCharType="separate"/>
          </w:r>
          <w:r>
            <w:rPr>
              <w:rStyle w:val="32"/>
              <w:rFonts w:hint="eastAsia" w:ascii="宋体" w:hAnsi="宋体"/>
              <w:b/>
            </w:rPr>
            <w:t>二、政府采购合同（拟签订的合同文本）</w:t>
          </w:r>
          <w:r>
            <w:tab/>
          </w:r>
          <w:r>
            <w:fldChar w:fldCharType="begin"/>
          </w:r>
          <w:r>
            <w:instrText xml:space="preserve"> PAGEREF _Toc184029945 \h </w:instrText>
          </w:r>
          <w:r>
            <w:fldChar w:fldCharType="separate"/>
          </w:r>
          <w:r>
            <w:t>17</w:t>
          </w:r>
          <w:r>
            <w:fldChar w:fldCharType="end"/>
          </w:r>
          <w:r>
            <w:fldChar w:fldCharType="end"/>
          </w:r>
        </w:p>
        <w:p w14:paraId="790F9E9D">
          <w:pPr>
            <w:pStyle w:val="18"/>
            <w:tabs>
              <w:tab w:val="right" w:leader="dot" w:pos="10456"/>
            </w:tabs>
            <w:rPr>
              <w:rFonts w:eastAsiaTheme="minorEastAsia"/>
              <w:sz w:val="21"/>
              <w:szCs w:val="22"/>
            </w:rPr>
          </w:pPr>
          <w:r>
            <w:fldChar w:fldCharType="begin"/>
          </w:r>
          <w:r>
            <w:instrText xml:space="preserve"> HYPERLINK \l "_Toc184029946" </w:instrText>
          </w:r>
          <w:r>
            <w:fldChar w:fldCharType="separate"/>
          </w:r>
          <w:r>
            <w:rPr>
              <w:rStyle w:val="32"/>
              <w:rFonts w:hint="eastAsia" w:ascii="宋体" w:hAnsi="宋体"/>
              <w:b/>
            </w:rPr>
            <w:t>第四章</w:t>
          </w:r>
          <w:r>
            <w:rPr>
              <w:rStyle w:val="32"/>
              <w:rFonts w:ascii="宋体" w:hAnsi="宋体"/>
              <w:b/>
            </w:rPr>
            <w:t xml:space="preserve">  </w:t>
          </w:r>
          <w:r>
            <w:rPr>
              <w:rStyle w:val="32"/>
              <w:rFonts w:hint="eastAsia" w:ascii="宋体" w:hAnsi="宋体"/>
              <w:b/>
            </w:rPr>
            <w:t>成交原则与评审内容（主要部分）</w:t>
          </w:r>
          <w:r>
            <w:tab/>
          </w:r>
          <w:r>
            <w:fldChar w:fldCharType="begin"/>
          </w:r>
          <w:r>
            <w:instrText xml:space="preserve"> PAGEREF _Toc184029946 \h </w:instrText>
          </w:r>
          <w:r>
            <w:fldChar w:fldCharType="separate"/>
          </w:r>
          <w:r>
            <w:t>21</w:t>
          </w:r>
          <w:r>
            <w:fldChar w:fldCharType="end"/>
          </w:r>
          <w:r>
            <w:fldChar w:fldCharType="end"/>
          </w:r>
        </w:p>
        <w:p w14:paraId="62CB9FBE">
          <w:pPr>
            <w:pStyle w:val="18"/>
            <w:tabs>
              <w:tab w:val="right" w:leader="dot" w:pos="10456"/>
            </w:tabs>
            <w:rPr>
              <w:rFonts w:eastAsiaTheme="minorEastAsia"/>
              <w:sz w:val="21"/>
              <w:szCs w:val="22"/>
            </w:rPr>
          </w:pPr>
          <w:r>
            <w:fldChar w:fldCharType="begin"/>
          </w:r>
          <w:r>
            <w:instrText xml:space="preserve"> HYPERLINK \l "_Toc184029947" </w:instrText>
          </w:r>
          <w:r>
            <w:fldChar w:fldCharType="separate"/>
          </w:r>
          <w:r>
            <w:rPr>
              <w:rStyle w:val="32"/>
              <w:rFonts w:hint="eastAsia" w:ascii="宋体" w:hAnsi="宋体"/>
              <w:b/>
            </w:rPr>
            <w:t>第五章</w:t>
          </w:r>
          <w:r>
            <w:rPr>
              <w:rStyle w:val="32"/>
              <w:rFonts w:ascii="宋体" w:hAnsi="宋体"/>
              <w:b/>
            </w:rPr>
            <w:t xml:space="preserve">  </w:t>
          </w:r>
          <w:r>
            <w:rPr>
              <w:rStyle w:val="32"/>
              <w:rFonts w:hint="eastAsia" w:ascii="宋体" w:hAnsi="宋体"/>
              <w:b/>
            </w:rPr>
            <w:t>投标（响应）文件格式</w:t>
          </w:r>
          <w:r>
            <w:tab/>
          </w:r>
          <w:r>
            <w:fldChar w:fldCharType="begin"/>
          </w:r>
          <w:r>
            <w:instrText xml:space="preserve"> PAGEREF _Toc184029947 \h </w:instrText>
          </w:r>
          <w:r>
            <w:fldChar w:fldCharType="separate"/>
          </w:r>
          <w:r>
            <w:t>22</w:t>
          </w:r>
          <w:r>
            <w:fldChar w:fldCharType="end"/>
          </w:r>
          <w:r>
            <w:fldChar w:fldCharType="end"/>
          </w:r>
        </w:p>
        <w:p w14:paraId="0491D37F">
          <w:pPr>
            <w:pStyle w:val="20"/>
            <w:tabs>
              <w:tab w:val="right" w:leader="dot" w:pos="10456"/>
            </w:tabs>
            <w:rPr>
              <w:rFonts w:eastAsiaTheme="minorEastAsia"/>
              <w:sz w:val="21"/>
              <w:szCs w:val="22"/>
            </w:rPr>
          </w:pPr>
          <w:r>
            <w:fldChar w:fldCharType="begin"/>
          </w:r>
          <w:r>
            <w:instrText xml:space="preserve"> HYPERLINK \l "_Toc184029948" </w:instrText>
          </w:r>
          <w:r>
            <w:fldChar w:fldCharType="separate"/>
          </w:r>
          <w:r>
            <w:rPr>
              <w:rStyle w:val="32"/>
              <w:rFonts w:hint="eastAsia" w:ascii="宋体" w:hAnsi="宋体" w:cs="宋体"/>
              <w:b/>
            </w:rPr>
            <w:t>投标（响应）文件</w:t>
          </w:r>
          <w:r>
            <w:rPr>
              <w:rStyle w:val="32"/>
              <w:rFonts w:hint="eastAsia" w:ascii="宋体" w:hAnsi="宋体" w:cs="宋体"/>
              <w:b/>
              <w:bCs/>
            </w:rPr>
            <w:t>目录</w:t>
          </w:r>
          <w:r>
            <w:tab/>
          </w:r>
          <w:r>
            <w:fldChar w:fldCharType="begin"/>
          </w:r>
          <w:r>
            <w:instrText xml:space="preserve"> PAGEREF _Toc184029948 \h </w:instrText>
          </w:r>
          <w:r>
            <w:fldChar w:fldCharType="separate"/>
          </w:r>
          <w:r>
            <w:t>23</w:t>
          </w:r>
          <w:r>
            <w:fldChar w:fldCharType="end"/>
          </w:r>
          <w:r>
            <w:fldChar w:fldCharType="end"/>
          </w:r>
        </w:p>
        <w:p w14:paraId="274CBFB1">
          <w:pPr>
            <w:pStyle w:val="20"/>
            <w:tabs>
              <w:tab w:val="right" w:leader="dot" w:pos="10456"/>
            </w:tabs>
            <w:rPr>
              <w:rFonts w:eastAsiaTheme="minorEastAsia"/>
              <w:sz w:val="21"/>
              <w:szCs w:val="22"/>
            </w:rPr>
          </w:pPr>
          <w:r>
            <w:fldChar w:fldCharType="begin"/>
          </w:r>
          <w:r>
            <w:instrText xml:space="preserve"> HYPERLINK \l "_Toc184029949" </w:instrText>
          </w:r>
          <w:r>
            <w:fldChar w:fldCharType="separate"/>
          </w:r>
          <w:r>
            <w:rPr>
              <w:rStyle w:val="32"/>
              <w:rFonts w:hint="eastAsia" w:ascii="宋体" w:hAnsi="宋体" w:cs="宋体"/>
              <w:b/>
              <w:bCs/>
            </w:rPr>
            <w:t>一、报价一览表</w:t>
          </w:r>
          <w:r>
            <w:rPr>
              <w:rStyle w:val="32"/>
              <w:rFonts w:ascii="宋体" w:hAnsi="宋体" w:cs="宋体"/>
              <w:b/>
              <w:bCs/>
            </w:rPr>
            <w:t>(</w:t>
          </w:r>
          <w:r>
            <w:rPr>
              <w:rStyle w:val="32"/>
              <w:rFonts w:hint="eastAsia" w:ascii="宋体" w:hAnsi="宋体" w:cs="宋体"/>
              <w:b/>
              <w:bCs/>
            </w:rPr>
            <w:t>报价表</w:t>
          </w:r>
          <w:r>
            <w:rPr>
              <w:rStyle w:val="32"/>
              <w:rFonts w:ascii="宋体" w:hAnsi="宋体" w:cs="宋体"/>
              <w:b/>
              <w:bCs/>
            </w:rPr>
            <w:t>)</w:t>
          </w:r>
          <w:r>
            <w:rPr>
              <w:rStyle w:val="32"/>
              <w:rFonts w:hint="eastAsia" w:ascii="宋体" w:hAnsi="宋体" w:cs="宋体"/>
              <w:b/>
              <w:bCs/>
            </w:rPr>
            <w:t>（格式）</w:t>
          </w:r>
          <w:r>
            <w:tab/>
          </w:r>
          <w:r>
            <w:fldChar w:fldCharType="begin"/>
          </w:r>
          <w:r>
            <w:instrText xml:space="preserve"> PAGEREF _Toc184029949 \h </w:instrText>
          </w:r>
          <w:r>
            <w:fldChar w:fldCharType="separate"/>
          </w:r>
          <w:r>
            <w:t>24</w:t>
          </w:r>
          <w:r>
            <w:fldChar w:fldCharType="end"/>
          </w:r>
          <w:r>
            <w:fldChar w:fldCharType="end"/>
          </w:r>
        </w:p>
        <w:p w14:paraId="34A9D7B7">
          <w:pPr>
            <w:pStyle w:val="20"/>
            <w:tabs>
              <w:tab w:val="right" w:leader="dot" w:pos="10456"/>
            </w:tabs>
            <w:rPr>
              <w:rFonts w:eastAsiaTheme="minorEastAsia"/>
              <w:sz w:val="21"/>
              <w:szCs w:val="22"/>
            </w:rPr>
          </w:pPr>
          <w:r>
            <w:fldChar w:fldCharType="begin"/>
          </w:r>
          <w:r>
            <w:instrText xml:space="preserve"> HYPERLINK \l "_Toc184029950" </w:instrText>
          </w:r>
          <w:r>
            <w:fldChar w:fldCharType="separate"/>
          </w:r>
          <w:r>
            <w:rPr>
              <w:rStyle w:val="32"/>
              <w:rFonts w:hint="eastAsia" w:ascii="宋体" w:hAnsi="宋体" w:cs="宋体"/>
              <w:b/>
              <w:bCs/>
            </w:rPr>
            <w:t>二、供应商的资格证明文件</w:t>
          </w:r>
          <w:r>
            <w:tab/>
          </w:r>
          <w:r>
            <w:fldChar w:fldCharType="begin"/>
          </w:r>
          <w:r>
            <w:instrText xml:space="preserve"> PAGEREF _Toc184029950 \h </w:instrText>
          </w:r>
          <w:r>
            <w:fldChar w:fldCharType="separate"/>
          </w:r>
          <w:r>
            <w:t>25</w:t>
          </w:r>
          <w:r>
            <w:fldChar w:fldCharType="end"/>
          </w:r>
          <w:r>
            <w:fldChar w:fldCharType="end"/>
          </w:r>
        </w:p>
        <w:p w14:paraId="2C501201">
          <w:pPr>
            <w:pStyle w:val="20"/>
            <w:tabs>
              <w:tab w:val="right" w:leader="dot" w:pos="10456"/>
            </w:tabs>
            <w:rPr>
              <w:rFonts w:eastAsiaTheme="minorEastAsia"/>
              <w:sz w:val="21"/>
              <w:szCs w:val="22"/>
            </w:rPr>
          </w:pPr>
          <w:r>
            <w:fldChar w:fldCharType="begin"/>
          </w:r>
          <w:r>
            <w:instrText xml:space="preserve"> HYPERLINK \l "_Toc184029951" </w:instrText>
          </w:r>
          <w:r>
            <w:fldChar w:fldCharType="separate"/>
          </w:r>
          <w:r>
            <w:rPr>
              <w:rStyle w:val="32"/>
              <w:rFonts w:hint="eastAsia" w:ascii="宋体" w:hAnsi="宋体" w:cs="宋体"/>
              <w:b/>
              <w:bCs/>
            </w:rPr>
            <w:t>三、法定代表人授权委托书</w:t>
          </w:r>
          <w:r>
            <w:rPr>
              <w:rStyle w:val="32"/>
              <w:rFonts w:ascii="宋体" w:hAnsi="宋体" w:cs="宋体"/>
              <w:b/>
              <w:bCs/>
            </w:rPr>
            <w:t>(</w:t>
          </w:r>
          <w:r>
            <w:rPr>
              <w:rStyle w:val="32"/>
              <w:rFonts w:hint="eastAsia" w:ascii="宋体" w:hAnsi="宋体" w:cs="宋体"/>
              <w:b/>
              <w:bCs/>
            </w:rPr>
            <w:t>格式）</w:t>
          </w:r>
          <w:r>
            <w:tab/>
          </w:r>
          <w:r>
            <w:fldChar w:fldCharType="begin"/>
          </w:r>
          <w:r>
            <w:instrText xml:space="preserve"> PAGEREF _Toc184029951 \h </w:instrText>
          </w:r>
          <w:r>
            <w:fldChar w:fldCharType="separate"/>
          </w:r>
          <w:r>
            <w:t>27</w:t>
          </w:r>
          <w:r>
            <w:fldChar w:fldCharType="end"/>
          </w:r>
          <w:r>
            <w:fldChar w:fldCharType="end"/>
          </w:r>
        </w:p>
        <w:p w14:paraId="3D3B9E06">
          <w:pPr>
            <w:pStyle w:val="20"/>
            <w:tabs>
              <w:tab w:val="right" w:leader="dot" w:pos="10456"/>
            </w:tabs>
            <w:rPr>
              <w:rFonts w:eastAsiaTheme="minorEastAsia"/>
              <w:sz w:val="21"/>
              <w:szCs w:val="22"/>
            </w:rPr>
          </w:pPr>
          <w:r>
            <w:fldChar w:fldCharType="begin"/>
          </w:r>
          <w:r>
            <w:instrText xml:space="preserve"> HYPERLINK \l "_Toc184029952" </w:instrText>
          </w:r>
          <w:r>
            <w:fldChar w:fldCharType="separate"/>
          </w:r>
          <w:r>
            <w:rPr>
              <w:rStyle w:val="32"/>
              <w:rFonts w:hint="eastAsia" w:ascii="宋体" w:hAnsi="宋体" w:cs="宋体"/>
              <w:b/>
              <w:bCs/>
            </w:rPr>
            <w:t>四、投标（响应）书（格式）</w:t>
          </w:r>
          <w:r>
            <w:tab/>
          </w:r>
          <w:r>
            <w:fldChar w:fldCharType="begin"/>
          </w:r>
          <w:r>
            <w:instrText xml:space="preserve"> PAGEREF _Toc184029952 \h </w:instrText>
          </w:r>
          <w:r>
            <w:fldChar w:fldCharType="separate"/>
          </w:r>
          <w:r>
            <w:t>28</w:t>
          </w:r>
          <w:r>
            <w:fldChar w:fldCharType="end"/>
          </w:r>
          <w:r>
            <w:fldChar w:fldCharType="end"/>
          </w:r>
        </w:p>
        <w:p w14:paraId="42F2A6B1">
          <w:pPr>
            <w:pStyle w:val="20"/>
            <w:tabs>
              <w:tab w:val="right" w:leader="dot" w:pos="10456"/>
            </w:tabs>
            <w:rPr>
              <w:rFonts w:eastAsiaTheme="minorEastAsia"/>
              <w:sz w:val="21"/>
              <w:szCs w:val="22"/>
            </w:rPr>
          </w:pPr>
          <w:r>
            <w:fldChar w:fldCharType="begin"/>
          </w:r>
          <w:r>
            <w:instrText xml:space="preserve"> HYPERLINK \l "_Toc184029953" </w:instrText>
          </w:r>
          <w:r>
            <w:fldChar w:fldCharType="separate"/>
          </w:r>
          <w:r>
            <w:rPr>
              <w:rStyle w:val="32"/>
              <w:rFonts w:hint="eastAsia" w:ascii="宋体" w:hAnsi="宋体" w:cs="宋体"/>
              <w:b/>
              <w:bCs/>
            </w:rPr>
            <w:t>五、盐城市政府采购事前信用承诺书（格式）</w:t>
          </w:r>
          <w:r>
            <w:tab/>
          </w:r>
          <w:r>
            <w:fldChar w:fldCharType="begin"/>
          </w:r>
          <w:r>
            <w:instrText xml:space="preserve"> PAGEREF _Toc184029953 \h </w:instrText>
          </w:r>
          <w:r>
            <w:fldChar w:fldCharType="separate"/>
          </w:r>
          <w:r>
            <w:t>29</w:t>
          </w:r>
          <w:r>
            <w:fldChar w:fldCharType="end"/>
          </w:r>
          <w:r>
            <w:fldChar w:fldCharType="end"/>
          </w:r>
        </w:p>
        <w:p w14:paraId="0C31F88B">
          <w:pPr>
            <w:pStyle w:val="20"/>
            <w:tabs>
              <w:tab w:val="right" w:leader="dot" w:pos="10456"/>
            </w:tabs>
            <w:rPr>
              <w:rFonts w:eastAsiaTheme="minorEastAsia"/>
              <w:sz w:val="21"/>
              <w:szCs w:val="22"/>
            </w:rPr>
          </w:pPr>
          <w:r>
            <w:fldChar w:fldCharType="begin"/>
          </w:r>
          <w:r>
            <w:instrText xml:space="preserve"> HYPERLINK \l "_Toc184029954" </w:instrText>
          </w:r>
          <w:r>
            <w:fldChar w:fldCharType="separate"/>
          </w:r>
          <w:r>
            <w:rPr>
              <w:rStyle w:val="32"/>
              <w:rFonts w:hint="eastAsia" w:ascii="宋体" w:hAnsi="宋体" w:cs="宋体"/>
              <w:b/>
              <w:bCs/>
            </w:rPr>
            <w:t>六、商务要求响应情况表（格式）</w:t>
          </w:r>
          <w:r>
            <w:tab/>
          </w:r>
          <w:r>
            <w:fldChar w:fldCharType="begin"/>
          </w:r>
          <w:r>
            <w:instrText xml:space="preserve"> PAGEREF _Toc184029954 \h </w:instrText>
          </w:r>
          <w:r>
            <w:fldChar w:fldCharType="separate"/>
          </w:r>
          <w:r>
            <w:t>30</w:t>
          </w:r>
          <w:r>
            <w:fldChar w:fldCharType="end"/>
          </w:r>
          <w:r>
            <w:fldChar w:fldCharType="end"/>
          </w:r>
        </w:p>
        <w:p w14:paraId="511097DD">
          <w:pPr>
            <w:pStyle w:val="20"/>
            <w:tabs>
              <w:tab w:val="right" w:leader="dot" w:pos="10456"/>
            </w:tabs>
            <w:rPr>
              <w:rFonts w:eastAsiaTheme="minorEastAsia"/>
              <w:sz w:val="21"/>
              <w:szCs w:val="22"/>
            </w:rPr>
          </w:pPr>
          <w:r>
            <w:fldChar w:fldCharType="begin"/>
          </w:r>
          <w:r>
            <w:instrText xml:space="preserve"> HYPERLINK \l "_Toc184029955" </w:instrText>
          </w:r>
          <w:r>
            <w:fldChar w:fldCharType="separate"/>
          </w:r>
          <w:r>
            <w:rPr>
              <w:rStyle w:val="32"/>
              <w:rFonts w:hint="eastAsia" w:ascii="宋体" w:hAnsi="宋体" w:cs="宋体"/>
              <w:b/>
              <w:bCs/>
            </w:rPr>
            <w:t>七、所投产品清单表</w:t>
          </w:r>
          <w:r>
            <w:tab/>
          </w:r>
          <w:r>
            <w:fldChar w:fldCharType="begin"/>
          </w:r>
          <w:r>
            <w:instrText xml:space="preserve"> PAGEREF _Toc184029955 \h </w:instrText>
          </w:r>
          <w:r>
            <w:fldChar w:fldCharType="separate"/>
          </w:r>
          <w:r>
            <w:t>31</w:t>
          </w:r>
          <w:r>
            <w:fldChar w:fldCharType="end"/>
          </w:r>
          <w:r>
            <w:fldChar w:fldCharType="end"/>
          </w:r>
        </w:p>
        <w:p w14:paraId="3BF2A9DB">
          <w:pPr>
            <w:pStyle w:val="11"/>
            <w:tabs>
              <w:tab w:val="right" w:leader="dot" w:pos="10456"/>
            </w:tabs>
            <w:rPr>
              <w:rFonts w:asciiTheme="minorHAnsi" w:hAnsiTheme="minorHAnsi" w:eastAsiaTheme="minorEastAsia" w:cstheme="minorBidi"/>
              <w:szCs w:val="22"/>
            </w:rPr>
          </w:pPr>
          <w:r>
            <w:fldChar w:fldCharType="begin"/>
          </w:r>
          <w:r>
            <w:instrText xml:space="preserve"> HYPERLINK \l "_Toc184029956" </w:instrText>
          </w:r>
          <w:r>
            <w:fldChar w:fldCharType="separate"/>
          </w:r>
          <w:r>
            <w:rPr>
              <w:rStyle w:val="32"/>
              <w:rFonts w:hint="eastAsia" w:asciiTheme="minorEastAsia" w:hAnsiTheme="minorEastAsia" w:cstheme="minorEastAsia"/>
              <w:b/>
              <w:bCs/>
              <w:kern w:val="0"/>
              <w:lang w:bidi="ar"/>
            </w:rPr>
            <w:t>常用耗材清单表：</w:t>
          </w:r>
          <w:r>
            <w:tab/>
          </w:r>
          <w:r>
            <w:fldChar w:fldCharType="begin"/>
          </w:r>
          <w:r>
            <w:instrText xml:space="preserve"> PAGEREF _Toc184029956 \h </w:instrText>
          </w:r>
          <w:r>
            <w:fldChar w:fldCharType="separate"/>
          </w:r>
          <w:r>
            <w:t>31</w:t>
          </w:r>
          <w:r>
            <w:fldChar w:fldCharType="end"/>
          </w:r>
          <w:r>
            <w:fldChar w:fldCharType="end"/>
          </w:r>
        </w:p>
        <w:p w14:paraId="1BA176F2">
          <w:pPr>
            <w:pStyle w:val="11"/>
            <w:tabs>
              <w:tab w:val="right" w:leader="dot" w:pos="10456"/>
            </w:tabs>
            <w:rPr>
              <w:rFonts w:asciiTheme="minorHAnsi" w:hAnsiTheme="minorHAnsi" w:eastAsiaTheme="minorEastAsia" w:cstheme="minorBidi"/>
              <w:szCs w:val="22"/>
            </w:rPr>
          </w:pPr>
          <w:r>
            <w:fldChar w:fldCharType="begin"/>
          </w:r>
          <w:r>
            <w:instrText xml:space="preserve"> HYPERLINK \l "_Toc184029957" </w:instrText>
          </w:r>
          <w:r>
            <w:fldChar w:fldCharType="separate"/>
          </w:r>
          <w:r>
            <w:rPr>
              <w:rStyle w:val="32"/>
              <w:rFonts w:hint="eastAsia" w:asciiTheme="minorEastAsia" w:hAnsiTheme="minorEastAsia" w:cstheme="minorEastAsia"/>
              <w:b/>
              <w:bCs/>
              <w:kern w:val="0"/>
              <w:lang w:bidi="ar"/>
            </w:rPr>
            <w:t>非常用耗材清单表：</w:t>
          </w:r>
          <w:r>
            <w:tab/>
          </w:r>
          <w:r>
            <w:fldChar w:fldCharType="begin"/>
          </w:r>
          <w:r>
            <w:instrText xml:space="preserve"> PAGEREF _Toc184029957 \h </w:instrText>
          </w:r>
          <w:r>
            <w:fldChar w:fldCharType="separate"/>
          </w:r>
          <w:r>
            <w:t>34</w:t>
          </w:r>
          <w:r>
            <w:fldChar w:fldCharType="end"/>
          </w:r>
          <w:r>
            <w:fldChar w:fldCharType="end"/>
          </w:r>
        </w:p>
        <w:p w14:paraId="5BD3B782">
          <w:pPr>
            <w:pStyle w:val="20"/>
            <w:tabs>
              <w:tab w:val="right" w:leader="dot" w:pos="10456"/>
            </w:tabs>
            <w:rPr>
              <w:rFonts w:eastAsiaTheme="minorEastAsia"/>
              <w:sz w:val="21"/>
              <w:szCs w:val="22"/>
            </w:rPr>
          </w:pPr>
          <w:r>
            <w:fldChar w:fldCharType="begin"/>
          </w:r>
          <w:r>
            <w:instrText xml:space="preserve"> HYPERLINK \l "_Toc184029958" </w:instrText>
          </w:r>
          <w:r>
            <w:fldChar w:fldCharType="separate"/>
          </w:r>
          <w:r>
            <w:rPr>
              <w:rStyle w:val="32"/>
              <w:rFonts w:hint="eastAsia" w:ascii="宋体" w:hAnsi="宋体" w:cs="宋体"/>
              <w:b/>
              <w:bCs/>
            </w:rPr>
            <w:t>八、投标（响应）文件的其它内容</w:t>
          </w:r>
          <w:r>
            <w:tab/>
          </w:r>
          <w:r>
            <w:fldChar w:fldCharType="begin"/>
          </w:r>
          <w:r>
            <w:instrText xml:space="preserve"> PAGEREF _Toc184029958 \h </w:instrText>
          </w:r>
          <w:r>
            <w:fldChar w:fldCharType="separate"/>
          </w:r>
          <w:r>
            <w:t>38</w:t>
          </w:r>
          <w:r>
            <w:fldChar w:fldCharType="end"/>
          </w:r>
          <w:r>
            <w:fldChar w:fldCharType="end"/>
          </w:r>
        </w:p>
        <w:p w14:paraId="4E600111">
          <w:r>
            <w:rPr>
              <w:b/>
              <w:bCs/>
              <w:lang w:val="zh-CN"/>
            </w:rPr>
            <w:fldChar w:fldCharType="end"/>
          </w:r>
        </w:p>
      </w:sdtContent>
    </w:sdt>
    <w:p w14:paraId="36888DBF">
      <w:pPr>
        <w:rPr>
          <w:color w:val="000000"/>
        </w:rPr>
      </w:pPr>
    </w:p>
    <w:p w14:paraId="1BEDD1ED">
      <w:pPr>
        <w:rPr>
          <w:color w:val="000000"/>
        </w:rPr>
      </w:pPr>
    </w:p>
    <w:p w14:paraId="7EC99A02">
      <w:pPr>
        <w:rPr>
          <w:color w:val="000000"/>
        </w:rPr>
      </w:pPr>
    </w:p>
    <w:p w14:paraId="45228FB7">
      <w:pPr>
        <w:rPr>
          <w:color w:val="000000"/>
        </w:rPr>
      </w:pPr>
    </w:p>
    <w:p w14:paraId="7B11BB79">
      <w:pPr>
        <w:rPr>
          <w:color w:val="000000"/>
        </w:rPr>
      </w:pPr>
    </w:p>
    <w:p w14:paraId="0AE02499">
      <w:pPr>
        <w:rPr>
          <w:color w:val="000000"/>
        </w:rPr>
      </w:pPr>
    </w:p>
    <w:p w14:paraId="6ADA995D">
      <w:pPr>
        <w:rPr>
          <w:color w:val="000000"/>
        </w:rPr>
      </w:pPr>
    </w:p>
    <w:p w14:paraId="7E6FF4F0">
      <w:pPr>
        <w:rPr>
          <w:color w:val="000000"/>
        </w:rPr>
      </w:pPr>
    </w:p>
    <w:p w14:paraId="7956E727">
      <w:pPr>
        <w:rPr>
          <w:color w:val="000000"/>
        </w:rPr>
      </w:pPr>
    </w:p>
    <w:p w14:paraId="45824FCB">
      <w:pPr>
        <w:rPr>
          <w:color w:val="000000"/>
        </w:rPr>
      </w:pPr>
    </w:p>
    <w:p w14:paraId="34A78738">
      <w:pPr>
        <w:rPr>
          <w:color w:val="000000"/>
        </w:rPr>
      </w:pPr>
    </w:p>
    <w:p w14:paraId="3AF50038">
      <w:pPr>
        <w:pStyle w:val="8"/>
        <w:rPr>
          <w:color w:val="000000"/>
        </w:rPr>
      </w:pPr>
    </w:p>
    <w:p w14:paraId="733A498A"/>
    <w:p w14:paraId="0EF2B791">
      <w:pPr>
        <w:spacing w:line="398" w:lineRule="exact"/>
        <w:jc w:val="center"/>
        <w:outlineLvl w:val="0"/>
        <w:rPr>
          <w:rFonts w:hint="eastAsia" w:ascii="宋体" w:hAnsi="宋体"/>
          <w:b/>
          <w:color w:val="000000"/>
          <w:sz w:val="28"/>
          <w:szCs w:val="28"/>
        </w:rPr>
      </w:pPr>
      <w:bookmarkStart w:id="0" w:name="_Toc184029939"/>
    </w:p>
    <w:p w14:paraId="37EC22FE">
      <w:pPr>
        <w:spacing w:line="398" w:lineRule="exact"/>
        <w:jc w:val="center"/>
        <w:outlineLvl w:val="0"/>
        <w:rPr>
          <w:rFonts w:hint="eastAsia" w:ascii="宋体" w:hAnsi="宋体"/>
          <w:b/>
          <w:color w:val="000000"/>
          <w:sz w:val="28"/>
          <w:szCs w:val="28"/>
        </w:rPr>
      </w:pPr>
    </w:p>
    <w:p w14:paraId="32FBE1D4">
      <w:pPr>
        <w:spacing w:line="398" w:lineRule="exact"/>
        <w:jc w:val="center"/>
        <w:outlineLvl w:val="0"/>
        <w:rPr>
          <w:rFonts w:hint="eastAsia" w:ascii="宋体" w:hAnsi="宋体"/>
          <w:b/>
          <w:color w:val="000000"/>
          <w:sz w:val="28"/>
          <w:szCs w:val="28"/>
        </w:rPr>
      </w:pPr>
    </w:p>
    <w:p w14:paraId="6BF59372">
      <w:pPr>
        <w:spacing w:line="398" w:lineRule="exact"/>
        <w:jc w:val="center"/>
        <w:outlineLvl w:val="0"/>
        <w:rPr>
          <w:rFonts w:ascii="宋体" w:hAnsi="宋体"/>
          <w:b/>
          <w:color w:val="000000"/>
          <w:sz w:val="28"/>
          <w:szCs w:val="28"/>
        </w:rPr>
      </w:pPr>
      <w:r>
        <w:rPr>
          <w:rFonts w:hint="eastAsia" w:ascii="宋体" w:hAnsi="宋体"/>
          <w:b/>
          <w:color w:val="000000"/>
          <w:sz w:val="28"/>
          <w:szCs w:val="28"/>
        </w:rPr>
        <w:t>第一章  采购公告</w:t>
      </w:r>
      <w:bookmarkEnd w:id="0"/>
    </w:p>
    <w:p w14:paraId="74F1E101">
      <w:pPr>
        <w:pStyle w:val="44"/>
        <w:spacing w:line="398" w:lineRule="exact"/>
        <w:ind w:firstLine="0"/>
        <w:jc w:val="center"/>
        <w:rPr>
          <w:rFonts w:ascii="宋体" w:hAnsi="宋体"/>
          <w:b/>
          <w:color w:val="000000"/>
          <w:sz w:val="21"/>
          <w:szCs w:val="21"/>
        </w:rPr>
      </w:pPr>
      <w:r>
        <w:rPr>
          <w:rFonts w:hint="eastAsia" w:ascii="宋体" w:hAnsi="宋体"/>
          <w:b/>
          <w:color w:val="000000"/>
          <w:sz w:val="21"/>
          <w:szCs w:val="21"/>
        </w:rPr>
        <w:t>采购公告</w:t>
      </w:r>
    </w:p>
    <w:p w14:paraId="3180A7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r>
        <w:rPr>
          <w:rFonts w:hint="eastAsia" w:ascii="宋体" w:hAnsi="宋体"/>
          <w:color w:val="000000"/>
          <w:szCs w:val="21"/>
        </w:rPr>
        <w:t>受采购人的委托，盐城市携手阳光集中采购代理有限公司（本次采购可简称：携手阳光公司）受采购人的委托，根据《中华人民共和国政府采购法》等有关规定，现对下列项目进行询价采购，欢迎潜在供应商参加。</w:t>
      </w:r>
    </w:p>
    <w:p w14:paraId="787C7B3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20" w:firstLineChars="200"/>
        <w:jc w:val="center"/>
        <w:textAlignment w:val="auto"/>
        <w:rPr>
          <w:rFonts w:ascii="宋体" w:hAnsi="宋体"/>
          <w:color w:val="000000"/>
          <w:szCs w:val="21"/>
        </w:rPr>
      </w:pPr>
      <w:r>
        <w:rPr>
          <w:rFonts w:hint="eastAsia" w:ascii="宋体" w:hAnsi="宋体"/>
          <w:color w:val="000000"/>
          <w:szCs w:val="21"/>
        </w:rPr>
        <w:t>项目概况</w:t>
      </w:r>
    </w:p>
    <w:p w14:paraId="091B33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20" w:firstLineChars="200"/>
        <w:jc w:val="left"/>
        <w:textAlignment w:val="auto"/>
        <w:rPr>
          <w:rFonts w:ascii="宋体" w:hAnsi="宋体"/>
          <w:color w:val="000000"/>
          <w:szCs w:val="21"/>
        </w:rPr>
      </w:pPr>
      <w:r>
        <w:rPr>
          <w:rFonts w:hint="eastAsia" w:ascii="宋体" w:hAnsi="宋体"/>
          <w:color w:val="000000"/>
          <w:szCs w:val="21"/>
          <w:u w:val="single"/>
        </w:rPr>
        <w:t>江苏医药职业学院</w:t>
      </w:r>
      <w:r>
        <w:rPr>
          <w:rFonts w:hint="eastAsia" w:ascii="宋体" w:hAnsi="宋体"/>
          <w:color w:val="000000"/>
          <w:szCs w:val="21"/>
          <w:u w:val="single"/>
          <w:lang w:eastAsia="zh-CN"/>
        </w:rPr>
        <w:t>西园风雨操场屋面钢结构防腐涂层施工项目</w:t>
      </w:r>
      <w:r>
        <w:rPr>
          <w:rFonts w:hint="eastAsia" w:ascii="宋体" w:hAnsi="宋体"/>
          <w:color w:val="000000"/>
          <w:szCs w:val="21"/>
        </w:rPr>
        <w:t>的潜在供应商应在</w:t>
      </w:r>
      <w:r>
        <w:rPr>
          <w:rFonts w:hint="eastAsia" w:ascii="宋体" w:hAnsi="宋体"/>
          <w:color w:val="000000"/>
          <w:szCs w:val="21"/>
          <w:u w:val="single"/>
        </w:rPr>
        <w:t>盐城市府西路2号华邦国际西厦A区（东）302室</w:t>
      </w:r>
      <w:r>
        <w:rPr>
          <w:rFonts w:hint="eastAsia" w:ascii="宋体" w:hAnsi="宋体"/>
          <w:color w:val="000000"/>
          <w:szCs w:val="21"/>
        </w:rPr>
        <w:t>获取采购文件，并于</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4</w:t>
      </w:r>
      <w:r>
        <w:rPr>
          <w:rFonts w:hint="eastAsia" w:ascii="宋体" w:hAnsi="宋体"/>
          <w:szCs w:val="21"/>
          <w:u w:val="single"/>
        </w:rPr>
        <w:t>月</w:t>
      </w:r>
      <w:r>
        <w:rPr>
          <w:rFonts w:hint="eastAsia" w:ascii="宋体" w:hAnsi="宋体"/>
          <w:szCs w:val="21"/>
          <w:u w:val="single"/>
          <w:lang w:val="en-US" w:eastAsia="zh-CN"/>
        </w:rPr>
        <w:t>24</w:t>
      </w:r>
      <w:r>
        <w:rPr>
          <w:rFonts w:hint="eastAsia" w:ascii="宋体" w:hAnsi="宋体"/>
          <w:szCs w:val="21"/>
          <w:u w:val="single"/>
        </w:rPr>
        <w:t>日</w:t>
      </w:r>
      <w:r>
        <w:rPr>
          <w:rFonts w:hint="eastAsia" w:ascii="宋体" w:hAnsi="宋体"/>
          <w:szCs w:val="21"/>
          <w:u w:val="single"/>
          <w:lang w:val="en-US" w:eastAsia="zh-CN"/>
        </w:rPr>
        <w:t>15</w:t>
      </w:r>
      <w:r>
        <w:rPr>
          <w:rFonts w:hint="eastAsia" w:ascii="宋体" w:hAnsi="宋体"/>
          <w:szCs w:val="21"/>
          <w:u w:val="single"/>
        </w:rPr>
        <w:t>点</w:t>
      </w:r>
      <w:r>
        <w:rPr>
          <w:rFonts w:hint="eastAsia" w:ascii="宋体" w:hAnsi="宋体"/>
          <w:szCs w:val="21"/>
          <w:u w:val="single"/>
          <w:lang w:val="en-US" w:eastAsia="zh-CN"/>
        </w:rPr>
        <w:t>0</w:t>
      </w:r>
      <w:r>
        <w:rPr>
          <w:rFonts w:hint="eastAsia" w:ascii="宋体" w:hAnsi="宋体"/>
          <w:szCs w:val="21"/>
          <w:u w:val="single"/>
        </w:rPr>
        <w:t>0分</w:t>
      </w:r>
      <w:r>
        <w:rPr>
          <w:rFonts w:hint="eastAsia" w:ascii="宋体" w:hAnsi="宋体"/>
          <w:color w:val="000000"/>
          <w:szCs w:val="21"/>
        </w:rPr>
        <w:t>（北京时间）前</w:t>
      </w:r>
      <w:r>
        <w:rPr>
          <w:rFonts w:hint="eastAsia" w:ascii="宋体" w:hAnsi="宋体"/>
          <w:bCs/>
          <w:color w:val="000000"/>
        </w:rPr>
        <w:t>提交响应</w:t>
      </w:r>
      <w:r>
        <w:rPr>
          <w:rFonts w:ascii="宋体" w:hAnsi="宋体"/>
          <w:bCs/>
          <w:color w:val="000000"/>
        </w:rPr>
        <w:t>文件</w:t>
      </w:r>
      <w:r>
        <w:rPr>
          <w:rFonts w:hint="eastAsia" w:ascii="宋体" w:hAnsi="宋体"/>
          <w:color w:val="000000"/>
          <w:szCs w:val="21"/>
        </w:rPr>
        <w:t>。</w:t>
      </w:r>
    </w:p>
    <w:p w14:paraId="537C216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color w:val="000000"/>
        </w:rPr>
      </w:pPr>
      <w:bookmarkStart w:id="1" w:name="_Toc35393629"/>
      <w:bookmarkStart w:id="2" w:name="_Toc35393798"/>
      <w:bookmarkStart w:id="3" w:name="_Toc28359012"/>
      <w:bookmarkStart w:id="4" w:name="_Toc28359089"/>
      <w:r>
        <w:rPr>
          <w:rFonts w:hint="eastAsia" w:ascii="宋体" w:hAnsi="宋体" w:cs="宋体"/>
          <w:b/>
          <w:color w:val="000000"/>
        </w:rPr>
        <w:t>一、项目基本情况</w:t>
      </w:r>
      <w:bookmarkEnd w:id="1"/>
      <w:bookmarkEnd w:id="2"/>
      <w:bookmarkEnd w:id="3"/>
      <w:bookmarkEnd w:id="4"/>
    </w:p>
    <w:p w14:paraId="178FA07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r>
        <w:rPr>
          <w:rFonts w:hint="eastAsia" w:ascii="宋体" w:hAnsi="宋体"/>
          <w:color w:val="000000"/>
          <w:szCs w:val="21"/>
        </w:rPr>
        <w:t>项目编号：SY2026-006-GC-XJ；</w:t>
      </w:r>
    </w:p>
    <w:p w14:paraId="539C9BD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r>
        <w:rPr>
          <w:rFonts w:hint="eastAsia" w:ascii="宋体" w:hAnsi="宋体"/>
          <w:color w:val="000000"/>
          <w:szCs w:val="21"/>
        </w:rPr>
        <w:t>项目名称：江苏医药职业学院</w:t>
      </w:r>
      <w:r>
        <w:rPr>
          <w:rFonts w:hint="eastAsia" w:ascii="宋体" w:hAnsi="宋体"/>
          <w:color w:val="000000"/>
          <w:szCs w:val="21"/>
          <w:lang w:eastAsia="zh-CN"/>
        </w:rPr>
        <w:t>西园风雨操场屋面钢结构防腐涂层施工项目</w:t>
      </w:r>
      <w:r>
        <w:rPr>
          <w:rFonts w:hint="eastAsia" w:ascii="宋体" w:hAnsi="宋体"/>
          <w:color w:val="000000"/>
          <w:szCs w:val="21"/>
        </w:rPr>
        <w:t>；</w:t>
      </w:r>
    </w:p>
    <w:p w14:paraId="27177FB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r>
        <w:rPr>
          <w:rFonts w:hint="eastAsia" w:ascii="宋体" w:hAnsi="宋体"/>
          <w:color w:val="000000"/>
          <w:szCs w:val="21"/>
        </w:rPr>
        <w:t>采购方式：询价；</w:t>
      </w:r>
    </w:p>
    <w:p w14:paraId="3A2C6A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bookmarkStart w:id="5" w:name="_Toc35393630"/>
      <w:bookmarkStart w:id="6" w:name="_Toc28359090"/>
      <w:bookmarkStart w:id="7" w:name="_Toc35393799"/>
      <w:bookmarkStart w:id="8" w:name="_Toc28359013"/>
      <w:r>
        <w:rPr>
          <w:rFonts w:hint="eastAsia" w:ascii="宋体" w:hAnsi="宋体"/>
          <w:color w:val="000000"/>
          <w:szCs w:val="21"/>
        </w:rPr>
        <w:t>预算金额（最高限价）</w:t>
      </w:r>
      <w:r>
        <w:rPr>
          <w:rFonts w:hint="eastAsia" w:ascii="宋体" w:hAnsi="宋体"/>
          <w:color w:val="000000"/>
          <w:szCs w:val="21"/>
          <w:lang w:eastAsia="zh-CN"/>
        </w:rPr>
        <w:t>：</w:t>
      </w:r>
      <w:r>
        <w:rPr>
          <w:rFonts w:hint="eastAsia" w:ascii="宋体" w:hAnsi="宋体"/>
          <w:color w:val="000000"/>
          <w:szCs w:val="21"/>
          <w:lang w:val="en-US" w:eastAsia="zh-CN"/>
        </w:rPr>
        <w:t>9</w:t>
      </w:r>
      <w:r>
        <w:rPr>
          <w:rFonts w:hint="eastAsia" w:ascii="宋体" w:hAnsi="宋体"/>
          <w:color w:val="000000"/>
          <w:szCs w:val="21"/>
        </w:rPr>
        <w:t>万元；</w:t>
      </w:r>
    </w:p>
    <w:p w14:paraId="3B4388C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工期：20日历天；如因施工单位自身施工组织问题造成工期延误的，每延误一天，处罚1000元，如因工期延误，造成学校重大影响的，学校有权追究责任。（工程延误处罚款项在审计时直接扣除）；</w:t>
      </w:r>
    </w:p>
    <w:p w14:paraId="1C02DA7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质保期：1年（质保期自验收合格之日起算）；</w:t>
      </w:r>
    </w:p>
    <w:p w14:paraId="084015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质保要求：工程因自然力等主客观因素出现松动、脱落等现象，供应商需在3日内到场免费维修；</w:t>
      </w:r>
    </w:p>
    <w:p w14:paraId="213284F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采购需求（以下为主要介绍，详细内容须向携手阳光公司领购）：</w:t>
      </w:r>
    </w:p>
    <w:p w14:paraId="3879924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拟将江苏医药职业学院西园风雨操场屋面钢结构防腐涂层进行施工，详见采购需求部分；</w:t>
      </w:r>
    </w:p>
    <w:p w14:paraId="2B50F26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本项目不接受联合体。</w:t>
      </w:r>
    </w:p>
    <w:p w14:paraId="2F1896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b/>
          <w:color w:val="000000"/>
        </w:rPr>
      </w:pPr>
      <w:r>
        <w:rPr>
          <w:rFonts w:hint="eastAsia" w:ascii="宋体" w:hAnsi="宋体" w:cs="宋体"/>
          <w:b/>
          <w:color w:val="000000"/>
        </w:rPr>
        <w:t>二、</w:t>
      </w:r>
      <w:bookmarkEnd w:id="5"/>
      <w:bookmarkEnd w:id="6"/>
      <w:bookmarkEnd w:id="7"/>
      <w:bookmarkEnd w:id="8"/>
      <w:bookmarkStart w:id="9" w:name="_Toc35393631"/>
      <w:bookmarkStart w:id="10" w:name="_Toc28359014"/>
      <w:bookmarkStart w:id="11" w:name="_Toc35393800"/>
      <w:bookmarkStart w:id="12" w:name="_Toc28359091"/>
      <w:r>
        <w:rPr>
          <w:rFonts w:hint="eastAsia" w:ascii="宋体" w:hAnsi="宋体" w:cs="宋体"/>
          <w:b/>
          <w:color w:val="000000"/>
        </w:rPr>
        <w:t>申请人（</w:t>
      </w:r>
      <w:r>
        <w:rPr>
          <w:rFonts w:hint="eastAsia" w:ascii="宋体" w:hAnsi="宋体" w:cs="宋体"/>
          <w:b/>
          <w:color w:val="000000"/>
          <w:kern w:val="0"/>
          <w:szCs w:val="21"/>
        </w:rPr>
        <w:t>供应商）</w:t>
      </w:r>
      <w:r>
        <w:rPr>
          <w:rFonts w:hint="eastAsia" w:ascii="宋体" w:hAnsi="宋体" w:cs="宋体"/>
          <w:b/>
          <w:color w:val="000000"/>
        </w:rPr>
        <w:t>的资格要求</w:t>
      </w:r>
      <w:r>
        <w:rPr>
          <w:rFonts w:hint="eastAsia" w:ascii="宋体" w:hAnsi="宋体"/>
          <w:b/>
          <w:color w:val="000000"/>
          <w:szCs w:val="21"/>
        </w:rPr>
        <w:t>（具体证明材料见响应文件格式）</w:t>
      </w:r>
      <w:r>
        <w:rPr>
          <w:rFonts w:hint="eastAsia" w:ascii="宋体" w:hAnsi="宋体" w:cs="宋体"/>
          <w:b/>
          <w:color w:val="000000"/>
        </w:rPr>
        <w:t>：</w:t>
      </w:r>
    </w:p>
    <w:p w14:paraId="190017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1.具有独立承担民事责任的能力，且具有法人资质的企业（提供营业执照，并加盖公章）；</w:t>
      </w:r>
    </w:p>
    <w:p w14:paraId="1AE1DDF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具有良好的商业信誉和健全的财务会计制度</w:t>
      </w:r>
      <w:r>
        <w:rPr>
          <w:rFonts w:hint="eastAsia" w:ascii="宋体" w:hAnsi="宋体" w:eastAsia="宋体" w:cs="Times New Roman"/>
          <w:color w:val="000000"/>
          <w:szCs w:val="21"/>
          <w:lang w:eastAsia="zh-CN"/>
        </w:rPr>
        <w:t>；</w:t>
      </w:r>
    </w:p>
    <w:p w14:paraId="7B04532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.有依法缴纳税收和社会保障资金的良好记录等（提供近三个月来任意一个月的依法缴纳税收和社会保障资金的相关材料，并加盖公章）</w:t>
      </w:r>
      <w:r>
        <w:rPr>
          <w:rFonts w:hint="eastAsia" w:ascii="宋体" w:hAnsi="宋体" w:eastAsia="宋体" w:cs="Times New Roman"/>
          <w:color w:val="000000"/>
          <w:szCs w:val="21"/>
          <w:lang w:eastAsia="zh-CN"/>
        </w:rPr>
        <w:t>；</w:t>
      </w:r>
    </w:p>
    <w:p w14:paraId="0AB0A35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4.</w:t>
      </w:r>
      <w:r>
        <w:rPr>
          <w:rFonts w:hint="eastAsia" w:ascii="宋体" w:hAnsi="宋体" w:eastAsia="宋体" w:cs="Times New Roman"/>
          <w:color w:val="000000"/>
          <w:szCs w:val="21"/>
        </w:rPr>
        <w:t>具备履行合同所必需的设备和专业技术能力的书面声明；</w:t>
      </w:r>
    </w:p>
    <w:p w14:paraId="657697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参加政府采购活动前3年内在经营活动中没有重大违法记录的书面声明</w:t>
      </w:r>
      <w:r>
        <w:rPr>
          <w:rFonts w:hint="eastAsia" w:ascii="宋体" w:hAnsi="宋体" w:eastAsia="宋体" w:cs="Times New Roman"/>
          <w:color w:val="000000"/>
          <w:szCs w:val="21"/>
          <w:lang w:eastAsia="zh-CN"/>
        </w:rPr>
        <w:t>；</w:t>
      </w:r>
    </w:p>
    <w:p w14:paraId="034788A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法律、行政法规规定的其他条件。</w:t>
      </w:r>
    </w:p>
    <w:p w14:paraId="5DF5CD1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7</w:t>
      </w:r>
      <w:r>
        <w:rPr>
          <w:rFonts w:hint="eastAsia" w:ascii="宋体" w:hAnsi="宋体" w:eastAsia="宋体" w:cs="Times New Roman"/>
          <w:color w:val="000000"/>
          <w:szCs w:val="21"/>
        </w:rPr>
        <w:t>.落实政府采购政策需满足的资格要求：无</w:t>
      </w:r>
    </w:p>
    <w:p w14:paraId="73C87AE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.本项目的特定资格要求：</w:t>
      </w:r>
    </w:p>
    <w:p w14:paraId="6AEADAE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.1投标人具有建设行政主管部门核发的建筑工程施工总承包三级及以上</w:t>
      </w:r>
      <w:commentRangeStart w:id="0"/>
      <w:r>
        <w:rPr>
          <w:rFonts w:hint="eastAsia" w:ascii="宋体" w:hAnsi="宋体" w:eastAsia="宋体" w:cs="Times New Roman"/>
          <w:color w:val="000000"/>
          <w:szCs w:val="21"/>
        </w:rPr>
        <w:t>（或建筑装修装饰工程专业承包二级及以上）</w:t>
      </w:r>
      <w:commentRangeEnd w:id="0"/>
      <w:r>
        <w:commentReference w:id="0"/>
      </w:r>
      <w:r>
        <w:rPr>
          <w:rFonts w:hint="eastAsia" w:ascii="宋体" w:hAnsi="宋体" w:eastAsia="宋体" w:cs="Times New Roman"/>
          <w:color w:val="000000"/>
          <w:szCs w:val="21"/>
        </w:rPr>
        <w:t>资质的独立法人，并取得安全生产许可证；</w:t>
      </w:r>
    </w:p>
    <w:p w14:paraId="4D1628B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.2项目负责人资质类别和等级：项目负责人必须是投标人本单位正式职工，具有建筑工程专业的二级及以上建造师注册证书（或建造师临时执业证书），并取得安全生产考核合格证（B类）；</w:t>
      </w:r>
    </w:p>
    <w:p w14:paraId="45BE896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.3项目负责人须为投标人本单位正式职工，</w:t>
      </w:r>
      <w:r>
        <w:rPr>
          <w:rFonts w:hint="eastAsia" w:ascii="宋体" w:hAnsi="宋体" w:eastAsia="宋体" w:cs="Times New Roman"/>
          <w:color w:val="000000"/>
          <w:szCs w:val="21"/>
          <w:lang w:eastAsia="zh-CN"/>
        </w:rPr>
        <w:t>投标时提供</w:t>
      </w:r>
      <w:r>
        <w:rPr>
          <w:rFonts w:hint="eastAsia" w:ascii="宋体" w:hAnsi="宋体" w:eastAsia="宋体" w:cs="Times New Roman"/>
          <w:color w:val="000000"/>
          <w:szCs w:val="21"/>
        </w:rPr>
        <w:t>从投标截止日当月向前连续</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个月</w:t>
      </w:r>
      <w:r>
        <w:rPr>
          <w:rFonts w:hint="eastAsia" w:ascii="宋体" w:hAnsi="宋体" w:eastAsia="宋体" w:cs="Times New Roman"/>
          <w:color w:val="000000"/>
          <w:szCs w:val="21"/>
          <w:lang w:eastAsia="zh-CN"/>
        </w:rPr>
        <w:t>以来任意一个月</w:t>
      </w:r>
      <w:r>
        <w:rPr>
          <w:rFonts w:hint="eastAsia" w:ascii="宋体" w:hAnsi="宋体" w:eastAsia="宋体" w:cs="Times New Roman"/>
          <w:color w:val="000000"/>
          <w:szCs w:val="21"/>
        </w:rPr>
        <w:t>在投标人本单位缴纳养老保险（例：如投标截止日期为202</w:t>
      </w: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年</w:t>
      </w: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月，则为202</w:t>
      </w: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年</w:t>
      </w: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月1日以来</w:t>
      </w:r>
      <w:r>
        <w:rPr>
          <w:rFonts w:hint="eastAsia" w:ascii="宋体" w:hAnsi="宋体" w:eastAsia="宋体" w:cs="Times New Roman"/>
          <w:color w:val="000000"/>
          <w:szCs w:val="21"/>
          <w:lang w:eastAsia="zh-CN"/>
        </w:rPr>
        <w:t>任意一个月</w:t>
      </w:r>
      <w:r>
        <w:rPr>
          <w:rFonts w:hint="eastAsia" w:ascii="宋体" w:hAnsi="宋体" w:eastAsia="宋体" w:cs="Times New Roman"/>
          <w:color w:val="000000"/>
          <w:szCs w:val="21"/>
        </w:rPr>
        <w:t>养老保险在投标人本单位缴纳）；</w:t>
      </w:r>
    </w:p>
    <w:p w14:paraId="45FE45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.4投标人没有被国家、江苏省省级有关部门及盐城市级有关部门暂停招投标或市场准入资格且在公示处罚期内；没有处于被责令停业、财产被接管、冻结、破产等状态。</w:t>
      </w:r>
    </w:p>
    <w:p w14:paraId="194D9CC6">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b/>
          <w:color w:val="000000"/>
        </w:rPr>
      </w:pPr>
      <w:r>
        <w:rPr>
          <w:rFonts w:hint="eastAsia" w:ascii="宋体" w:hAnsi="宋体" w:cs="宋体"/>
          <w:b/>
          <w:color w:val="000000"/>
        </w:rPr>
        <w:t>三、获取采购文件</w:t>
      </w:r>
      <w:bookmarkEnd w:id="9"/>
      <w:bookmarkEnd w:id="10"/>
      <w:bookmarkEnd w:id="11"/>
      <w:bookmarkEnd w:id="12"/>
    </w:p>
    <w:p w14:paraId="0B22570C">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sz w:val="21"/>
          <w:szCs w:val="21"/>
        </w:rPr>
      </w:pPr>
      <w:bookmarkStart w:id="13" w:name="_Toc7411"/>
      <w:bookmarkStart w:id="14" w:name="_Toc35393801"/>
      <w:bookmarkStart w:id="15" w:name="_Toc28359092"/>
      <w:bookmarkStart w:id="16" w:name="_Toc28359015"/>
      <w:bookmarkStart w:id="17" w:name="_Toc35393632"/>
      <w:r>
        <w:rPr>
          <w:rFonts w:hint="eastAsia" w:asciiTheme="minorEastAsia" w:hAnsiTheme="minorEastAsia" w:eastAsiaTheme="minorEastAsia" w:cstheme="minorEastAsia"/>
          <w:b/>
          <w:sz w:val="21"/>
          <w:szCs w:val="21"/>
        </w:rPr>
        <w:t>三、获取招标文件</w:t>
      </w:r>
      <w:bookmarkEnd w:id="13"/>
    </w:p>
    <w:p w14:paraId="43D1F4D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时间：2026年4月</w:t>
      </w:r>
      <w:r>
        <w:rPr>
          <w:rFonts w:hint="eastAsia" w:ascii="宋体" w:hAnsi="宋体" w:cs="Times New Roman"/>
          <w:color w:val="000000"/>
          <w:szCs w:val="21"/>
          <w:lang w:val="en-US" w:eastAsia="zh-CN"/>
        </w:rPr>
        <w:t>20</w:t>
      </w:r>
      <w:r>
        <w:rPr>
          <w:rFonts w:hint="eastAsia" w:ascii="宋体" w:hAnsi="宋体" w:eastAsia="宋体" w:cs="Times New Roman"/>
          <w:color w:val="000000"/>
          <w:szCs w:val="21"/>
          <w:lang w:val="en-US" w:eastAsia="zh-CN"/>
        </w:rPr>
        <w:t>日至2026年4月2</w:t>
      </w:r>
      <w:r>
        <w:rPr>
          <w:rFonts w:hint="eastAsia" w:ascii="宋体" w:hAnsi="宋体" w:cs="Times New Roman"/>
          <w:color w:val="000000"/>
          <w:szCs w:val="21"/>
          <w:lang w:val="en-US" w:eastAsia="zh-CN"/>
        </w:rPr>
        <w:t>2</w:t>
      </w:r>
      <w:r>
        <w:rPr>
          <w:rFonts w:hint="eastAsia" w:ascii="宋体" w:hAnsi="宋体" w:eastAsia="宋体" w:cs="Times New Roman"/>
          <w:color w:val="000000"/>
          <w:szCs w:val="21"/>
          <w:lang w:val="en-US" w:eastAsia="zh-CN"/>
        </w:rPr>
        <w:t>日（每个工作日的9时至12时，15时至18时；非工作日不接受邮箱登记）</w:t>
      </w:r>
    </w:p>
    <w:p w14:paraId="0FBF8E7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地点：盐城市府西路华邦国际西厦A302室（3楼东区）</w:t>
      </w:r>
    </w:p>
    <w:p w14:paraId="472B28A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方式：可线上报名；供应商凭加盖公章的《介绍信》（介绍信格式自拟，介绍信需有邮箱号、联系人、联系方式）、营业执照（照片、复印件均可）、报名缴费成功截图发送至邮箱：xsyg007@163.com（注：未领购招标文件的任何单位或个人没有本项目的参与权以及相关知情权）；如邮箱发送后1天内未收到招标文件的，请及时与代理机构联系，否则后果自负。</w:t>
      </w:r>
    </w:p>
    <w:p w14:paraId="00772FF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售价：200元，售后不退；交纳方式：现金、支付宝（18662096009）等。</w:t>
      </w:r>
    </w:p>
    <w:p w14:paraId="03FEA4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color w:val="000000"/>
        </w:rPr>
      </w:pPr>
      <w:r>
        <w:rPr>
          <w:rFonts w:hint="eastAsia" w:ascii="宋体" w:hAnsi="宋体" w:cs="宋体"/>
          <w:b/>
          <w:color w:val="000000"/>
        </w:rPr>
        <w:t>四、</w:t>
      </w:r>
      <w:bookmarkEnd w:id="14"/>
      <w:bookmarkEnd w:id="15"/>
      <w:bookmarkEnd w:id="16"/>
      <w:bookmarkEnd w:id="17"/>
      <w:r>
        <w:rPr>
          <w:rFonts w:hint="eastAsia" w:ascii="宋体" w:hAnsi="宋体" w:cs="宋体"/>
          <w:b/>
          <w:color w:val="000000"/>
        </w:rPr>
        <w:t>投标文件递交、开启</w:t>
      </w:r>
    </w:p>
    <w:p w14:paraId="4224C4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方式：报价单纸质（原件盖章）及相关资质材料（复印件盖章）密封顺丰邮寄或送达江苏医药职业学院行政楼206室，收件人：柏老师，联系电话：0515-88590086。</w:t>
      </w:r>
    </w:p>
    <w:p w14:paraId="11FAC3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送达（寄送）时间：202</w:t>
      </w:r>
      <w:r>
        <w:rPr>
          <w:rFonts w:hint="eastAsia" w:ascii="宋体" w:hAnsi="宋体" w:eastAsia="宋体" w:cs="Times New Roman"/>
          <w:b w:val="0"/>
          <w:bCs w:val="0"/>
          <w:color w:val="000000"/>
          <w:lang w:val="en-US" w:eastAsia="zh-CN"/>
        </w:rPr>
        <w:t>6</w:t>
      </w:r>
      <w:r>
        <w:rPr>
          <w:rFonts w:hint="eastAsia" w:ascii="宋体" w:hAnsi="宋体" w:eastAsia="宋体" w:cs="Times New Roman"/>
          <w:b w:val="0"/>
          <w:bCs w:val="0"/>
          <w:color w:val="000000"/>
        </w:rPr>
        <w:t>年</w:t>
      </w:r>
      <w:r>
        <w:rPr>
          <w:rFonts w:hint="eastAsia" w:ascii="宋体" w:hAnsi="宋体" w:cs="Times New Roman"/>
          <w:b w:val="0"/>
          <w:bCs w:val="0"/>
          <w:color w:val="000000"/>
          <w:lang w:val="en-US" w:eastAsia="zh-CN"/>
        </w:rPr>
        <w:t>4</w:t>
      </w:r>
      <w:r>
        <w:rPr>
          <w:rFonts w:hint="eastAsia" w:ascii="宋体" w:hAnsi="宋体" w:eastAsia="宋体" w:cs="Times New Roman"/>
          <w:b w:val="0"/>
          <w:bCs w:val="0"/>
          <w:color w:val="000000"/>
        </w:rPr>
        <w:t>月</w:t>
      </w:r>
      <w:r>
        <w:rPr>
          <w:rFonts w:hint="eastAsia" w:ascii="宋体" w:hAnsi="宋体" w:cs="Times New Roman"/>
          <w:b w:val="0"/>
          <w:bCs w:val="0"/>
          <w:color w:val="000000"/>
          <w:lang w:val="en-US" w:eastAsia="zh-CN"/>
        </w:rPr>
        <w:t>24</w:t>
      </w:r>
      <w:r>
        <w:rPr>
          <w:rFonts w:hint="eastAsia" w:ascii="宋体" w:hAnsi="宋体" w:eastAsia="宋体" w:cs="Times New Roman"/>
          <w:b w:val="0"/>
          <w:bCs w:val="0"/>
          <w:color w:val="000000"/>
        </w:rPr>
        <w:t>日15:00时止。未密封、逾期送达或者未送达指定地点的，不予接受。</w:t>
      </w:r>
    </w:p>
    <w:p w14:paraId="45EA049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开标时间：202</w:t>
      </w:r>
      <w:r>
        <w:rPr>
          <w:rFonts w:hint="eastAsia" w:ascii="宋体" w:hAnsi="宋体" w:eastAsia="宋体" w:cs="Times New Roman"/>
          <w:b w:val="0"/>
          <w:bCs w:val="0"/>
          <w:color w:val="000000"/>
          <w:lang w:val="en-US" w:eastAsia="zh-CN"/>
        </w:rPr>
        <w:t>6</w:t>
      </w:r>
      <w:r>
        <w:rPr>
          <w:rFonts w:hint="eastAsia" w:ascii="宋体" w:hAnsi="宋体" w:eastAsia="宋体" w:cs="Times New Roman"/>
          <w:b w:val="0"/>
          <w:bCs w:val="0"/>
          <w:color w:val="000000"/>
        </w:rPr>
        <w:t>年</w:t>
      </w:r>
      <w:r>
        <w:rPr>
          <w:rFonts w:hint="eastAsia" w:ascii="宋体" w:hAnsi="宋体" w:cs="Times New Roman"/>
          <w:b w:val="0"/>
          <w:bCs w:val="0"/>
          <w:color w:val="000000"/>
          <w:lang w:val="en-US" w:eastAsia="zh-CN"/>
        </w:rPr>
        <w:t>4</w:t>
      </w:r>
      <w:r>
        <w:rPr>
          <w:rFonts w:hint="eastAsia" w:ascii="宋体" w:hAnsi="宋体" w:eastAsia="宋体" w:cs="Times New Roman"/>
          <w:b w:val="0"/>
          <w:bCs w:val="0"/>
          <w:color w:val="000000"/>
        </w:rPr>
        <w:t>月</w:t>
      </w:r>
      <w:r>
        <w:rPr>
          <w:rFonts w:hint="eastAsia" w:ascii="宋体" w:hAnsi="宋体" w:cs="Times New Roman"/>
          <w:b w:val="0"/>
          <w:bCs w:val="0"/>
          <w:color w:val="000000"/>
          <w:lang w:val="en-US" w:eastAsia="zh-CN"/>
        </w:rPr>
        <w:t>24</w:t>
      </w:r>
      <w:r>
        <w:rPr>
          <w:rFonts w:hint="eastAsia" w:ascii="宋体" w:hAnsi="宋体" w:eastAsia="宋体" w:cs="Times New Roman"/>
          <w:b w:val="0"/>
          <w:bCs w:val="0"/>
          <w:color w:val="000000"/>
        </w:rPr>
        <w:t>日15:00</w:t>
      </w:r>
    </w:p>
    <w:p w14:paraId="6354055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开标地点：江苏医药职业学院行政楼210室</w:t>
      </w:r>
    </w:p>
    <w:p w14:paraId="561929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供应商应充分考虑投标文件邮寄在途时长，以及注重文件包装的严密性、防水性。供应商须自行承担邮寄标书丢失、破损等风险，以及投标被否决的后果。</w:t>
      </w:r>
    </w:p>
    <w:p w14:paraId="5BA63F1F">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kern w:val="0"/>
        </w:rPr>
      </w:pPr>
      <w:r>
        <w:rPr>
          <w:rFonts w:hint="eastAsia" w:ascii="宋体" w:hAnsi="宋体" w:cs="宋体"/>
          <w:b/>
          <w:color w:val="000000"/>
          <w:kern w:val="0"/>
          <w:lang w:eastAsia="zh-CN"/>
        </w:rPr>
        <w:t>五</w:t>
      </w:r>
      <w:r>
        <w:rPr>
          <w:rFonts w:hint="eastAsia" w:ascii="宋体" w:hAnsi="宋体" w:cs="宋体"/>
          <w:b/>
          <w:color w:val="000000"/>
          <w:kern w:val="0"/>
        </w:rPr>
        <w:t>、</w:t>
      </w:r>
      <w:r>
        <w:rPr>
          <w:rFonts w:hint="eastAsia" w:ascii="宋体" w:hAnsi="宋体" w:cs="宋体"/>
          <w:b/>
          <w:color w:val="000000"/>
        </w:rPr>
        <w:t>公告期限</w:t>
      </w:r>
      <w:r>
        <w:rPr>
          <w:rFonts w:hint="eastAsia" w:ascii="宋体" w:hAnsi="宋体"/>
          <w:b/>
          <w:bCs/>
          <w:color w:val="000000"/>
        </w:rPr>
        <w:t>：</w:t>
      </w:r>
      <w:r>
        <w:rPr>
          <w:rFonts w:hint="eastAsia" w:ascii="宋体" w:hAnsi="宋体" w:cs="宋体"/>
          <w:color w:val="000000"/>
          <w:kern w:val="0"/>
        </w:rPr>
        <w:t>自本公告发布之日起3个工作日</w:t>
      </w:r>
    </w:p>
    <w:p w14:paraId="69099F0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bCs/>
          <w:color w:val="000000"/>
          <w:szCs w:val="21"/>
        </w:rPr>
      </w:pPr>
      <w:r>
        <w:rPr>
          <w:rFonts w:hint="eastAsia" w:ascii="宋体" w:hAnsi="宋体"/>
          <w:b/>
          <w:bCs/>
          <w:color w:val="000000"/>
          <w:szCs w:val="21"/>
          <w:lang w:eastAsia="zh-CN"/>
        </w:rPr>
        <w:t>六</w:t>
      </w:r>
      <w:r>
        <w:rPr>
          <w:rFonts w:hint="eastAsia" w:ascii="宋体" w:hAnsi="宋体"/>
          <w:b/>
          <w:bCs/>
          <w:color w:val="000000"/>
          <w:szCs w:val="21"/>
        </w:rPr>
        <w:t>、</w:t>
      </w:r>
      <w:r>
        <w:rPr>
          <w:rFonts w:hint="eastAsia" w:ascii="宋体" w:hAnsi="宋体"/>
          <w:b/>
          <w:color w:val="000000"/>
          <w:szCs w:val="21"/>
        </w:rPr>
        <w:t>保证金（询价保证金）</w:t>
      </w:r>
      <w:r>
        <w:rPr>
          <w:rFonts w:hint="eastAsia" w:ascii="宋体" w:hAnsi="宋体"/>
          <w:b/>
          <w:bCs/>
          <w:color w:val="000000"/>
          <w:szCs w:val="21"/>
        </w:rPr>
        <w:t>：</w:t>
      </w:r>
      <w:r>
        <w:rPr>
          <w:rFonts w:hint="eastAsia" w:ascii="宋体" w:hAnsi="宋体" w:cs="宋体"/>
          <w:color w:val="000000"/>
          <w:szCs w:val="21"/>
        </w:rPr>
        <w:t>本项目不收</w:t>
      </w:r>
      <w:r>
        <w:rPr>
          <w:rFonts w:hint="eastAsia" w:ascii="宋体" w:hAnsi="宋体"/>
          <w:color w:val="000000"/>
          <w:szCs w:val="21"/>
        </w:rPr>
        <w:t>保证金。</w:t>
      </w:r>
    </w:p>
    <w:p w14:paraId="3A19776E">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b/>
          <w:color w:val="000000"/>
        </w:rPr>
      </w:pPr>
      <w:r>
        <w:rPr>
          <w:rFonts w:hint="eastAsia" w:ascii="宋体" w:hAnsi="宋体"/>
          <w:b/>
          <w:color w:val="000000"/>
          <w:lang w:eastAsia="zh-CN"/>
        </w:rPr>
        <w:t>七</w:t>
      </w:r>
      <w:r>
        <w:rPr>
          <w:rFonts w:hint="eastAsia" w:ascii="宋体" w:hAnsi="宋体"/>
          <w:b/>
          <w:color w:val="000000"/>
        </w:rPr>
        <w:t>、</w:t>
      </w:r>
      <w:r>
        <w:rPr>
          <w:rFonts w:hint="eastAsia" w:ascii="宋体" w:hAnsi="宋体" w:cs="宋体"/>
          <w:b/>
          <w:color w:val="000000"/>
        </w:rPr>
        <w:t>凡对本次采购提出询问，请按以下方式联系</w:t>
      </w:r>
    </w:p>
    <w:p w14:paraId="1F0C9A3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1.项目联系方式：</w:t>
      </w:r>
    </w:p>
    <w:p w14:paraId="552A02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项目联系人：贾老师；电话：18262395908；</w:t>
      </w:r>
    </w:p>
    <w:p w14:paraId="3D2C70C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bookmarkStart w:id="18" w:name="_Toc28359009"/>
      <w:bookmarkStart w:id="19" w:name="_Toc28359086"/>
      <w:r>
        <w:rPr>
          <w:rFonts w:hint="eastAsia" w:ascii="宋体" w:hAnsi="宋体"/>
          <w:color w:val="000000"/>
        </w:rPr>
        <w:t>2.</w:t>
      </w:r>
      <w:bookmarkEnd w:id="18"/>
      <w:bookmarkEnd w:id="19"/>
      <w:bookmarkStart w:id="20" w:name="_Toc28359010"/>
      <w:bookmarkStart w:id="21" w:name="_Toc28359087"/>
      <w:r>
        <w:rPr>
          <w:rFonts w:hint="eastAsia" w:ascii="宋体" w:hAnsi="宋体"/>
          <w:color w:val="000000"/>
        </w:rPr>
        <w:t>采购人信息：</w:t>
      </w:r>
    </w:p>
    <w:p w14:paraId="62BDD6E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名称：江苏医药职业学院；</w:t>
      </w:r>
    </w:p>
    <w:p w14:paraId="1E1102A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地址：盐城市解放南路283号行政楼208室</w:t>
      </w:r>
    </w:p>
    <w:p w14:paraId="50DB43D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联系方式：刘老师；电话：0515-88550311；</w:t>
      </w:r>
    </w:p>
    <w:p w14:paraId="6E11C3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3.</w:t>
      </w:r>
      <w:bookmarkEnd w:id="20"/>
      <w:bookmarkEnd w:id="21"/>
      <w:r>
        <w:rPr>
          <w:rFonts w:hint="eastAsia" w:ascii="宋体" w:hAnsi="宋体"/>
          <w:color w:val="000000"/>
        </w:rPr>
        <w:t>采购代理机构信息：名称：盐城市携手阳光集中采购代理有限公司；</w:t>
      </w:r>
    </w:p>
    <w:p w14:paraId="6F8E977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联系方式：万成杨；电话：17705100013；</w:t>
      </w:r>
    </w:p>
    <w:p w14:paraId="685080D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地址：盐城市府西路2号华邦国际西厦A（东）区302室（邮编224000）</w:t>
      </w:r>
    </w:p>
    <w:p w14:paraId="09257382">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b/>
          <w:bCs/>
          <w:color w:val="000000"/>
        </w:rPr>
      </w:pPr>
      <w:r>
        <w:rPr>
          <w:rFonts w:hint="eastAsia" w:ascii="宋体" w:hAnsi="宋体"/>
          <w:b/>
          <w:bCs/>
          <w:color w:val="000000"/>
        </w:rPr>
        <w:t>邮箱：xsyg007@163.com  </w:t>
      </w:r>
    </w:p>
    <w:p w14:paraId="3A66203A">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szCs w:val="21"/>
        </w:rPr>
      </w:pPr>
      <w:r>
        <w:rPr>
          <w:rFonts w:hint="eastAsia" w:ascii="宋体" w:hAnsi="宋体"/>
          <w:b/>
          <w:bCs/>
          <w:color w:val="000000"/>
        </w:rPr>
        <w:t>对项目需求部分的询问、质疑请向项目联系人提出，由项目联系人负责答复；对项目招标文件其它部分的询问、质疑向采购代理机构提出。</w:t>
      </w:r>
    </w:p>
    <w:p w14:paraId="5A9DEA5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color w:val="000000"/>
        </w:rPr>
      </w:pPr>
      <w:r>
        <w:rPr>
          <w:rFonts w:hint="eastAsia" w:ascii="宋体" w:hAnsi="宋体"/>
          <w:b/>
          <w:color w:val="000000"/>
          <w:lang w:eastAsia="zh-CN"/>
        </w:rPr>
        <w:t>八</w:t>
      </w:r>
      <w:r>
        <w:rPr>
          <w:rFonts w:hint="eastAsia" w:ascii="宋体" w:hAnsi="宋体"/>
          <w:b/>
          <w:color w:val="000000"/>
        </w:rPr>
        <w:t>、其他补充事宜</w:t>
      </w:r>
    </w:p>
    <w:p w14:paraId="6408F770">
      <w:pPr>
        <w:keepNext w:val="0"/>
        <w:keepLines w:val="0"/>
        <w:pageBreakBefore w:val="0"/>
        <w:widowControl w:val="0"/>
        <w:kinsoku/>
        <w:wordWrap/>
        <w:overflowPunct/>
        <w:topLinePunct w:val="0"/>
        <w:autoSpaceDE/>
        <w:autoSpaceDN/>
        <w:bidi w:val="0"/>
        <w:adjustRightInd/>
        <w:snapToGrid/>
        <w:spacing w:line="500" w:lineRule="exact"/>
        <w:ind w:firstLine="411" w:firstLineChars="196"/>
        <w:textAlignment w:val="auto"/>
        <w:rPr>
          <w:rFonts w:ascii="宋体" w:hAnsi="宋体"/>
          <w:b/>
          <w:color w:val="000000"/>
        </w:rPr>
      </w:pPr>
      <w:r>
        <w:rPr>
          <w:rFonts w:hint="eastAsia"/>
          <w:color w:val="000000"/>
          <w:szCs w:val="21"/>
        </w:rPr>
        <w:t>本次采购活动中，</w:t>
      </w:r>
      <w:r>
        <w:rPr>
          <w:rFonts w:hint="eastAsia" w:ascii="宋体" w:hAnsi="宋体"/>
          <w:color w:val="000000"/>
          <w:szCs w:val="21"/>
        </w:rPr>
        <w:t>盐城市携手阳光集中采购代理有限公司可简称为携手阳光公司</w:t>
      </w:r>
    </w:p>
    <w:p w14:paraId="008097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b/>
          <w:color w:val="000000"/>
        </w:rPr>
      </w:pPr>
      <w:r>
        <w:rPr>
          <w:rFonts w:hint="eastAsia" w:ascii="宋体" w:hAnsi="宋体"/>
          <w:color w:val="000000"/>
          <w:szCs w:val="21"/>
        </w:rPr>
        <w:t>欢迎对携手阳光公司的服务质量、业务水平进行监督（柏经理，18662096009）</w:t>
      </w:r>
    </w:p>
    <w:p w14:paraId="0F10E74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b/>
          <w:color w:val="000000"/>
        </w:rPr>
      </w:pPr>
      <w:r>
        <w:rPr>
          <w:rFonts w:hint="eastAsia"/>
          <w:color w:val="000000"/>
        </w:rPr>
        <w:t>本项目鼓励供应商开展信用担保（0515-88285999）</w:t>
      </w:r>
      <w:r>
        <w:rPr>
          <w:rFonts w:hint="eastAsia" w:ascii="宋体" w:hAnsi="宋体"/>
          <w:color w:val="000000"/>
          <w:szCs w:val="21"/>
        </w:rPr>
        <w:t>、扶持不发达地区等政府采购政策</w:t>
      </w:r>
    </w:p>
    <w:p w14:paraId="35AF0BD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color w:val="000000"/>
        </w:rPr>
      </w:pPr>
      <w:r>
        <w:rPr>
          <w:rFonts w:hint="eastAsia" w:ascii="宋体" w:hAnsi="宋体"/>
          <w:color w:val="000000"/>
          <w:szCs w:val="21"/>
        </w:rPr>
        <w:t>本次采购使用时间</w:t>
      </w:r>
      <w:r>
        <w:rPr>
          <w:rFonts w:hint="eastAsia" w:ascii="宋体" w:hAnsi="宋体" w:cs="宋体"/>
          <w:color w:val="000000"/>
          <w:szCs w:val="21"/>
        </w:rPr>
        <w:t>为北京时间（24小时制）</w:t>
      </w:r>
      <w:r>
        <w:rPr>
          <w:rFonts w:hint="eastAsia" w:ascii="宋体" w:hAnsi="宋体"/>
          <w:color w:val="000000"/>
          <w:szCs w:val="21"/>
        </w:rPr>
        <w:t>，货币单位为人民币</w:t>
      </w:r>
    </w:p>
    <w:p w14:paraId="358C165C">
      <w:pPr>
        <w:pStyle w:val="8"/>
        <w:keepNext w:val="0"/>
        <w:keepLines w:val="0"/>
        <w:pageBreakBefore w:val="0"/>
        <w:widowControl w:val="0"/>
        <w:kinsoku/>
        <w:wordWrap/>
        <w:overflowPunct/>
        <w:topLinePunct w:val="0"/>
        <w:autoSpaceDE/>
        <w:autoSpaceDN/>
        <w:bidi w:val="0"/>
        <w:adjustRightInd/>
        <w:snapToGrid/>
        <w:spacing w:line="500" w:lineRule="exact"/>
        <w:textAlignment w:val="auto"/>
        <w:rPr>
          <w:color w:val="000000"/>
        </w:rPr>
      </w:pPr>
    </w:p>
    <w:p w14:paraId="460D702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宋体" w:hAnsi="宋体"/>
          <w:color w:val="000000"/>
          <w:szCs w:val="21"/>
        </w:rPr>
      </w:pPr>
      <w:r>
        <w:rPr>
          <w:rFonts w:hint="eastAsia" w:ascii="宋体" w:hAnsi="宋体"/>
          <w:color w:val="000000"/>
          <w:szCs w:val="21"/>
        </w:rPr>
        <w:t>盐城市携手阳光集中采购代理有限公司</w:t>
      </w:r>
    </w:p>
    <w:p w14:paraId="037F152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color w:val="000000"/>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w:t>
      </w:r>
      <w:bookmarkStart w:id="22" w:name="_Toc61149549"/>
      <w:bookmarkStart w:id="23" w:name="_Toc14577347"/>
      <w:bookmarkStart w:id="24" w:name="_Toc513029209"/>
    </w:p>
    <w:p w14:paraId="402BD4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b/>
          <w:color w:val="000000"/>
          <w:sz w:val="28"/>
          <w:szCs w:val="28"/>
        </w:rPr>
      </w:pPr>
      <w:bookmarkStart w:id="25" w:name="_Toc184029940"/>
    </w:p>
    <w:p w14:paraId="592BBC8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b/>
          <w:color w:val="000000"/>
          <w:sz w:val="28"/>
          <w:szCs w:val="28"/>
        </w:rPr>
      </w:pPr>
    </w:p>
    <w:p w14:paraId="572738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b/>
          <w:color w:val="000000"/>
          <w:sz w:val="28"/>
          <w:szCs w:val="28"/>
        </w:rPr>
      </w:pPr>
    </w:p>
    <w:p w14:paraId="62CC7E49">
      <w:pPr>
        <w:spacing w:line="398" w:lineRule="exact"/>
        <w:jc w:val="both"/>
        <w:outlineLvl w:val="0"/>
        <w:rPr>
          <w:rFonts w:hint="eastAsia" w:ascii="宋体" w:hAnsi="宋体"/>
          <w:b/>
          <w:color w:val="000000"/>
          <w:sz w:val="28"/>
          <w:szCs w:val="28"/>
        </w:rPr>
      </w:pPr>
    </w:p>
    <w:p w14:paraId="15C9CCC2">
      <w:pPr>
        <w:spacing w:line="398" w:lineRule="exact"/>
        <w:jc w:val="center"/>
        <w:outlineLvl w:val="0"/>
        <w:rPr>
          <w:rFonts w:ascii="宋体" w:hAnsi="宋体"/>
          <w:b/>
          <w:color w:val="000000"/>
          <w:sz w:val="28"/>
          <w:szCs w:val="28"/>
        </w:rPr>
      </w:pPr>
      <w:r>
        <w:rPr>
          <w:rFonts w:hint="eastAsia" w:ascii="宋体" w:hAnsi="宋体"/>
          <w:b/>
          <w:color w:val="000000"/>
          <w:sz w:val="28"/>
          <w:szCs w:val="28"/>
        </w:rPr>
        <w:t>第二章  供货商须知</w:t>
      </w:r>
      <w:bookmarkEnd w:id="25"/>
    </w:p>
    <w:bookmarkEnd w:id="22"/>
    <w:bookmarkEnd w:id="23"/>
    <w:bookmarkEnd w:id="24"/>
    <w:tbl>
      <w:tblPr>
        <w:tblStyle w:val="27"/>
        <w:tblW w:w="9777"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6"/>
        <w:gridCol w:w="8471"/>
      </w:tblGrid>
      <w:tr w14:paraId="1C791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trPr>
        <w:tc>
          <w:tcPr>
            <w:tcW w:w="1306" w:type="dxa"/>
            <w:vAlign w:val="center"/>
          </w:tcPr>
          <w:p w14:paraId="2C25BB6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条款号/名称</w:t>
            </w:r>
          </w:p>
        </w:tc>
        <w:tc>
          <w:tcPr>
            <w:tcW w:w="8471" w:type="dxa"/>
            <w:vAlign w:val="center"/>
          </w:tcPr>
          <w:p w14:paraId="4603880C">
            <w:pPr>
              <w:keepNext w:val="0"/>
              <w:keepLines w:val="0"/>
              <w:pageBreakBefore w:val="0"/>
              <w:widowControl w:val="0"/>
              <w:kinsoku/>
              <w:wordWrap/>
              <w:overflowPunct/>
              <w:topLinePunct w:val="0"/>
              <w:autoSpaceDE/>
              <w:autoSpaceDN/>
              <w:bidi w:val="0"/>
              <w:adjustRightInd/>
              <w:snapToGrid/>
              <w:spacing w:line="480" w:lineRule="auto"/>
              <w:ind w:firstLine="422"/>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      容</w:t>
            </w:r>
          </w:p>
        </w:tc>
      </w:tr>
      <w:tr w14:paraId="2C808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trPr>
        <w:tc>
          <w:tcPr>
            <w:tcW w:w="1306" w:type="dxa"/>
            <w:vAlign w:val="center"/>
          </w:tcPr>
          <w:p w14:paraId="487873B8">
            <w:pPr>
              <w:keepNext w:val="0"/>
              <w:keepLines w:val="0"/>
              <w:pageBreakBefore w:val="0"/>
              <w:widowControl w:val="0"/>
              <w:kinsoku/>
              <w:wordWrap/>
              <w:overflowPunct/>
              <w:topLinePunct w:val="0"/>
              <w:autoSpaceDE/>
              <w:autoSpaceDN/>
              <w:bidi w:val="0"/>
              <w:adjustRightInd/>
              <w:snapToGrid/>
              <w:spacing w:line="480" w:lineRule="auto"/>
              <w:ind w:firstLine="422"/>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说明</w:t>
            </w:r>
          </w:p>
        </w:tc>
        <w:tc>
          <w:tcPr>
            <w:tcW w:w="8471" w:type="dxa"/>
            <w:vAlign w:val="center"/>
          </w:tcPr>
          <w:p w14:paraId="1D4A2763">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江苏医药职业学院是省卫健委直属全日制公办专科层次普通高等学校。本项目预算未达到现时有效的政府采购的限额标准，同时本项目的采购内容也未列入现时有效的集中采购目录，因此，本项目并不属于政府采购项目。</w:t>
            </w:r>
          </w:p>
        </w:tc>
      </w:tr>
      <w:tr w14:paraId="05DAA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14:paraId="26F0E3BF">
            <w:pPr>
              <w:keepNext w:val="0"/>
              <w:keepLines w:val="0"/>
              <w:pageBreakBefore w:val="0"/>
              <w:widowControl w:val="0"/>
              <w:kinsoku/>
              <w:wordWrap/>
              <w:overflowPunct/>
              <w:topLinePunct w:val="0"/>
              <w:autoSpaceDE/>
              <w:autoSpaceDN/>
              <w:bidi w:val="0"/>
              <w:adjustRightInd/>
              <w:snapToGrid/>
              <w:spacing w:line="480" w:lineRule="auto"/>
              <w:ind w:firstLine="42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适用</w:t>
            </w:r>
          </w:p>
          <w:p w14:paraId="6D528BA8">
            <w:pPr>
              <w:keepNext w:val="0"/>
              <w:keepLines w:val="0"/>
              <w:pageBreakBefore w:val="0"/>
              <w:widowControl w:val="0"/>
              <w:kinsoku/>
              <w:wordWrap/>
              <w:overflowPunct/>
              <w:topLinePunct w:val="0"/>
              <w:autoSpaceDE/>
              <w:autoSpaceDN/>
              <w:bidi w:val="0"/>
              <w:adjustRightInd/>
              <w:snapToGrid/>
              <w:spacing w:line="480" w:lineRule="auto"/>
              <w:ind w:firstLine="42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法律</w:t>
            </w:r>
          </w:p>
        </w:tc>
        <w:tc>
          <w:tcPr>
            <w:tcW w:w="8471" w:type="dxa"/>
            <w:vAlign w:val="center"/>
          </w:tcPr>
          <w:p w14:paraId="174B0272">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sz w:val="21"/>
                <w:szCs w:val="21"/>
              </w:rPr>
              <w:t>本次采购适用于招标人的内控制度（政府采购限额以下项目或非必招项目）。为规范采购活动，携手阳光公司参照政府采购程序组织本次采购活动。</w:t>
            </w:r>
          </w:p>
        </w:tc>
      </w:tr>
      <w:tr w14:paraId="6925B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14:paraId="3024AE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与投标人的联系</w:t>
            </w:r>
          </w:p>
        </w:tc>
        <w:tc>
          <w:tcPr>
            <w:tcW w:w="8471" w:type="dxa"/>
            <w:vAlign w:val="center"/>
          </w:tcPr>
          <w:p w14:paraId="57F1083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法律法规中规定招标人、采购代理机构须以书面形式通知投标人的，为提高政府采购效率，招标人、采购代理机构可以以电子邮件</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"mailto:XSYG0515@163.COM"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b/>
                <w:sz w:val="21"/>
                <w:szCs w:val="21"/>
              </w:rPr>
              <w:t>xsyg007@163.com</w:t>
            </w:r>
            <w:r>
              <w:rPr>
                <w:rFonts w:hint="eastAsia" w:asciiTheme="minorEastAsia" w:hAnsiTheme="minorEastAsia" w:eastAsiaTheme="minorEastAsia" w:cstheme="minorEastAsia"/>
                <w:b/>
                <w:sz w:val="21"/>
                <w:szCs w:val="21"/>
              </w:rPr>
              <w:fldChar w:fldCharType="end"/>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rPr>
              <w:t>方式通知投标人（视为书面通知）</w:t>
            </w:r>
          </w:p>
        </w:tc>
      </w:tr>
      <w:tr w14:paraId="39D75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14:paraId="6B820F42">
            <w:pPr>
              <w:keepNext w:val="0"/>
              <w:keepLines w:val="0"/>
              <w:pageBreakBefore w:val="0"/>
              <w:widowControl w:val="0"/>
              <w:kinsoku/>
              <w:wordWrap/>
              <w:overflowPunct/>
              <w:topLinePunct w:val="0"/>
              <w:autoSpaceDE/>
              <w:autoSpaceDN/>
              <w:bidi w:val="0"/>
              <w:adjustRightInd/>
              <w:snapToGrid/>
              <w:spacing w:line="480" w:lineRule="auto"/>
              <w:ind w:firstLine="211" w:firstLineChars="1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招标文件</w:t>
            </w:r>
          </w:p>
        </w:tc>
        <w:tc>
          <w:tcPr>
            <w:tcW w:w="8471" w:type="dxa"/>
            <w:vAlign w:val="center"/>
          </w:tcPr>
          <w:p w14:paraId="5E462EF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投标人一旦参加本项目采购活动，即代表投标人已阅读了本招标文件每一条条款，并接受了本招标文件所有的规定和约束。</w:t>
            </w:r>
          </w:p>
        </w:tc>
      </w:tr>
      <w:tr w14:paraId="198D1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1306" w:type="dxa"/>
            <w:vAlign w:val="center"/>
          </w:tcPr>
          <w:p w14:paraId="5073085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投标有效期</w:t>
            </w:r>
          </w:p>
        </w:tc>
        <w:tc>
          <w:tcPr>
            <w:tcW w:w="8471" w:type="dxa"/>
            <w:vAlign w:val="center"/>
          </w:tcPr>
          <w:p w14:paraId="7DDDCA6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自投标截止之日起60个日历日</w:t>
            </w:r>
          </w:p>
        </w:tc>
      </w:tr>
      <w:tr w14:paraId="07374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14:paraId="4C0DED96">
            <w:pPr>
              <w:keepNext w:val="0"/>
              <w:keepLines w:val="0"/>
              <w:pageBreakBefore w:val="0"/>
              <w:widowControl w:val="0"/>
              <w:kinsoku/>
              <w:wordWrap/>
              <w:overflowPunct/>
              <w:topLinePunct w:val="0"/>
              <w:autoSpaceDE/>
              <w:autoSpaceDN/>
              <w:bidi w:val="0"/>
              <w:adjustRightInd/>
              <w:snapToGrid/>
              <w:spacing w:line="480" w:lineRule="auto"/>
              <w:ind w:firstLine="422"/>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文件</w:t>
            </w:r>
          </w:p>
        </w:tc>
        <w:tc>
          <w:tcPr>
            <w:tcW w:w="8471" w:type="dxa"/>
            <w:vAlign w:val="center"/>
          </w:tcPr>
          <w:p w14:paraId="14B44FBC">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投标文件（每个分包）：正本：1份、副本：4份（建议正本与副本分开封装），同时递交一份电子版投标文件（U盘）。</w:t>
            </w:r>
          </w:p>
        </w:tc>
      </w:tr>
      <w:tr w14:paraId="7A68A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3" w:hRule="atLeast"/>
        </w:trPr>
        <w:tc>
          <w:tcPr>
            <w:tcW w:w="1306" w:type="dxa"/>
            <w:vAlign w:val="center"/>
          </w:tcPr>
          <w:p w14:paraId="725C04A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履约保证金</w:t>
            </w:r>
          </w:p>
        </w:tc>
        <w:tc>
          <w:tcPr>
            <w:tcW w:w="8471" w:type="dxa"/>
            <w:vAlign w:val="center"/>
          </w:tcPr>
          <w:p w14:paraId="7AE53D8A">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在签订合同前，中标人需向招标人交纳履约保证金（</w:t>
            </w:r>
            <w:r>
              <w:rPr>
                <w:rFonts w:hint="eastAsia" w:asciiTheme="minorEastAsia" w:hAnsiTheme="minorEastAsia" w:eastAsiaTheme="minorEastAsia" w:cstheme="minorEastAsia"/>
                <w:b/>
                <w:bCs/>
                <w:sz w:val="21"/>
                <w:szCs w:val="21"/>
              </w:rPr>
              <w:t>以支票、汇票、本票或者金融机构、担保机构出具的保函等非现金形式提交履约保证金。</w:t>
            </w:r>
            <w:r>
              <w:rPr>
                <w:rFonts w:hint="eastAsia" w:asciiTheme="minorEastAsia" w:hAnsiTheme="minorEastAsia" w:eastAsiaTheme="minorEastAsia" w:cstheme="minorEastAsia"/>
                <w:sz w:val="21"/>
                <w:szCs w:val="21"/>
              </w:rPr>
              <w:t>请将履约保证金相关凭证发送至QQ邮箱：</w:t>
            </w:r>
            <w:r>
              <w:rPr>
                <w:rFonts w:hint="eastAsia" w:asciiTheme="minorEastAsia" w:hAnsiTheme="minorEastAsia" w:eastAsiaTheme="minorEastAsia" w:cstheme="minorEastAsia"/>
                <w:color w:val="auto"/>
                <w:sz w:val="21"/>
                <w:szCs w:val="21"/>
                <w:u w:val="none"/>
              </w:rPr>
              <w:t>532223373@qq.com），具体金额为</w:t>
            </w:r>
            <w:r>
              <w:rPr>
                <w:rFonts w:hint="eastAsia" w:asciiTheme="minorEastAsia" w:hAnsiTheme="minorEastAsia" w:eastAsiaTheme="minorEastAsia" w:cstheme="minorEastAsia"/>
                <w:color w:val="auto"/>
                <w:sz w:val="21"/>
                <w:szCs w:val="21"/>
                <w:u w:val="none"/>
                <w:lang w:val="en-US" w:eastAsia="zh-CN"/>
              </w:rPr>
              <w:t>合同价的5%</w:t>
            </w:r>
            <w:r>
              <w:rPr>
                <w:rFonts w:hint="eastAsia" w:asciiTheme="minorEastAsia" w:hAnsiTheme="minorEastAsia" w:eastAsiaTheme="minorEastAsia" w:cstheme="minorEastAsia"/>
                <w:color w:val="auto"/>
                <w:sz w:val="21"/>
                <w:szCs w:val="21"/>
                <w:u w:val="none"/>
              </w:rPr>
              <w:t>。拟中标人应当按照招标人的要求及时、足额缴纳履约保证金，履约保证金待项目履约结束后一次性无息退还。（凭“保证金请退函”到学校国资处办理退款手续）。如果中标人不履行合同约定的义务，未能完全履行合同规定的义务或其履行不符合合同的约定，招标人有权扣除履约保证金取得补偿。</w:t>
            </w:r>
            <w:bookmarkStart w:id="26" w:name="_Toc118235408"/>
          </w:p>
          <w:p w14:paraId="7322D957">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具体履约保证金事项详见：《供货商须知》六、</w:t>
            </w:r>
            <w:r>
              <w:rPr>
                <w:rFonts w:hint="eastAsia" w:asciiTheme="minorEastAsia" w:hAnsiTheme="minorEastAsia" w:eastAsiaTheme="minorEastAsia" w:cstheme="minorEastAsia"/>
                <w:b/>
                <w:bCs/>
                <w:sz w:val="21"/>
                <w:szCs w:val="21"/>
                <w:lang w:eastAsia="zh-CN"/>
              </w:rPr>
              <w:t>履约保证金</w:t>
            </w:r>
            <w:r>
              <w:rPr>
                <w:rFonts w:hint="eastAsia" w:asciiTheme="minorEastAsia" w:hAnsiTheme="minorEastAsia" w:eastAsiaTheme="minorEastAsia" w:cstheme="minorEastAsia"/>
                <w:b/>
                <w:bCs/>
                <w:sz w:val="21"/>
                <w:szCs w:val="21"/>
              </w:rPr>
              <w:t>相关事项。</w:t>
            </w:r>
            <w:bookmarkEnd w:id="26"/>
          </w:p>
        </w:tc>
      </w:tr>
      <w:tr w14:paraId="7EEEE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306" w:type="dxa"/>
            <w:vAlign w:val="center"/>
          </w:tcPr>
          <w:p w14:paraId="7D66BBE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代理服务费</w:t>
            </w:r>
          </w:p>
        </w:tc>
        <w:tc>
          <w:tcPr>
            <w:tcW w:w="8471" w:type="dxa"/>
            <w:vAlign w:val="center"/>
          </w:tcPr>
          <w:p w14:paraId="5DA1835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代理服务费（中标服务费）：本项目的代理服务费由中标人承担。</w:t>
            </w:r>
          </w:p>
          <w:p w14:paraId="0116719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代理服务费收费标准：为方便计算，代理服务费参照原《招标代理服务收费管理暂行办法》（计价格[2002]1980号）收费标准40%计取，（如低于3000元的，按3000元计取）。</w:t>
            </w:r>
          </w:p>
        </w:tc>
      </w:tr>
      <w:tr w14:paraId="62C97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8" w:hRule="atLeast"/>
        </w:trPr>
        <w:tc>
          <w:tcPr>
            <w:tcW w:w="1306" w:type="dxa"/>
            <w:vAlign w:val="center"/>
          </w:tcPr>
          <w:p w14:paraId="7383A4B4">
            <w:pPr>
              <w:keepNext w:val="0"/>
              <w:keepLines w:val="0"/>
              <w:pageBreakBefore w:val="0"/>
              <w:widowControl w:val="0"/>
              <w:kinsoku/>
              <w:wordWrap/>
              <w:overflowPunct/>
              <w:topLinePunct w:val="0"/>
              <w:autoSpaceDE/>
              <w:autoSpaceDN/>
              <w:bidi w:val="0"/>
              <w:adjustRightInd/>
              <w:snapToGrid/>
              <w:spacing w:line="480" w:lineRule="auto"/>
              <w:ind w:firstLine="211" w:firstLineChars="1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sz w:val="21"/>
                <w:szCs w:val="21"/>
              </w:rPr>
              <w:t>责任说明</w:t>
            </w:r>
          </w:p>
        </w:tc>
        <w:tc>
          <w:tcPr>
            <w:tcW w:w="8471" w:type="dxa"/>
            <w:vAlign w:val="center"/>
          </w:tcPr>
          <w:p w14:paraId="2C3B239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所投产品除招标文件中明确规定要求提供官网截图或相应检测报告的证明材料以外，所有技术参数描述均以投标文件为准。投标人对所投产品技术参数的真实性承担法律责任。项目招标结束后、质疑期限内，如有质疑供应商认为中标供应商所投产品、投标文件技术参数与招标需求存在重大偏离、错误、甚至造假的情况，应提供具体有效的证明材料。</w:t>
            </w:r>
          </w:p>
        </w:tc>
      </w:tr>
    </w:tbl>
    <w:p w14:paraId="3A35811F">
      <w:pPr>
        <w:spacing w:line="320" w:lineRule="exact"/>
        <w:jc w:val="center"/>
        <w:rPr>
          <w:rFonts w:ascii="宋体" w:hAnsi="宋体"/>
          <w:b/>
          <w:color w:val="000000"/>
          <w:sz w:val="18"/>
          <w:szCs w:val="18"/>
        </w:rPr>
      </w:pPr>
      <w:r>
        <w:rPr>
          <w:rFonts w:hint="eastAsia" w:ascii="宋体" w:hAnsi="宋体" w:cs="宋体"/>
          <w:b/>
          <w:bCs/>
          <w:color w:val="000000"/>
          <w:sz w:val="18"/>
          <w:szCs w:val="18"/>
        </w:rPr>
        <w:t>一、</w:t>
      </w:r>
      <w:r>
        <w:rPr>
          <w:rFonts w:hint="eastAsia" w:ascii="宋体" w:hAnsi="宋体"/>
          <w:b/>
          <w:color w:val="000000"/>
          <w:sz w:val="18"/>
          <w:szCs w:val="18"/>
        </w:rPr>
        <w:t>总则</w:t>
      </w:r>
    </w:p>
    <w:p w14:paraId="4C2390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1、特别说明</w:t>
      </w:r>
    </w:p>
    <w:p w14:paraId="786903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1.1</w:t>
      </w:r>
      <w:r>
        <w:rPr>
          <w:rFonts w:hint="eastAsia"/>
          <w:b/>
          <w:color w:val="000000"/>
          <w:szCs w:val="21"/>
        </w:rPr>
        <w:t>本次采购适用于</w:t>
      </w:r>
      <w:r>
        <w:rPr>
          <w:rFonts w:hint="eastAsia" w:ascii="宋体"/>
          <w:b/>
          <w:color w:val="000000"/>
          <w:szCs w:val="21"/>
        </w:rPr>
        <w:t>采购人的内控制度</w:t>
      </w:r>
      <w:r>
        <w:rPr>
          <w:rFonts w:hint="eastAsia"/>
          <w:b/>
          <w:color w:val="000000"/>
          <w:szCs w:val="21"/>
        </w:rPr>
        <w:t>（政府采购限额以下项目）</w:t>
      </w:r>
      <w:r>
        <w:rPr>
          <w:rFonts w:hint="eastAsia" w:ascii="宋体"/>
          <w:b/>
          <w:color w:val="000000"/>
          <w:szCs w:val="21"/>
        </w:rPr>
        <w:t>。</w:t>
      </w:r>
      <w:r>
        <w:rPr>
          <w:rFonts w:hint="eastAsia"/>
          <w:b/>
          <w:color w:val="000000"/>
          <w:szCs w:val="21"/>
        </w:rPr>
        <w:t>为规范采购活动，</w:t>
      </w:r>
      <w:r>
        <w:rPr>
          <w:rFonts w:hint="eastAsia" w:ascii="宋体"/>
          <w:b/>
          <w:color w:val="000000"/>
          <w:szCs w:val="21"/>
        </w:rPr>
        <w:t>携手阳光公司</w:t>
      </w:r>
      <w:r>
        <w:rPr>
          <w:rFonts w:hint="eastAsia"/>
          <w:b/>
          <w:color w:val="000000"/>
          <w:szCs w:val="21"/>
        </w:rPr>
        <w:t>参照政府采购程序组织本次采购活动。</w:t>
      </w:r>
      <w:r>
        <w:rPr>
          <w:rFonts w:hint="eastAsia" w:ascii="宋体"/>
          <w:color w:val="000000"/>
          <w:szCs w:val="21"/>
        </w:rPr>
        <w:t>本次采购及由此产生的合同受中华人民共和国有关的法律法规制约和保护</w:t>
      </w:r>
      <w:r>
        <w:rPr>
          <w:rFonts w:ascii="宋体"/>
          <w:color w:val="000000"/>
          <w:szCs w:val="21"/>
        </w:rPr>
        <w:t>。</w:t>
      </w:r>
    </w:p>
    <w:p w14:paraId="1770AE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1.2本采购文件采购代理机构是指盐城市携手阳光集中采购代理有限公司（本采购文件可简称：携手阳光公司）；</w:t>
      </w:r>
    </w:p>
    <w:p w14:paraId="5D561A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1.3本采购文件中未尽事宜遵照《政府采购法》和国家有关规定处理；</w:t>
      </w:r>
    </w:p>
    <w:p w14:paraId="4556B9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1.4</w:t>
      </w:r>
      <w:r>
        <w:rPr>
          <w:rFonts w:hint="eastAsia" w:ascii="宋体"/>
          <w:b/>
          <w:color w:val="000000"/>
          <w:szCs w:val="21"/>
        </w:rPr>
        <w:t>★特别说明（约定性条款）：供应商获取本采购文件后，必须完全阅知采购文件全部内容及相关事宜。携手阳光公司不能保证采购文件绝对的无编辑错误，如采购文件中有表述不清或不完整的（包括界定不清、形容不清、可多层理解或解释的等任何情形），供应商必须（有责任及义务）以电邮或书面方式（均须加盖公章）向携手阳光公司提出询问。如供应商投标前未向携手阳光公司提出询问的，视为供应商完全认同“本采购文件所有的理解或解释均以携手阳光公司解释为准（本采购文件所有的解释权完全归携手阳光公司所有）”</w:t>
      </w:r>
      <w:r>
        <w:rPr>
          <w:rFonts w:hint="eastAsia" w:ascii="宋体"/>
          <w:color w:val="000000"/>
          <w:szCs w:val="21"/>
        </w:rPr>
        <w:t>；在法律法规许可范围内，本采购文件的解释权属于盐城市携手阳光集中采购代理有限公司；</w:t>
      </w:r>
    </w:p>
    <w:p w14:paraId="0C2AC9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1.5在法律法规许可范围内，</w:t>
      </w:r>
      <w:r>
        <w:rPr>
          <w:rFonts w:hint="eastAsia" w:ascii="宋体" w:cs="宋体"/>
          <w:color w:val="000000"/>
          <w:kern w:val="0"/>
          <w:szCs w:val="21"/>
        </w:rPr>
        <w:t>按照有利于采购人采购项目实施的原则处理本项目的所有争议。</w:t>
      </w:r>
    </w:p>
    <w:p w14:paraId="1311AF7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cs="宋体"/>
          <w:color w:val="000000"/>
          <w:szCs w:val="21"/>
        </w:rPr>
      </w:pPr>
      <w:r>
        <w:rPr>
          <w:rFonts w:hint="eastAsia" w:ascii="宋体" w:cs="宋体"/>
          <w:b/>
          <w:bCs/>
          <w:color w:val="000000"/>
          <w:szCs w:val="21"/>
        </w:rPr>
        <w:t>2、投标费用：</w:t>
      </w:r>
      <w:r>
        <w:rPr>
          <w:rFonts w:hint="eastAsia" w:ascii="宋体" w:cs="宋体"/>
          <w:color w:val="000000"/>
          <w:szCs w:val="21"/>
        </w:rPr>
        <w:t>供应商应自行承担所有与参加询价响应有关的费用。无论采购过程中的做法和结果如何，采购人</w:t>
      </w:r>
      <w:r>
        <w:rPr>
          <w:rFonts w:hint="eastAsia" w:ascii="宋体"/>
          <w:color w:val="000000"/>
          <w:szCs w:val="21"/>
        </w:rPr>
        <w:t>及</w:t>
      </w:r>
      <w:r>
        <w:rPr>
          <w:rFonts w:hint="eastAsia" w:ascii="宋体" w:cs="仿宋"/>
          <w:bCs/>
          <w:color w:val="000000"/>
          <w:szCs w:val="21"/>
        </w:rPr>
        <w:t>携手阳光公司</w:t>
      </w:r>
      <w:r>
        <w:rPr>
          <w:rFonts w:hint="eastAsia" w:ascii="宋体"/>
          <w:color w:val="000000"/>
          <w:szCs w:val="21"/>
        </w:rPr>
        <w:t>在任何情况下均无义务和责任承担这些费用。</w:t>
      </w:r>
    </w:p>
    <w:p w14:paraId="3C174A4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bCs/>
          <w:color w:val="000000"/>
          <w:szCs w:val="21"/>
        </w:rPr>
      </w:pPr>
      <w:r>
        <w:rPr>
          <w:rFonts w:hint="eastAsia" w:ascii="宋体" w:cs="宋体"/>
          <w:b/>
          <w:bCs/>
          <w:color w:val="000000"/>
          <w:szCs w:val="21"/>
        </w:rPr>
        <w:t>3、采购文件的约束力：</w:t>
      </w:r>
      <w:r>
        <w:rPr>
          <w:rFonts w:hint="eastAsia" w:ascii="宋体" w:cs="宋体"/>
          <w:color w:val="000000"/>
          <w:spacing w:val="15"/>
          <w:kern w:val="0"/>
          <w:szCs w:val="21"/>
        </w:rPr>
        <w:t>供应商</w:t>
      </w:r>
      <w:r>
        <w:rPr>
          <w:rFonts w:hint="eastAsia" w:ascii="宋体" w:cs="宋体"/>
          <w:color w:val="000000"/>
          <w:szCs w:val="21"/>
        </w:rPr>
        <w:t>一旦下载了本采购文件并参加投标</w:t>
      </w:r>
      <w:r>
        <w:rPr>
          <w:rFonts w:hint="eastAsia" w:ascii="宋体"/>
          <w:color w:val="000000"/>
          <w:szCs w:val="21"/>
        </w:rPr>
        <w:t>（参加询价响应）</w:t>
      </w:r>
      <w:r>
        <w:rPr>
          <w:rFonts w:hint="eastAsia" w:ascii="宋体" w:cs="宋体"/>
          <w:color w:val="000000"/>
          <w:szCs w:val="21"/>
        </w:rPr>
        <w:t>，即代表供应商已阅读了本采购文件每一条条款，并接受了本采购文件所有的规定和约束。</w:t>
      </w:r>
      <w:r>
        <w:rPr>
          <w:rFonts w:hint="eastAsia" w:ascii="宋体"/>
          <w:color w:val="000000"/>
          <w:szCs w:val="21"/>
        </w:rPr>
        <w:t>并且视为自采购公告期限届满之日起已经知道或应当知道自身权益是否受到了损害。</w:t>
      </w:r>
    </w:p>
    <w:p w14:paraId="33716B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olor w:val="000000"/>
          <w:szCs w:val="21"/>
        </w:rPr>
      </w:pPr>
      <w:r>
        <w:rPr>
          <w:rFonts w:hint="eastAsia" w:ascii="宋体" w:cs="宋体"/>
          <w:b/>
          <w:bCs/>
          <w:color w:val="000000"/>
          <w:szCs w:val="21"/>
        </w:rPr>
        <w:t>4、</w:t>
      </w:r>
      <w:r>
        <w:rPr>
          <w:rFonts w:hint="eastAsia" w:ascii="宋体"/>
          <w:b/>
          <w:color w:val="000000"/>
          <w:szCs w:val="21"/>
        </w:rPr>
        <w:t>投标有效期</w:t>
      </w:r>
      <w:r>
        <w:rPr>
          <w:rFonts w:hint="eastAsia" w:ascii="宋体" w:cs="宋体"/>
          <w:color w:val="000000"/>
          <w:szCs w:val="21"/>
        </w:rPr>
        <w:t>见</w:t>
      </w:r>
      <w:r>
        <w:rPr>
          <w:rFonts w:hint="eastAsia" w:ascii="宋体" w:cs="宋体"/>
          <w:color w:val="000000"/>
          <w:szCs w:val="21"/>
          <w:u w:val="single"/>
        </w:rPr>
        <w:t>供应商须知资料表</w:t>
      </w:r>
      <w:r>
        <w:rPr>
          <w:rFonts w:hint="eastAsia" w:ascii="宋体" w:cs="宋体"/>
          <w:color w:val="000000"/>
          <w:szCs w:val="21"/>
        </w:rPr>
        <w:t>，</w:t>
      </w:r>
      <w:r>
        <w:rPr>
          <w:rFonts w:hint="eastAsia" w:ascii="宋体"/>
          <w:color w:val="000000"/>
          <w:szCs w:val="21"/>
        </w:rPr>
        <w:t>投标有效期比规定短的</w:t>
      </w:r>
      <w:r>
        <w:rPr>
          <w:rFonts w:hint="eastAsia" w:ascii="宋体"/>
          <w:b/>
          <w:color w:val="000000"/>
          <w:szCs w:val="21"/>
        </w:rPr>
        <w:t>将按无效文件处理。</w:t>
      </w:r>
    </w:p>
    <w:p w14:paraId="7765F0D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5、询价响应文件编制及组成</w:t>
      </w:r>
    </w:p>
    <w:p w14:paraId="3E1040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5.1</w:t>
      </w:r>
      <w:r>
        <w:rPr>
          <w:rFonts w:hint="eastAsia" w:ascii="宋体"/>
          <w:color w:val="000000"/>
          <w:szCs w:val="21"/>
        </w:rPr>
        <w:t>提交响应文件截止之日前，采购人、采购代理机构或者询价小组可以对已发出的询价通知书（采购文件）进行必要的澄清或者修改（可通过电邮发送），澄清或者修改的内容作为询价通知书（采购文件）的组成部分（对供应商具有约束力）。</w:t>
      </w:r>
    </w:p>
    <w:p w14:paraId="705978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cs="宋体"/>
          <w:b/>
          <w:color w:val="000000"/>
          <w:szCs w:val="21"/>
        </w:rPr>
        <w:t>5.2证明投标标的的合格性和符合招标文件规定的技术文件</w:t>
      </w:r>
      <w:r>
        <w:rPr>
          <w:rFonts w:hint="eastAsia" w:ascii="宋体"/>
          <w:b/>
          <w:color w:val="000000"/>
          <w:szCs w:val="21"/>
        </w:rPr>
        <w:t>（响应文件）</w:t>
      </w:r>
    </w:p>
    <w:p w14:paraId="35178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5.2.1</w:t>
      </w:r>
      <w:r>
        <w:rPr>
          <w:rFonts w:hint="eastAsia" w:ascii="宋体"/>
          <w:color w:val="000000"/>
          <w:szCs w:val="21"/>
        </w:rPr>
        <w:t>供应商</w:t>
      </w:r>
      <w:r>
        <w:rPr>
          <w:rFonts w:hint="eastAsia" w:ascii="宋体" w:cs="宋体"/>
          <w:color w:val="000000"/>
          <w:szCs w:val="21"/>
        </w:rPr>
        <w:t>应提交证明文件，证明其投标内容符合采购文件规定。该证明文件是投标（响应）文件的一部分。</w:t>
      </w:r>
    </w:p>
    <w:p w14:paraId="51C28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5.2.2上款所述的证明文件，可以是文字资料、图纸和数据，它包括：</w:t>
      </w:r>
    </w:p>
    <w:p w14:paraId="38194D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5.2.2.1货物主要技术指标和性能的详细说明；</w:t>
      </w:r>
    </w:p>
    <w:p w14:paraId="4E4E11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5.2.2.2货物从买方开始使用至招标文件规定的保质期内正常、连续地使用所必须的备件和专用工具清单，包括备件和专用工具的货源及现行价格；</w:t>
      </w:r>
    </w:p>
    <w:p w14:paraId="7A480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5.2.2.3对照招标文件技术规格，逐条说明所提供货物及伴随的工程和服务已对招标文件的技术规格做出了实质性的响应，或申明与技术规格条文的偏差和例外。</w:t>
      </w:r>
    </w:p>
    <w:p w14:paraId="0D7521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5.2.3</w:t>
      </w:r>
      <w:r>
        <w:rPr>
          <w:rFonts w:hint="eastAsia" w:ascii="宋体"/>
          <w:color w:val="000000"/>
          <w:szCs w:val="21"/>
        </w:rPr>
        <w:t>供应商</w:t>
      </w:r>
      <w:r>
        <w:rPr>
          <w:rFonts w:hint="eastAsia" w:ascii="宋体" w:cs="宋体"/>
          <w:color w:val="000000"/>
          <w:szCs w:val="21"/>
        </w:rPr>
        <w:t>证明材料非简体中文的，</w:t>
      </w:r>
      <w:r>
        <w:rPr>
          <w:rFonts w:hint="eastAsia" w:ascii="宋体"/>
          <w:color w:val="000000"/>
          <w:szCs w:val="21"/>
        </w:rPr>
        <w:t>供应商</w:t>
      </w:r>
      <w:r>
        <w:rPr>
          <w:rFonts w:hint="eastAsia" w:ascii="宋体" w:cs="宋体"/>
          <w:color w:val="000000"/>
          <w:szCs w:val="21"/>
        </w:rPr>
        <w:t>须同时提供简体中文翻译说明并加盖公章，否评审人员有权仅按简体中文部分评审。</w:t>
      </w:r>
    </w:p>
    <w:p w14:paraId="1BE5E6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5.2.4</w:t>
      </w:r>
      <w:r>
        <w:rPr>
          <w:rFonts w:hint="eastAsia" w:ascii="宋体"/>
          <w:color w:val="000000"/>
          <w:szCs w:val="21"/>
        </w:rPr>
        <w:t>供应商</w:t>
      </w:r>
      <w:r>
        <w:rPr>
          <w:rFonts w:hint="eastAsia" w:ascii="宋体" w:cs="宋体"/>
          <w:color w:val="000000"/>
          <w:szCs w:val="21"/>
        </w:rPr>
        <w:t>应当以详细具体的内容证明投标（响应）文件响应采购文件，以“完全响应”等简单文字而无具体内容的，按未提供处理（无效内容）。</w:t>
      </w:r>
    </w:p>
    <w:p w14:paraId="52017F3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color w:val="000000"/>
          <w:szCs w:val="21"/>
        </w:rPr>
      </w:pPr>
      <w:r>
        <w:rPr>
          <w:rFonts w:hint="eastAsia" w:ascii="宋体" w:cs="宋体"/>
          <w:b/>
          <w:color w:val="000000"/>
          <w:szCs w:val="21"/>
        </w:rPr>
        <w:t xml:space="preserve">5.2.5 </w:t>
      </w:r>
      <w:r>
        <w:rPr>
          <w:rFonts w:hint="eastAsia" w:ascii="宋体"/>
          <w:b/>
          <w:color w:val="000000"/>
          <w:szCs w:val="21"/>
        </w:rPr>
        <w:t>供应商提交的证明应当证明</w:t>
      </w:r>
      <w:r>
        <w:rPr>
          <w:rFonts w:ascii="宋体"/>
          <w:b/>
          <w:color w:val="000000"/>
          <w:szCs w:val="21"/>
        </w:rPr>
        <w:t>提供的产品质量和服务均能满足采购文件规定的实质性要求</w:t>
      </w:r>
      <w:r>
        <w:rPr>
          <w:rFonts w:hint="eastAsia" w:ascii="宋体"/>
          <w:b/>
          <w:color w:val="000000"/>
          <w:szCs w:val="21"/>
        </w:rPr>
        <w:t>。</w:t>
      </w:r>
    </w:p>
    <w:p w14:paraId="64F8B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仿宋"/>
          <w:color w:val="000000"/>
          <w:szCs w:val="21"/>
        </w:rPr>
      </w:pPr>
      <w:r>
        <w:rPr>
          <w:rFonts w:hint="eastAsia" w:ascii="宋体" w:cs="仿宋"/>
          <w:bCs/>
          <w:color w:val="000000"/>
          <w:szCs w:val="21"/>
        </w:rPr>
        <w:t>5.3</w:t>
      </w:r>
      <w:r>
        <w:rPr>
          <w:rFonts w:hint="eastAsia" w:ascii="宋体" w:cs="仿宋"/>
          <w:color w:val="000000"/>
          <w:szCs w:val="21"/>
        </w:rPr>
        <w:t>投标文件必须打印或复印（建议使用</w:t>
      </w:r>
      <w:r>
        <w:rPr>
          <w:rFonts w:ascii="宋体" w:cs="仿宋"/>
          <w:color w:val="000000"/>
          <w:szCs w:val="21"/>
        </w:rPr>
        <w:t>A4</w:t>
      </w:r>
      <w:r>
        <w:rPr>
          <w:rFonts w:hint="eastAsia" w:ascii="宋体" w:cs="仿宋"/>
          <w:color w:val="000000"/>
          <w:szCs w:val="21"/>
        </w:rPr>
        <w:t>纸）。供应商应当编制投标文件资料目录，并按顺序装订成册</w:t>
      </w:r>
      <w:r>
        <w:rPr>
          <w:rFonts w:hint="eastAsia" w:ascii="宋体" w:cs="仿宋"/>
          <w:color w:val="000000"/>
          <w:szCs w:val="21"/>
          <w:u w:val="single"/>
        </w:rPr>
        <w:t>☆投标文件请不要使用活页装订（建议胶装或订书钉装订）</w:t>
      </w:r>
      <w:r>
        <w:rPr>
          <w:rFonts w:hint="eastAsia" w:ascii="宋体" w:cs="仿宋"/>
          <w:color w:val="000000"/>
          <w:szCs w:val="21"/>
        </w:rPr>
        <w:t>。如投标文件出现漏页或缺页等情况，由此产生的一切后果由供应商自行承担。</w:t>
      </w:r>
    </w:p>
    <w:p w14:paraId="2D74C4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仿宋"/>
          <w:b/>
          <w:bCs/>
          <w:color w:val="000000"/>
          <w:szCs w:val="21"/>
        </w:rPr>
      </w:pPr>
      <w:r>
        <w:rPr>
          <w:rFonts w:hint="eastAsia" w:ascii="宋体" w:cs="仿宋"/>
          <w:color w:val="000000"/>
          <w:szCs w:val="21"/>
        </w:rPr>
        <w:t>5.4除投标人对错漏处做必要修改外，投标文件不得行间插字、涂改或增删，如有修改错漏处，必须由投标文件签署人（法定代表人或授权代表）签字或盖章。</w:t>
      </w:r>
    </w:p>
    <w:p w14:paraId="4EB5D62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6、报价要求（价格构成）</w:t>
      </w:r>
    </w:p>
    <w:p w14:paraId="67AC39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6.1</w:t>
      </w:r>
      <w:r>
        <w:rPr>
          <w:rFonts w:hint="eastAsia" w:ascii="宋体"/>
          <w:color w:val="000000"/>
          <w:szCs w:val="21"/>
        </w:rPr>
        <w:t>询价响应文件须使用中文简体。参加询价采购活动的供应商，应当按照询价通知书的规定一次报出不得更改的价格（其报价一次报出不得更改）。如报价表中的报价</w:t>
      </w:r>
      <w:r>
        <w:rPr>
          <w:rFonts w:hint="eastAsia" w:ascii="宋体" w:cs="宋体"/>
          <w:color w:val="000000"/>
          <w:szCs w:val="21"/>
        </w:rPr>
        <w:t>大写金额和小写金额不一致的，以大写金额为准</w:t>
      </w:r>
      <w:r>
        <w:rPr>
          <w:rFonts w:hint="eastAsia" w:ascii="宋体" w:cs="宋体"/>
          <w:color w:val="000000"/>
          <w:szCs w:val="21"/>
          <w:lang w:eastAsia="zh-CN"/>
        </w:rPr>
        <w:t>（如有需要大小写的）</w:t>
      </w:r>
      <w:r>
        <w:rPr>
          <w:rFonts w:hint="eastAsia" w:ascii="宋体" w:cs="宋体"/>
          <w:color w:val="000000"/>
          <w:szCs w:val="21"/>
        </w:rPr>
        <w:t>。</w:t>
      </w:r>
    </w:p>
    <w:p w14:paraId="05F776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s="宋体"/>
          <w:color w:val="000000"/>
          <w:szCs w:val="21"/>
        </w:rPr>
        <w:t>6.2</w:t>
      </w:r>
      <w:r>
        <w:rPr>
          <w:rFonts w:hint="eastAsia" w:ascii="宋体"/>
          <w:color w:val="000000"/>
          <w:szCs w:val="21"/>
        </w:rPr>
        <w:t>本次询价不允许采用选择性报价(如有备选配件，备选配件的报价不属于选择的报价)。</w:t>
      </w:r>
    </w:p>
    <w:p w14:paraId="4B342C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6.3供应商投标（响应）分项报价表内容应当全面完整，充分体现其报价的组成。如：投标货物（包括备品备件、专用工具等）的出厂价（包括已在中国国内的进口货物完税后的仓库交货价、展室交货价或货架交货价），投标货物安装、调试、检验、技术服务和培训费用、货物运至最终目的地的运输费和保险费用以及</w:t>
      </w:r>
      <w:r>
        <w:rPr>
          <w:rFonts w:hint="eastAsia" w:ascii="宋体"/>
          <w:color w:val="000000"/>
          <w:szCs w:val="21"/>
        </w:rPr>
        <w:t>相关税费</w:t>
      </w:r>
      <w:r>
        <w:rPr>
          <w:rFonts w:hint="eastAsia" w:ascii="宋体" w:cs="宋体"/>
          <w:color w:val="000000"/>
          <w:szCs w:val="21"/>
        </w:rPr>
        <w:t>等。</w:t>
      </w:r>
    </w:p>
    <w:p w14:paraId="4C84EC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olor w:val="000000"/>
          <w:szCs w:val="21"/>
        </w:rPr>
        <w:t>本次招标采用总承包方式，因此供应商的报价应包括全部产品（货物、工程、服务）的价格、相关税费以及履行合同产生的所有费用等（在合同履行过程中，采购人不再增加任何费用）。</w:t>
      </w:r>
    </w:p>
    <w:p w14:paraId="552EB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6.</w:t>
      </w:r>
      <w:r>
        <w:rPr>
          <w:rFonts w:hint="eastAsia" w:ascii="宋体"/>
          <w:color w:val="000000"/>
          <w:szCs w:val="21"/>
        </w:rPr>
        <w:t>4其它费用处理：采购文件未列明，而供应商认为必需的费用也需列入报价。</w:t>
      </w:r>
    </w:p>
    <w:p w14:paraId="75FF82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cs="宋体"/>
          <w:b/>
          <w:color w:val="000000"/>
          <w:szCs w:val="21"/>
        </w:rPr>
        <w:t>6.</w:t>
      </w:r>
      <w:r>
        <w:rPr>
          <w:rFonts w:hint="eastAsia" w:ascii="宋体"/>
          <w:b/>
          <w:color w:val="000000"/>
          <w:szCs w:val="21"/>
        </w:rPr>
        <w:t>5投标人的投标报价应遵守《中华人民共和国价格法》。同时，根据《中华人民共和国政府采购法》第二条的规定，为保证公平竞争，如有货物主体部分，服务过程应当支出的人员工资，法定加班费（如果有），主要的必然支出等主体投标标的的赠与行为（含主体投标标的低于商品进价的报价等），其投标将被认定为</w:t>
      </w:r>
      <w:r>
        <w:rPr>
          <w:rFonts w:hint="eastAsia" w:ascii="宋体"/>
          <w:b/>
          <w:bCs/>
          <w:color w:val="000000"/>
          <w:szCs w:val="21"/>
        </w:rPr>
        <w:t>投标无效</w:t>
      </w:r>
      <w:r>
        <w:rPr>
          <w:rFonts w:hint="eastAsia" w:ascii="宋体"/>
          <w:b/>
          <w:color w:val="000000"/>
          <w:szCs w:val="21"/>
        </w:rPr>
        <w:t>。采购人也不接受明显不合理或者低于成本的报价（有可能影响商品质量和不能诚信履约的报价）。</w:t>
      </w:r>
    </w:p>
    <w:p w14:paraId="17BE7F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7、投标（响应）文件份数</w:t>
      </w:r>
      <w:r>
        <w:rPr>
          <w:rFonts w:hint="eastAsia" w:ascii="宋体" w:cs="仿宋"/>
          <w:b/>
          <w:bCs/>
          <w:color w:val="000000"/>
          <w:szCs w:val="21"/>
        </w:rPr>
        <w:t>及密封与标记</w:t>
      </w:r>
    </w:p>
    <w:p w14:paraId="7AB4EE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olor w:val="000000"/>
          <w:szCs w:val="21"/>
        </w:rPr>
        <w:t>7.1</w:t>
      </w:r>
      <w:r>
        <w:rPr>
          <w:rFonts w:hint="eastAsia" w:ascii="宋体" w:cs="宋体"/>
          <w:color w:val="000000"/>
          <w:szCs w:val="21"/>
        </w:rPr>
        <w:t>供应商应按</w:t>
      </w:r>
      <w:r>
        <w:rPr>
          <w:rFonts w:hint="eastAsia" w:ascii="宋体" w:cs="宋体"/>
          <w:color w:val="000000"/>
          <w:szCs w:val="21"/>
          <w:u w:val="single"/>
        </w:rPr>
        <w:t>采购文件</w:t>
      </w:r>
      <w:r>
        <w:rPr>
          <w:rFonts w:hint="eastAsia" w:ascii="宋体" w:cs="宋体"/>
          <w:color w:val="000000"/>
          <w:szCs w:val="21"/>
        </w:rPr>
        <w:t>中的规定，准备和递交投标（响应）文件正本、副本和电子文档，每份投标（响应）文件封皮须清楚地标明“正本”或“副本”。若正本和副本不符，以正本为准。如投标（响应）文件未标明或未清楚标准明正本或副本的，所引起的后果由供应商负责。</w:t>
      </w:r>
    </w:p>
    <w:p w14:paraId="5F8FD4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7.2供应商应当在采购文件要求的截止时间前，将响应文件密封（在不破坏外包装的情况下，无法直接取出响应文件即可）送达指定地点[按采购公告（采购邀请）中注明的地点及时送达]。在截止时间后送达的响应文件为无效文件，并予以拒收。</w:t>
      </w:r>
    </w:p>
    <w:p w14:paraId="5C65B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请供应商在密封包装上注明供应商名称、项目名称（编号）以及参加的分包号等相关信息，以便采购代理机构接受（识别）。</w:t>
      </w:r>
    </w:p>
    <w:p w14:paraId="766835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仿宋"/>
          <w:color w:val="000000"/>
          <w:szCs w:val="21"/>
        </w:rPr>
      </w:pPr>
      <w:r>
        <w:rPr>
          <w:rFonts w:hint="eastAsia" w:ascii="宋体" w:cs="仿宋"/>
          <w:bCs/>
          <w:color w:val="000000"/>
          <w:szCs w:val="21"/>
        </w:rPr>
        <w:t>7.3不论供应商是否成交，</w:t>
      </w:r>
      <w:r>
        <w:rPr>
          <w:rFonts w:hint="eastAsia" w:ascii="宋体"/>
          <w:color w:val="000000"/>
          <w:szCs w:val="21"/>
        </w:rPr>
        <w:t>响应文件</w:t>
      </w:r>
      <w:r>
        <w:rPr>
          <w:rFonts w:hint="eastAsia" w:ascii="宋体" w:cs="仿宋"/>
          <w:bCs/>
          <w:color w:val="000000"/>
          <w:szCs w:val="21"/>
        </w:rPr>
        <w:t>均不退回（依法保存）。</w:t>
      </w:r>
    </w:p>
    <w:p w14:paraId="4264FD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8、询价采购程序</w:t>
      </w:r>
    </w:p>
    <w:p w14:paraId="3C4C672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color w:val="000000"/>
          <w:spacing w:val="15"/>
          <w:kern w:val="0"/>
          <w:szCs w:val="21"/>
        </w:rPr>
      </w:pPr>
      <w:r>
        <w:rPr>
          <w:rFonts w:hint="eastAsia" w:ascii="宋体"/>
          <w:b/>
          <w:color w:val="000000"/>
          <w:szCs w:val="21"/>
        </w:rPr>
        <w:t>8.1</w:t>
      </w:r>
      <w:r>
        <w:rPr>
          <w:rFonts w:hint="eastAsia" w:ascii="宋体" w:cs="宋体"/>
          <w:b/>
          <w:color w:val="000000"/>
          <w:spacing w:val="15"/>
          <w:kern w:val="0"/>
          <w:szCs w:val="21"/>
        </w:rPr>
        <w:t>采取询价方式采购的，应当遵循下列程序：</w:t>
      </w:r>
      <w:r>
        <w:rPr>
          <w:rFonts w:hint="eastAsia" w:ascii="宋体" w:cs="宋体"/>
          <w:color w:val="000000"/>
          <w:spacing w:val="15"/>
          <w:kern w:val="0"/>
          <w:szCs w:val="21"/>
        </w:rPr>
        <w:t> </w:t>
      </w:r>
    </w:p>
    <w:p w14:paraId="4AC6F8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olor w:val="000000"/>
          <w:szCs w:val="21"/>
        </w:rPr>
        <w:t>　　（一）成立询价小组。询价小组由采购人的代表和有关专家共三人以上的单数组成，其中专家的人数不得少于成员总数的三分之二。询价小组应当对采购项目的价格构成和评定成交的标准等事项作出规定。 </w:t>
      </w:r>
    </w:p>
    <w:p w14:paraId="637ADF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olor w:val="000000"/>
          <w:szCs w:val="21"/>
        </w:rPr>
        <w:t>　　（二）确定被询价的供应商名单。询价小组根据采购需求，从符合相应资格条件的供应商名单中确定不少于三家的供应商，并向其发出询价通知书让其报价。 </w:t>
      </w:r>
    </w:p>
    <w:p w14:paraId="3E5C1E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olor w:val="000000"/>
          <w:szCs w:val="21"/>
        </w:rPr>
        <w:t>　　（三）询价。询价小组要求被询价的供应商一次报出不得更改的价格。 </w:t>
      </w:r>
    </w:p>
    <w:p w14:paraId="137CD0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olor w:val="000000"/>
          <w:szCs w:val="21"/>
        </w:rPr>
        <w:t>　　（四）确定成交供应商。采购人根据符合采购需求、质量和服务相等且报价</w:t>
      </w:r>
      <w:r>
        <w:rPr>
          <w:rFonts w:hint="eastAsia" w:ascii="宋体"/>
          <w:color w:val="000000"/>
          <w:szCs w:val="21"/>
          <w:lang w:eastAsia="zh-CN"/>
        </w:rPr>
        <w:t>最低</w:t>
      </w:r>
      <w:r>
        <w:rPr>
          <w:rFonts w:hint="eastAsia" w:ascii="宋体"/>
          <w:color w:val="000000"/>
          <w:szCs w:val="21"/>
        </w:rPr>
        <w:t>的原则确定成交供应商（如</w:t>
      </w:r>
      <w:r>
        <w:rPr>
          <w:rFonts w:hint="eastAsia" w:ascii="宋体"/>
          <w:color w:val="000000"/>
          <w:szCs w:val="21"/>
          <w:lang w:eastAsia="zh-CN"/>
        </w:rPr>
        <w:t>出现</w:t>
      </w:r>
      <w:r>
        <w:rPr>
          <w:rFonts w:hint="eastAsia" w:ascii="宋体"/>
          <w:color w:val="000000"/>
          <w:szCs w:val="21"/>
        </w:rPr>
        <w:t>并列情形的，采购人将授权询价小组</w:t>
      </w:r>
      <w:r>
        <w:rPr>
          <w:rFonts w:hint="eastAsia" w:ascii="宋体"/>
          <w:color w:val="000000"/>
          <w:szCs w:val="21"/>
          <w:lang w:eastAsia="zh-CN"/>
        </w:rPr>
        <w:t>现场抽签</w:t>
      </w:r>
      <w:r>
        <w:rPr>
          <w:rFonts w:hint="eastAsia" w:ascii="宋体"/>
          <w:color w:val="000000"/>
          <w:szCs w:val="21"/>
        </w:rPr>
        <w:t>确定成交供应商</w:t>
      </w:r>
      <w:r>
        <w:rPr>
          <w:rFonts w:hint="eastAsia" w:ascii="宋体"/>
          <w:color w:val="000000"/>
          <w:szCs w:val="21"/>
          <w:lang w:eastAsia="zh-CN"/>
        </w:rPr>
        <w:t>）；</w:t>
      </w:r>
      <w:r>
        <w:rPr>
          <w:rFonts w:hint="eastAsia" w:ascii="宋体"/>
          <w:color w:val="000000"/>
          <w:szCs w:val="21"/>
        </w:rPr>
        <w:t>并将结果通知所有被询价的未成交的供应商。</w:t>
      </w:r>
    </w:p>
    <w:p w14:paraId="344CEF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cs="宋体"/>
          <w:b/>
          <w:color w:val="000000"/>
          <w:szCs w:val="21"/>
        </w:rPr>
      </w:pPr>
      <w:r>
        <w:rPr>
          <w:rFonts w:hint="eastAsia" w:ascii="宋体" w:cs="宋体"/>
          <w:b/>
          <w:color w:val="000000"/>
          <w:spacing w:val="15"/>
          <w:kern w:val="0"/>
          <w:szCs w:val="21"/>
        </w:rPr>
        <w:t>8.2</w:t>
      </w:r>
      <w:r>
        <w:rPr>
          <w:rFonts w:hint="eastAsia" w:ascii="宋体" w:cs="宋体"/>
          <w:b/>
          <w:bCs/>
          <w:color w:val="000000"/>
          <w:szCs w:val="21"/>
        </w:rPr>
        <w:t>供应商</w:t>
      </w:r>
      <w:r>
        <w:rPr>
          <w:rFonts w:hint="eastAsia" w:ascii="宋体" w:cs="宋体"/>
          <w:b/>
          <w:color w:val="000000"/>
          <w:szCs w:val="21"/>
        </w:rPr>
        <w:t>存在不良信用记录的，其投标将被认定为</w:t>
      </w:r>
      <w:r>
        <w:rPr>
          <w:rFonts w:hint="eastAsia" w:ascii="宋体" w:cs="宋体"/>
          <w:b/>
          <w:bCs/>
          <w:color w:val="000000"/>
          <w:szCs w:val="21"/>
        </w:rPr>
        <w:t>投标</w:t>
      </w:r>
      <w:r>
        <w:rPr>
          <w:rFonts w:hint="eastAsia" w:ascii="宋体" w:cs="宋体"/>
          <w:b/>
          <w:color w:val="000000"/>
          <w:szCs w:val="21"/>
        </w:rPr>
        <w:t>（报价）</w:t>
      </w:r>
      <w:r>
        <w:rPr>
          <w:rFonts w:hint="eastAsia" w:ascii="宋体" w:cs="宋体"/>
          <w:b/>
          <w:bCs/>
          <w:color w:val="000000"/>
          <w:szCs w:val="21"/>
        </w:rPr>
        <w:t>无效</w:t>
      </w:r>
      <w:r>
        <w:rPr>
          <w:rFonts w:hint="eastAsia" w:ascii="宋体" w:cs="宋体"/>
          <w:b/>
          <w:color w:val="000000"/>
          <w:szCs w:val="21"/>
        </w:rPr>
        <w:t>。</w:t>
      </w:r>
    </w:p>
    <w:p w14:paraId="3A5DAE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不良信用记录指：供应商在中国政府采购网（www.ccgp.gov.cn）被列入政府采购严重违法失信行为记录名单，或在“信用中国”网站（www.creditchina.gov.cn）被列入失信被执行人、重大税收违法案件当事人名单。以联合体形式参加投标的，联合体任何成员存在以上不良信用记录的，联合体投标将被认定为投标无效。</w:t>
      </w:r>
    </w:p>
    <w:p w14:paraId="7C59A8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color w:val="000000"/>
          <w:szCs w:val="21"/>
        </w:rPr>
      </w:pPr>
      <w:r>
        <w:rPr>
          <w:rFonts w:hint="eastAsia" w:ascii="宋体" w:cs="宋体"/>
          <w:b/>
          <w:color w:val="000000"/>
          <w:szCs w:val="21"/>
        </w:rPr>
        <w:t>8.3</w:t>
      </w:r>
      <w:r>
        <w:rPr>
          <w:rFonts w:hint="eastAsia" w:ascii="宋体"/>
          <w:b/>
          <w:color w:val="000000"/>
          <w:szCs w:val="21"/>
        </w:rPr>
        <w:t>询价小组将对响应文件的有效性、完整性和响应程度进行审查 (只根据响应文件本身的内容，而不寻求外部的证据)。</w:t>
      </w:r>
    </w:p>
    <w:p w14:paraId="254F75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color w:val="000000"/>
          <w:kern w:val="0"/>
          <w:szCs w:val="21"/>
        </w:rPr>
      </w:pPr>
      <w:r>
        <w:rPr>
          <w:rFonts w:hint="eastAsia" w:ascii="宋体" w:cs="宋体"/>
          <w:b/>
          <w:color w:val="000000"/>
          <w:szCs w:val="21"/>
        </w:rPr>
        <w:t>8.4</w:t>
      </w:r>
      <w:r>
        <w:rPr>
          <w:rFonts w:hint="eastAsia" w:ascii="宋体"/>
          <w:b/>
          <w:color w:val="000000"/>
          <w:szCs w:val="21"/>
        </w:rPr>
        <w:t>各供应商应当以合理的报价参加竞争。</w:t>
      </w:r>
      <w:r>
        <w:rPr>
          <w:rFonts w:hint="eastAsia" w:ascii="宋体" w:cs="宋体"/>
          <w:b/>
          <w:color w:val="000000"/>
          <w:kern w:val="0"/>
          <w:szCs w:val="21"/>
        </w:rPr>
        <w:t>询价小组认为供应商的报价明显低于其他通过符合性审查供应商的报价，有可能影响产品质量或者不能诚信履约的，</w:t>
      </w:r>
      <w:r>
        <w:rPr>
          <w:rFonts w:hint="eastAsia" w:ascii="宋体"/>
          <w:b/>
          <w:color w:val="000000"/>
          <w:szCs w:val="21"/>
        </w:rPr>
        <w:t>询价小组有权要求该供应商在接到通知半小时内向询价小组提供书面说明及相关证明材料原件（请在递交报价文件时一同携带相关证明材料原件）</w:t>
      </w:r>
      <w:r>
        <w:rPr>
          <w:rFonts w:hint="eastAsia" w:ascii="宋体" w:cs="宋体"/>
          <w:b/>
          <w:color w:val="000000"/>
          <w:kern w:val="0"/>
          <w:szCs w:val="21"/>
        </w:rPr>
        <w:t>；供应商不能证明</w:t>
      </w:r>
      <w:r>
        <w:rPr>
          <w:rFonts w:hint="eastAsia" w:ascii="宋体"/>
          <w:b/>
          <w:color w:val="000000"/>
          <w:szCs w:val="21"/>
        </w:rPr>
        <w:t>（未能及时证明）</w:t>
      </w:r>
      <w:r>
        <w:rPr>
          <w:rFonts w:hint="eastAsia" w:ascii="宋体" w:cs="宋体"/>
          <w:b/>
          <w:color w:val="000000"/>
          <w:kern w:val="0"/>
          <w:szCs w:val="21"/>
        </w:rPr>
        <w:t>其报价合理性的，</w:t>
      </w:r>
      <w:r>
        <w:rPr>
          <w:rFonts w:hint="eastAsia" w:ascii="宋体"/>
          <w:b/>
          <w:color w:val="000000"/>
          <w:szCs w:val="21"/>
        </w:rPr>
        <w:t>询价小组有权视为“报价明显不合理或者低于成本，有可能影响商品质量和不能诚信履约的（本采购文件约定条款）”</w:t>
      </w:r>
      <w:r>
        <w:rPr>
          <w:rFonts w:hint="eastAsia" w:ascii="宋体" w:cs="宋体"/>
          <w:b/>
          <w:color w:val="000000"/>
          <w:kern w:val="0"/>
          <w:szCs w:val="21"/>
        </w:rPr>
        <w:t>，将其作为无效投标（报价）处理。</w:t>
      </w:r>
    </w:p>
    <w:p w14:paraId="1877B5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bCs/>
          <w:color w:val="000000"/>
          <w:kern w:val="0"/>
          <w:szCs w:val="21"/>
        </w:rPr>
      </w:pPr>
      <w:r>
        <w:rPr>
          <w:rFonts w:hint="eastAsia" w:ascii="宋体" w:cs="宋体"/>
          <w:b/>
          <w:bCs/>
          <w:color w:val="000000"/>
          <w:kern w:val="0"/>
          <w:szCs w:val="21"/>
        </w:rPr>
        <w:t>8.5成交原则</w:t>
      </w:r>
    </w:p>
    <w:p w14:paraId="2E3ABFB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最低评标价法：询价小组应当从质量和服务（</w:t>
      </w:r>
      <w:r>
        <w:rPr>
          <w:rFonts w:ascii="宋体"/>
          <w:b/>
          <w:color w:val="000000"/>
          <w:szCs w:val="21"/>
        </w:rPr>
        <w:t>供应商提供的产品质量和服务</w:t>
      </w:r>
      <w:r>
        <w:rPr>
          <w:rFonts w:hint="eastAsia" w:ascii="宋体"/>
          <w:b/>
          <w:color w:val="000000"/>
          <w:szCs w:val="21"/>
        </w:rPr>
        <w:t>）均能满足采购文件实质性响应要求的供应商中，按照报价由</w:t>
      </w:r>
      <w:r>
        <w:rPr>
          <w:rFonts w:hint="eastAsia" w:ascii="宋体"/>
          <w:b/>
          <w:color w:val="000000"/>
          <w:szCs w:val="21"/>
          <w:lang w:eastAsia="zh-CN"/>
        </w:rPr>
        <w:t>低</w:t>
      </w:r>
      <w:r>
        <w:rPr>
          <w:rFonts w:hint="eastAsia" w:ascii="宋体"/>
          <w:b/>
          <w:color w:val="000000"/>
          <w:szCs w:val="21"/>
        </w:rPr>
        <w:t>到</w:t>
      </w:r>
      <w:r>
        <w:rPr>
          <w:rFonts w:hint="eastAsia" w:ascii="宋体"/>
          <w:b/>
          <w:color w:val="000000"/>
          <w:szCs w:val="21"/>
          <w:lang w:eastAsia="zh-CN"/>
        </w:rPr>
        <w:t>高</w:t>
      </w:r>
      <w:r>
        <w:rPr>
          <w:rFonts w:hint="eastAsia" w:ascii="宋体"/>
          <w:b/>
          <w:color w:val="000000"/>
          <w:szCs w:val="21"/>
        </w:rPr>
        <w:t>的顺序（</w:t>
      </w:r>
      <w:r>
        <w:rPr>
          <w:rFonts w:hint="eastAsia" w:ascii="宋体" w:cs="宋体"/>
          <w:b/>
          <w:color w:val="000000"/>
          <w:kern w:val="0"/>
          <w:szCs w:val="21"/>
        </w:rPr>
        <w:t>报价相同的并列</w:t>
      </w:r>
      <w:r>
        <w:rPr>
          <w:rFonts w:hint="eastAsia" w:ascii="宋体" w:cs="宋体"/>
          <w:b/>
          <w:color w:val="000000"/>
          <w:szCs w:val="21"/>
        </w:rPr>
        <w:t>）</w:t>
      </w:r>
      <w:r>
        <w:rPr>
          <w:rFonts w:hint="eastAsia" w:ascii="宋体"/>
          <w:b/>
          <w:color w:val="000000"/>
          <w:szCs w:val="21"/>
        </w:rPr>
        <w:t>提出成交候选人。</w:t>
      </w:r>
    </w:p>
    <w:p w14:paraId="6277B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8.6</w:t>
      </w:r>
      <w:r>
        <w:rPr>
          <w:rFonts w:hint="eastAsia" w:ascii="宋体"/>
          <w:color w:val="000000"/>
          <w:szCs w:val="21"/>
        </w:rPr>
        <w:t>采购代理机构应当在评审结束后2个工作日内将评审报告送采购人确认。</w:t>
      </w:r>
    </w:p>
    <w:p w14:paraId="028938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olor w:val="000000"/>
          <w:szCs w:val="21"/>
        </w:rPr>
        <w:t>采购人应当在收到评审报告后5个工作日内，从评审报告提出的成交候选人中，根据质量和服务均能满足采购文件实质性响应要求且</w:t>
      </w:r>
      <w:r>
        <w:rPr>
          <w:rFonts w:hint="eastAsia" w:ascii="宋体"/>
          <w:b/>
          <w:color w:val="000000"/>
          <w:szCs w:val="21"/>
        </w:rPr>
        <w:t>报价</w:t>
      </w:r>
      <w:r>
        <w:rPr>
          <w:rFonts w:hint="eastAsia" w:ascii="宋体"/>
          <w:b/>
          <w:color w:val="000000"/>
          <w:szCs w:val="21"/>
          <w:lang w:eastAsia="zh-CN"/>
        </w:rPr>
        <w:t>最低</w:t>
      </w:r>
      <w:r>
        <w:rPr>
          <w:rFonts w:hint="eastAsia" w:ascii="宋体"/>
          <w:color w:val="000000"/>
          <w:szCs w:val="21"/>
        </w:rPr>
        <w:t>的原则确定成交供应商（如</w:t>
      </w:r>
      <w:r>
        <w:rPr>
          <w:rFonts w:hint="eastAsia" w:ascii="宋体"/>
          <w:color w:val="000000"/>
          <w:szCs w:val="21"/>
          <w:lang w:eastAsia="zh-CN"/>
        </w:rPr>
        <w:t>出现</w:t>
      </w:r>
      <w:r>
        <w:rPr>
          <w:rFonts w:hint="eastAsia" w:ascii="宋体"/>
          <w:color w:val="000000"/>
          <w:szCs w:val="21"/>
        </w:rPr>
        <w:t>并列情形的，采购人将授权询价小组</w:t>
      </w:r>
      <w:r>
        <w:rPr>
          <w:rFonts w:hint="eastAsia" w:ascii="宋体"/>
          <w:color w:val="000000"/>
          <w:szCs w:val="21"/>
          <w:lang w:eastAsia="zh-CN"/>
        </w:rPr>
        <w:t>现场抽签</w:t>
      </w:r>
      <w:r>
        <w:rPr>
          <w:rFonts w:hint="eastAsia" w:ascii="宋体"/>
          <w:color w:val="000000"/>
          <w:szCs w:val="21"/>
        </w:rPr>
        <w:t>确定成交供应商</w:t>
      </w:r>
      <w:r>
        <w:rPr>
          <w:rFonts w:hint="eastAsia" w:ascii="宋体"/>
          <w:color w:val="000000"/>
          <w:szCs w:val="21"/>
          <w:lang w:eastAsia="zh-CN"/>
        </w:rPr>
        <w:t>）</w:t>
      </w:r>
      <w:r>
        <w:rPr>
          <w:rFonts w:hint="eastAsia" w:ascii="宋体"/>
          <w:b/>
          <w:color w:val="000000"/>
          <w:szCs w:val="21"/>
        </w:rPr>
        <w:t>。</w:t>
      </w:r>
    </w:p>
    <w:p w14:paraId="17958C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8.7采购人确定成交供应商后，将以电子邮件等方式通知所有参加采购的供应商。</w:t>
      </w:r>
    </w:p>
    <w:p w14:paraId="2545F5F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8.8质疑与投诉</w:t>
      </w:r>
    </w:p>
    <w:p w14:paraId="4D0358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供应商认为采购文件、采购过程和采购结果使自己的权益受到损害的，须在知道或者应知其权益受到损害之日起七个工作日内以书面形式送达的方式（请使用EMS等书面形式）向采购代理机构或采购人提出质疑。非书面形式、逾期（以采购代理机构或采购人收悉时间为准）提交以及匿名的质疑将不予受理。</w:t>
      </w:r>
    </w:p>
    <w:p w14:paraId="3EA374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质疑函应当包括下列内容：</w:t>
      </w:r>
      <w:r>
        <w:rPr>
          <w:rFonts w:ascii="宋体"/>
          <w:color w:val="000000"/>
          <w:szCs w:val="21"/>
        </w:rPr>
        <w:t>供应商提出质疑应当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w:t>
      </w:r>
    </w:p>
    <w:p w14:paraId="279A54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注：</w:t>
      </w:r>
      <w:r>
        <w:rPr>
          <w:rFonts w:ascii="宋体"/>
          <w:color w:val="000000"/>
          <w:szCs w:val="21"/>
        </w:rPr>
        <w:t>对可以质疑的采购文件提出质疑的，为收到采购文件之日或者采购文件公告期限届满之日</w:t>
      </w:r>
      <w:r>
        <w:rPr>
          <w:rFonts w:hint="eastAsia" w:ascii="宋体"/>
          <w:color w:val="000000"/>
          <w:szCs w:val="21"/>
        </w:rPr>
        <w:t>；</w:t>
      </w:r>
      <w:r>
        <w:rPr>
          <w:rFonts w:ascii="宋体"/>
          <w:color w:val="000000"/>
          <w:szCs w:val="21"/>
        </w:rPr>
        <w:t>对采购过程提出质疑的，为各采购程序环节结束之日；对中标或者成交结果提出质疑的，为中标或者成交结果公告期限届满之日。</w:t>
      </w:r>
      <w:r>
        <w:rPr>
          <w:rFonts w:hint="eastAsia" w:ascii="宋体"/>
          <w:color w:val="000000"/>
          <w:szCs w:val="21"/>
        </w:rPr>
        <w:t>未参加询价采购活动的供应商或在询价采购活动中自身权益未受到损害的供应商所提出的质疑不予受理。未购买采购文件的供应商，无权知道本采购文件相关内容，采购人、采购代理机构有权不予受理。</w:t>
      </w:r>
    </w:p>
    <w:p w14:paraId="7B12F2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质疑供应商对采购人、采购代理机构的答复不满意或者采购人、采购代理机构未在规定的时间内作出答复的，可以在答复期满后7个工作日内向采购人的领导班子投诉或向纪检组反映情况。</w:t>
      </w:r>
    </w:p>
    <w:p w14:paraId="19F1A1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9、签订合同</w:t>
      </w:r>
    </w:p>
    <w:p w14:paraId="5A0BE8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9.1采购人与成交供应商应当在成交通知书发出之日起30日内，按照采购文件确定的合同文本以及采购标的、采购金额、采购数量、技术和服务要求等事项签订政府采购合同。</w:t>
      </w:r>
    </w:p>
    <w:p w14:paraId="683451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kern w:val="0"/>
          <w:szCs w:val="21"/>
        </w:rPr>
      </w:pPr>
      <w:r>
        <w:rPr>
          <w:rFonts w:hint="eastAsia" w:ascii="宋体"/>
          <w:color w:val="000000"/>
          <w:szCs w:val="21"/>
        </w:rPr>
        <w:t>　　9.2采购人与成交供应商所签订的合同不得对采购文件确定</w:t>
      </w:r>
      <w:r>
        <w:rPr>
          <w:rFonts w:hint="eastAsia" w:ascii="宋体" w:cs="宋体"/>
          <w:color w:val="000000"/>
          <w:kern w:val="0"/>
          <w:szCs w:val="21"/>
        </w:rPr>
        <w:t>事项和</w:t>
      </w:r>
      <w:r>
        <w:rPr>
          <w:rFonts w:hint="eastAsia" w:ascii="宋体"/>
          <w:color w:val="000000"/>
          <w:szCs w:val="21"/>
        </w:rPr>
        <w:t>成交供应商</w:t>
      </w:r>
      <w:r>
        <w:rPr>
          <w:rFonts w:hint="eastAsia" w:ascii="宋体" w:cs="宋体"/>
          <w:color w:val="000000"/>
          <w:kern w:val="0"/>
          <w:szCs w:val="21"/>
        </w:rPr>
        <w:t>投标文件作实质性修改。</w:t>
      </w:r>
    </w:p>
    <w:p w14:paraId="2CE96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9.3除不可抗力等因素外，成交通知书发出后，成交供应商拒绝签订政府采购合同的，应当承担相应的法律责任。</w:t>
      </w:r>
    </w:p>
    <w:p w14:paraId="3A39D4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9.4成交供应商拒绝签订采购合同的，采购人可以确定其他供应商作为成交供应商并签订采购合同，也可以重新开展采购活动。拒绝签订采购合同的成交供应商不得参加对该项目重新开展的采购活动。</w:t>
      </w:r>
    </w:p>
    <w:p w14:paraId="3F51247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bCs/>
          <w:color w:val="000000"/>
          <w:szCs w:val="21"/>
        </w:rPr>
      </w:pPr>
      <w:r>
        <w:rPr>
          <w:rFonts w:hint="eastAsia" w:ascii="宋体"/>
          <w:b/>
          <w:color w:val="000000"/>
          <w:szCs w:val="21"/>
        </w:rPr>
        <w:t>10、投标保证金（询价响应保证金）、履约保证金</w:t>
      </w:r>
    </w:p>
    <w:p w14:paraId="1B3FA5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cs="宋体"/>
          <w:b/>
          <w:color w:val="000000"/>
          <w:szCs w:val="21"/>
        </w:rPr>
        <w:t>10.1</w:t>
      </w:r>
      <w:r>
        <w:rPr>
          <w:rFonts w:hint="eastAsia" w:ascii="宋体"/>
          <w:b/>
          <w:color w:val="000000"/>
          <w:szCs w:val="21"/>
        </w:rPr>
        <w:t>供应商在投标时，须按采购文件的要求交纳投标保证金（部分项目不须要交，请看采购公告）。</w:t>
      </w:r>
    </w:p>
    <w:p w14:paraId="13F1E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10.1.1采购文件要求供应商交纳保证金的，供应商应当及时提交。对于未按要求及时提交保证金的询价响应文件，</w:t>
      </w:r>
      <w:r>
        <w:rPr>
          <w:rFonts w:hint="eastAsia" w:ascii="宋体"/>
          <w:b/>
          <w:color w:val="000000"/>
          <w:szCs w:val="21"/>
        </w:rPr>
        <w:t>将被视为无效文件而予以拒绝</w:t>
      </w:r>
      <w:r>
        <w:rPr>
          <w:rFonts w:hint="eastAsia" w:ascii="宋体"/>
          <w:color w:val="000000"/>
          <w:szCs w:val="21"/>
        </w:rPr>
        <w:t>。</w:t>
      </w:r>
      <w:r>
        <w:rPr>
          <w:rFonts w:hint="eastAsia" w:ascii="宋体" w:cs="宋体"/>
          <w:color w:val="000000"/>
          <w:szCs w:val="21"/>
        </w:rPr>
        <w:t>联合体以一方名义提交保证金的，对联合体各方均具有约束力。</w:t>
      </w:r>
    </w:p>
    <w:p w14:paraId="0F6854B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bCs/>
          <w:color w:val="000000"/>
          <w:szCs w:val="21"/>
        </w:rPr>
      </w:pPr>
      <w:r>
        <w:rPr>
          <w:rFonts w:hint="eastAsia" w:ascii="宋体"/>
          <w:b/>
          <w:bCs/>
          <w:color w:val="000000"/>
          <w:szCs w:val="21"/>
        </w:rPr>
        <w:t>10.1.2履约保证金</w:t>
      </w:r>
    </w:p>
    <w:p w14:paraId="1CDED12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szCs w:val="21"/>
        </w:rPr>
      </w:pPr>
      <w:r>
        <w:rPr>
          <w:rFonts w:hint="eastAsia" w:ascii="宋体" w:hAnsi="宋体" w:cs="宋体"/>
          <w:b/>
          <w:bCs/>
          <w:szCs w:val="21"/>
        </w:rPr>
        <w:t>⑴</w:t>
      </w:r>
      <w:r>
        <w:rPr>
          <w:rFonts w:hint="eastAsia" w:asciiTheme="minorEastAsia" w:hAnsiTheme="minorEastAsia" w:eastAsiaTheme="minorEastAsia" w:cstheme="minorEastAsia"/>
          <w:sz w:val="21"/>
          <w:szCs w:val="21"/>
        </w:rPr>
        <w:t>在签订合同前，中标人需向招标人交纳履约保证金（</w:t>
      </w:r>
      <w:r>
        <w:rPr>
          <w:rFonts w:hint="eastAsia" w:asciiTheme="minorEastAsia" w:hAnsiTheme="minorEastAsia" w:eastAsiaTheme="minorEastAsia" w:cstheme="minorEastAsia"/>
          <w:b/>
          <w:bCs/>
          <w:sz w:val="21"/>
          <w:szCs w:val="21"/>
        </w:rPr>
        <w:t>以支票、汇票、本票或者金融机构、担保机构出具的保函等非现金形式提交履约保证金。</w:t>
      </w:r>
      <w:r>
        <w:rPr>
          <w:rFonts w:hint="eastAsia" w:asciiTheme="minorEastAsia" w:hAnsiTheme="minorEastAsia" w:eastAsiaTheme="minorEastAsia" w:cstheme="minorEastAsia"/>
          <w:sz w:val="21"/>
          <w:szCs w:val="21"/>
        </w:rPr>
        <w:t>请将履约保证金相关凭证发送至QQ邮箱：</w:t>
      </w:r>
      <w:r>
        <w:rPr>
          <w:rFonts w:hint="eastAsia" w:asciiTheme="minorEastAsia" w:hAnsiTheme="minorEastAsia" w:eastAsiaTheme="minorEastAsia" w:cstheme="minorEastAsia"/>
          <w:color w:val="auto"/>
          <w:sz w:val="21"/>
          <w:szCs w:val="21"/>
          <w:u w:val="none"/>
        </w:rPr>
        <w:t>532223373@qq.com），具体金额为</w:t>
      </w:r>
      <w:r>
        <w:rPr>
          <w:rFonts w:hint="eastAsia" w:asciiTheme="minorEastAsia" w:hAnsiTheme="minorEastAsia" w:eastAsiaTheme="minorEastAsia" w:cstheme="minorEastAsia"/>
          <w:color w:val="auto"/>
          <w:sz w:val="21"/>
          <w:szCs w:val="21"/>
          <w:u w:val="none"/>
          <w:lang w:val="en-US" w:eastAsia="zh-CN"/>
        </w:rPr>
        <w:t>合同价的5%</w:t>
      </w:r>
      <w:r>
        <w:rPr>
          <w:rFonts w:hint="eastAsia" w:asciiTheme="minorEastAsia" w:hAnsiTheme="minorEastAsia" w:eastAsiaTheme="minorEastAsia" w:cstheme="minorEastAsia"/>
          <w:color w:val="auto"/>
          <w:sz w:val="21"/>
          <w:szCs w:val="21"/>
          <w:u w:val="none"/>
        </w:rPr>
        <w:t>。拟中标人应当按照招标人的要求及时、足额缴纳履约保证金，履约保证金待项目履约结束后一次性无息退还。（凭“保证金请退函”到学校国资处办理退款手续）。如果中标人不履行合同约定的义务，未能完全履行合同规定的义务或其履行不符合合同的约定，招标人有权扣除履约保证金取得补偿。</w:t>
      </w:r>
    </w:p>
    <w:p w14:paraId="5266810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⑵履约保证金专户帐户信息</w:t>
      </w:r>
    </w:p>
    <w:p w14:paraId="4F28F18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单位名称：江苏医药职业学院</w:t>
      </w:r>
    </w:p>
    <w:p w14:paraId="09C5F5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开户行名称：建行盐城市城南支行</w:t>
      </w:r>
    </w:p>
    <w:p w14:paraId="2A21BF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银行帐号：32001735038052500575</w:t>
      </w:r>
    </w:p>
    <w:p w14:paraId="78E82EC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地    址：江苏省盐城市解放南路283号</w:t>
      </w:r>
    </w:p>
    <w:p w14:paraId="3F9E251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电    话：0515-88550311</w:t>
      </w:r>
    </w:p>
    <w:p w14:paraId="743083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⑶如果拟中标人没有在规定的时间内交纳履约保证金，或放弃中标、或被查实存在影响中标结果的违法行为、或其他供应商对招标项目的质疑（投诉）成立、或拒绝遵守招标文件规定、响应承诺，或拒绝签订合同、或虽签署合同但不予履行等，则取消（拟）中标人资格，已经缴纳的履约保证金作为违约金不予退还。</w:t>
      </w:r>
    </w:p>
    <w:p w14:paraId="75B73B3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⑷履约保证金退还：中标人缴纳的履约保证金待项目验收结束后无质量问题一次性无息退还，（凭“保证金请退函”到学校国资处办理退款手续）。如果中标人不履行合同约定的义务，未能完全履行合同规定的义务或其履行不符合合同的约定，招标人有权扣除履约保证金取得补偿。</w:t>
      </w:r>
    </w:p>
    <w:p w14:paraId="3027A3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⑸履约保证金用以约束成交供应商在合同履行中的行为，弥补合同执行中由于自身行为可能给采购人带来的各种损失（履约保证金将不予退还）。</w:t>
      </w:r>
    </w:p>
    <w:p w14:paraId="168FBA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⑹如中标人信用报告为AA评级及以上的，减半或免收履约保证金（需提供信用管理部门备案的第三方信用报告）；中标人的信用报告应满足盐城市信用办《关于执行&lt;江苏省企业信用评价指引（试行）落实信用报告互认互用的通知》（盐信用办〔2021〕16号）规定，且信用报告概述页等内容通过“信用盐城”网站可查实。</w:t>
      </w:r>
    </w:p>
    <w:p w14:paraId="12758B5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cs="宋体"/>
          <w:b/>
          <w:color w:val="000000"/>
          <w:szCs w:val="21"/>
        </w:rPr>
        <w:t>10.2</w:t>
      </w:r>
      <w:r>
        <w:rPr>
          <w:rFonts w:hint="eastAsia" w:ascii="宋体"/>
          <w:b/>
          <w:color w:val="000000"/>
          <w:szCs w:val="21"/>
        </w:rPr>
        <w:t>下列任何情况发生时，采购代理机构有权没收其保证金（作为预定的损害赔偿而非罚款）：</w:t>
      </w:r>
    </w:p>
    <w:p w14:paraId="654F89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10.2.1供应商在提交响应文件截止时间后撤回响应文件的；</w:t>
      </w:r>
    </w:p>
    <w:p w14:paraId="2604AC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10.2.2供应商在响应文件中提供虚假材料的；</w:t>
      </w:r>
    </w:p>
    <w:p w14:paraId="1D978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10.2.3除因不可抗力或采购文件认可的情形以外，成交供应商不与采购人签订合同的；</w:t>
      </w:r>
    </w:p>
    <w:p w14:paraId="6B997D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10.2.4供应商与采购人、其他供应商或者采购代理机构恶意串通的；</w:t>
      </w:r>
    </w:p>
    <w:p w14:paraId="57667C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10.2.5采购文件规定的其他情形</w:t>
      </w:r>
      <w:r>
        <w:rPr>
          <w:rFonts w:hint="eastAsia" w:ascii="宋体"/>
          <w:b/>
          <w:color w:val="000000"/>
          <w:szCs w:val="21"/>
        </w:rPr>
        <w:t>：</w:t>
      </w:r>
    </w:p>
    <w:p w14:paraId="171F0D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（1）供应商报名后未参加投标的（在报名时间内撤回的除外）；</w:t>
      </w:r>
    </w:p>
    <w:p w14:paraId="126BC8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（2）供应商提供的有关资料（含质疑材料）不真实或</w:t>
      </w:r>
      <w:r>
        <w:rPr>
          <w:rFonts w:ascii="宋体" w:cs="Arial"/>
          <w:color w:val="000000"/>
          <w:kern w:val="0"/>
          <w:szCs w:val="21"/>
        </w:rPr>
        <w:t>以非法手段取得。</w:t>
      </w:r>
    </w:p>
    <w:p w14:paraId="1E7185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（3）成交供应商在规定期限内未能根据规定交纳代理服务费、履约保证金的。</w:t>
      </w:r>
    </w:p>
    <w:p w14:paraId="15970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10.2.6法律、法规规定的其他情况。</w:t>
      </w:r>
    </w:p>
    <w:p w14:paraId="0D175E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10.3成交供应商的需向</w:t>
      </w:r>
      <w:r>
        <w:rPr>
          <w:rFonts w:hint="eastAsia" w:ascii="宋体" w:cs="宋体"/>
          <w:color w:val="000000"/>
          <w:kern w:val="0"/>
          <w:szCs w:val="21"/>
        </w:rPr>
        <w:t>采购人或者携手阳光公司</w:t>
      </w:r>
      <w:r>
        <w:rPr>
          <w:rFonts w:hint="eastAsia" w:ascii="宋体"/>
          <w:color w:val="000000"/>
          <w:szCs w:val="21"/>
        </w:rPr>
        <w:t>（以采购人要求为准）</w:t>
      </w:r>
      <w:r>
        <w:rPr>
          <w:rFonts w:hint="eastAsia" w:ascii="宋体" w:cs="宋体"/>
          <w:color w:val="000000"/>
          <w:szCs w:val="21"/>
        </w:rPr>
        <w:t>缴纳履约保证金。履约保证金</w:t>
      </w:r>
      <w:r>
        <w:rPr>
          <w:rFonts w:hint="eastAsia" w:ascii="宋体"/>
          <w:color w:val="000000"/>
          <w:szCs w:val="21"/>
        </w:rPr>
        <w:t>于合同履行完毕后无息退还（如在携手阳光公司账上的，退还时须提供采购人书面同意退还的证明材料）。</w:t>
      </w:r>
    </w:p>
    <w:p w14:paraId="6AD8EA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履约保证金用以约束成交供应商在合同履行中的行为，弥补合同执行中由于自身行为可能给采购人带来的各种损失。如果成交供应商不同意按照规定去做，采购代理机构有权取消本次采购成交决定，并没收其</w:t>
      </w:r>
      <w:r>
        <w:rPr>
          <w:rFonts w:hint="eastAsia" w:ascii="宋体" w:cs="宋体"/>
          <w:color w:val="000000"/>
          <w:szCs w:val="21"/>
        </w:rPr>
        <w:t>履约保证金</w:t>
      </w:r>
      <w:r>
        <w:rPr>
          <w:rFonts w:hint="eastAsia" w:ascii="宋体"/>
          <w:color w:val="000000"/>
          <w:szCs w:val="21"/>
        </w:rPr>
        <w:t>。</w:t>
      </w:r>
    </w:p>
    <w:p w14:paraId="57B95E9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10、终止询价采购活动</w:t>
      </w:r>
    </w:p>
    <w:p w14:paraId="19C5F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出现下列情形之一的，采购人或者采购代理机构应当终止询价采购活动，重新开展采购活动：</w:t>
      </w:r>
    </w:p>
    <w:p w14:paraId="5C592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10.1因情况变化，不再符合规定的询价采购方式适用情形的；</w:t>
      </w:r>
    </w:p>
    <w:p w14:paraId="776760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10.2出现影响采购公正的违法、违规行为的；</w:t>
      </w:r>
    </w:p>
    <w:p w14:paraId="18115D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在采购过程中符合竞争要求的供应商或者报价未超过采购预算的供应商不足3家的，采购人可以终止采购活动，也可以按照“以合理的价格购买数量、质量合适的产品”的原则继续评审（须符合质优价廉，且价格低于市场平均价）。</w:t>
      </w:r>
    </w:p>
    <w:p w14:paraId="292384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11、代理服务费</w:t>
      </w:r>
    </w:p>
    <w:p w14:paraId="5A8369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11.1</w:t>
      </w:r>
      <w:r>
        <w:rPr>
          <w:rFonts w:hint="eastAsia" w:ascii="宋体"/>
          <w:bCs/>
          <w:color w:val="000000"/>
          <w:szCs w:val="21"/>
        </w:rPr>
        <w:t>代理服务费收费标准：</w:t>
      </w:r>
      <w:r>
        <w:rPr>
          <w:rFonts w:hint="eastAsia" w:ascii="宋体" w:cs="宋体"/>
          <w:bCs/>
          <w:color w:val="000000"/>
          <w:szCs w:val="21"/>
        </w:rPr>
        <w:t>见</w:t>
      </w:r>
      <w:r>
        <w:rPr>
          <w:rFonts w:hint="eastAsia" w:ascii="宋体" w:cs="宋体"/>
          <w:bCs/>
          <w:color w:val="000000"/>
          <w:szCs w:val="21"/>
          <w:u w:val="single"/>
        </w:rPr>
        <w:t>供应商须知资料表</w:t>
      </w:r>
      <w:r>
        <w:rPr>
          <w:rFonts w:hint="eastAsia" w:ascii="宋体"/>
          <w:color w:val="000000"/>
          <w:szCs w:val="21"/>
        </w:rPr>
        <w:t>（如</w:t>
      </w:r>
      <w:r>
        <w:rPr>
          <w:rFonts w:hint="eastAsia" w:ascii="宋体"/>
          <w:bCs/>
          <w:color w:val="000000"/>
          <w:szCs w:val="21"/>
        </w:rPr>
        <w:t>代理服务费</w:t>
      </w:r>
      <w:r>
        <w:rPr>
          <w:rFonts w:hint="eastAsia" w:ascii="宋体"/>
          <w:color w:val="000000"/>
          <w:szCs w:val="21"/>
        </w:rPr>
        <w:t>低于最低标准的，按最低标准计收）。</w:t>
      </w:r>
    </w:p>
    <w:p w14:paraId="09164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s="宋体"/>
          <w:bCs/>
          <w:color w:val="000000"/>
          <w:szCs w:val="21"/>
        </w:rPr>
        <w:t>11.2如</w:t>
      </w:r>
      <w:r>
        <w:rPr>
          <w:rFonts w:hint="eastAsia" w:ascii="宋体" w:cs="宋体"/>
          <w:bCs/>
          <w:color w:val="000000"/>
          <w:szCs w:val="21"/>
          <w:u w:val="single"/>
        </w:rPr>
        <w:t>供应商须知资料表</w:t>
      </w:r>
      <w:r>
        <w:rPr>
          <w:rFonts w:hint="eastAsia" w:ascii="宋体" w:cs="宋体"/>
          <w:bCs/>
          <w:color w:val="000000"/>
          <w:szCs w:val="21"/>
        </w:rPr>
        <w:t>规定</w:t>
      </w:r>
      <w:r>
        <w:rPr>
          <w:rFonts w:hint="eastAsia" w:ascii="宋体"/>
          <w:bCs/>
          <w:color w:val="000000"/>
          <w:szCs w:val="21"/>
        </w:rPr>
        <w:t>代理服务费由成交供应商承担的。</w:t>
      </w:r>
      <w:r>
        <w:rPr>
          <w:rFonts w:hint="eastAsia" w:ascii="宋体" w:cs="宋体"/>
          <w:bCs/>
          <w:color w:val="000000"/>
          <w:szCs w:val="21"/>
        </w:rPr>
        <w:t>成交供应商须在领取成交通知书时，按照</w:t>
      </w:r>
      <w:r>
        <w:rPr>
          <w:rFonts w:hint="eastAsia" w:ascii="宋体" w:cs="宋体"/>
          <w:bCs/>
          <w:color w:val="000000"/>
          <w:szCs w:val="21"/>
          <w:u w:val="single"/>
        </w:rPr>
        <w:t>供应商须知资料表</w:t>
      </w:r>
      <w:r>
        <w:rPr>
          <w:rFonts w:hint="eastAsia" w:ascii="宋体" w:cs="宋体"/>
          <w:bCs/>
          <w:color w:val="000000"/>
          <w:szCs w:val="21"/>
        </w:rPr>
        <w:t>规定的</w:t>
      </w:r>
      <w:r>
        <w:rPr>
          <w:rFonts w:hint="eastAsia" w:ascii="宋体"/>
          <w:bCs/>
          <w:color w:val="000000"/>
          <w:szCs w:val="21"/>
        </w:rPr>
        <w:t>收费标准</w:t>
      </w:r>
      <w:r>
        <w:rPr>
          <w:rFonts w:hint="eastAsia" w:ascii="宋体" w:cs="宋体"/>
          <w:bCs/>
          <w:color w:val="000000"/>
          <w:szCs w:val="21"/>
        </w:rPr>
        <w:t>向携手阳光公司支付</w:t>
      </w:r>
      <w:r>
        <w:rPr>
          <w:rFonts w:hint="eastAsia" w:ascii="宋体"/>
          <w:bCs/>
          <w:color w:val="000000"/>
          <w:szCs w:val="21"/>
        </w:rPr>
        <w:t>代理服务费</w:t>
      </w:r>
      <w:r>
        <w:rPr>
          <w:rFonts w:hint="eastAsia" w:ascii="宋体" w:cs="宋体"/>
          <w:bCs/>
          <w:color w:val="000000"/>
          <w:szCs w:val="21"/>
        </w:rPr>
        <w:t>（一次性付清）。</w:t>
      </w:r>
      <w:r>
        <w:rPr>
          <w:rFonts w:hint="eastAsia" w:ascii="宋体"/>
          <w:color w:val="000000"/>
          <w:szCs w:val="21"/>
        </w:rPr>
        <w:t>该费用折算在供应商报价中，不在投标文件中单独列出。</w:t>
      </w:r>
    </w:p>
    <w:p w14:paraId="0EA1C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bCs/>
          <w:color w:val="000000"/>
          <w:szCs w:val="21"/>
        </w:rPr>
        <w:t>11.3代理服务费支付形式为：电款、转账等；发票为</w:t>
      </w:r>
      <w:r>
        <w:rPr>
          <w:rFonts w:hint="eastAsia" w:ascii="宋体" w:cs="宋体"/>
          <w:color w:val="000000"/>
          <w:szCs w:val="21"/>
        </w:rPr>
        <w:t>普通发票。账户信息：开户名：盐城市携手阳光集中采购代理有限公司；开户行：兴业银行盐城分行；帐号：402010100100119375）。如中标单位逾期未支持中标服务费的，携手阳光公司有权全额没收其相关保证金作为预定的损害赔偿（超出收费标准部分作为资金占用赔偿），并保留诉讼的权利。</w:t>
      </w:r>
    </w:p>
    <w:p w14:paraId="59B9EEC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12、成交供应商违约、违规责任</w:t>
      </w:r>
    </w:p>
    <w:p w14:paraId="4C3D2C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pacing w:val="15"/>
          <w:kern w:val="0"/>
          <w:szCs w:val="21"/>
        </w:rPr>
      </w:pPr>
      <w:r>
        <w:rPr>
          <w:rFonts w:hint="eastAsia" w:ascii="宋体" w:cs="宋体"/>
          <w:color w:val="000000"/>
          <w:szCs w:val="21"/>
        </w:rPr>
        <w:t>12.1</w:t>
      </w:r>
      <w:r>
        <w:rPr>
          <w:rFonts w:hint="eastAsia" w:ascii="宋体" w:cs="宋体"/>
          <w:color w:val="000000"/>
          <w:spacing w:val="15"/>
          <w:kern w:val="0"/>
          <w:szCs w:val="21"/>
        </w:rPr>
        <w:t>政府采购遵循诚实信用原则。为保证政府采购效率及采购人的合法权益，</w:t>
      </w:r>
      <w:r>
        <w:rPr>
          <w:rFonts w:hint="eastAsia" w:ascii="宋体"/>
          <w:color w:val="000000"/>
          <w:szCs w:val="21"/>
        </w:rPr>
        <w:t>成交供应商出现违约、违规的，按照有利于采购人的原则处理。即：如采购文件、投标（响应）文件及合同条款约定中对成交供应商有不同违约、违规规定的，按照处罚最高的规定处理（供应商承担）。</w:t>
      </w:r>
    </w:p>
    <w:p w14:paraId="7E334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12.2如成交供应商出现下例情况的，采购人或采购代理机构有权拒绝其供应商参加采购代理机构代理的或采购人的各类招标采购活动（视为没有良好的商业信誉而拒绝参加）：</w:t>
      </w:r>
    </w:p>
    <w:p w14:paraId="4E3622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逾期未与采购人签订合同（放弃成交）；2、未能在规定的时间内完成施工或达到采购人的验收；3、未按照采购文件、投标（响应）文件及合同条款履约；4、成交供应商逾期未向携手阳光公司支持招标代理服务费的（视为没有良好的商业信誉）；5、出现其它违法、违规、违约行为的。</w:t>
      </w:r>
    </w:p>
    <w:p w14:paraId="76866B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以上情节严重的，将报请政府采购监督管理部门进行相应的行政处罚。造成采购人损失的，成交供应商须承担全部赔偿责任，采购人保留诉讼的权利。</w:t>
      </w:r>
      <w:r>
        <w:rPr>
          <w:rFonts w:hint="eastAsia" w:ascii="宋体" w:cs="宋体"/>
          <w:color w:val="000000"/>
          <w:spacing w:val="15"/>
          <w:kern w:val="0"/>
          <w:szCs w:val="21"/>
        </w:rPr>
        <w:t> </w:t>
      </w:r>
    </w:p>
    <w:p w14:paraId="56F13C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12</w:t>
      </w:r>
      <w:r>
        <w:rPr>
          <w:rFonts w:hint="eastAsia" w:ascii="宋体" w:cs="宋体"/>
          <w:color w:val="000000"/>
          <w:szCs w:val="21"/>
        </w:rPr>
        <w:t>.3</w:t>
      </w:r>
      <w:r>
        <w:rPr>
          <w:rFonts w:hint="eastAsia" w:ascii="宋体"/>
          <w:color w:val="000000"/>
          <w:szCs w:val="21"/>
        </w:rPr>
        <w:t>法律法规规定的其它违约、违规责任。</w:t>
      </w:r>
    </w:p>
    <w:p w14:paraId="39B5BE7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13、解释（定义）及其它：</w:t>
      </w:r>
    </w:p>
    <w:p w14:paraId="185A76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s="宋体"/>
          <w:color w:val="000000"/>
          <w:kern w:val="0"/>
          <w:szCs w:val="21"/>
        </w:rPr>
        <w:t>采购邀请：略，本项目的采购邀请书同采购公告。</w:t>
      </w:r>
    </w:p>
    <w:p w14:paraId="1CF78C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olor w:val="000000"/>
          <w:szCs w:val="21"/>
        </w:rPr>
        <w:t>本次采购活动（含采购文件）中的“货物”包</w:t>
      </w:r>
      <w:r>
        <w:rPr>
          <w:rFonts w:hint="eastAsia" w:ascii="宋体" w:cs="宋体"/>
          <w:color w:val="000000"/>
          <w:szCs w:val="21"/>
        </w:rPr>
        <w:t>含需要涉及（使用）的服务、工程等有关的所有事宜，</w:t>
      </w:r>
      <w:r>
        <w:rPr>
          <w:rFonts w:hint="eastAsia" w:ascii="宋体"/>
          <w:color w:val="000000"/>
          <w:szCs w:val="21"/>
        </w:rPr>
        <w:t>“服务”包</w:t>
      </w:r>
      <w:r>
        <w:rPr>
          <w:rFonts w:hint="eastAsia" w:ascii="宋体" w:cs="宋体"/>
          <w:color w:val="000000"/>
          <w:szCs w:val="21"/>
        </w:rPr>
        <w:t>含需要涉及（使用）的货物、工程等有关的所有事宜，</w:t>
      </w:r>
      <w:r>
        <w:rPr>
          <w:rFonts w:hint="eastAsia" w:ascii="宋体"/>
          <w:color w:val="000000"/>
          <w:szCs w:val="21"/>
        </w:rPr>
        <w:t>“</w:t>
      </w:r>
      <w:r>
        <w:rPr>
          <w:rFonts w:hint="eastAsia" w:ascii="宋体" w:cs="宋体"/>
          <w:color w:val="000000"/>
          <w:szCs w:val="21"/>
        </w:rPr>
        <w:t>工程</w:t>
      </w:r>
      <w:r>
        <w:rPr>
          <w:rFonts w:hint="eastAsia" w:ascii="宋体"/>
          <w:color w:val="000000"/>
          <w:szCs w:val="21"/>
        </w:rPr>
        <w:t>”包</w:t>
      </w:r>
      <w:r>
        <w:rPr>
          <w:rFonts w:hint="eastAsia" w:ascii="宋体" w:cs="宋体"/>
          <w:color w:val="000000"/>
          <w:szCs w:val="21"/>
        </w:rPr>
        <w:t>含需要涉及（使用）的货物、服务等有关的所有事宜。</w:t>
      </w:r>
    </w:p>
    <w:p w14:paraId="18AE7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s="宋体"/>
          <w:color w:val="000000"/>
          <w:szCs w:val="21"/>
        </w:rPr>
        <w:t>如无特殊说明，本次招标使用时间为北京时间（24小时制）、日历天；使用货币单位为人民币。</w:t>
      </w:r>
    </w:p>
    <w:p w14:paraId="01431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b/>
          <w:color w:val="000000"/>
          <w:szCs w:val="21"/>
        </w:rPr>
      </w:pPr>
      <w:r>
        <w:rPr>
          <w:rFonts w:hint="eastAsia" w:ascii="宋体" w:cs="宋体"/>
          <w:color w:val="000000"/>
          <w:szCs w:val="21"/>
        </w:rPr>
        <w:t>如无特殊说明，本招标文件中近三个月、近三年等时间均以投标文件递交截止时间（当年或当月）为准[例：递交截止时间为2020年7月1日，近三个月以来是指2020年4月（含）以来；近三年以来是指2017年（含）以来]。如为2018年以来的，是指2018年1月1日以来。如设定年龄的，以出生当年计[不以具体出生月日计。例：递交截止时间为2020年，50岁以下是指1970年1月1日（含）以后出生]。</w:t>
      </w:r>
    </w:p>
    <w:p w14:paraId="5B45C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b/>
          <w:color w:val="000000"/>
          <w:szCs w:val="21"/>
        </w:rPr>
      </w:pPr>
      <w:r>
        <w:rPr>
          <w:rFonts w:hint="eastAsia" w:ascii="宋体" w:cs="宋体"/>
          <w:color w:val="000000"/>
          <w:szCs w:val="21"/>
        </w:rPr>
        <w:t>如投标人为非法人单位的，“法定代表人”可为自然人本人、经营者本人、负责人。</w:t>
      </w:r>
    </w:p>
    <w:p w14:paraId="2B090F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s="宋体"/>
          <w:color w:val="000000"/>
          <w:szCs w:val="21"/>
        </w:rPr>
      </w:pPr>
      <w:r>
        <w:rPr>
          <w:rFonts w:hint="eastAsia" w:ascii="宋体" w:cs="宋体"/>
          <w:color w:val="000000"/>
          <w:szCs w:val="21"/>
        </w:rPr>
        <w:t>如招标文件中要求提供原件的，原件须与投标文件一起递交，否视为未提供（未响应）。如相关原件以装订等方式装订在投标文件中的，视为一次性证明，不再退还给投标人。</w:t>
      </w:r>
      <w:r>
        <w:rPr>
          <w:rFonts w:hint="eastAsia" w:ascii="宋体"/>
          <w:color w:val="000000"/>
          <w:szCs w:val="21"/>
        </w:rPr>
        <w:t>“原件备查”</w:t>
      </w:r>
      <w:r>
        <w:rPr>
          <w:rFonts w:hint="eastAsia" w:ascii="宋体" w:cs="宋体"/>
          <w:color w:val="000000"/>
          <w:szCs w:val="21"/>
        </w:rPr>
        <w:t>是指原件须与投标文件一起携带到</w:t>
      </w:r>
      <w:r>
        <w:rPr>
          <w:rFonts w:hint="eastAsia" w:ascii="宋体"/>
          <w:color w:val="000000"/>
          <w:szCs w:val="21"/>
        </w:rPr>
        <w:t>投标文件递交地点直至评审结束</w:t>
      </w:r>
      <w:r>
        <w:rPr>
          <w:rFonts w:hint="eastAsia" w:ascii="宋体" w:cs="宋体"/>
          <w:color w:val="000000"/>
          <w:szCs w:val="21"/>
        </w:rPr>
        <w:t>。评审期间，如评委需要核查原件时，携手阳光公司工作人员将以电话方式通知投标人代表</w:t>
      </w:r>
      <w:r>
        <w:rPr>
          <w:rFonts w:hint="eastAsia" w:ascii="宋体" w:cs="宋体"/>
          <w:bCs/>
          <w:color w:val="000000"/>
          <w:szCs w:val="21"/>
        </w:rPr>
        <w:t>（以投标文件为准）</w:t>
      </w:r>
      <w:r>
        <w:rPr>
          <w:rFonts w:hint="eastAsia" w:ascii="宋体" w:cs="宋体"/>
          <w:color w:val="000000"/>
          <w:szCs w:val="21"/>
        </w:rPr>
        <w:t>，投标人代表必须在接到通知15分钟以内向评委提供（可由携手阳光公司工作人员转交），否视为未提供。</w:t>
      </w:r>
    </w:p>
    <w:p w14:paraId="3BA26FB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cs="宋体"/>
          <w:b/>
          <w:color w:val="000000"/>
          <w:szCs w:val="21"/>
        </w:rPr>
      </w:pPr>
      <w:r>
        <w:rPr>
          <w:rFonts w:hint="eastAsia" w:ascii="宋体" w:cs="宋体"/>
          <w:b/>
          <w:color w:val="000000"/>
          <w:szCs w:val="21"/>
        </w:rPr>
        <w:t>投标人应确保相关证书的有效性（如：证书所注明的有效时间在投标文件递交时间之后）。如证书有效性可以不受证书时间限制的，投标人应当在投标文件中进行说明并提供相关法律依据，以便评委评审。</w:t>
      </w:r>
    </w:p>
    <w:p w14:paraId="467DE0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s="宋体"/>
          <w:color w:val="000000"/>
          <w:szCs w:val="21"/>
        </w:rPr>
      </w:pPr>
      <w:r>
        <w:rPr>
          <w:rFonts w:hint="eastAsia"/>
          <w:color w:val="000000"/>
          <w:szCs w:val="21"/>
        </w:rPr>
        <w:t>1、本采购文件中所称的“以上”、“以下”、“内”、“以内”，包括本数；所称的“不足”，不包括本数。如无特殊说明，近三个月等时间均以投标文件递交截止时间为准。</w:t>
      </w:r>
    </w:p>
    <w:p w14:paraId="7644B1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s="宋体"/>
          <w:color w:val="000000"/>
          <w:szCs w:val="21"/>
        </w:rPr>
      </w:pPr>
      <w:r>
        <w:rPr>
          <w:rFonts w:hint="eastAsia"/>
          <w:color w:val="000000"/>
          <w:szCs w:val="21"/>
        </w:rPr>
        <w:t>2、本采购文件当中“投标”、“投标人”、“投标文件”、“中标”、“中标人”，分别是指（本次采购活动中可以称为）“参加询价响应”、“参加询价响应单位”、“询价响应文件”、“成交”、“成交供应商”</w:t>
      </w:r>
    </w:p>
    <w:p w14:paraId="5C2B10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s="宋体"/>
          <w:b/>
          <w:color w:val="000000"/>
          <w:szCs w:val="21"/>
        </w:rPr>
      </w:pPr>
      <w:r>
        <w:rPr>
          <w:rFonts w:hint="eastAsia" w:ascii="宋体"/>
          <w:color w:val="000000"/>
        </w:rPr>
        <w:t>3、如投标人为非法人单位的，“法定代表人”可为自然人本人、经营者本人、负责人。</w:t>
      </w:r>
    </w:p>
    <w:p w14:paraId="764E4E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color w:val="000000"/>
          <w:sz w:val="28"/>
          <w:szCs w:val="28"/>
        </w:rPr>
      </w:pPr>
      <w:r>
        <w:rPr>
          <w:rFonts w:hint="eastAsia" w:ascii="宋体"/>
          <w:b/>
          <w:color w:val="000000"/>
          <w:szCs w:val="21"/>
        </w:rPr>
        <w:t>特别说明：采购文件如有异议或表达不准，供应商应当在获取采购文件后及时（3个工作日内）与采购代理机构联系。由此导致投标（响应）文件无效，由各供应商自行承担责任。</w:t>
      </w:r>
    </w:p>
    <w:p w14:paraId="67CBB4EC">
      <w:pPr>
        <w:spacing w:line="398" w:lineRule="exact"/>
        <w:jc w:val="center"/>
        <w:outlineLvl w:val="0"/>
        <w:rPr>
          <w:rFonts w:hint="eastAsia" w:ascii="宋体" w:hAnsi="宋体"/>
          <w:b/>
          <w:color w:val="000000"/>
          <w:sz w:val="28"/>
          <w:szCs w:val="28"/>
        </w:rPr>
      </w:pPr>
      <w:bookmarkStart w:id="27" w:name="_Toc184029941"/>
    </w:p>
    <w:p w14:paraId="7733688F">
      <w:pPr>
        <w:spacing w:line="398" w:lineRule="exact"/>
        <w:jc w:val="center"/>
        <w:outlineLvl w:val="0"/>
        <w:rPr>
          <w:rFonts w:hint="eastAsia" w:ascii="宋体" w:hAnsi="宋体"/>
          <w:b/>
          <w:color w:val="000000"/>
          <w:sz w:val="28"/>
          <w:szCs w:val="28"/>
        </w:rPr>
      </w:pPr>
    </w:p>
    <w:p w14:paraId="11F83033">
      <w:pPr>
        <w:spacing w:line="398" w:lineRule="exact"/>
        <w:jc w:val="center"/>
        <w:outlineLvl w:val="0"/>
        <w:rPr>
          <w:rFonts w:hint="eastAsia" w:ascii="宋体" w:hAnsi="宋体"/>
          <w:b/>
          <w:color w:val="000000"/>
          <w:sz w:val="28"/>
          <w:szCs w:val="28"/>
        </w:rPr>
      </w:pPr>
    </w:p>
    <w:p w14:paraId="3B23917C">
      <w:pPr>
        <w:spacing w:line="398" w:lineRule="exact"/>
        <w:jc w:val="center"/>
        <w:outlineLvl w:val="0"/>
        <w:rPr>
          <w:rFonts w:hint="eastAsia" w:ascii="宋体" w:hAnsi="宋体"/>
          <w:b/>
          <w:color w:val="000000"/>
          <w:sz w:val="28"/>
          <w:szCs w:val="28"/>
        </w:rPr>
      </w:pPr>
    </w:p>
    <w:p w14:paraId="0D74965C">
      <w:pPr>
        <w:spacing w:line="398" w:lineRule="exact"/>
        <w:jc w:val="center"/>
        <w:outlineLvl w:val="0"/>
        <w:rPr>
          <w:rFonts w:hint="eastAsia" w:ascii="宋体" w:hAnsi="宋体"/>
          <w:b/>
          <w:color w:val="000000"/>
          <w:sz w:val="28"/>
          <w:szCs w:val="28"/>
        </w:rPr>
      </w:pPr>
    </w:p>
    <w:p w14:paraId="13F7B6C8">
      <w:pPr>
        <w:spacing w:line="398" w:lineRule="exact"/>
        <w:jc w:val="both"/>
        <w:outlineLvl w:val="0"/>
        <w:rPr>
          <w:rFonts w:hint="eastAsia" w:ascii="宋体" w:hAnsi="宋体"/>
          <w:b/>
          <w:color w:val="000000"/>
          <w:sz w:val="28"/>
          <w:szCs w:val="28"/>
        </w:rPr>
      </w:pPr>
    </w:p>
    <w:p w14:paraId="2976DF99">
      <w:pPr>
        <w:spacing w:line="398" w:lineRule="exact"/>
        <w:jc w:val="center"/>
        <w:outlineLvl w:val="0"/>
        <w:rPr>
          <w:rFonts w:hint="eastAsia" w:ascii="宋体" w:hAnsi="宋体"/>
          <w:b/>
          <w:color w:val="000000"/>
          <w:sz w:val="28"/>
          <w:szCs w:val="28"/>
        </w:rPr>
      </w:pPr>
    </w:p>
    <w:p w14:paraId="1D019B5D">
      <w:pPr>
        <w:spacing w:line="398" w:lineRule="exact"/>
        <w:jc w:val="center"/>
        <w:outlineLvl w:val="0"/>
        <w:rPr>
          <w:rFonts w:ascii="宋体" w:hAnsi="宋体"/>
          <w:b/>
          <w:color w:val="000000"/>
          <w:sz w:val="28"/>
          <w:szCs w:val="28"/>
        </w:rPr>
      </w:pPr>
      <w:r>
        <w:rPr>
          <w:rFonts w:hint="eastAsia" w:ascii="宋体" w:hAnsi="宋体"/>
          <w:b/>
          <w:color w:val="000000"/>
          <w:sz w:val="28"/>
          <w:szCs w:val="28"/>
        </w:rPr>
        <w:t>第三章  采购需求及政府采购合同（拟签订的合同文本）</w:t>
      </w:r>
      <w:bookmarkEnd w:id="27"/>
    </w:p>
    <w:tbl>
      <w:tblPr>
        <w:tblStyle w:val="27"/>
        <w:tblW w:w="98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840"/>
        <w:gridCol w:w="7019"/>
      </w:tblGrid>
      <w:tr w14:paraId="7E68B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jc w:val="center"/>
        </w:trPr>
        <w:tc>
          <w:tcPr>
            <w:tcW w:w="2840" w:type="dxa"/>
            <w:noWrap/>
            <w:vAlign w:val="center"/>
          </w:tcPr>
          <w:p w14:paraId="69785740">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内容</w:t>
            </w:r>
          </w:p>
        </w:tc>
        <w:tc>
          <w:tcPr>
            <w:tcW w:w="7019" w:type="dxa"/>
            <w:noWrap/>
            <w:vAlign w:val="center"/>
          </w:tcPr>
          <w:p w14:paraId="174E501A">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相关要求（说明）</w:t>
            </w:r>
          </w:p>
        </w:tc>
      </w:tr>
      <w:tr w14:paraId="6438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0" w:hRule="atLeast"/>
          <w:jc w:val="center"/>
        </w:trPr>
        <w:tc>
          <w:tcPr>
            <w:tcW w:w="2840" w:type="dxa"/>
            <w:noWrap/>
            <w:vAlign w:val="center"/>
          </w:tcPr>
          <w:p w14:paraId="4F06133F">
            <w:pPr>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采购标的需实现的功能或者目标，采购标的的数量，所有技术、服务、安全等要求</w:t>
            </w:r>
          </w:p>
        </w:tc>
        <w:tc>
          <w:tcPr>
            <w:tcW w:w="7019" w:type="dxa"/>
            <w:noWrap/>
            <w:vAlign w:val="center"/>
          </w:tcPr>
          <w:p w14:paraId="734A8A94">
            <w:pPr>
              <w:spacing w:line="276" w:lineRule="auto"/>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略，详见“采购需求”部分</w:t>
            </w:r>
          </w:p>
        </w:tc>
      </w:tr>
      <w:tr w14:paraId="7C631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0" w:hRule="atLeast"/>
          <w:jc w:val="center"/>
        </w:trPr>
        <w:tc>
          <w:tcPr>
            <w:tcW w:w="2840" w:type="dxa"/>
            <w:noWrap/>
            <w:vAlign w:val="center"/>
          </w:tcPr>
          <w:p w14:paraId="6C78D3CE">
            <w:pPr>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★工程保修期</w:t>
            </w:r>
          </w:p>
        </w:tc>
        <w:tc>
          <w:tcPr>
            <w:tcW w:w="7019" w:type="dxa"/>
            <w:noWrap/>
            <w:vAlign w:val="center"/>
          </w:tcPr>
          <w:p w14:paraId="1966DF0A">
            <w:pPr>
              <w:spacing w:line="400" w:lineRule="exact"/>
              <w:ind w:firstLine="422"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u w:val="single"/>
                <w:lang w:val="en-US" w:eastAsia="zh-CN"/>
              </w:rPr>
              <w:t>1</w:t>
            </w:r>
            <w:r>
              <w:rPr>
                <w:rFonts w:hint="eastAsia" w:asciiTheme="minorEastAsia" w:hAnsiTheme="minorEastAsia" w:eastAsiaTheme="minorEastAsia" w:cstheme="minorEastAsia"/>
                <w:b/>
                <w:color w:val="auto"/>
                <w:sz w:val="21"/>
                <w:szCs w:val="21"/>
                <w:u w:val="single"/>
              </w:rPr>
              <w:t>年</w:t>
            </w:r>
            <w:r>
              <w:rPr>
                <w:rFonts w:hint="eastAsia" w:asciiTheme="minorEastAsia" w:hAnsiTheme="minorEastAsia" w:eastAsiaTheme="minorEastAsia" w:cstheme="minorEastAsia"/>
                <w:b/>
                <w:color w:val="auto"/>
                <w:sz w:val="21"/>
                <w:szCs w:val="21"/>
              </w:rPr>
              <w:t>（质保期自验收合格之日起算，质保要求：工程因自然力等主客观因素出现松动、脱落等现象，供应商需在3日内到场免费维修）</w:t>
            </w:r>
          </w:p>
        </w:tc>
      </w:tr>
      <w:tr w14:paraId="7002F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2" w:hRule="atLeast"/>
          <w:jc w:val="center"/>
        </w:trPr>
        <w:tc>
          <w:tcPr>
            <w:tcW w:w="2840" w:type="dxa"/>
            <w:noWrap/>
            <w:vAlign w:val="center"/>
          </w:tcPr>
          <w:p w14:paraId="6FBF61FB">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★工期</w:t>
            </w:r>
          </w:p>
        </w:tc>
        <w:tc>
          <w:tcPr>
            <w:tcW w:w="7019" w:type="dxa"/>
            <w:noWrap/>
            <w:vAlign w:val="center"/>
          </w:tcPr>
          <w:p w14:paraId="4E65C411">
            <w:pPr>
              <w:spacing w:line="276" w:lineRule="auto"/>
              <w:ind w:firstLine="422" w:firstLineChars="200"/>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u w:val="single"/>
                <w:lang w:val="en-US" w:eastAsia="zh-CN"/>
              </w:rPr>
              <w:t>20</w:t>
            </w:r>
            <w:r>
              <w:rPr>
                <w:rFonts w:hint="eastAsia" w:asciiTheme="minorEastAsia" w:hAnsiTheme="minorEastAsia" w:eastAsiaTheme="minorEastAsia" w:cstheme="minorEastAsia"/>
                <w:b/>
                <w:color w:val="auto"/>
                <w:sz w:val="21"/>
                <w:szCs w:val="21"/>
              </w:rPr>
              <w:t>日历天（具体开工日期以采购人的通知为准）。</w:t>
            </w:r>
          </w:p>
          <w:p w14:paraId="6C2CC642">
            <w:pPr>
              <w:spacing w:line="440" w:lineRule="exact"/>
              <w:ind w:firstLine="422"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供应商须按时施工结束（交付）并达到招标人的验收标准。防腐涂层厚度第一次检测费用由校方承担，如检测不合格，整改后再次复检费用由施工单位承担，因复检不合格整改造成的工期延误按合同约定处罚。【如因施工单位自身施工组织问题造成工期延误的，每延误一天，处罚1000元，如因工期延误，造成学校重大影响的，学校有权追究责任。（工程延误处罚款项在审计时直接扣除）】</w:t>
            </w:r>
          </w:p>
        </w:tc>
      </w:tr>
      <w:tr w14:paraId="67567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2840" w:type="dxa"/>
            <w:noWrap/>
            <w:vAlign w:val="center"/>
          </w:tcPr>
          <w:p w14:paraId="0AB03DD6">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★交付或者实施的地点</w:t>
            </w:r>
          </w:p>
          <w:p w14:paraId="1BEDB729">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（交付地点或施工地点）</w:t>
            </w:r>
          </w:p>
        </w:tc>
        <w:tc>
          <w:tcPr>
            <w:tcW w:w="7019" w:type="dxa"/>
            <w:noWrap/>
            <w:vAlign w:val="center"/>
          </w:tcPr>
          <w:p w14:paraId="27ECDADD">
            <w:pPr>
              <w:spacing w:line="276" w:lineRule="auto"/>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江苏医药职业学院指定地点（具体地点以采购人另行通知的为准）</w:t>
            </w:r>
          </w:p>
        </w:tc>
      </w:tr>
      <w:tr w14:paraId="18CD0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4" w:hRule="atLeast"/>
          <w:jc w:val="center"/>
        </w:trPr>
        <w:tc>
          <w:tcPr>
            <w:tcW w:w="2840" w:type="dxa"/>
            <w:noWrap/>
            <w:vAlign w:val="center"/>
          </w:tcPr>
          <w:p w14:paraId="2191943F">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现场踏勘</w:t>
            </w:r>
          </w:p>
        </w:tc>
        <w:tc>
          <w:tcPr>
            <w:tcW w:w="7019" w:type="dxa"/>
            <w:noWrap/>
            <w:vAlign w:val="center"/>
          </w:tcPr>
          <w:p w14:paraId="74BA6FE5">
            <w:pPr>
              <w:pStyle w:val="3"/>
              <w:topLinePunct/>
              <w:spacing w:before="0" w:after="0" w:line="276" w:lineRule="auto"/>
              <w:ind w:firstLine="420" w:firstLineChars="200"/>
              <w:jc w:val="both"/>
              <w:rPr>
                <w:rFonts w:hint="eastAsia" w:asciiTheme="minorEastAsia" w:hAnsiTheme="minorEastAsia" w:eastAsiaTheme="minorEastAsia" w:cstheme="minorEastAsia"/>
                <w:b w:val="0"/>
                <w:kern w:val="2"/>
                <w:sz w:val="21"/>
                <w:szCs w:val="21"/>
                <w:lang w:val="zh-TW" w:eastAsia="zh-TW"/>
              </w:rPr>
            </w:pPr>
            <w:bookmarkStart w:id="28" w:name="_Toc19189"/>
            <w:bookmarkStart w:id="29" w:name="_Toc8514"/>
            <w:bookmarkStart w:id="30" w:name="_Toc24774"/>
            <w:r>
              <w:rPr>
                <w:rFonts w:hint="eastAsia" w:asciiTheme="minorEastAsia" w:hAnsiTheme="minorEastAsia" w:eastAsiaTheme="minorEastAsia" w:cstheme="minorEastAsia"/>
                <w:b w:val="0"/>
                <w:kern w:val="2"/>
                <w:sz w:val="21"/>
                <w:szCs w:val="21"/>
                <w:lang w:val="zh-TW" w:eastAsia="zh-TW"/>
              </w:rPr>
              <w:t>自行进行现场勘查</w:t>
            </w:r>
            <w:bookmarkEnd w:id="28"/>
            <w:bookmarkEnd w:id="29"/>
            <w:bookmarkEnd w:id="30"/>
          </w:p>
          <w:p w14:paraId="786BEE93">
            <w:pPr>
              <w:spacing w:line="276"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TW"/>
              </w:rPr>
              <w:t>踏勘现场</w:t>
            </w:r>
            <w:r>
              <w:rPr>
                <w:rFonts w:hint="eastAsia" w:asciiTheme="minorEastAsia" w:hAnsiTheme="minorEastAsia" w:eastAsiaTheme="minorEastAsia" w:cstheme="minorEastAsia"/>
                <w:sz w:val="21"/>
                <w:szCs w:val="21"/>
                <w:lang w:val="zh-TW" w:eastAsia="zh-TW"/>
              </w:rPr>
              <w:t>人</w:t>
            </w:r>
            <w:r>
              <w:rPr>
                <w:rFonts w:hint="eastAsia" w:asciiTheme="minorEastAsia" w:hAnsiTheme="minorEastAsia" w:eastAsiaTheme="minorEastAsia" w:cstheme="minorEastAsia"/>
                <w:sz w:val="21"/>
                <w:szCs w:val="21"/>
                <w:lang w:val="zh-TW"/>
              </w:rPr>
              <w:t>员</w:t>
            </w:r>
            <w:r>
              <w:rPr>
                <w:rFonts w:hint="eastAsia" w:asciiTheme="minorEastAsia" w:hAnsiTheme="minorEastAsia" w:eastAsiaTheme="minorEastAsia" w:cstheme="minorEastAsia"/>
                <w:sz w:val="21"/>
                <w:szCs w:val="21"/>
                <w:lang w:val="zh-TW" w:eastAsia="zh-TW"/>
              </w:rPr>
              <w:t>（仅限1人）</w:t>
            </w:r>
            <w:r>
              <w:rPr>
                <w:rFonts w:hint="eastAsia" w:asciiTheme="minorEastAsia" w:hAnsiTheme="minorEastAsia" w:eastAsiaTheme="minorEastAsia" w:cstheme="minorEastAsia"/>
                <w:sz w:val="21"/>
                <w:szCs w:val="21"/>
                <w:lang w:val="zh-TW"/>
              </w:rPr>
              <w:t>须</w:t>
            </w:r>
            <w:r>
              <w:rPr>
                <w:rFonts w:hint="eastAsia" w:asciiTheme="minorEastAsia" w:hAnsiTheme="minorEastAsia" w:eastAsiaTheme="minorEastAsia" w:cstheme="minorEastAsia"/>
                <w:sz w:val="21"/>
                <w:szCs w:val="21"/>
                <w:lang w:val="zh-TW" w:eastAsia="zh-TW"/>
              </w:rPr>
              <w:t>从位于盐城市解放南路283号，江苏医药职业学院南门进入，请联系：贾老师；电话：18262395908</w:t>
            </w:r>
            <w:r>
              <w:rPr>
                <w:rFonts w:hint="eastAsia" w:asciiTheme="minorEastAsia" w:hAnsiTheme="minorEastAsia" w:eastAsiaTheme="minorEastAsia" w:cstheme="minorEastAsia"/>
                <w:sz w:val="21"/>
                <w:szCs w:val="21"/>
                <w:lang w:val="zh-TW"/>
              </w:rPr>
              <w:t>。</w:t>
            </w:r>
          </w:p>
        </w:tc>
      </w:tr>
      <w:tr w14:paraId="0D61E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38" w:hRule="atLeast"/>
          <w:jc w:val="center"/>
        </w:trPr>
        <w:tc>
          <w:tcPr>
            <w:tcW w:w="2840" w:type="dxa"/>
            <w:noWrap/>
            <w:vAlign w:val="center"/>
          </w:tcPr>
          <w:p w14:paraId="1CA1437B">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工程结算</w:t>
            </w:r>
          </w:p>
        </w:tc>
        <w:tc>
          <w:tcPr>
            <w:tcW w:w="7019" w:type="dxa"/>
            <w:noWrap/>
            <w:vAlign w:val="center"/>
          </w:tcPr>
          <w:p w14:paraId="3B83E183">
            <w:pPr>
              <w:spacing w:line="276" w:lineRule="auto"/>
              <w:ind w:firstLine="420" w:firstLine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1.本工程采用限定总价审计结算方法，按合同以中标单价和实际工作量计算总价，经审计后确认合同审计总价，但合同审计总价不得高于中标总价（不包含签证变更部分）。</w:t>
            </w:r>
          </w:p>
          <w:p w14:paraId="7282E3C6">
            <w:pPr>
              <w:spacing w:line="276" w:lineRule="auto"/>
              <w:ind w:firstLine="420" w:firstLine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2.结算总价=合同审计总价+签证变更的审计总价。</w:t>
            </w:r>
          </w:p>
          <w:p w14:paraId="466DF357">
            <w:pPr>
              <w:spacing w:line="27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工程竣工验收合格后乙方应提交工程结算资料，要求资料齐全，计算准确，若本工程审计核减率(含复审)达10%(含10%以上的)，全部审计费用由施工单位承担，并由学校从施工单位的工程款中扣除；若核减率在5%-10%之间的，其审计费用由施工单位和建设单位各承担50%；若核减率(含复审)为5%及其以下的审计费用，由学校承担。</w:t>
            </w:r>
          </w:p>
        </w:tc>
      </w:tr>
      <w:tr w14:paraId="59B39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1" w:hRule="atLeast"/>
          <w:jc w:val="center"/>
        </w:trPr>
        <w:tc>
          <w:tcPr>
            <w:tcW w:w="2840" w:type="dxa"/>
            <w:noWrap/>
            <w:vAlign w:val="center"/>
          </w:tcPr>
          <w:p w14:paraId="430C4524">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★采购资金的支付方式、时间、条件（付款方式）</w:t>
            </w:r>
          </w:p>
        </w:tc>
        <w:tc>
          <w:tcPr>
            <w:tcW w:w="7019" w:type="dxa"/>
            <w:noWrap/>
            <w:vAlign w:val="center"/>
          </w:tcPr>
          <w:p w14:paraId="7997DA5E">
            <w:pPr>
              <w:spacing w:line="276"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1.支付方式：电汇或转账等非现金方式  </w:t>
            </w:r>
          </w:p>
          <w:p w14:paraId="0B550805">
            <w:pPr>
              <w:spacing w:line="276"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2.支付时间、条件付款方式：</w:t>
            </w:r>
          </w:p>
          <w:p w14:paraId="005A2BE7">
            <w:pPr>
              <w:spacing w:line="276"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项目验收合格后无质量问题支付合同价的60%款项；审计合格后付至审计价的90%，余款待验收合格质保结束后无质量问题一次性无息付清。</w:t>
            </w:r>
          </w:p>
        </w:tc>
      </w:tr>
      <w:tr w14:paraId="3A12A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1" w:hRule="atLeast"/>
          <w:jc w:val="center"/>
        </w:trPr>
        <w:tc>
          <w:tcPr>
            <w:tcW w:w="9859" w:type="dxa"/>
            <w:gridSpan w:val="2"/>
            <w:noWrap/>
            <w:vAlign w:val="center"/>
          </w:tcPr>
          <w:p w14:paraId="0951F004">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本表当中，加★部分为实质性要求，不接受负偏离。</w:t>
            </w:r>
          </w:p>
        </w:tc>
      </w:tr>
    </w:tbl>
    <w:p w14:paraId="4ED4B5D1">
      <w:pPr>
        <w:pStyle w:val="8"/>
        <w:rPr>
          <w:color w:val="000000"/>
        </w:rPr>
      </w:pPr>
    </w:p>
    <w:p w14:paraId="01F9EA16">
      <w:pPr>
        <w:pStyle w:val="8"/>
        <w:keepNext w:val="0"/>
        <w:keepLines w:val="0"/>
        <w:pageBreakBefore w:val="0"/>
        <w:widowControl w:val="0"/>
        <w:kinsoku/>
        <w:wordWrap/>
        <w:overflowPunct/>
        <w:topLinePunct w:val="0"/>
        <w:autoSpaceDE/>
        <w:autoSpaceDN/>
        <w:bidi w:val="0"/>
        <w:adjustRightInd/>
        <w:snapToGrid/>
        <w:spacing w:line="432" w:lineRule="auto"/>
        <w:ind w:left="0" w:leftChars="0" w:firstLine="0" w:firstLineChars="0"/>
        <w:jc w:val="center"/>
        <w:textAlignment w:val="auto"/>
        <w:rPr>
          <w:rFonts w:hint="eastAsia" w:asciiTheme="minorEastAsia" w:hAnsiTheme="minorEastAsia" w:eastAsiaTheme="minorEastAsia" w:cstheme="minorEastAsia"/>
          <w:b/>
          <w:bCs/>
          <w:sz w:val="28"/>
          <w:szCs w:val="28"/>
        </w:rPr>
      </w:pPr>
      <w:bookmarkStart w:id="31" w:name="_Toc17460"/>
      <w:r>
        <w:rPr>
          <w:rFonts w:hint="eastAsia" w:asciiTheme="minorEastAsia" w:hAnsiTheme="minorEastAsia" w:eastAsiaTheme="minorEastAsia" w:cstheme="minorEastAsia"/>
          <w:b/>
          <w:bCs/>
          <w:sz w:val="28"/>
          <w:szCs w:val="28"/>
        </w:rPr>
        <w:t>一</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采购需求及参数要求</w:t>
      </w:r>
      <w:bookmarkEnd w:id="31"/>
    </w:p>
    <w:p w14:paraId="4D52E731">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sz w:val="21"/>
          <w:szCs w:val="21"/>
          <w:lang w:eastAsia="zh-CN"/>
        </w:rPr>
      </w:pPr>
      <w:bookmarkStart w:id="32" w:name="_Toc108041647"/>
      <w:bookmarkStart w:id="33" w:name="_Toc108881185"/>
      <w:r>
        <w:rPr>
          <w:rFonts w:hint="eastAsia" w:asciiTheme="minorEastAsia" w:hAnsiTheme="minorEastAsia" w:eastAsiaTheme="minorEastAsia" w:cstheme="minorEastAsia"/>
          <w:b/>
          <w:sz w:val="21"/>
          <w:szCs w:val="21"/>
        </w:rPr>
        <w:t>一、</w:t>
      </w:r>
      <w:r>
        <w:rPr>
          <w:rFonts w:hint="eastAsia" w:asciiTheme="minorEastAsia" w:hAnsiTheme="minorEastAsia" w:eastAsiaTheme="minorEastAsia" w:cstheme="minorEastAsia"/>
          <w:b/>
          <w:sz w:val="21"/>
          <w:szCs w:val="21"/>
          <w:lang w:eastAsia="zh-CN"/>
        </w:rPr>
        <w:t>项目范围</w:t>
      </w:r>
    </w:p>
    <w:p w14:paraId="265611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本项目位于江苏医药职业学院西园风雨操场</w:t>
      </w:r>
      <w:r>
        <w:rPr>
          <w:rFonts w:hint="eastAsia" w:asciiTheme="minorEastAsia" w:hAnsiTheme="minorEastAsia" w:eastAsiaTheme="minorEastAsia" w:cstheme="minorEastAsia"/>
          <w:sz w:val="21"/>
          <w:szCs w:val="21"/>
          <w:lang w:eastAsia="zh-CN"/>
        </w:rPr>
        <w:t>。</w:t>
      </w:r>
    </w:p>
    <w:p w14:paraId="62E45C3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color w:val="252525"/>
          <w:sz w:val="21"/>
          <w:szCs w:val="21"/>
          <w:lang w:eastAsia="zh-CN"/>
        </w:rPr>
        <w:t>二</w:t>
      </w:r>
      <w:r>
        <w:rPr>
          <w:rFonts w:hint="eastAsia" w:asciiTheme="minorEastAsia" w:hAnsiTheme="minorEastAsia" w:eastAsiaTheme="minorEastAsia" w:cstheme="minorEastAsia"/>
          <w:b/>
          <w:sz w:val="21"/>
          <w:szCs w:val="21"/>
        </w:rPr>
        <w:t>、项目</w:t>
      </w:r>
      <w:r>
        <w:rPr>
          <w:rFonts w:hint="eastAsia" w:asciiTheme="minorEastAsia" w:hAnsiTheme="minorEastAsia" w:eastAsiaTheme="minorEastAsia" w:cstheme="minorEastAsia"/>
          <w:b/>
          <w:sz w:val="21"/>
          <w:szCs w:val="21"/>
          <w:lang w:eastAsia="zh-CN"/>
        </w:rPr>
        <w:t>要求</w:t>
      </w:r>
    </w:p>
    <w:p w14:paraId="7265BB88">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1、施工工艺要求</w:t>
      </w:r>
    </w:p>
    <w:p w14:paraId="13D59CD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地面、顶面、墙面</w:t>
      </w:r>
      <w:r>
        <w:rPr>
          <w:rFonts w:hint="eastAsia" w:asciiTheme="minorEastAsia" w:hAnsiTheme="minorEastAsia" w:eastAsiaTheme="minorEastAsia" w:cstheme="minorEastAsia"/>
          <w:sz w:val="21"/>
          <w:szCs w:val="21"/>
          <w:lang w:val="en-US" w:eastAsia="zh-CN"/>
        </w:rPr>
        <w:t>成品</w:t>
      </w:r>
      <w:r>
        <w:rPr>
          <w:rFonts w:hint="eastAsia" w:asciiTheme="minorEastAsia" w:hAnsiTheme="minorEastAsia" w:eastAsiaTheme="minorEastAsia" w:cstheme="minorEastAsia"/>
          <w:sz w:val="21"/>
          <w:szCs w:val="21"/>
        </w:rPr>
        <w:t>保护</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如成品保护不到位，由施工单位后期修复或保洁到位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风雨操场网架具体部位不限于（杆件、球节点、支座节点、主檩条、付檩条）等打磨清理浮点，裂缝用腻子填补，干燥</w:t>
      </w:r>
      <w:r>
        <w:rPr>
          <w:rFonts w:hint="eastAsia" w:asciiTheme="minorEastAsia" w:hAnsiTheme="minorEastAsia" w:eastAsiaTheme="minorEastAsia" w:cstheme="minorEastAsia"/>
          <w:sz w:val="21"/>
          <w:szCs w:val="21"/>
          <w:lang w:eastAsia="zh-CN"/>
        </w:rPr>
        <w:t>后</w:t>
      </w:r>
      <w:r>
        <w:rPr>
          <w:rFonts w:hint="eastAsia" w:asciiTheme="minorEastAsia" w:hAnsiTheme="minorEastAsia" w:eastAsiaTheme="minorEastAsia" w:cstheme="minorEastAsia"/>
          <w:sz w:val="21"/>
          <w:szCs w:val="21"/>
          <w:lang w:val="en-US" w:eastAsia="zh-CN"/>
        </w:rPr>
        <w:t>刷防腐油漆</w:t>
      </w:r>
      <w:r>
        <w:rPr>
          <w:rFonts w:hint="eastAsia" w:asciiTheme="minorEastAsia" w:hAnsiTheme="minorEastAsia" w:eastAsiaTheme="minorEastAsia" w:cstheme="minorEastAsia"/>
          <w:sz w:val="21"/>
          <w:szCs w:val="21"/>
          <w:lang w:eastAsia="zh-CN"/>
        </w:rPr>
        <w:t>底漆1道，中间漆1道，面漆2道；设计总干膜厚度（250um）必须达标。</w:t>
      </w:r>
    </w:p>
    <w:p w14:paraId="633A21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sz w:val="21"/>
          <w:szCs w:val="21"/>
          <w:lang w:val="en-US" w:eastAsia="zh-CN"/>
        </w:rPr>
        <w:t>地面投影面积：</w:t>
      </w:r>
      <w:r>
        <w:rPr>
          <w:rFonts w:hint="eastAsia" w:asciiTheme="minorEastAsia" w:hAnsiTheme="minorEastAsia" w:eastAsiaTheme="minorEastAsia" w:cstheme="minorEastAsia"/>
          <w:sz w:val="21"/>
          <w:szCs w:val="21"/>
          <w:lang w:val="en-US" w:eastAsia="zh-CN"/>
        </w:rPr>
        <w:t>1360.6平方米；</w:t>
      </w:r>
    </w:p>
    <w:p w14:paraId="1A9AAE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kern w:val="2"/>
          <w:sz w:val="21"/>
          <w:szCs w:val="21"/>
          <w:lang w:val="en-US" w:eastAsia="zh-CN" w:bidi="ar-SA"/>
        </w:rPr>
        <w:t>3、</w:t>
      </w:r>
      <w:r>
        <w:rPr>
          <w:rFonts w:hint="eastAsia" w:asciiTheme="minorEastAsia" w:hAnsiTheme="minorEastAsia" w:eastAsiaTheme="minorEastAsia" w:cstheme="minorEastAsia"/>
          <w:b/>
          <w:bCs/>
          <w:sz w:val="21"/>
          <w:szCs w:val="21"/>
          <w:lang w:val="en-US" w:eastAsia="zh-CN"/>
        </w:rPr>
        <w:t>网架防腐油漆施工展开面积：</w:t>
      </w:r>
      <w:r>
        <w:rPr>
          <w:rFonts w:hint="eastAsia" w:asciiTheme="minorEastAsia" w:hAnsiTheme="minorEastAsia" w:eastAsiaTheme="minorEastAsia" w:cstheme="minorEastAsia"/>
          <w:sz w:val="21"/>
          <w:szCs w:val="21"/>
          <w:lang w:val="en-US" w:eastAsia="zh-CN"/>
        </w:rPr>
        <w:t>1613.13平方米；</w:t>
      </w:r>
    </w:p>
    <w:p w14:paraId="765CF4B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防腐油漆参照或相当于品牌：江苏金陵、江苏兰陵、立邦、三棵树、山东聚东、三棵树等同等品牌。</w:t>
      </w:r>
    </w:p>
    <w:p w14:paraId="74CE1F0B">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注：</w:t>
      </w:r>
    </w:p>
    <w:p w14:paraId="260203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kern w:val="2"/>
          <w:sz w:val="21"/>
          <w:szCs w:val="21"/>
          <w:lang w:val="en-US" w:eastAsia="zh-CN" w:bidi="ar-SA"/>
        </w:rPr>
        <w:t>1、</w:t>
      </w:r>
      <w:r>
        <w:rPr>
          <w:rFonts w:hint="eastAsia" w:asciiTheme="minorEastAsia" w:hAnsiTheme="minorEastAsia" w:eastAsiaTheme="minorEastAsia" w:cstheme="minorEastAsia"/>
          <w:b/>
          <w:bCs/>
          <w:sz w:val="21"/>
          <w:szCs w:val="21"/>
        </w:rPr>
        <w:t>以上工艺为参考工艺，如复检厚度仍未达标，由</w:t>
      </w:r>
      <w:r>
        <w:rPr>
          <w:rFonts w:hint="eastAsia" w:asciiTheme="minorEastAsia" w:hAnsiTheme="minorEastAsia" w:eastAsiaTheme="minorEastAsia" w:cstheme="minorEastAsia"/>
          <w:b/>
          <w:bCs/>
          <w:sz w:val="21"/>
          <w:szCs w:val="21"/>
          <w:lang w:val="en-US" w:eastAsia="zh-CN"/>
        </w:rPr>
        <w:t>投标人</w:t>
      </w:r>
      <w:r>
        <w:rPr>
          <w:rFonts w:hint="eastAsia" w:asciiTheme="minorEastAsia" w:hAnsiTheme="minorEastAsia" w:eastAsiaTheme="minorEastAsia" w:cstheme="minorEastAsia"/>
          <w:b/>
          <w:bCs/>
          <w:sz w:val="21"/>
          <w:szCs w:val="21"/>
        </w:rPr>
        <w:t>增加防腐材料涂刷遍数，不另行计算工程量和费用，请</w:t>
      </w:r>
      <w:r>
        <w:rPr>
          <w:rFonts w:hint="eastAsia" w:asciiTheme="minorEastAsia" w:hAnsiTheme="minorEastAsia" w:eastAsiaTheme="minorEastAsia" w:cstheme="minorEastAsia"/>
          <w:b/>
          <w:bCs/>
          <w:sz w:val="21"/>
          <w:szCs w:val="21"/>
          <w:lang w:val="en-US" w:eastAsia="zh-CN"/>
        </w:rPr>
        <w:t>投标人</w:t>
      </w:r>
      <w:r>
        <w:rPr>
          <w:rFonts w:hint="eastAsia" w:asciiTheme="minorEastAsia" w:hAnsiTheme="minorEastAsia" w:eastAsiaTheme="minorEastAsia" w:cstheme="minorEastAsia"/>
          <w:b/>
          <w:bCs/>
          <w:sz w:val="21"/>
          <w:szCs w:val="21"/>
        </w:rPr>
        <w:t>综合考虑施工费用后报价</w:t>
      </w:r>
      <w:r>
        <w:rPr>
          <w:rFonts w:hint="eastAsia" w:asciiTheme="minorEastAsia" w:hAnsiTheme="minorEastAsia" w:eastAsiaTheme="minorEastAsia" w:cstheme="minorEastAsia"/>
          <w:b/>
          <w:bCs/>
          <w:sz w:val="21"/>
          <w:szCs w:val="21"/>
          <w:lang w:eastAsia="zh-CN"/>
        </w:rPr>
        <w:t>；</w:t>
      </w:r>
    </w:p>
    <w:p w14:paraId="445112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1" w:firstLineChars="100"/>
        <w:textAlignment w:val="auto"/>
        <w:rPr>
          <w:rFonts w:hint="eastAsia" w:asciiTheme="minorEastAsia" w:hAnsiTheme="minorEastAsia" w:eastAsiaTheme="minorEastAsia" w:cstheme="minorEastAsia"/>
          <w:b/>
          <w:bCs/>
          <w:sz w:val="21"/>
          <w:szCs w:val="21"/>
          <w:lang w:val="en-US" w:eastAsia="zh-CN"/>
        </w:rPr>
      </w:pPr>
      <w:r>
        <w:rPr>
          <w:rFonts w:hint="eastAsia" w:ascii="宋体" w:hAnsi="宋体" w:eastAsia="宋体" w:cs="宋体"/>
          <w:b/>
          <w:bCs/>
          <w:kern w:val="2"/>
          <w:sz w:val="21"/>
          <w:szCs w:val="21"/>
          <w:lang w:val="en-US" w:eastAsia="zh-CN" w:bidi="ar-SA"/>
        </w:rPr>
        <w:t>★</w:t>
      </w:r>
      <w:r>
        <w:rPr>
          <w:rFonts w:hint="eastAsia" w:asciiTheme="minorEastAsia" w:hAnsiTheme="minorEastAsia" w:eastAsiaTheme="minorEastAsia" w:cstheme="minorEastAsia"/>
          <w:b/>
          <w:bCs/>
          <w:sz w:val="21"/>
          <w:szCs w:val="21"/>
          <w:lang w:val="en-US" w:eastAsia="zh-CN"/>
        </w:rPr>
        <w:t>2、投标时投标人必须注明所投产品品牌（投标文件格式附表），否则按未实质性响应处理；</w:t>
      </w:r>
    </w:p>
    <w:p w14:paraId="2728A5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、以上材料在进场前须经</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和设计单位认可，</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有权在颜色、样式、用量、材质、配置等方面做出适当调整，但价格不予调整</w:t>
      </w:r>
      <w:r>
        <w:rPr>
          <w:rFonts w:hint="eastAsia" w:asciiTheme="minorEastAsia" w:hAnsiTheme="minorEastAsia" w:eastAsiaTheme="minorEastAsia" w:cstheme="minorEastAsia"/>
          <w:b/>
          <w:bCs/>
          <w:sz w:val="21"/>
          <w:szCs w:val="21"/>
          <w:lang w:eastAsia="zh-CN"/>
        </w:rPr>
        <w:t>；</w:t>
      </w:r>
    </w:p>
    <w:p w14:paraId="455B1689">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、如投标人采用推荐品牌以外的其他产品</w:t>
      </w:r>
      <w:r>
        <w:rPr>
          <w:rFonts w:hint="eastAsia" w:asciiTheme="minorEastAsia" w:hAnsiTheme="minorEastAsia" w:eastAsiaTheme="minorEastAsia" w:cstheme="minorEastAsia"/>
          <w:b/>
          <w:bCs/>
          <w:sz w:val="21"/>
          <w:szCs w:val="21"/>
          <w:lang w:eastAsia="zh-CN"/>
        </w:rPr>
        <w:t>施工</w:t>
      </w:r>
      <w:r>
        <w:rPr>
          <w:rFonts w:hint="eastAsia" w:asciiTheme="minorEastAsia" w:hAnsiTheme="minorEastAsia" w:eastAsiaTheme="minorEastAsia" w:cstheme="minorEastAsia"/>
          <w:b/>
          <w:bCs/>
          <w:sz w:val="21"/>
          <w:szCs w:val="21"/>
        </w:rPr>
        <w:t>的，质量和性能等技术指标必须优于或者相当于</w:t>
      </w:r>
      <w:r>
        <w:rPr>
          <w:rFonts w:hint="eastAsia" w:asciiTheme="minorEastAsia" w:hAnsiTheme="minorEastAsia" w:eastAsiaTheme="minorEastAsia" w:cstheme="minorEastAsia"/>
          <w:b/>
          <w:bCs/>
          <w:sz w:val="21"/>
          <w:szCs w:val="21"/>
          <w:lang w:eastAsia="zh-CN"/>
        </w:rPr>
        <w:t>参照</w:t>
      </w:r>
      <w:r>
        <w:rPr>
          <w:rFonts w:hint="eastAsia" w:asciiTheme="minorEastAsia" w:hAnsiTheme="minorEastAsia" w:eastAsiaTheme="minorEastAsia" w:cstheme="minorEastAsia"/>
          <w:b/>
          <w:bCs/>
          <w:sz w:val="21"/>
          <w:szCs w:val="21"/>
        </w:rPr>
        <w:t>品牌。一旦中标，中标人不得以任何理由</w:t>
      </w:r>
      <w:r>
        <w:rPr>
          <w:rFonts w:hint="eastAsia" w:asciiTheme="minorEastAsia" w:hAnsiTheme="minorEastAsia" w:eastAsiaTheme="minorEastAsia" w:cstheme="minorEastAsia"/>
          <w:b/>
          <w:bCs/>
          <w:sz w:val="21"/>
          <w:szCs w:val="21"/>
          <w:lang w:eastAsia="zh-CN"/>
        </w:rPr>
        <w:t>再</w:t>
      </w:r>
      <w:r>
        <w:rPr>
          <w:rFonts w:hint="eastAsia" w:asciiTheme="minorEastAsia" w:hAnsiTheme="minorEastAsia" w:eastAsiaTheme="minorEastAsia" w:cstheme="minorEastAsia"/>
          <w:b/>
          <w:bCs/>
          <w:sz w:val="21"/>
          <w:szCs w:val="21"/>
        </w:rPr>
        <w:t>更换选定品牌,并于领取中标通知书后三天内向</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提供样品，经</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认可后方可签订合同。</w:t>
      </w:r>
    </w:p>
    <w:p w14:paraId="35AD85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kern w:val="2"/>
          <w:sz w:val="21"/>
          <w:szCs w:val="21"/>
          <w:lang w:val="en-US" w:eastAsia="zh-CN" w:bidi="ar-SA"/>
        </w:rPr>
        <w:t>三、</w:t>
      </w:r>
      <w:r>
        <w:rPr>
          <w:rFonts w:hint="eastAsia" w:asciiTheme="minorEastAsia" w:hAnsiTheme="minorEastAsia" w:eastAsiaTheme="minorEastAsia" w:cstheme="minorEastAsia"/>
          <w:b/>
          <w:bCs/>
          <w:sz w:val="21"/>
          <w:szCs w:val="21"/>
          <w:lang w:eastAsia="zh-CN"/>
        </w:rPr>
        <w:t>施工相关依据及报价、验收要求</w:t>
      </w:r>
    </w:p>
    <w:p w14:paraId="3D6A569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本工程需严格遵守国家相关规定进行安全文明施工</w:t>
      </w:r>
      <w:r>
        <w:rPr>
          <w:rFonts w:hint="eastAsia" w:asciiTheme="minorEastAsia" w:hAnsiTheme="minorEastAsia" w:eastAsiaTheme="minorEastAsia" w:cstheme="minorEastAsia"/>
          <w:sz w:val="21"/>
          <w:szCs w:val="21"/>
          <w:lang w:eastAsia="zh-CN"/>
        </w:rPr>
        <w:t>；</w:t>
      </w:r>
    </w:p>
    <w:p w14:paraId="652D065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本次报价为综合报价，损耗费、税金等不另行测算，由</w:t>
      </w:r>
      <w:r>
        <w:rPr>
          <w:rFonts w:hint="eastAsia" w:asciiTheme="minorEastAsia" w:hAnsiTheme="minorEastAsia" w:eastAsiaTheme="minorEastAsia" w:cstheme="minorEastAsia"/>
          <w:sz w:val="21"/>
          <w:szCs w:val="21"/>
          <w:lang w:val="en-US" w:eastAsia="zh-CN"/>
        </w:rPr>
        <w:t>投标人</w:t>
      </w:r>
      <w:r>
        <w:rPr>
          <w:rFonts w:hint="eastAsia" w:asciiTheme="minorEastAsia" w:hAnsiTheme="minorEastAsia" w:eastAsiaTheme="minorEastAsia" w:cstheme="minorEastAsia"/>
          <w:sz w:val="21"/>
          <w:szCs w:val="21"/>
        </w:rPr>
        <w:t>在总费用中自行消化解决</w:t>
      </w:r>
      <w:r>
        <w:rPr>
          <w:rFonts w:hint="eastAsia" w:asciiTheme="minorEastAsia" w:hAnsiTheme="minorEastAsia" w:eastAsiaTheme="minorEastAsia" w:cstheme="minorEastAsia"/>
          <w:sz w:val="21"/>
          <w:szCs w:val="21"/>
          <w:lang w:eastAsia="zh-CN"/>
        </w:rPr>
        <w:t>；</w:t>
      </w:r>
    </w:p>
    <w:p w14:paraId="71F1A3A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防腐涂层厚度第一次检测费用由校方承担，如检测不合格，整改后再次复检费用由</w:t>
      </w:r>
      <w:r>
        <w:rPr>
          <w:rFonts w:hint="eastAsia" w:asciiTheme="minorEastAsia" w:hAnsiTheme="minorEastAsia" w:eastAsiaTheme="minorEastAsia" w:cstheme="minorEastAsia"/>
          <w:sz w:val="21"/>
          <w:szCs w:val="21"/>
          <w:lang w:val="en-US" w:eastAsia="zh-CN"/>
        </w:rPr>
        <w:t>投标人</w:t>
      </w:r>
      <w:r>
        <w:rPr>
          <w:rFonts w:hint="eastAsia" w:asciiTheme="minorEastAsia" w:hAnsiTheme="minorEastAsia" w:eastAsiaTheme="minorEastAsia" w:cstheme="minorEastAsia"/>
          <w:sz w:val="21"/>
          <w:szCs w:val="21"/>
        </w:rPr>
        <w:t>承担，因复检不合格整改造成的工期延误按合同约定处罚。</w:t>
      </w:r>
    </w:p>
    <w:p w14:paraId="055BF13F">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四</w:t>
      </w:r>
      <w:r>
        <w:rPr>
          <w:rFonts w:hint="eastAsia" w:asciiTheme="minorEastAsia" w:hAnsiTheme="minorEastAsia" w:eastAsiaTheme="minorEastAsia" w:cstheme="minorEastAsia"/>
          <w:b/>
          <w:bCs/>
          <w:sz w:val="21"/>
          <w:szCs w:val="21"/>
        </w:rPr>
        <w:t>、附件：</w:t>
      </w:r>
      <w:r>
        <w:rPr>
          <w:rFonts w:hint="eastAsia" w:asciiTheme="minorEastAsia" w:hAnsiTheme="minorEastAsia" w:eastAsiaTheme="minorEastAsia" w:cstheme="minorEastAsia"/>
          <w:b/>
          <w:bCs/>
          <w:sz w:val="21"/>
          <w:szCs w:val="21"/>
          <w:lang w:eastAsia="zh-CN"/>
        </w:rPr>
        <w:t>详见公告附件，自行下载</w:t>
      </w:r>
      <w:r>
        <w:rPr>
          <w:rFonts w:hint="eastAsia" w:asciiTheme="minorEastAsia" w:hAnsiTheme="minorEastAsia" w:eastAsiaTheme="minorEastAsia" w:cstheme="minorEastAsia"/>
          <w:b/>
          <w:bCs/>
          <w:sz w:val="21"/>
          <w:szCs w:val="21"/>
        </w:rPr>
        <w:t>图纸及工程量清单（电子版）</w:t>
      </w:r>
      <w:r>
        <w:rPr>
          <w:rFonts w:hint="eastAsia" w:asciiTheme="minorEastAsia" w:hAnsiTheme="minorEastAsia" w:eastAsiaTheme="minorEastAsia" w:cstheme="minorEastAsia"/>
          <w:b/>
          <w:bCs/>
          <w:sz w:val="21"/>
          <w:szCs w:val="21"/>
          <w:lang w:eastAsia="zh-CN"/>
        </w:rPr>
        <w:t>。</w:t>
      </w:r>
    </w:p>
    <w:bookmarkEnd w:id="32"/>
    <w:bookmarkEnd w:id="33"/>
    <w:p w14:paraId="38B74BDB">
      <w:pPr>
        <w:pStyle w:val="8"/>
        <w:keepNext w:val="0"/>
        <w:keepLines w:val="0"/>
        <w:pageBreakBefore w:val="0"/>
        <w:widowControl w:val="0"/>
        <w:kinsoku/>
        <w:wordWrap/>
        <w:overflowPunct/>
        <w:topLinePunct w:val="0"/>
        <w:autoSpaceDE/>
        <w:autoSpaceDN/>
        <w:bidi w:val="0"/>
        <w:adjustRightInd/>
        <w:snapToGrid/>
        <w:spacing w:line="500" w:lineRule="exact"/>
        <w:textAlignment w:val="auto"/>
        <w:rPr>
          <w:color w:val="000000"/>
        </w:rPr>
      </w:pPr>
    </w:p>
    <w:p w14:paraId="6410F794">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color w:val="000000"/>
          <w:sz w:val="28"/>
          <w:szCs w:val="28"/>
        </w:rPr>
      </w:pPr>
    </w:p>
    <w:p w14:paraId="5ECAB632">
      <w:pPr>
        <w:spacing w:line="360" w:lineRule="auto"/>
        <w:jc w:val="center"/>
        <w:outlineLvl w:val="1"/>
        <w:rPr>
          <w:rFonts w:ascii="宋体" w:hAnsi="宋体"/>
          <w:b/>
          <w:color w:val="000000"/>
          <w:sz w:val="28"/>
          <w:szCs w:val="28"/>
        </w:rPr>
      </w:pPr>
      <w:bookmarkStart w:id="34" w:name="_Toc184029945"/>
      <w:r>
        <w:rPr>
          <w:rFonts w:hint="eastAsia" w:ascii="宋体" w:hAnsi="宋体"/>
          <w:b/>
          <w:color w:val="000000"/>
          <w:sz w:val="28"/>
          <w:szCs w:val="28"/>
        </w:rPr>
        <w:t>二、政府采购合同（拟签订的合同文本）</w:t>
      </w:r>
      <w:bookmarkEnd w:id="34"/>
    </w:p>
    <w:p w14:paraId="2663992E">
      <w:pPr>
        <w:spacing w:line="400" w:lineRule="exact"/>
        <w:jc w:val="center"/>
        <w:rPr>
          <w:rFonts w:hint="eastAsia" w:ascii="黑体" w:hAnsi="黑体" w:eastAsia="黑体" w:cs="Arial Unicode MS"/>
          <w:sz w:val="32"/>
          <w:szCs w:val="32"/>
          <w:highlight w:val="yellow"/>
        </w:rPr>
      </w:pPr>
    </w:p>
    <w:p w14:paraId="721AFAE8">
      <w:pPr>
        <w:spacing w:line="400" w:lineRule="exact"/>
        <w:jc w:val="center"/>
        <w:rPr>
          <w:rFonts w:ascii="黑体" w:hAnsi="黑体" w:eastAsia="黑体" w:cs="Arial Unicode MS"/>
          <w:sz w:val="32"/>
          <w:szCs w:val="32"/>
          <w:highlight w:val="none"/>
        </w:rPr>
      </w:pPr>
      <w:r>
        <w:rPr>
          <w:rFonts w:hint="eastAsia" w:ascii="黑体" w:hAnsi="黑体" w:eastAsia="黑体" w:cs="Arial Unicode MS"/>
          <w:sz w:val="32"/>
          <w:szCs w:val="32"/>
          <w:highlight w:val="none"/>
        </w:rPr>
        <w:t>采购合同</w:t>
      </w:r>
    </w:p>
    <w:p w14:paraId="0EFB5EDF">
      <w:pPr>
        <w:snapToGrid w:val="0"/>
        <w:spacing w:before="50" w:line="440" w:lineRule="exact"/>
        <w:jc w:val="center"/>
        <w:rPr>
          <w:rFonts w:hint="eastAsia" w:ascii="宋体" w:hAnsi="宋体" w:cs="宋体"/>
          <w:b/>
          <w:bCs/>
          <w:color w:val="000000"/>
          <w:szCs w:val="21"/>
        </w:rPr>
      </w:pPr>
      <w:r>
        <w:rPr>
          <w:rFonts w:hint="eastAsia" w:ascii="宋体" w:hAnsi="宋体" w:cs="宋体"/>
          <w:b/>
          <w:bCs/>
          <w:color w:val="000000"/>
          <w:szCs w:val="21"/>
        </w:rPr>
        <w:t>（在未改变实质性条件下，可双方协商确定）</w:t>
      </w:r>
    </w:p>
    <w:p w14:paraId="2F87CFF5">
      <w:pPr>
        <w:spacing w:line="400" w:lineRule="exact"/>
        <w:jc w:val="center"/>
        <w:rPr>
          <w:rFonts w:hint="eastAsia" w:ascii="黑体" w:hAnsi="黑体" w:eastAsia="黑体" w:cs="Arial Unicode MS"/>
          <w:sz w:val="32"/>
          <w:szCs w:val="32"/>
        </w:rPr>
      </w:pPr>
    </w:p>
    <w:p w14:paraId="33D76C13">
      <w:pPr>
        <w:spacing w:line="400" w:lineRule="exact"/>
        <w:jc w:val="center"/>
        <w:rPr>
          <w:rFonts w:ascii="楷体_GB2312" w:hAnsi="宋体" w:eastAsia="楷体_GB2312" w:cs="Arial Unicode MS"/>
          <w:szCs w:val="21"/>
        </w:rPr>
      </w:pPr>
      <w:r>
        <w:rPr>
          <w:rFonts w:ascii="楷体_GB2312" w:hAnsi="宋体" w:eastAsia="楷体_GB2312" w:cs="Arial Unicode MS"/>
          <w:sz w:val="18"/>
          <w:szCs w:val="18"/>
        </w:rPr>
        <w:t xml:space="preserve">                                                          </w:t>
      </w:r>
      <w:r>
        <w:rPr>
          <w:rFonts w:hint="eastAsia" w:ascii="楷体_GB2312" w:hAnsi="宋体" w:eastAsia="楷体_GB2312" w:cs="Arial Unicode MS"/>
          <w:sz w:val="18"/>
          <w:szCs w:val="18"/>
        </w:rPr>
        <w:t xml:space="preserve">    </w:t>
      </w:r>
      <w:r>
        <w:rPr>
          <w:rFonts w:hint="eastAsia" w:ascii="楷体_GB2312" w:hAnsi="宋体" w:eastAsia="楷体_GB2312" w:cs="Arial Unicode MS"/>
          <w:szCs w:val="21"/>
        </w:rPr>
        <w:t>合同编号：（采购编号）</w:t>
      </w:r>
    </w:p>
    <w:p w14:paraId="5FFABB65">
      <w:pPr>
        <w:spacing w:line="400" w:lineRule="exact"/>
        <w:jc w:val="left"/>
        <w:rPr>
          <w:rFonts w:ascii="楷体_GB2312" w:hAnsi="宋体" w:eastAsia="楷体_GB2312" w:cs="Arial Unicode MS"/>
          <w:szCs w:val="21"/>
        </w:rPr>
      </w:pPr>
      <w:r>
        <w:rPr>
          <w:rFonts w:hint="eastAsia" w:ascii="楷体_GB2312" w:hAnsi="宋体" w:eastAsia="楷体_GB2312" w:cs="Arial Unicode MS"/>
          <w:szCs w:val="21"/>
        </w:rPr>
        <w:t xml:space="preserve">                                                               签署地点：江苏医药职业学院</w:t>
      </w:r>
    </w:p>
    <w:p w14:paraId="6BB74919">
      <w:pPr>
        <w:pageBreakBefore w:val="0"/>
        <w:kinsoku/>
        <w:wordWrap/>
        <w:overflowPunct/>
        <w:topLinePunct w:val="0"/>
        <w:autoSpaceDE/>
        <w:autoSpaceDN/>
        <w:bidi w:val="0"/>
        <w:adjustRightInd/>
        <w:snapToGrid/>
        <w:spacing w:line="500" w:lineRule="exact"/>
        <w:textAlignment w:val="auto"/>
        <w:rPr>
          <w:rFonts w:ascii="宋体" w:hAnsi="宋体" w:cs="Arial Unicode MS"/>
          <w:szCs w:val="21"/>
        </w:rPr>
      </w:pPr>
    </w:p>
    <w:p w14:paraId="7689D97E">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发包人（甲方全称）：</w:t>
      </w:r>
      <w:r>
        <w:rPr>
          <w:rFonts w:hint="eastAsia" w:asciiTheme="minorEastAsia" w:hAnsiTheme="minorEastAsia" w:eastAsiaTheme="minorEastAsia" w:cstheme="minorEastAsia"/>
          <w:b/>
          <w:bCs/>
          <w:sz w:val="21"/>
          <w:szCs w:val="21"/>
          <w:u w:val="single"/>
        </w:rPr>
        <w:t>江苏医药职业学院</w:t>
      </w:r>
    </w:p>
    <w:p w14:paraId="2A7E9A3D">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承包人（乙方全称）：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049E17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根据《中华人民共和国民法典》《中华人民共和国建筑法》及有关法律规定，遵循平等、自愿、公平和诚实信用的原则，甲乙双方就施工及有关事项协商一致，共同达成如下协议：</w:t>
      </w:r>
    </w:p>
    <w:p w14:paraId="1F4E1439">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35" w:name="_Toc351203481"/>
      <w:r>
        <w:rPr>
          <w:rFonts w:hint="eastAsia" w:asciiTheme="minorEastAsia" w:hAnsiTheme="minorEastAsia" w:eastAsiaTheme="minorEastAsia" w:cstheme="minorEastAsia"/>
          <w:b/>
          <w:bCs/>
          <w:sz w:val="21"/>
          <w:szCs w:val="21"/>
        </w:rPr>
        <w:t>一、工程概况</w:t>
      </w:r>
      <w:bookmarkEnd w:id="35"/>
    </w:p>
    <w:p w14:paraId="46632BF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1.工程名称：</w:t>
      </w:r>
      <w:r>
        <w:rPr>
          <w:rFonts w:hint="eastAsia" w:asciiTheme="minorEastAsia" w:hAnsiTheme="minorEastAsia" w:eastAsiaTheme="minorEastAsia" w:cstheme="minorEastAsia"/>
          <w:sz w:val="21"/>
          <w:szCs w:val="21"/>
          <w:u w:val="single"/>
        </w:rPr>
        <w:t xml:space="preserve">西园风雨操场屋面钢结构防腐涂层施工项目  </w:t>
      </w:r>
      <w:r>
        <w:rPr>
          <w:rFonts w:hint="eastAsia" w:asciiTheme="minorEastAsia" w:hAnsiTheme="minorEastAsia" w:eastAsiaTheme="minorEastAsia" w:cstheme="minorEastAsia"/>
          <w:sz w:val="21"/>
          <w:szCs w:val="21"/>
        </w:rPr>
        <w:t>。</w:t>
      </w:r>
    </w:p>
    <w:p w14:paraId="2861AE9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2.工程地点：</w:t>
      </w:r>
      <w:r>
        <w:rPr>
          <w:rFonts w:hint="eastAsia" w:asciiTheme="minorEastAsia" w:hAnsiTheme="minorEastAsia" w:eastAsiaTheme="minorEastAsia" w:cstheme="minorEastAsia"/>
          <w:sz w:val="21"/>
          <w:szCs w:val="21"/>
          <w:u w:val="single"/>
        </w:rPr>
        <w:t xml:space="preserve"> 江苏医药职业学院西校区  </w:t>
      </w:r>
      <w:r>
        <w:rPr>
          <w:rFonts w:hint="eastAsia" w:asciiTheme="minorEastAsia" w:hAnsiTheme="minorEastAsia" w:eastAsiaTheme="minorEastAsia" w:cstheme="minorEastAsia"/>
          <w:sz w:val="21"/>
          <w:szCs w:val="21"/>
        </w:rPr>
        <w:t>。</w:t>
      </w:r>
    </w:p>
    <w:p w14:paraId="0E4D4FC2">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.资金来源：自筹。</w:t>
      </w:r>
    </w:p>
    <w:p w14:paraId="1FB84E3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.工程内容：</w:t>
      </w:r>
      <w:r>
        <w:rPr>
          <w:rFonts w:hint="eastAsia" w:asciiTheme="minorEastAsia" w:hAnsiTheme="minorEastAsia" w:eastAsiaTheme="minorEastAsia" w:cstheme="minorEastAsia"/>
          <w:sz w:val="21"/>
          <w:szCs w:val="21"/>
          <w:u w:val="single"/>
        </w:rPr>
        <w:t xml:space="preserve">                                            </w:t>
      </w:r>
      <w:r>
        <w:rPr>
          <w:rFonts w:hint="eastAsia" w:asciiTheme="minorEastAsia" w:hAnsiTheme="minorEastAsia" w:eastAsiaTheme="minorEastAsia" w:cstheme="minorEastAsia"/>
          <w:sz w:val="21"/>
          <w:szCs w:val="21"/>
        </w:rPr>
        <w:t xml:space="preserve"> </w:t>
      </w:r>
    </w:p>
    <w:p w14:paraId="28ED3587">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6.工程承包范围：</w:t>
      </w:r>
      <w:r>
        <w:rPr>
          <w:rFonts w:hint="eastAsia" w:asciiTheme="minorEastAsia" w:hAnsiTheme="minorEastAsia" w:eastAsiaTheme="minorEastAsia" w:cstheme="minorEastAsia"/>
          <w:b/>
          <w:bCs/>
          <w:sz w:val="21"/>
          <w:szCs w:val="21"/>
        </w:rPr>
        <w:t>招标文件、图纸、工程量清单及补充通知、承诺函中包含的所有工程。</w:t>
      </w:r>
    </w:p>
    <w:p w14:paraId="3DA4AC8F">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36" w:name="_Toc351203482"/>
      <w:r>
        <w:rPr>
          <w:rFonts w:hint="eastAsia" w:asciiTheme="minorEastAsia" w:hAnsiTheme="minorEastAsia" w:eastAsiaTheme="minorEastAsia" w:cstheme="minorEastAsia"/>
          <w:b/>
          <w:bCs/>
          <w:sz w:val="21"/>
          <w:szCs w:val="21"/>
        </w:rPr>
        <w:t>二、合同工期</w:t>
      </w:r>
      <w:bookmarkEnd w:id="36"/>
    </w:p>
    <w:p w14:paraId="69D9BA5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计划开工日期：</w:t>
      </w:r>
      <w:r>
        <w:rPr>
          <w:rFonts w:hint="eastAsia" w:asciiTheme="minorEastAsia" w:hAnsiTheme="minorEastAsia" w:eastAsiaTheme="minorEastAsia" w:cstheme="minorEastAsia"/>
          <w:sz w:val="21"/>
          <w:szCs w:val="21"/>
          <w:u w:val="single"/>
        </w:rPr>
        <w:t xml:space="preserve">     年  月日</w:t>
      </w:r>
      <w:r>
        <w:rPr>
          <w:rFonts w:hint="eastAsia" w:asciiTheme="minorEastAsia" w:hAnsiTheme="minorEastAsia" w:eastAsiaTheme="minorEastAsia" w:cstheme="minorEastAsia"/>
          <w:sz w:val="21"/>
          <w:szCs w:val="21"/>
        </w:rPr>
        <w:t>。</w:t>
      </w:r>
    </w:p>
    <w:p w14:paraId="2D6FC0C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计划竣工日期： </w:t>
      </w:r>
      <w:r>
        <w:rPr>
          <w:rFonts w:hint="eastAsia" w:asciiTheme="minorEastAsia" w:hAnsiTheme="minorEastAsia" w:eastAsiaTheme="minorEastAsia" w:cstheme="minorEastAsia"/>
          <w:sz w:val="21"/>
          <w:szCs w:val="21"/>
          <w:u w:val="single"/>
        </w:rPr>
        <w:t xml:space="preserve">    年  月日。</w:t>
      </w:r>
    </w:p>
    <w:p w14:paraId="37E0DB6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工期总日历天数：</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日历天。工期总日历天数与根据前述计划开竣工日期计算的工期天数不一致的，以工期总日历天数为准。</w:t>
      </w:r>
    </w:p>
    <w:p w14:paraId="56E300F9">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37" w:name="_Toc351203483"/>
      <w:r>
        <w:rPr>
          <w:rFonts w:hint="eastAsia" w:asciiTheme="minorEastAsia" w:hAnsiTheme="minorEastAsia" w:eastAsiaTheme="minorEastAsia" w:cstheme="minorEastAsia"/>
          <w:b/>
          <w:bCs/>
          <w:sz w:val="21"/>
          <w:szCs w:val="21"/>
        </w:rPr>
        <w:t>三、质量标准</w:t>
      </w:r>
      <w:bookmarkEnd w:id="37"/>
    </w:p>
    <w:p w14:paraId="1026B031">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工程质量符合合格标准。</w:t>
      </w:r>
    </w:p>
    <w:p w14:paraId="67607CB3">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38" w:name="_Toc351203484"/>
      <w:r>
        <w:rPr>
          <w:rFonts w:hint="eastAsia" w:asciiTheme="minorEastAsia" w:hAnsiTheme="minorEastAsia" w:eastAsiaTheme="minorEastAsia" w:cstheme="minorEastAsia"/>
          <w:b/>
          <w:bCs/>
          <w:sz w:val="21"/>
          <w:szCs w:val="21"/>
        </w:rPr>
        <w:t>四、签约合同价与合同价格形式</w:t>
      </w:r>
      <w:bookmarkEnd w:id="38"/>
      <w:r>
        <w:rPr>
          <w:rFonts w:hint="eastAsia" w:asciiTheme="minorEastAsia" w:hAnsiTheme="minorEastAsia" w:eastAsiaTheme="minorEastAsia" w:cstheme="minorEastAsia"/>
          <w:b/>
          <w:bCs/>
          <w:sz w:val="21"/>
          <w:szCs w:val="21"/>
        </w:rPr>
        <w:tab/>
      </w:r>
    </w:p>
    <w:p w14:paraId="055129C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1.签约合同价为：人民币（大写）</w:t>
      </w:r>
      <w:r>
        <w:rPr>
          <w:rFonts w:hint="eastAsia" w:asciiTheme="minorEastAsia" w:hAnsiTheme="minorEastAsia" w:eastAsiaTheme="minorEastAsia" w:cstheme="minorEastAsia"/>
          <w:sz w:val="21"/>
          <w:szCs w:val="21"/>
          <w:u w:val="single"/>
        </w:rPr>
        <w:t xml:space="preserve">                  (¥       </w:t>
      </w:r>
      <w:r>
        <w:rPr>
          <w:rFonts w:hint="eastAsia" w:asciiTheme="minorEastAsia" w:hAnsiTheme="minorEastAsia" w:eastAsiaTheme="minorEastAsia" w:cstheme="minorEastAsia"/>
          <w:sz w:val="21"/>
          <w:szCs w:val="21"/>
        </w:rPr>
        <w:t>元)；</w:t>
      </w:r>
    </w:p>
    <w:p w14:paraId="666BF44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2.合同价格形式：限定总价审计结算，本工程中工程量清单项目的综合单价按承包人己标价工程量清单下浮之后的综合单价执行。</w:t>
      </w:r>
    </w:p>
    <w:p w14:paraId="55405C3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3.付款方式：</w:t>
      </w:r>
    </w:p>
    <w:p w14:paraId="437A058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lang w:eastAsia="zh-CN"/>
        </w:rPr>
      </w:pPr>
      <w:bookmarkStart w:id="39" w:name="_Toc351203485"/>
      <w:r>
        <w:rPr>
          <w:rFonts w:hint="eastAsia" w:asciiTheme="minorEastAsia" w:hAnsiTheme="minorEastAsia" w:eastAsiaTheme="minorEastAsia" w:cstheme="minorEastAsia"/>
          <w:sz w:val="21"/>
          <w:szCs w:val="21"/>
        </w:rPr>
        <w:t xml:space="preserve"> 项目验收合格后无质量问题支付合同价的60%款项；审计合格后付至审计价的90%，余款待验收合格质保结束后无质量问题一次性无息付清</w:t>
      </w:r>
      <w:r>
        <w:rPr>
          <w:rFonts w:hint="eastAsia" w:asciiTheme="minorEastAsia" w:hAnsiTheme="minorEastAsia" w:eastAsiaTheme="minorEastAsia" w:cstheme="minorEastAsia"/>
          <w:sz w:val="21"/>
          <w:szCs w:val="21"/>
          <w:lang w:eastAsia="zh-CN"/>
        </w:rPr>
        <w:t>。</w:t>
      </w:r>
    </w:p>
    <w:p w14:paraId="4BE3262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w:t>
      </w:r>
      <w:bookmarkEnd w:id="39"/>
      <w:r>
        <w:rPr>
          <w:rFonts w:hint="eastAsia" w:asciiTheme="minorEastAsia" w:hAnsiTheme="minorEastAsia" w:eastAsiaTheme="minorEastAsia" w:cstheme="minorEastAsia"/>
          <w:b/>
          <w:bCs/>
          <w:sz w:val="21"/>
          <w:szCs w:val="21"/>
        </w:rPr>
        <w:t>项目经理</w:t>
      </w:r>
    </w:p>
    <w:p w14:paraId="0A59356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承包人项目经理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。执业证书信息</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9D03E07">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40" w:name="_Toc351203486"/>
      <w:r>
        <w:rPr>
          <w:rFonts w:hint="eastAsia" w:asciiTheme="minorEastAsia" w:hAnsiTheme="minorEastAsia" w:eastAsiaTheme="minorEastAsia" w:cstheme="minorEastAsia"/>
          <w:b/>
          <w:bCs/>
          <w:sz w:val="21"/>
          <w:szCs w:val="21"/>
        </w:rPr>
        <w:t>六、合同文件构成</w:t>
      </w:r>
      <w:bookmarkEnd w:id="40"/>
    </w:p>
    <w:p w14:paraId="647DBA6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本协议书与下列文件一起构成合同文件：</w:t>
      </w:r>
    </w:p>
    <w:p w14:paraId="5E63F112">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（1）中标通知书（如果有）；</w:t>
      </w:r>
    </w:p>
    <w:p w14:paraId="780487B5">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（2）招标文件与答疑纪要；</w:t>
      </w:r>
    </w:p>
    <w:p w14:paraId="71DD18DA">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（3）投标函及其附录（如果有）；</w:t>
      </w:r>
    </w:p>
    <w:p w14:paraId="15F4F85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（4）专用合同条款及其附件；</w:t>
      </w:r>
    </w:p>
    <w:p w14:paraId="28A70DD1">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（5）通用合同条款；</w:t>
      </w:r>
    </w:p>
    <w:p w14:paraId="2B541992">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（6）技术标准和要求；</w:t>
      </w:r>
    </w:p>
    <w:p w14:paraId="4FE6837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（7）图纸及图纸答疑；</w:t>
      </w:r>
    </w:p>
    <w:p w14:paraId="1776825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（8）已标价工程量清单或预算书；</w:t>
      </w:r>
    </w:p>
    <w:p w14:paraId="509B4AC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（9）其他合同文件。</w:t>
      </w:r>
    </w:p>
    <w:p w14:paraId="253D5CB5">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在合同订立及履行过程中形成的与合同有关的文件均构成合同文件的组成部分。</w:t>
      </w:r>
    </w:p>
    <w:p w14:paraId="723D878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上述各项合同文件包括合同当事人就该项合同文件所作出的补充和修改，属于同一类内容的文件，应以最新签署的为准。专用合同条款及其附件须经合同当事人签字或盖章。</w:t>
      </w:r>
    </w:p>
    <w:p w14:paraId="4ECA3FED">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41" w:name="_Toc351203487"/>
      <w:r>
        <w:rPr>
          <w:rFonts w:hint="eastAsia" w:asciiTheme="minorEastAsia" w:hAnsiTheme="minorEastAsia" w:eastAsiaTheme="minorEastAsia" w:cstheme="minorEastAsia"/>
          <w:b/>
          <w:bCs/>
          <w:sz w:val="21"/>
          <w:szCs w:val="21"/>
        </w:rPr>
        <w:t>七、承诺</w:t>
      </w:r>
      <w:bookmarkEnd w:id="41"/>
    </w:p>
    <w:p w14:paraId="00F4487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1.发包人承诺按照法律规定履行项目审批手续、筹集工程建设资金并按照合同约定的期限和方式支付合同价款。</w:t>
      </w:r>
    </w:p>
    <w:p w14:paraId="001FEABE">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2.承包人承诺按照法律规定及合同约定组织完成工程施工，确保工程质量和安全，不进行转包及违法分包，并在缺陷责任期及保修期内承担相应的工程维修责任。</w:t>
      </w:r>
    </w:p>
    <w:p w14:paraId="58A17A1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3.发包人和承包人通过招投标形式签订合同的，双方理解并承诺严格按照招标合同执行，不再就同一工程另行签订与合同实质性内容相背离的协议。</w:t>
      </w:r>
    </w:p>
    <w:p w14:paraId="2CDCCBC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bookmarkStart w:id="42" w:name="_Toc351203488"/>
      <w:r>
        <w:rPr>
          <w:rFonts w:hint="eastAsia" w:asciiTheme="minorEastAsia" w:hAnsiTheme="minorEastAsia" w:eastAsiaTheme="minorEastAsia" w:cstheme="minorEastAsia"/>
          <w:sz w:val="21"/>
          <w:szCs w:val="21"/>
        </w:rPr>
        <w:t>4.本项目完工后设备在保修期内出现故障，承包人负责抢修，且抢修响应及到场时间在</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小时以内，相关费用含在总价中。</w:t>
      </w:r>
    </w:p>
    <w:p w14:paraId="7AA82A7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5.伴随服务：本项目竣工后承包人需负责对采购人使用部门人员培训工作。</w:t>
      </w:r>
    </w:p>
    <w:p w14:paraId="74EE61DB">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八、词语含义</w:t>
      </w:r>
      <w:bookmarkEnd w:id="42"/>
    </w:p>
    <w:p w14:paraId="51DD193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本协议书中词语含义与第二部分通用合同条款中赋予的含义相同。</w:t>
      </w:r>
    </w:p>
    <w:p w14:paraId="5500C422">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43" w:name="_Toc351203489"/>
      <w:r>
        <w:rPr>
          <w:rFonts w:hint="eastAsia" w:asciiTheme="minorEastAsia" w:hAnsiTheme="minorEastAsia" w:eastAsiaTheme="minorEastAsia" w:cstheme="minorEastAsia"/>
          <w:b/>
          <w:bCs/>
          <w:sz w:val="21"/>
          <w:szCs w:val="21"/>
        </w:rPr>
        <w:t>九、签订时间</w:t>
      </w:r>
      <w:bookmarkEnd w:id="43"/>
    </w:p>
    <w:p w14:paraId="2914055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本合同于202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月    </w:t>
      </w:r>
      <w:r>
        <w:rPr>
          <w:rFonts w:hint="eastAsia" w:asciiTheme="minorEastAsia" w:hAnsiTheme="minorEastAsia" w:eastAsiaTheme="minorEastAsia" w:cstheme="minorEastAsia"/>
          <w:sz w:val="21"/>
          <w:szCs w:val="21"/>
        </w:rPr>
        <w:t>日签订。</w:t>
      </w:r>
      <w:bookmarkStart w:id="44" w:name="_Toc351203490"/>
    </w:p>
    <w:p w14:paraId="432B5E1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十、签订地点</w:t>
      </w:r>
      <w:bookmarkEnd w:id="44"/>
    </w:p>
    <w:p w14:paraId="3F30D5D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本合同在江苏医药职业学院签订。</w:t>
      </w:r>
      <w:bookmarkStart w:id="45" w:name="_Toc351203491"/>
    </w:p>
    <w:p w14:paraId="4FC9A91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十一、补充协议</w:t>
      </w:r>
      <w:bookmarkEnd w:id="45"/>
    </w:p>
    <w:p w14:paraId="7678854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合同未尽事宜，合同当事人另行签订补充协议，补充协议是合同的组成部分。</w:t>
      </w:r>
      <w:bookmarkStart w:id="46" w:name="_Toc351203492"/>
    </w:p>
    <w:p w14:paraId="6425B05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十二、合同生效</w:t>
      </w:r>
      <w:bookmarkEnd w:id="46"/>
    </w:p>
    <w:p w14:paraId="7EA98F45">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本合同自发包方和承包方的法定代表人或其委托代理人签字并加盖单位公章后生效。</w:t>
      </w:r>
      <w:bookmarkStart w:id="47" w:name="_Toc351203493"/>
    </w:p>
    <w:p w14:paraId="199E9F9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十三、合同份数</w:t>
      </w:r>
      <w:bookmarkEnd w:id="47"/>
    </w:p>
    <w:p w14:paraId="57BC577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本合同一式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份，均具有同等法律效力，发包人执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份，承包人执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w:t>
      </w:r>
      <w:r>
        <w:rPr>
          <w:rFonts w:hint="eastAsia" w:asciiTheme="minorEastAsia" w:hAnsiTheme="minorEastAsia" w:eastAsiaTheme="minorEastAsia" w:cstheme="minorEastAsia"/>
          <w:sz w:val="21"/>
          <w:szCs w:val="21"/>
          <w:lang w:val="zh-CN"/>
        </w:rPr>
        <w:t>。</w:t>
      </w:r>
      <w:bookmarkStart w:id="48" w:name="_Hlk101386310"/>
    </w:p>
    <w:p w14:paraId="0C514F81">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  (公章)                       承包人：  (公章)</w:t>
      </w:r>
    </w:p>
    <w:p w14:paraId="02E21445">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                       法定代表人：             </w:t>
      </w:r>
    </w:p>
    <w:p w14:paraId="301CFB1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委托代理人：                       委托代理人：             </w:t>
      </w:r>
    </w:p>
    <w:p w14:paraId="466162A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组织机构代码：                   组织机构代码：           </w:t>
      </w:r>
    </w:p>
    <w:p w14:paraId="65288D97">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  址：                 地  址：        </w:t>
      </w:r>
    </w:p>
    <w:p w14:paraId="1D624E0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邮政编码：                 邮政编码：   </w:t>
      </w:r>
    </w:p>
    <w:p w14:paraId="0B0F9A97">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  话：               电  话：     </w:t>
      </w:r>
    </w:p>
    <w:p w14:paraId="43E84F0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传  真：               传  真：     </w:t>
      </w:r>
    </w:p>
    <w:p w14:paraId="6B779E7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电子信箱：                             电子信箱：   </w:t>
      </w:r>
    </w:p>
    <w:p w14:paraId="20B56E9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开户银行：               开户银行：   </w:t>
      </w:r>
    </w:p>
    <w:p w14:paraId="38F5A3C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账  号：                   账  号：     </w:t>
      </w:r>
    </w:p>
    <w:p w14:paraId="539E078E">
      <w:pPr>
        <w:pageBreakBefore w:val="0"/>
        <w:widowControl w:val="0"/>
        <w:kinsoku/>
        <w:wordWrap/>
        <w:overflowPunct/>
        <w:topLinePunct w:val="0"/>
        <w:autoSpaceDE/>
        <w:autoSpaceDN/>
        <w:bidi w:val="0"/>
        <w:adjustRightInd/>
        <w:snapToGrid/>
        <w:spacing w:line="500" w:lineRule="exact"/>
        <w:ind w:firstLine="48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合同签订日期：</w:t>
      </w:r>
      <w:bookmarkEnd w:id="48"/>
    </w:p>
    <w:p w14:paraId="5E19C6D1">
      <w:pPr>
        <w:pStyle w:val="3"/>
        <w:pageBreakBefore w:val="0"/>
        <w:kinsoku/>
        <w:wordWrap/>
        <w:overflowPunct/>
        <w:topLinePunct w:val="0"/>
        <w:autoSpaceDE/>
        <w:autoSpaceDN/>
        <w:bidi w:val="0"/>
        <w:adjustRightInd/>
        <w:snapToGrid/>
        <w:spacing w:line="500" w:lineRule="exact"/>
        <w:ind w:firstLine="482"/>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br w:type="page" w:clear="all"/>
      </w:r>
      <w:bookmarkStart w:id="49" w:name="_Toc351203494"/>
      <w:r>
        <w:rPr>
          <w:rFonts w:hint="eastAsia" w:asciiTheme="minorEastAsia" w:hAnsiTheme="minorEastAsia" w:eastAsiaTheme="minorEastAsia" w:cstheme="minorEastAsia"/>
          <w:bCs/>
          <w:sz w:val="21"/>
          <w:szCs w:val="21"/>
        </w:rPr>
        <w:t>第二部分 通用合同条款</w:t>
      </w:r>
      <w:bookmarkEnd w:id="49"/>
      <w:bookmarkStart w:id="50" w:name="_Toc337558727"/>
      <w:bookmarkEnd w:id="50"/>
    </w:p>
    <w:p w14:paraId="5C260C07">
      <w:pPr>
        <w:pageBreakBefore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000000"/>
          <w:sz w:val="21"/>
          <w:szCs w:val="21"/>
        </w:rPr>
      </w:pPr>
      <w:bookmarkStart w:id="51" w:name="_Toc351203632"/>
      <w:r>
        <w:rPr>
          <w:rFonts w:hint="eastAsia" w:asciiTheme="minorEastAsia" w:hAnsiTheme="minorEastAsia" w:eastAsiaTheme="minorEastAsia" w:cstheme="minorEastAsia"/>
          <w:color w:val="000000"/>
          <w:sz w:val="21"/>
          <w:szCs w:val="21"/>
        </w:rPr>
        <w:t>详见“《建设工程施工合同（示范文本）》（GF-2017-0201）”通用合同条款</w:t>
      </w:r>
    </w:p>
    <w:p w14:paraId="405B1490">
      <w:pPr>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p>
    <w:p w14:paraId="26D204F7">
      <w:pPr>
        <w:pStyle w:val="3"/>
        <w:pageBreakBefore w:val="0"/>
        <w:kinsoku/>
        <w:wordWrap/>
        <w:overflowPunct/>
        <w:topLinePunct w:val="0"/>
        <w:autoSpaceDE/>
        <w:autoSpaceDN/>
        <w:bidi w:val="0"/>
        <w:adjustRightInd/>
        <w:snapToGrid/>
        <w:spacing w:line="500" w:lineRule="exact"/>
        <w:ind w:firstLine="482"/>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第三部分 专用合同条款</w:t>
      </w:r>
      <w:bookmarkEnd w:id="51"/>
    </w:p>
    <w:p w14:paraId="6AB3C3C8">
      <w:pPr>
        <w:pStyle w:val="12"/>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bookmarkStart w:id="52" w:name="_Toc351203633"/>
      <w:bookmarkStart w:id="53" w:name="_Toc351203652"/>
      <w:r>
        <w:rPr>
          <w:rFonts w:hint="eastAsia" w:asciiTheme="minorEastAsia" w:hAnsiTheme="minorEastAsia" w:eastAsiaTheme="minorEastAsia" w:cstheme="minorEastAsia"/>
          <w:sz w:val="21"/>
          <w:szCs w:val="21"/>
        </w:rPr>
        <w:t>1</w:t>
      </w:r>
      <w:bookmarkStart w:id="54" w:name="_Toc292559361"/>
      <w:bookmarkStart w:id="55" w:name="_Toc297120456"/>
      <w:bookmarkStart w:id="56" w:name="_Toc296503156"/>
      <w:bookmarkStart w:id="57" w:name="_Toc292559866"/>
      <w:bookmarkStart w:id="58" w:name="_Toc296890984"/>
      <w:bookmarkStart w:id="59" w:name="_Toc297048342"/>
      <w:bookmarkStart w:id="60" w:name="_Toc296347155"/>
      <w:bookmarkStart w:id="61" w:name="_Toc296346657"/>
      <w:bookmarkStart w:id="62" w:name="_Toc296891196"/>
      <w:bookmarkStart w:id="63" w:name="_Toc296944495"/>
      <w:r>
        <w:rPr>
          <w:rFonts w:hint="eastAsia" w:asciiTheme="minorEastAsia" w:hAnsiTheme="minorEastAsia" w:eastAsiaTheme="minorEastAsia" w:cstheme="minorEastAsia"/>
          <w:sz w:val="21"/>
          <w:szCs w:val="21"/>
        </w:rPr>
        <w:t>. 一般约定</w:t>
      </w:r>
      <w:bookmarkEnd w:id="52"/>
      <w:bookmarkEnd w:id="54"/>
      <w:bookmarkEnd w:id="55"/>
      <w:bookmarkEnd w:id="56"/>
      <w:bookmarkEnd w:id="57"/>
      <w:bookmarkEnd w:id="58"/>
      <w:bookmarkEnd w:id="59"/>
      <w:bookmarkEnd w:id="60"/>
      <w:bookmarkEnd w:id="61"/>
      <w:bookmarkEnd w:id="62"/>
      <w:bookmarkEnd w:id="63"/>
    </w:p>
    <w:p w14:paraId="4AEEA92A">
      <w:pPr>
        <w:pageBreakBefore w:val="0"/>
        <w:kinsoku/>
        <w:wordWrap/>
        <w:overflowPunct/>
        <w:topLinePunct w:val="0"/>
        <w:autoSpaceDE/>
        <w:autoSpaceDN/>
        <w:bidi w:val="0"/>
        <w:adjustRightInd/>
        <w:snapToGrid/>
        <w:spacing w:after="120"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 词语定义</w:t>
      </w:r>
    </w:p>
    <w:p w14:paraId="6C714868">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1.1.1合同</w:t>
      </w:r>
    </w:p>
    <w:p w14:paraId="4C667F76">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1.1.1.1其他合同文件包括：</w:t>
      </w:r>
      <w:r>
        <w:rPr>
          <w:rFonts w:hint="eastAsia" w:asciiTheme="minorEastAsia" w:hAnsiTheme="minorEastAsia" w:eastAsiaTheme="minorEastAsia" w:cstheme="minorEastAsia"/>
          <w:b/>
          <w:color w:val="000000"/>
          <w:sz w:val="21"/>
          <w:szCs w:val="21"/>
          <w:u w:val="single"/>
        </w:rPr>
        <w:t>中标通知书、招标文件、投标响应文件，以及在履行合同过程中，双方具有相应权限的管理人员书面确认的对合同内容有实质性影响的会议纪要、签证、设计变更等资料 。</w:t>
      </w:r>
    </w:p>
    <w:p w14:paraId="355C9F39">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 合同当事人及其他相关方</w:t>
      </w:r>
    </w:p>
    <w:p w14:paraId="40F50478">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1.1.2.1监理人：</w:t>
      </w:r>
    </w:p>
    <w:p w14:paraId="7F0CCD7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名    称：</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0F4424A">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资质类别和等级：</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923AF68">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9736AB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1.1.2.2 设计人：</w:t>
      </w:r>
    </w:p>
    <w:p w14:paraId="6FE0112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sz w:val="21"/>
          <w:szCs w:val="21"/>
        </w:rPr>
        <w:t>；</w:t>
      </w:r>
    </w:p>
    <w:p w14:paraId="7FF7C9A2">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资质类别和等级：</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sz w:val="21"/>
          <w:szCs w:val="21"/>
        </w:rPr>
        <w:t>；</w:t>
      </w:r>
    </w:p>
    <w:p w14:paraId="756ECAFB">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2ECB57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1.2法律 </w:t>
      </w:r>
    </w:p>
    <w:p w14:paraId="02FD48B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适用于合同的其他规范性文件：</w:t>
      </w:r>
      <w:r>
        <w:rPr>
          <w:rFonts w:hint="eastAsia" w:asciiTheme="minorEastAsia" w:hAnsiTheme="minorEastAsia" w:eastAsiaTheme="minorEastAsia" w:cstheme="minorEastAsia"/>
          <w:color w:val="000000"/>
          <w:sz w:val="21"/>
          <w:szCs w:val="21"/>
          <w:u w:val="single"/>
        </w:rPr>
        <w:t xml:space="preserve">《中华人民共和国建筑法》《中华人民共和国安全生产法》《中华人民共和国消防法》《中华人民共和国政府采购法》《中华人民共和国政府采购法实施条例》 等 </w:t>
      </w:r>
      <w:r>
        <w:rPr>
          <w:rFonts w:hint="eastAsia" w:asciiTheme="minorEastAsia" w:hAnsiTheme="minorEastAsia" w:eastAsiaTheme="minorEastAsia" w:cstheme="minorEastAsia"/>
          <w:color w:val="000000"/>
          <w:sz w:val="21"/>
          <w:szCs w:val="21"/>
        </w:rPr>
        <w:t xml:space="preserve">； </w:t>
      </w:r>
    </w:p>
    <w:p w14:paraId="413438F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标准和规范</w:t>
      </w:r>
    </w:p>
    <w:p w14:paraId="4F7FFF0F">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1.3.1适用于工程的标准规范包括：</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 xml:space="preserve">      /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14:paraId="2472165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1.3.2发包人对工程的技术标准和功能要求的特殊要求：</w:t>
      </w:r>
      <w:r>
        <w:rPr>
          <w:rFonts w:hint="eastAsia" w:asciiTheme="minorEastAsia" w:hAnsiTheme="minorEastAsia" w:eastAsiaTheme="minorEastAsia" w:cstheme="minorEastAsia"/>
          <w:color w:val="000000"/>
          <w:sz w:val="21"/>
          <w:szCs w:val="21"/>
          <w:u w:val="single"/>
        </w:rPr>
        <w:t xml:space="preserve">     /       </w:t>
      </w:r>
    </w:p>
    <w:p w14:paraId="28894208">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合同文件组成及优先顺序为：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1）合同协议书；（2）中标通知书；（3）招标文件与答疑纪要（4）投标函及其附录；（5）专用合同条款及其附件；（6）通用合同条款；（7）技术标准和要求；（8）图纸及图纸答疑；（9）已标价工程量清单或预算书；（10）其他合同文件。</w:t>
      </w:r>
    </w:p>
    <w:p w14:paraId="5D7484C6">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 图纸和承包人文件</w:t>
      </w:r>
      <w:r>
        <w:rPr>
          <w:rFonts w:hint="eastAsia" w:asciiTheme="minorEastAsia" w:hAnsiTheme="minorEastAsia" w:eastAsiaTheme="minorEastAsia" w:cstheme="minorEastAsia"/>
          <w:color w:val="000000"/>
          <w:sz w:val="21"/>
          <w:szCs w:val="21"/>
        </w:rPr>
        <w:tab/>
      </w:r>
    </w:p>
    <w:p w14:paraId="5EEAB0D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1.5.1 图纸的提供</w:t>
      </w:r>
    </w:p>
    <w:p w14:paraId="6E3705B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发包人向承包人提供图纸的期限：</w:t>
      </w:r>
      <w:r>
        <w:rPr>
          <w:rFonts w:hint="eastAsia" w:asciiTheme="minorEastAsia" w:hAnsiTheme="minorEastAsia" w:eastAsiaTheme="minorEastAsia" w:cstheme="minorEastAsia"/>
          <w:sz w:val="21"/>
          <w:szCs w:val="21"/>
          <w:u w:val="single"/>
        </w:rPr>
        <w:t>按发包人要求</w:t>
      </w:r>
      <w:r>
        <w:rPr>
          <w:rFonts w:hint="eastAsia" w:asciiTheme="minorEastAsia" w:hAnsiTheme="minorEastAsia" w:eastAsiaTheme="minorEastAsia" w:cstheme="minorEastAsia"/>
          <w:sz w:val="21"/>
          <w:szCs w:val="21"/>
        </w:rPr>
        <w:t>；</w:t>
      </w:r>
    </w:p>
    <w:p w14:paraId="2C3576C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发包人向承包人提供图纸的数量：</w:t>
      </w:r>
      <w:r>
        <w:rPr>
          <w:rFonts w:hint="eastAsia" w:asciiTheme="minorEastAsia" w:hAnsiTheme="minorEastAsia" w:eastAsiaTheme="minorEastAsia" w:cstheme="minorEastAsia"/>
          <w:b/>
          <w:bCs/>
          <w:sz w:val="21"/>
          <w:szCs w:val="21"/>
          <w:u w:val="single"/>
        </w:rPr>
        <w:t>3份</w:t>
      </w:r>
      <w:r>
        <w:rPr>
          <w:rFonts w:hint="eastAsia" w:asciiTheme="minorEastAsia" w:hAnsiTheme="minorEastAsia" w:eastAsiaTheme="minorEastAsia" w:cstheme="minorEastAsia"/>
          <w:sz w:val="21"/>
          <w:szCs w:val="21"/>
        </w:rPr>
        <w:t>；</w:t>
      </w:r>
    </w:p>
    <w:p w14:paraId="531B73C1">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发包人向承包人提供图纸的内容：</w:t>
      </w:r>
      <w:r>
        <w:rPr>
          <w:rFonts w:hint="eastAsia" w:asciiTheme="minorEastAsia" w:hAnsiTheme="minorEastAsia" w:eastAsiaTheme="minorEastAsia" w:cstheme="minorEastAsia"/>
          <w:b/>
          <w:color w:val="000000"/>
          <w:sz w:val="21"/>
          <w:szCs w:val="21"/>
          <w:u w:val="single"/>
        </w:rPr>
        <w:t>全部施工图纸</w:t>
      </w:r>
      <w:r>
        <w:rPr>
          <w:rFonts w:hint="eastAsia" w:asciiTheme="minorEastAsia" w:hAnsiTheme="minorEastAsia" w:eastAsiaTheme="minorEastAsia" w:cstheme="minorEastAsia"/>
          <w:color w:val="000000"/>
          <w:sz w:val="21"/>
          <w:szCs w:val="21"/>
        </w:rPr>
        <w:t>。</w:t>
      </w:r>
    </w:p>
    <w:p w14:paraId="5C4B401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1.5.2 承包人文件</w:t>
      </w:r>
    </w:p>
    <w:p w14:paraId="1A65E62B">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承包人向发包人提供的文件，包括：</w:t>
      </w:r>
      <w:r>
        <w:rPr>
          <w:rFonts w:hint="eastAsia" w:asciiTheme="minorEastAsia" w:hAnsiTheme="minorEastAsia" w:eastAsiaTheme="minorEastAsia" w:cstheme="minorEastAsia"/>
          <w:b/>
          <w:sz w:val="21"/>
          <w:szCs w:val="21"/>
          <w:u w:val="single"/>
        </w:rPr>
        <w:t>实施性施工组织设计及方案、进度计划、安全防护方案等</w:t>
      </w:r>
      <w:r>
        <w:rPr>
          <w:rFonts w:hint="eastAsia" w:asciiTheme="minorEastAsia" w:hAnsiTheme="minorEastAsia" w:eastAsiaTheme="minorEastAsia" w:cstheme="minorEastAsia"/>
          <w:sz w:val="21"/>
          <w:szCs w:val="21"/>
        </w:rPr>
        <w:t>；</w:t>
      </w:r>
    </w:p>
    <w:p w14:paraId="3F5F3932">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与工程实施相关的开工报审表、施工组织设计、进度计划、质量安全措施等各类资料，并符合档案管理要求；</w:t>
      </w:r>
    </w:p>
    <w:p w14:paraId="6A73109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承包人提供的文件的期限为：</w:t>
      </w:r>
      <w:r>
        <w:rPr>
          <w:rFonts w:hint="eastAsia" w:asciiTheme="minorEastAsia" w:hAnsiTheme="minorEastAsia" w:eastAsiaTheme="minorEastAsia" w:cstheme="minorEastAsia"/>
          <w:color w:val="000000"/>
          <w:sz w:val="21"/>
          <w:szCs w:val="21"/>
          <w:u w:val="single"/>
        </w:rPr>
        <w:t>按发包人要求</w:t>
      </w:r>
      <w:r>
        <w:rPr>
          <w:rFonts w:hint="eastAsia" w:asciiTheme="minorEastAsia" w:hAnsiTheme="minorEastAsia" w:eastAsiaTheme="minorEastAsia" w:cstheme="minorEastAsia"/>
          <w:color w:val="000000"/>
          <w:sz w:val="21"/>
          <w:szCs w:val="21"/>
        </w:rPr>
        <w:t>；</w:t>
      </w:r>
    </w:p>
    <w:p w14:paraId="2D3532AB">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承包人提供的文件的数量为：</w:t>
      </w:r>
      <w:r>
        <w:rPr>
          <w:rFonts w:hint="eastAsia" w:asciiTheme="minorEastAsia" w:hAnsiTheme="minorEastAsia" w:eastAsiaTheme="minorEastAsia" w:cstheme="minorEastAsia"/>
          <w:b/>
          <w:color w:val="000000"/>
          <w:sz w:val="21"/>
          <w:szCs w:val="21"/>
          <w:u w:val="single"/>
        </w:rPr>
        <w:t>3份</w:t>
      </w:r>
      <w:r>
        <w:rPr>
          <w:rFonts w:hint="eastAsia" w:asciiTheme="minorEastAsia" w:hAnsiTheme="minorEastAsia" w:eastAsiaTheme="minorEastAsia" w:cstheme="minorEastAsia"/>
          <w:color w:val="000000"/>
          <w:sz w:val="21"/>
          <w:szCs w:val="21"/>
        </w:rPr>
        <w:t>；</w:t>
      </w:r>
    </w:p>
    <w:p w14:paraId="4DB4C1ED">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承包人提供的文件的形式为：</w:t>
      </w:r>
      <w:r>
        <w:rPr>
          <w:rFonts w:hint="eastAsia" w:asciiTheme="minorEastAsia" w:hAnsiTheme="minorEastAsia" w:eastAsiaTheme="minorEastAsia" w:cstheme="minorEastAsia"/>
          <w:b/>
          <w:color w:val="000000"/>
          <w:sz w:val="21"/>
          <w:szCs w:val="21"/>
          <w:u w:val="single"/>
        </w:rPr>
        <w:t>书面文件</w:t>
      </w:r>
      <w:r>
        <w:rPr>
          <w:rFonts w:hint="eastAsia" w:asciiTheme="minorEastAsia" w:hAnsiTheme="minorEastAsia" w:eastAsiaTheme="minorEastAsia" w:cstheme="minorEastAsia"/>
          <w:color w:val="000000"/>
          <w:sz w:val="21"/>
          <w:szCs w:val="21"/>
        </w:rPr>
        <w:t>；</w:t>
      </w:r>
    </w:p>
    <w:p w14:paraId="57F80CA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1.5.3 现场图纸准备</w:t>
      </w:r>
    </w:p>
    <w:p w14:paraId="58E9A452">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关于现场图纸准备的约定：</w:t>
      </w:r>
      <w:r>
        <w:rPr>
          <w:rFonts w:hint="eastAsia" w:asciiTheme="minorEastAsia" w:hAnsiTheme="minorEastAsia" w:eastAsiaTheme="minorEastAsia" w:cstheme="minorEastAsia"/>
          <w:b/>
          <w:color w:val="000000"/>
          <w:sz w:val="21"/>
          <w:szCs w:val="21"/>
          <w:u w:val="single"/>
        </w:rPr>
        <w:t>承包人应在施工现场另外保存一套完整的图纸和承包人文件，供发包人、监理人及有关人员进行工程检查时使用。</w:t>
      </w:r>
    </w:p>
    <w:p w14:paraId="343E53D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知识产权</w:t>
      </w:r>
    </w:p>
    <w:p w14:paraId="5615F0DC">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b/>
          <w:color w:val="000000"/>
          <w:sz w:val="21"/>
          <w:szCs w:val="21"/>
          <w:u w:val="single"/>
        </w:rPr>
        <w:t>属于发包人</w:t>
      </w:r>
      <w:r>
        <w:rPr>
          <w:rFonts w:hint="eastAsia" w:asciiTheme="minorEastAsia" w:hAnsiTheme="minorEastAsia" w:eastAsiaTheme="minorEastAsia" w:cstheme="minorEastAsia"/>
          <w:color w:val="000000"/>
          <w:sz w:val="21"/>
          <w:szCs w:val="21"/>
        </w:rPr>
        <w:t>。</w:t>
      </w:r>
    </w:p>
    <w:p w14:paraId="59D4665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1.6.2 关于承包人为实施工程所编制文件的著作权的归属：</w:t>
      </w:r>
      <w:r>
        <w:rPr>
          <w:rFonts w:hint="eastAsia" w:asciiTheme="minorEastAsia" w:hAnsiTheme="minorEastAsia" w:eastAsiaTheme="minorEastAsia" w:cstheme="minorEastAsia"/>
          <w:b/>
          <w:color w:val="000000"/>
          <w:sz w:val="21"/>
          <w:szCs w:val="21"/>
          <w:u w:val="single"/>
        </w:rPr>
        <w:t>除署名权以外的著作权属于发包人</w:t>
      </w:r>
      <w:r>
        <w:rPr>
          <w:rFonts w:hint="eastAsia" w:asciiTheme="minorEastAsia" w:hAnsiTheme="minorEastAsia" w:eastAsiaTheme="minorEastAsia" w:cstheme="minorEastAsia"/>
          <w:color w:val="000000"/>
          <w:sz w:val="21"/>
          <w:szCs w:val="21"/>
        </w:rPr>
        <w:t>。</w:t>
      </w:r>
    </w:p>
    <w:p w14:paraId="165A5C3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1.6.3 承包人在施工过程中所采用的专利、专有技术、技术秘密的使用费的承担方式：</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8F4EBB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64" w:name="_Toc351203634"/>
      <w:r>
        <w:rPr>
          <w:rFonts w:hint="eastAsia" w:asciiTheme="minorEastAsia" w:hAnsiTheme="minorEastAsia" w:eastAsiaTheme="minorEastAsia" w:cstheme="minorEastAsia"/>
          <w:sz w:val="21"/>
          <w:szCs w:val="21"/>
        </w:rPr>
        <w:t>1.7工程量清单错误的修正</w:t>
      </w:r>
    </w:p>
    <w:p w14:paraId="5F38DCC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出现工程量清单错误时，是否调整合同价格：</w:t>
      </w:r>
      <w:r>
        <w:rPr>
          <w:rFonts w:hint="eastAsia" w:asciiTheme="minorEastAsia" w:hAnsiTheme="minorEastAsia" w:eastAsiaTheme="minorEastAsia" w:cstheme="minorEastAsia"/>
          <w:sz w:val="21"/>
          <w:szCs w:val="21"/>
          <w:u w:val="single"/>
        </w:rPr>
        <w:t>根据情况双方协商确定</w:t>
      </w:r>
      <w:r>
        <w:rPr>
          <w:rFonts w:hint="eastAsia" w:asciiTheme="minorEastAsia" w:hAnsiTheme="minorEastAsia" w:eastAsiaTheme="minorEastAsia" w:cstheme="minorEastAsia"/>
          <w:sz w:val="21"/>
          <w:szCs w:val="21"/>
        </w:rPr>
        <w:t>。</w:t>
      </w:r>
    </w:p>
    <w:p w14:paraId="2E24769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允许调整合同价格的工程量偏差范围：增加工程量不得超过原工程量清单工程量10%，且不得超过现合同价的10%。最终价格以审计为准。</w:t>
      </w:r>
    </w:p>
    <w:p w14:paraId="2343CAD4">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bookmarkStart w:id="65" w:name="_Toc296891197"/>
      <w:bookmarkStart w:id="66" w:name="_Toc296346658"/>
      <w:bookmarkStart w:id="67" w:name="_Toc296503157"/>
      <w:bookmarkStart w:id="68" w:name="_Toc296890985"/>
      <w:bookmarkStart w:id="69" w:name="_Toc296347156"/>
      <w:bookmarkStart w:id="70" w:name="_Toc297120457"/>
      <w:bookmarkStart w:id="71" w:name="_Toc292559867"/>
      <w:bookmarkStart w:id="72" w:name="_Toc292559362"/>
      <w:bookmarkStart w:id="73" w:name="_Toc296944496"/>
      <w:bookmarkStart w:id="74" w:name="_Toc297048343"/>
      <w:r>
        <w:rPr>
          <w:rFonts w:hint="eastAsia" w:asciiTheme="minorEastAsia" w:hAnsiTheme="minorEastAsia" w:eastAsiaTheme="minorEastAsia" w:cstheme="minorEastAsia"/>
          <w:sz w:val="21"/>
          <w:szCs w:val="21"/>
        </w:rPr>
        <w:t>. 发包人</w:t>
      </w:r>
      <w:bookmarkEnd w:id="64"/>
      <w:bookmarkEnd w:id="65"/>
      <w:bookmarkEnd w:id="66"/>
      <w:bookmarkEnd w:id="67"/>
      <w:bookmarkEnd w:id="68"/>
      <w:bookmarkEnd w:id="69"/>
      <w:bookmarkEnd w:id="70"/>
      <w:bookmarkEnd w:id="71"/>
      <w:bookmarkEnd w:id="72"/>
      <w:bookmarkEnd w:id="73"/>
      <w:bookmarkEnd w:id="74"/>
    </w:p>
    <w:p w14:paraId="15AB09D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发包人代表</w:t>
      </w:r>
    </w:p>
    <w:p w14:paraId="46B3636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发包人代表：</w:t>
      </w:r>
    </w:p>
    <w:p w14:paraId="72BE201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    名：</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color w:val="000000"/>
          <w:sz w:val="21"/>
          <w:szCs w:val="21"/>
        </w:rPr>
        <w:t>；</w:t>
      </w:r>
    </w:p>
    <w:p w14:paraId="527862FD">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06C2699">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color w:val="000000"/>
          <w:sz w:val="21"/>
          <w:szCs w:val="21"/>
        </w:rPr>
        <w:t>发包人对发包人代表的授权范围如下：</w:t>
      </w:r>
      <w:r>
        <w:rPr>
          <w:rFonts w:hint="eastAsia" w:asciiTheme="minorEastAsia" w:hAnsiTheme="minorEastAsia" w:eastAsiaTheme="minorEastAsia" w:cstheme="minorEastAsia"/>
          <w:b/>
          <w:sz w:val="21"/>
          <w:szCs w:val="21"/>
          <w:u w:val="single"/>
        </w:rPr>
        <w:t>施工过程中协调工作，监督工程质量、进度和安全及与本工程建设有关的事宜。</w:t>
      </w:r>
    </w:p>
    <w:p w14:paraId="200D183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施工现场、施工条件和基础资料的提供</w:t>
      </w:r>
    </w:p>
    <w:p w14:paraId="0841581F">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2.2.1 提供施工现场</w:t>
      </w:r>
    </w:p>
    <w:p w14:paraId="0540EB54">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关于发包人移交施工现场的期限要求：</w:t>
      </w:r>
      <w:r>
        <w:rPr>
          <w:rFonts w:hint="eastAsia" w:asciiTheme="minorEastAsia" w:hAnsiTheme="minorEastAsia" w:eastAsiaTheme="minorEastAsia" w:cstheme="minorEastAsia"/>
          <w:b/>
          <w:color w:val="000000"/>
          <w:sz w:val="21"/>
          <w:szCs w:val="21"/>
          <w:u w:val="single"/>
        </w:rPr>
        <w:t>开工前7天</w:t>
      </w:r>
      <w:r>
        <w:rPr>
          <w:rFonts w:hint="eastAsia" w:asciiTheme="minorEastAsia" w:hAnsiTheme="minorEastAsia" w:eastAsiaTheme="minorEastAsia" w:cstheme="minorEastAsia"/>
          <w:color w:val="000000"/>
          <w:sz w:val="21"/>
          <w:szCs w:val="21"/>
        </w:rPr>
        <w:t>。</w:t>
      </w:r>
    </w:p>
    <w:p w14:paraId="7D6AC3A2">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 提供施工条件</w:t>
      </w:r>
    </w:p>
    <w:p w14:paraId="2687BDB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sz w:val="21"/>
          <w:szCs w:val="21"/>
        </w:rPr>
        <w:t>关于发包人应负责提供施工所需要的条件，包括：</w:t>
      </w:r>
      <w:r>
        <w:rPr>
          <w:rFonts w:hint="eastAsia" w:asciiTheme="minorEastAsia" w:hAnsiTheme="minorEastAsia" w:eastAsiaTheme="minorEastAsia" w:cstheme="minorEastAsia"/>
          <w:sz w:val="21"/>
          <w:szCs w:val="21"/>
        </w:rPr>
        <w:t>施工所需的水、电、电讯线路、道路均已提供，相关费用由承包人承担</w:t>
      </w:r>
      <w:r>
        <w:rPr>
          <w:rFonts w:hint="eastAsia" w:asciiTheme="minorEastAsia" w:hAnsiTheme="minorEastAsia" w:eastAsiaTheme="minorEastAsia" w:cstheme="minorEastAsia"/>
          <w:b/>
          <w:color w:val="000000"/>
          <w:sz w:val="21"/>
          <w:szCs w:val="21"/>
        </w:rPr>
        <w:t>。</w:t>
      </w:r>
    </w:p>
    <w:p w14:paraId="71F55E3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75" w:name="_Toc351203635"/>
      <w:r>
        <w:rPr>
          <w:rFonts w:hint="eastAsia" w:asciiTheme="minorEastAsia" w:hAnsiTheme="minorEastAsia" w:eastAsiaTheme="minorEastAsia" w:cstheme="minorEastAsia"/>
          <w:sz w:val="21"/>
          <w:szCs w:val="21"/>
        </w:rPr>
        <w:t>3</w:t>
      </w:r>
      <w:bookmarkStart w:id="76" w:name="_Toc292559868"/>
      <w:bookmarkStart w:id="77" w:name="_Toc297048344"/>
      <w:bookmarkStart w:id="78" w:name="_Toc296346659"/>
      <w:bookmarkStart w:id="79" w:name="_Toc297120458"/>
      <w:bookmarkStart w:id="80" w:name="_Toc296347157"/>
      <w:bookmarkStart w:id="81" w:name="_Toc296944497"/>
      <w:bookmarkStart w:id="82" w:name="_Toc296890986"/>
      <w:bookmarkStart w:id="83" w:name="_Toc296891198"/>
      <w:bookmarkStart w:id="84" w:name="_Toc296503158"/>
      <w:bookmarkStart w:id="85" w:name="_Toc292559363"/>
      <w:r>
        <w:rPr>
          <w:rFonts w:hint="eastAsia" w:asciiTheme="minorEastAsia" w:hAnsiTheme="minorEastAsia" w:eastAsiaTheme="minorEastAsia" w:cstheme="minorEastAsia"/>
          <w:sz w:val="21"/>
          <w:szCs w:val="21"/>
        </w:rPr>
        <w:t>. 承包人</w:t>
      </w:r>
      <w:bookmarkEnd w:id="75"/>
      <w:bookmarkEnd w:id="76"/>
      <w:bookmarkEnd w:id="77"/>
      <w:bookmarkEnd w:id="78"/>
      <w:bookmarkEnd w:id="79"/>
      <w:bookmarkEnd w:id="80"/>
      <w:bookmarkEnd w:id="81"/>
      <w:bookmarkEnd w:id="82"/>
      <w:bookmarkEnd w:id="83"/>
      <w:bookmarkEnd w:id="84"/>
      <w:bookmarkEnd w:id="85"/>
    </w:p>
    <w:p w14:paraId="17EBC75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承包人的一般义务:</w:t>
      </w:r>
      <w:r>
        <w:rPr>
          <w:rFonts w:hint="eastAsia" w:asciiTheme="minorEastAsia" w:hAnsiTheme="minorEastAsia" w:eastAsiaTheme="minorEastAsia" w:cstheme="minorEastAsia"/>
          <w:b/>
          <w:sz w:val="21"/>
          <w:szCs w:val="21"/>
          <w:u w:val="single"/>
        </w:rPr>
        <w:t>按通用条款执行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54BFDA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承包人提交的竣工资料的内容：</w:t>
      </w:r>
      <w:r>
        <w:rPr>
          <w:rFonts w:hint="eastAsia" w:asciiTheme="minorEastAsia" w:hAnsiTheme="minorEastAsia" w:eastAsiaTheme="minorEastAsia" w:cstheme="minorEastAsia"/>
          <w:sz w:val="21"/>
          <w:szCs w:val="21"/>
        </w:rPr>
        <w:t>提供符合要求的竣工图及竣工资料</w:t>
      </w:r>
    </w:p>
    <w:p w14:paraId="28890BFE">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
          <w:color w:val="000000"/>
          <w:sz w:val="21"/>
          <w:szCs w:val="21"/>
          <w:u w:val="single"/>
        </w:rPr>
        <w:t>书面正式验收申请并提供竣工图纸、文字资料和工程照片</w:t>
      </w:r>
      <w:r>
        <w:rPr>
          <w:rFonts w:hint="eastAsia" w:asciiTheme="minorEastAsia" w:hAnsiTheme="minorEastAsia" w:eastAsiaTheme="minorEastAsia" w:cstheme="minorEastAsia"/>
          <w:color w:val="000000"/>
          <w:sz w:val="21"/>
          <w:szCs w:val="21"/>
        </w:rPr>
        <w:t>。</w:t>
      </w:r>
    </w:p>
    <w:p w14:paraId="3EC195AD">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承包人需要提交的竣工资料套数：</w:t>
      </w:r>
      <w:r>
        <w:rPr>
          <w:rFonts w:hint="eastAsia" w:asciiTheme="minorEastAsia" w:hAnsiTheme="minorEastAsia" w:eastAsiaTheme="minorEastAsia" w:cstheme="minorEastAsia"/>
          <w:b/>
          <w:sz w:val="21"/>
          <w:szCs w:val="21"/>
          <w:u w:val="single"/>
        </w:rPr>
        <w:t>3套</w:t>
      </w:r>
      <w:r>
        <w:rPr>
          <w:rFonts w:hint="eastAsia" w:asciiTheme="minorEastAsia" w:hAnsiTheme="minorEastAsia" w:eastAsiaTheme="minorEastAsia" w:cstheme="minorEastAsia"/>
          <w:color w:val="000000"/>
          <w:sz w:val="21"/>
          <w:szCs w:val="21"/>
        </w:rPr>
        <w:t>。</w:t>
      </w:r>
    </w:p>
    <w:p w14:paraId="5D88B6AC">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承包人提交的竣工资料的费用承担：</w:t>
      </w:r>
      <w:r>
        <w:rPr>
          <w:rFonts w:hint="eastAsia" w:asciiTheme="minorEastAsia" w:hAnsiTheme="minorEastAsia" w:eastAsiaTheme="minorEastAsia" w:cstheme="minorEastAsia"/>
          <w:b/>
          <w:color w:val="000000"/>
          <w:sz w:val="21"/>
          <w:szCs w:val="21"/>
          <w:u w:val="single"/>
        </w:rPr>
        <w:t>承包人承担</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BFAC71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承包人提交的竣工资料移交时间：</w:t>
      </w:r>
      <w:r>
        <w:rPr>
          <w:rFonts w:hint="eastAsia" w:asciiTheme="minorEastAsia" w:hAnsiTheme="minorEastAsia" w:eastAsiaTheme="minorEastAsia" w:cstheme="minorEastAsia"/>
          <w:b/>
          <w:sz w:val="21"/>
          <w:szCs w:val="21"/>
          <w:u w:val="single"/>
        </w:rPr>
        <w:t>本工程验收前7日内</w:t>
      </w:r>
      <w:r>
        <w:rPr>
          <w:rFonts w:hint="eastAsia" w:asciiTheme="minorEastAsia" w:hAnsiTheme="minorEastAsia" w:eastAsiaTheme="minorEastAsia" w:cstheme="minorEastAsia"/>
          <w:color w:val="000000"/>
          <w:sz w:val="21"/>
          <w:szCs w:val="21"/>
        </w:rPr>
        <w:t>。</w:t>
      </w:r>
    </w:p>
    <w:p w14:paraId="2413DE9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承包人提交的竣工资料形式要求：</w:t>
      </w:r>
      <w:r>
        <w:rPr>
          <w:rFonts w:hint="eastAsia" w:asciiTheme="minorEastAsia" w:hAnsiTheme="minorEastAsia" w:eastAsiaTheme="minorEastAsia" w:cstheme="minorEastAsia"/>
          <w:b/>
          <w:color w:val="000000"/>
          <w:sz w:val="21"/>
          <w:szCs w:val="21"/>
          <w:u w:val="single"/>
        </w:rPr>
        <w:t>书面及电子文档</w:t>
      </w:r>
      <w:r>
        <w:rPr>
          <w:rFonts w:hint="eastAsia" w:asciiTheme="minorEastAsia" w:hAnsiTheme="minorEastAsia" w:eastAsiaTheme="minorEastAsia" w:cstheme="minorEastAsia"/>
          <w:color w:val="000000"/>
          <w:sz w:val="21"/>
          <w:szCs w:val="21"/>
        </w:rPr>
        <w:t>。</w:t>
      </w:r>
    </w:p>
    <w:p w14:paraId="28B6790B">
      <w:pPr>
        <w:pStyle w:val="7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承包人应履行的其他义务：</w:t>
      </w:r>
      <w:r>
        <w:rPr>
          <w:rFonts w:hint="eastAsia" w:asciiTheme="minorEastAsia" w:hAnsiTheme="minorEastAsia" w:eastAsiaTheme="minorEastAsia" w:cstheme="minorEastAsia"/>
          <w:b/>
          <w:color w:val="000000"/>
          <w:sz w:val="21"/>
          <w:szCs w:val="21"/>
        </w:rPr>
        <w:t>承包人应按建筑行政管理部门和相关部门的要求，设置护板、围栏等设施，以保护公共安全，费用自理。杜绝重大人身伤亡及设备事故，如有发生，损失由责任方承担。由承包人负责重要地段、路口道路畅通，处理好与周边居民的关系，并承担费用及与此相关的所有责任。施工场地周围地下管线和邻近建筑物、构筑物（含文物保护建筑）、古树名木的保护均由承包人负责，费用承包人自理，因调查不详造成防护不当的责任和损失由承包人负责。承包人负责施工用水、电、通讯、道路等设施日常维护工作，以确保施工正常安全进行，费用自理。</w:t>
      </w:r>
    </w:p>
    <w:p w14:paraId="27B91C04">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 项目经理</w:t>
      </w:r>
    </w:p>
    <w:p w14:paraId="021EE367">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3.2.1 项目经理：</w:t>
      </w:r>
    </w:p>
    <w:p w14:paraId="71CAC16D">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    名：</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7381516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建造师注册证书号：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CF4F967">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安全生产考核合格证书号：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97CE649">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B699FAF">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承包人对项目经理的授权范围如下：</w:t>
      </w:r>
      <w:r>
        <w:rPr>
          <w:rFonts w:hint="eastAsia" w:asciiTheme="minorEastAsia" w:hAnsiTheme="minorEastAsia" w:eastAsiaTheme="minorEastAsia" w:cstheme="minorEastAsia"/>
          <w:b/>
          <w:color w:val="000000"/>
          <w:sz w:val="21"/>
          <w:szCs w:val="21"/>
          <w:u w:val="single"/>
        </w:rPr>
        <w:t>全权处理本项目的一切事务</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A14A68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关于项目经理每月在施工现场的时间要求：</w:t>
      </w:r>
      <w:r>
        <w:rPr>
          <w:rFonts w:hint="eastAsia" w:asciiTheme="minorEastAsia" w:hAnsiTheme="minorEastAsia" w:eastAsiaTheme="minorEastAsia" w:cstheme="minorEastAsia"/>
          <w:b/>
          <w:sz w:val="21"/>
          <w:szCs w:val="21"/>
          <w:u w:val="single"/>
        </w:rPr>
        <w:t>开工之日起到竣工结束，项目经理每周至少5日，每天必须不少于8小时在现场组织施工。</w:t>
      </w:r>
    </w:p>
    <w:p w14:paraId="725454A1">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承包人未提交劳动合同，以及没有为项目经理缴纳社会保险证明的违约责任：</w:t>
      </w:r>
      <w:r>
        <w:rPr>
          <w:rFonts w:hint="eastAsia" w:asciiTheme="minorEastAsia" w:hAnsiTheme="minorEastAsia" w:eastAsiaTheme="minorEastAsia" w:cstheme="minorEastAsia"/>
          <w:b/>
          <w:sz w:val="21"/>
          <w:szCs w:val="21"/>
          <w:u w:val="single"/>
        </w:rPr>
        <w:t>责令限期提交劳动合同并补缴社会保险</w:t>
      </w:r>
      <w:r>
        <w:rPr>
          <w:rFonts w:hint="eastAsia" w:asciiTheme="minorEastAsia" w:hAnsiTheme="minorEastAsia" w:eastAsiaTheme="minorEastAsia" w:cstheme="minorEastAsia"/>
          <w:color w:val="000000"/>
          <w:sz w:val="21"/>
          <w:szCs w:val="21"/>
        </w:rPr>
        <w:t>。</w:t>
      </w:r>
    </w:p>
    <w:p w14:paraId="74F4141C">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项目经理未经批准，擅自离开施工现场的违约责任：</w:t>
      </w:r>
      <w:r>
        <w:rPr>
          <w:rFonts w:hint="eastAsia" w:asciiTheme="minorEastAsia" w:hAnsiTheme="minorEastAsia" w:eastAsiaTheme="minorEastAsia" w:cstheme="minorEastAsia"/>
          <w:b/>
          <w:sz w:val="21"/>
          <w:szCs w:val="21"/>
          <w:u w:val="single"/>
        </w:rPr>
        <w:t>发包人有权要求承包人承担1000元/天的违约金。</w:t>
      </w:r>
    </w:p>
    <w:p w14:paraId="3724AC94">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3.2.2 承包人擅自更换项目经理的违约责任：</w:t>
      </w:r>
      <w:r>
        <w:rPr>
          <w:rFonts w:hint="eastAsia" w:asciiTheme="minorEastAsia" w:hAnsiTheme="minorEastAsia" w:eastAsiaTheme="minorEastAsia" w:cstheme="minorEastAsia"/>
          <w:b/>
          <w:sz w:val="21"/>
          <w:szCs w:val="21"/>
          <w:u w:val="single"/>
        </w:rPr>
        <w:t>承包人在投标书中承诺的项目经理必须到位，无论任何原因，不得擅自更换项目经理，承包人提出更换时，须经发包人和监理工程师书面同意，且每更换一次需先提交1万元的违约金后予以更换 。</w:t>
      </w:r>
    </w:p>
    <w:p w14:paraId="6626084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3.2.3 承包人无正当理由拒绝更换项目经理的违约责任：</w:t>
      </w:r>
      <w:r>
        <w:rPr>
          <w:rFonts w:hint="eastAsia" w:asciiTheme="minorEastAsia" w:hAnsiTheme="minorEastAsia" w:eastAsiaTheme="minorEastAsia" w:cstheme="minorEastAsia"/>
          <w:b/>
          <w:sz w:val="21"/>
          <w:szCs w:val="21"/>
          <w:u w:val="single"/>
        </w:rPr>
        <w:t>在施工过程中未经发包人同意不得在其他项目工地兼职、更换。对不称职的项目经理，发包人有权要求承包人更换，承包人必须在3日内更换。承包人如未按时更换，须向发包人交纳1万元/人（天）的违约金</w:t>
      </w:r>
      <w:r>
        <w:rPr>
          <w:rFonts w:hint="eastAsia" w:asciiTheme="minorEastAsia" w:hAnsiTheme="minorEastAsia" w:eastAsiaTheme="minorEastAsia" w:cstheme="minorEastAsia"/>
          <w:color w:val="000000"/>
          <w:sz w:val="21"/>
          <w:szCs w:val="21"/>
        </w:rPr>
        <w:t>。</w:t>
      </w:r>
    </w:p>
    <w:p w14:paraId="0BEA41A8">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 承包人人员</w:t>
      </w:r>
    </w:p>
    <w:p w14:paraId="34613C32">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3.3.1 承包人提交项目管理机构及施工现场管理人员安排报告的期限：</w:t>
      </w:r>
      <w:r>
        <w:rPr>
          <w:rFonts w:hint="eastAsia" w:asciiTheme="minorEastAsia" w:hAnsiTheme="minorEastAsia" w:eastAsiaTheme="minorEastAsia" w:cstheme="minorEastAsia"/>
          <w:b/>
          <w:color w:val="000000"/>
          <w:sz w:val="21"/>
          <w:szCs w:val="21"/>
          <w:u w:val="single"/>
        </w:rPr>
        <w:t>开工前2天内</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0B2DCE6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3.3.2 承包人无正当理由拒绝撤换主要施工管理人员的违约责任：</w:t>
      </w:r>
      <w:r>
        <w:rPr>
          <w:rFonts w:hint="eastAsia" w:asciiTheme="minorEastAsia" w:hAnsiTheme="minorEastAsia" w:eastAsiaTheme="minorEastAsia" w:cstheme="minorEastAsia"/>
          <w:b/>
          <w:sz w:val="21"/>
          <w:szCs w:val="21"/>
          <w:u w:val="single"/>
        </w:rPr>
        <w:t>发包人有权要求承包人承担3000元/人的违约金。并有权解除合同并责令承包人退场，由此产生的一切损失及后果由承包人承担</w:t>
      </w:r>
      <w:r>
        <w:rPr>
          <w:rFonts w:hint="eastAsia" w:asciiTheme="minorEastAsia" w:hAnsiTheme="minorEastAsia" w:eastAsiaTheme="minorEastAsia" w:cstheme="minorEastAsia"/>
          <w:color w:val="000000"/>
          <w:sz w:val="21"/>
          <w:szCs w:val="21"/>
        </w:rPr>
        <w:t>。</w:t>
      </w:r>
    </w:p>
    <w:p w14:paraId="2FB776A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3.3.3 承包人主要施工管理人员离开施工现场的批准要求：</w:t>
      </w:r>
      <w:r>
        <w:rPr>
          <w:rFonts w:hint="eastAsia" w:asciiTheme="minorEastAsia" w:hAnsiTheme="minorEastAsia" w:eastAsiaTheme="minorEastAsia" w:cstheme="minorEastAsia"/>
          <w:b/>
          <w:color w:val="000000"/>
          <w:sz w:val="21"/>
          <w:szCs w:val="21"/>
          <w:u w:val="single"/>
        </w:rPr>
        <w:t xml:space="preserve"> 由总监理工程师批准，发包人认可方可离开 。</w:t>
      </w:r>
    </w:p>
    <w:p w14:paraId="1455CABC">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3.3.4承包人擅自更换主要施工管理人员的违约责任：</w:t>
      </w:r>
      <w:r>
        <w:rPr>
          <w:rFonts w:hint="eastAsia" w:asciiTheme="minorEastAsia" w:hAnsiTheme="minorEastAsia" w:eastAsiaTheme="minorEastAsia" w:cstheme="minorEastAsia"/>
          <w:b/>
          <w:sz w:val="21"/>
          <w:szCs w:val="21"/>
          <w:u w:val="single"/>
        </w:rPr>
        <w:t>发包人有权要求承包人承担3000元/人的违约金。并有权解除合同并责令承包人退场，由此产生的一切损失及后果由承包人承担</w:t>
      </w:r>
      <w:r>
        <w:rPr>
          <w:rFonts w:hint="eastAsia" w:asciiTheme="minorEastAsia" w:hAnsiTheme="minorEastAsia" w:eastAsiaTheme="minorEastAsia" w:cstheme="minorEastAsia"/>
          <w:color w:val="000000"/>
          <w:sz w:val="21"/>
          <w:szCs w:val="21"/>
        </w:rPr>
        <w:t>。</w:t>
      </w:r>
    </w:p>
    <w:p w14:paraId="5AF7AE44">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承包人主要施工管理人员擅自离开施工现场的违约责任：</w:t>
      </w:r>
      <w:r>
        <w:rPr>
          <w:rFonts w:hint="eastAsia" w:asciiTheme="minorEastAsia" w:hAnsiTheme="minorEastAsia" w:eastAsiaTheme="minorEastAsia" w:cstheme="minorEastAsia"/>
          <w:b/>
          <w:sz w:val="21"/>
          <w:szCs w:val="21"/>
          <w:u w:val="single"/>
        </w:rPr>
        <w:t>承包人承担1000元/次的违约金</w:t>
      </w:r>
      <w:r>
        <w:rPr>
          <w:rFonts w:hint="eastAsia" w:asciiTheme="minorEastAsia" w:hAnsiTheme="minorEastAsia" w:eastAsiaTheme="minorEastAsia" w:cstheme="minorEastAsia"/>
          <w:color w:val="000000"/>
          <w:sz w:val="21"/>
          <w:szCs w:val="21"/>
        </w:rPr>
        <w:t>。</w:t>
      </w:r>
    </w:p>
    <w:p w14:paraId="5906C60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bookmarkStart w:id="86" w:name="_Toc297048345"/>
      <w:bookmarkStart w:id="87" w:name="_Toc296944498"/>
      <w:bookmarkStart w:id="88" w:name="_Toc300934945"/>
      <w:bookmarkStart w:id="89" w:name="_Toc296891199"/>
      <w:bookmarkStart w:id="90" w:name="_Toc304295523"/>
      <w:bookmarkStart w:id="91" w:name="_Toc296346660"/>
      <w:bookmarkStart w:id="92" w:name="_Toc303539102"/>
      <w:bookmarkStart w:id="93" w:name="_Toc297120459"/>
      <w:bookmarkStart w:id="94" w:name="_Toc297216151"/>
      <w:bookmarkStart w:id="95" w:name="_Toc297123492"/>
      <w:bookmarkStart w:id="96" w:name="_Toc296503159"/>
      <w:bookmarkStart w:id="97" w:name="_Toc292559869"/>
      <w:bookmarkStart w:id="98" w:name="_Toc292559364"/>
      <w:bookmarkStart w:id="99" w:name="_Toc312677988"/>
      <w:bookmarkStart w:id="100" w:name="_Toc296890987"/>
      <w:bookmarkStart w:id="101" w:name="_Toc296347158"/>
      <w:r>
        <w:rPr>
          <w:rFonts w:hint="eastAsia" w:asciiTheme="minorEastAsia" w:hAnsiTheme="minorEastAsia" w:eastAsiaTheme="minorEastAsia" w:cstheme="minorEastAsia"/>
          <w:sz w:val="21"/>
          <w:szCs w:val="21"/>
        </w:rPr>
        <w:t>.4 分包</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CA7E75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bookmarkStart w:id="102" w:name="_Toc304295524"/>
      <w:bookmarkStart w:id="103" w:name="_Toc297216152"/>
      <w:bookmarkStart w:id="104" w:name="_Toc292559870"/>
      <w:bookmarkStart w:id="105" w:name="_Toc296503160"/>
      <w:bookmarkStart w:id="106" w:name="_Toc292559365"/>
      <w:bookmarkStart w:id="107" w:name="_Toc296890988"/>
      <w:bookmarkStart w:id="108" w:name="_Toc318581158"/>
      <w:bookmarkStart w:id="109" w:name="_Toc296346661"/>
      <w:bookmarkStart w:id="110" w:name="_Toc312677989"/>
      <w:bookmarkStart w:id="111" w:name="_Toc296944499"/>
      <w:bookmarkStart w:id="112" w:name="_Toc303539103"/>
      <w:bookmarkStart w:id="113" w:name="_Toc296891200"/>
      <w:bookmarkStart w:id="114" w:name="_Toc297048346"/>
      <w:bookmarkStart w:id="115" w:name="_Toc297120460"/>
      <w:bookmarkStart w:id="116" w:name="_Toc296347159"/>
      <w:bookmarkStart w:id="117" w:name="_Toc297123493"/>
      <w:bookmarkStart w:id="118" w:name="_Toc300934946"/>
      <w:r>
        <w:rPr>
          <w:rFonts w:hint="eastAsia" w:asciiTheme="minorEastAsia" w:hAnsiTheme="minorEastAsia" w:eastAsiaTheme="minorEastAsia" w:cstheme="minorEastAsia"/>
          <w:sz w:val="21"/>
          <w:szCs w:val="21"/>
        </w:rPr>
        <w:t>.4.1 分包的一般约定</w:t>
      </w:r>
    </w:p>
    <w:p w14:paraId="72B28676">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禁止分包的工程包括：</w:t>
      </w:r>
      <w:r>
        <w:rPr>
          <w:rFonts w:hint="eastAsia" w:asciiTheme="minorEastAsia" w:hAnsiTheme="minorEastAsia" w:eastAsiaTheme="minorEastAsia" w:cstheme="minorEastAsia"/>
          <w:b/>
          <w:color w:val="000000"/>
          <w:sz w:val="21"/>
          <w:szCs w:val="21"/>
          <w:u w:val="single"/>
        </w:rPr>
        <w:t xml:space="preserve">本工程不允许分包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1C812D1">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不允许</w:t>
      </w:r>
      <w:bookmarkStart w:id="119" w:name="OLE_LINK32"/>
      <w:r>
        <w:rPr>
          <w:rFonts w:hint="eastAsia" w:asciiTheme="minorEastAsia" w:hAnsiTheme="minorEastAsia" w:eastAsiaTheme="minorEastAsia" w:cstheme="minorEastAsia"/>
          <w:color w:val="000000"/>
          <w:sz w:val="21"/>
          <w:szCs w:val="21"/>
          <w:highlight w:val="none"/>
        </w:rPr>
        <w:t>承包人</w:t>
      </w:r>
      <w:bookmarkEnd w:id="119"/>
      <w:r>
        <w:rPr>
          <w:rFonts w:hint="eastAsia" w:asciiTheme="minorEastAsia" w:hAnsiTheme="minorEastAsia" w:eastAsiaTheme="minorEastAsia" w:cstheme="minorEastAsia"/>
          <w:color w:val="000000"/>
          <w:sz w:val="21"/>
          <w:szCs w:val="21"/>
          <w:highlight w:val="none"/>
        </w:rPr>
        <w:t>将工程转包和违法分包给任何第三方，如发现转包或违法分包行为，限令改正，否则发包人有权立即中止合同，扣除履约担保，承包人负违约责任。</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FB8E199">
      <w:pPr>
        <w:pStyle w:val="12"/>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3.5 工程照管与成品、半成品保护</w:t>
      </w:r>
    </w:p>
    <w:p w14:paraId="047F11D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承包人负责照管工程及工程相关的材料、工程设备的起始时间：</w:t>
      </w:r>
      <w:r>
        <w:rPr>
          <w:rFonts w:hint="eastAsia" w:asciiTheme="minorEastAsia" w:hAnsiTheme="minorEastAsia" w:eastAsiaTheme="minorEastAsia" w:cstheme="minorEastAsia"/>
          <w:b/>
          <w:sz w:val="21"/>
          <w:szCs w:val="21"/>
          <w:u w:val="single"/>
        </w:rPr>
        <w:t>按通用条款执行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6D09A27">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履约担保</w:t>
      </w:r>
    </w:p>
    <w:p w14:paraId="1CD8693A">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承包人是否提供履约担保：</w:t>
      </w:r>
      <w:r>
        <w:rPr>
          <w:rFonts w:hint="eastAsia" w:asciiTheme="minorEastAsia" w:hAnsiTheme="minorEastAsia" w:eastAsiaTheme="minorEastAsia" w:cstheme="minorEastAsia"/>
          <w:sz w:val="21"/>
          <w:szCs w:val="21"/>
          <w:u w:val="single"/>
        </w:rPr>
        <w:t>是</w:t>
      </w:r>
      <w:r>
        <w:rPr>
          <w:rFonts w:hint="eastAsia" w:asciiTheme="minorEastAsia" w:hAnsiTheme="minorEastAsia" w:eastAsiaTheme="minorEastAsia" w:cstheme="minorEastAsia"/>
          <w:sz w:val="21"/>
          <w:szCs w:val="21"/>
        </w:rPr>
        <w:t>。</w:t>
      </w:r>
    </w:p>
    <w:p w14:paraId="23EEC182">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承包人提供履约担保的形式、金额及期限的：</w:t>
      </w:r>
      <w:r>
        <w:rPr>
          <w:rFonts w:hint="eastAsia" w:asciiTheme="minorEastAsia" w:hAnsiTheme="minorEastAsia" w:eastAsiaTheme="minorEastAsia" w:cstheme="minorEastAsia"/>
          <w:sz w:val="21"/>
          <w:szCs w:val="21"/>
          <w:u w:val="single"/>
        </w:rPr>
        <w:t>合同总价款的履约担保金额为合同总额的  %。履约担保方式：承包人以履约保证金方式在合同签订前向发包人提供履约担保，验收合格，正式交付使用后退还。</w:t>
      </w:r>
    </w:p>
    <w:p w14:paraId="7E28647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20" w:name="_Toc351203636"/>
      <w:r>
        <w:rPr>
          <w:rFonts w:hint="eastAsia" w:asciiTheme="minorEastAsia" w:hAnsiTheme="minorEastAsia" w:eastAsiaTheme="minorEastAsia" w:cstheme="minorEastAsia"/>
          <w:sz w:val="21"/>
          <w:szCs w:val="21"/>
        </w:rPr>
        <w:t>4</w:t>
      </w:r>
      <w:bookmarkStart w:id="121" w:name="_Toc296503162"/>
      <w:bookmarkStart w:id="122" w:name="_Toc296944501"/>
      <w:bookmarkStart w:id="123" w:name="_Toc297048348"/>
      <w:bookmarkStart w:id="124" w:name="_Toc292559366"/>
      <w:bookmarkStart w:id="125" w:name="_Toc292559871"/>
      <w:bookmarkStart w:id="126" w:name="_Toc296346663"/>
      <w:bookmarkStart w:id="127" w:name="_Toc296891202"/>
      <w:bookmarkStart w:id="128" w:name="_Toc296890990"/>
      <w:bookmarkStart w:id="129" w:name="_Toc297120462"/>
      <w:bookmarkStart w:id="130" w:name="_Toc296347161"/>
      <w:bookmarkStart w:id="131" w:name="_Toc267251413"/>
      <w:r>
        <w:rPr>
          <w:rFonts w:hint="eastAsia" w:asciiTheme="minorEastAsia" w:hAnsiTheme="minorEastAsia" w:eastAsiaTheme="minorEastAsia" w:cstheme="minorEastAsia"/>
          <w:sz w:val="21"/>
          <w:szCs w:val="21"/>
        </w:rPr>
        <w:t>. 监</w:t>
      </w:r>
      <w:bookmarkEnd w:id="121"/>
      <w:bookmarkEnd w:id="122"/>
      <w:bookmarkEnd w:id="123"/>
      <w:bookmarkEnd w:id="124"/>
      <w:bookmarkEnd w:id="125"/>
      <w:bookmarkEnd w:id="126"/>
      <w:bookmarkEnd w:id="127"/>
      <w:bookmarkEnd w:id="128"/>
      <w:bookmarkEnd w:id="129"/>
      <w:bookmarkEnd w:id="130"/>
      <w:bookmarkEnd w:id="131"/>
      <w:r>
        <w:rPr>
          <w:rFonts w:hint="eastAsia" w:asciiTheme="minorEastAsia" w:hAnsiTheme="minorEastAsia" w:eastAsiaTheme="minorEastAsia" w:cstheme="minorEastAsia"/>
          <w:sz w:val="21"/>
          <w:szCs w:val="21"/>
        </w:rPr>
        <w:t>理人</w:t>
      </w:r>
      <w:bookmarkEnd w:id="120"/>
    </w:p>
    <w:p w14:paraId="54C178A0">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4.1监理人的一般规定</w:t>
      </w:r>
    </w:p>
    <w:p w14:paraId="3C49CDA3">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关于监理人的监理内容：</w:t>
      </w:r>
      <w:r>
        <w:rPr>
          <w:rFonts w:hint="eastAsia" w:asciiTheme="minorEastAsia" w:hAnsiTheme="minorEastAsia" w:eastAsiaTheme="minorEastAsia" w:cstheme="minorEastAsia"/>
          <w:b/>
          <w:color w:val="000000"/>
          <w:sz w:val="21"/>
          <w:szCs w:val="21"/>
          <w:u w:val="single"/>
        </w:rPr>
        <w:t>见监理合同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BCC87A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关于监理人的监理权限：</w:t>
      </w:r>
      <w:r>
        <w:rPr>
          <w:rFonts w:hint="eastAsia" w:asciiTheme="minorEastAsia" w:hAnsiTheme="minorEastAsia" w:eastAsiaTheme="minorEastAsia" w:cstheme="minorEastAsia"/>
          <w:b/>
          <w:color w:val="000000"/>
          <w:sz w:val="21"/>
          <w:szCs w:val="21"/>
          <w:u w:val="single"/>
        </w:rPr>
        <w:t>见监理合同</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sz w:val="21"/>
          <w:szCs w:val="21"/>
          <w:u w:val="single"/>
        </w:rPr>
        <w:t>凡涉及工程价款及工期调整的，须经发包人书面确认后方为有效。</w:t>
      </w:r>
      <w:r>
        <w:rPr>
          <w:rFonts w:hint="eastAsia" w:asciiTheme="minorEastAsia" w:hAnsiTheme="minorEastAsia" w:eastAsiaTheme="minorEastAsia" w:cstheme="minorEastAsia"/>
          <w:color w:val="000000"/>
          <w:sz w:val="21"/>
          <w:szCs w:val="21"/>
        </w:rPr>
        <w:t xml:space="preserve"> </w:t>
      </w:r>
    </w:p>
    <w:p w14:paraId="46218D58">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关于监理人在施工现场的办公场所、生活场所的提供和费用承担的约定：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color w:val="000000"/>
          <w:sz w:val="21"/>
          <w:szCs w:val="21"/>
          <w:u w:val="single"/>
        </w:rPr>
        <w:t>由承包人承担。</w:t>
      </w:r>
    </w:p>
    <w:p w14:paraId="084498A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监理人员</w:t>
      </w:r>
    </w:p>
    <w:p w14:paraId="0430C01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总监理工程师：</w:t>
      </w:r>
    </w:p>
    <w:p w14:paraId="38AC4BF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    名：</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14:paraId="27E74429">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    务：</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14:paraId="55F1F5E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监理工程师执业资格证书号：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14:paraId="383C79B1">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14:paraId="6AC4F16A">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关于监理人的其他约定：</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F70D28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32" w:name="_Toc267251418"/>
      <w:bookmarkStart w:id="133" w:name="_Toc351203637"/>
      <w:r>
        <w:rPr>
          <w:rFonts w:hint="eastAsia" w:asciiTheme="minorEastAsia" w:hAnsiTheme="minorEastAsia" w:eastAsiaTheme="minorEastAsia" w:cstheme="minorEastAsia"/>
          <w:sz w:val="21"/>
          <w:szCs w:val="21"/>
        </w:rPr>
        <w:t>5</w:t>
      </w:r>
      <w:bookmarkEnd w:id="132"/>
      <w:bookmarkStart w:id="134" w:name="_Toc297120463"/>
      <w:bookmarkStart w:id="135" w:name="_Toc292559367"/>
      <w:bookmarkStart w:id="136" w:name="_Toc296347162"/>
      <w:bookmarkStart w:id="137" w:name="_Toc296944502"/>
      <w:bookmarkStart w:id="138" w:name="_Toc296890991"/>
      <w:bookmarkStart w:id="139" w:name="_Toc297048349"/>
      <w:bookmarkStart w:id="140" w:name="_Toc296891203"/>
      <w:bookmarkStart w:id="141" w:name="_Toc296503163"/>
      <w:bookmarkStart w:id="142" w:name="_Toc296346664"/>
      <w:bookmarkStart w:id="143" w:name="_Toc292559872"/>
      <w:r>
        <w:rPr>
          <w:rFonts w:hint="eastAsia" w:asciiTheme="minorEastAsia" w:hAnsiTheme="minorEastAsia" w:eastAsiaTheme="minorEastAsia" w:cstheme="minorEastAsia"/>
          <w:sz w:val="21"/>
          <w:szCs w:val="21"/>
        </w:rPr>
        <w:t>. 工程质量</w:t>
      </w:r>
      <w:bookmarkEnd w:id="133"/>
    </w:p>
    <w:p w14:paraId="2E996D8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质量要求</w:t>
      </w:r>
    </w:p>
    <w:p w14:paraId="41CE6893">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bookmarkStart w:id="144" w:name="_Toc297216155"/>
      <w:bookmarkStart w:id="145" w:name="_Toc297123496"/>
      <w:bookmarkStart w:id="146" w:name="_Toc300934949"/>
      <w:bookmarkStart w:id="147" w:name="_Toc312677997"/>
      <w:bookmarkStart w:id="148" w:name="_Toc318581164"/>
      <w:bookmarkStart w:id="149" w:name="_Toc304295527"/>
      <w:bookmarkStart w:id="150" w:name="_Toc303539106"/>
      <w:r>
        <w:rPr>
          <w:rFonts w:hint="eastAsia" w:asciiTheme="minorEastAsia" w:hAnsiTheme="minorEastAsia" w:eastAsiaTheme="minorEastAsia" w:cstheme="minorEastAsia"/>
          <w:sz w:val="21"/>
          <w:szCs w:val="21"/>
        </w:rPr>
        <w:t>.1.1 特殊质量标准和要求：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合格，因承包人原因所承包工程未能达到其所投报质量标准等级视为违约：扣罚合同总金额的2.5%，并由承包人负责采取返工、返修或其他弥补措施，由此引起的工期延误及费用由承包人承担；如果经采取措施加以弥补后仍不能达到质量标准时，扣罚合同总金额的5%，并承担修复所发生的全部费用。</w:t>
      </w:r>
    </w:p>
    <w:p w14:paraId="32AB4B44">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 隐蔽工程检查</w:t>
      </w:r>
    </w:p>
    <w:p w14:paraId="67221FA3">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5.2.1承包人提前通知监理人隐蔽工程检查的期限的约定：</w:t>
      </w:r>
      <w:r>
        <w:rPr>
          <w:rFonts w:hint="eastAsia" w:asciiTheme="minorEastAsia" w:hAnsiTheme="minorEastAsia" w:eastAsiaTheme="minorEastAsia" w:cstheme="minorEastAsia"/>
          <w:b/>
          <w:color w:val="000000"/>
          <w:sz w:val="21"/>
          <w:szCs w:val="21"/>
          <w:u w:val="single"/>
        </w:rPr>
        <w:t>共同检查前48小时书面通知监理人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9258C31">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监理人不能按时进行检查时，应提前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12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小时提交书面延期要求。</w:t>
      </w:r>
    </w:p>
    <w:p w14:paraId="223D86FC">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关于延期最长不得超过：</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24</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小时。</w:t>
      </w:r>
    </w:p>
    <w:p w14:paraId="456F3840">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u w:val="single"/>
        </w:rPr>
        <w:t>未尽事宜按通用条款执行</w:t>
      </w:r>
      <w:r>
        <w:rPr>
          <w:rFonts w:hint="eastAsia" w:asciiTheme="minorEastAsia" w:hAnsiTheme="minorEastAsia" w:eastAsiaTheme="minorEastAsia" w:cstheme="minorEastAsia"/>
          <w:sz w:val="21"/>
          <w:szCs w:val="21"/>
        </w:rPr>
        <w:t>。</w:t>
      </w:r>
    </w:p>
    <w:p w14:paraId="07F8B29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51" w:name="_Toc351203638"/>
      <w:r>
        <w:rPr>
          <w:rFonts w:hint="eastAsia" w:asciiTheme="minorEastAsia" w:hAnsiTheme="minorEastAsia" w:eastAsiaTheme="minorEastAsia" w:cstheme="minorEastAsia"/>
          <w:sz w:val="21"/>
          <w:szCs w:val="21"/>
        </w:rPr>
        <w:t>6. 安全文明施工与环境保护</w:t>
      </w:r>
      <w:bookmarkEnd w:id="151"/>
    </w:p>
    <w:p w14:paraId="4CF08F3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6.1安全文明施工</w:t>
      </w:r>
    </w:p>
    <w:p w14:paraId="18665BA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6.1.1</w:t>
      </w:r>
      <w:r>
        <w:rPr>
          <w:rFonts w:hint="eastAsia" w:asciiTheme="minorEastAsia" w:hAnsiTheme="minorEastAsia" w:eastAsiaTheme="minorEastAsia" w:cstheme="minorEastAsia"/>
          <w:color w:val="000000"/>
          <w:sz w:val="21"/>
          <w:szCs w:val="21"/>
        </w:rPr>
        <w:t xml:space="preserve"> 项目安全生产的达标目标及相应事项的约定：</w:t>
      </w:r>
      <w:r>
        <w:rPr>
          <w:rFonts w:hint="eastAsia" w:asciiTheme="minorEastAsia" w:hAnsiTheme="minorEastAsia" w:eastAsiaTheme="minorEastAsia" w:cstheme="minorEastAsia"/>
          <w:sz w:val="21"/>
          <w:szCs w:val="21"/>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承包方在施工生产过程中违反有关安全操作规程、消防条例，导致发生人员伤亡或火灾事故，承包方应承担由此引发的一切损失和责任。</w:t>
      </w:r>
    </w:p>
    <w:p w14:paraId="0A6E1C0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sz w:val="21"/>
          <w:szCs w:val="21"/>
        </w:rPr>
        <w:t>6.1.2 关于治安保卫的特别约定：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A10E1F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关于编制施工场地治安管理计划的约定：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开工前提供</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458F96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6.1.3 文明施工</w:t>
      </w:r>
    </w:p>
    <w:p w14:paraId="615CE62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合同当事人对文明施工的要求：</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sz w:val="21"/>
          <w:szCs w:val="21"/>
        </w:rPr>
        <w:t>。</w:t>
      </w:r>
      <w:bookmarkEnd w:id="144"/>
      <w:bookmarkEnd w:id="145"/>
      <w:bookmarkEnd w:id="146"/>
      <w:bookmarkEnd w:id="147"/>
      <w:bookmarkEnd w:id="148"/>
      <w:bookmarkEnd w:id="149"/>
      <w:bookmarkEnd w:id="150"/>
    </w:p>
    <w:p w14:paraId="2E0A842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52" w:name="_Toc351203639"/>
      <w:r>
        <w:rPr>
          <w:rFonts w:hint="eastAsia" w:asciiTheme="minorEastAsia" w:hAnsiTheme="minorEastAsia" w:eastAsiaTheme="minorEastAsia" w:cstheme="minorEastAsia"/>
          <w:sz w:val="21"/>
          <w:szCs w:val="21"/>
        </w:rPr>
        <w:t>7. 工期和进度</w:t>
      </w:r>
      <w:bookmarkEnd w:id="152"/>
    </w:p>
    <w:p w14:paraId="7A948860">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施工组织设计</w:t>
      </w:r>
    </w:p>
    <w:p w14:paraId="70D26D14">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 xml:space="preserve">7.1.1 </w:t>
      </w:r>
      <w:r>
        <w:rPr>
          <w:rFonts w:hint="eastAsia" w:asciiTheme="minorEastAsia" w:hAnsiTheme="minorEastAsia" w:eastAsiaTheme="minorEastAsia" w:cstheme="minorEastAsia"/>
          <w:color w:val="000000"/>
          <w:sz w:val="21"/>
          <w:szCs w:val="21"/>
        </w:rPr>
        <w:t>合同当事人约定的施工组织设计应包括的其他内容：</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sz w:val="21"/>
          <w:szCs w:val="21"/>
        </w:rPr>
        <w:t>。</w:t>
      </w:r>
    </w:p>
    <w:p w14:paraId="7204031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7.1.2</w:t>
      </w:r>
      <w:r>
        <w:rPr>
          <w:rFonts w:hint="eastAsia" w:asciiTheme="minorEastAsia" w:hAnsiTheme="minorEastAsia" w:eastAsiaTheme="minorEastAsia" w:cstheme="minorEastAsia"/>
          <w:color w:val="000000"/>
          <w:sz w:val="21"/>
          <w:szCs w:val="21"/>
        </w:rPr>
        <w:t xml:space="preserve"> 施工组织设计的提交和修改</w:t>
      </w:r>
    </w:p>
    <w:p w14:paraId="0577501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承包人提交详细施工组织设计的期限的约定：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开工前7天</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D611A2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发包人和监理人在收到详细的施工组织设计后确认或提出修改意见的期限：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 xml:space="preserve">收到后7天内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E227F0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bookmarkStart w:id="153" w:name="_Toc297123514"/>
      <w:bookmarkStart w:id="154" w:name="_Toc297216173"/>
      <w:bookmarkStart w:id="155" w:name="_Toc304295541"/>
      <w:bookmarkStart w:id="156" w:name="_Toc312677479"/>
      <w:bookmarkStart w:id="157" w:name="_Toc300934966"/>
      <w:bookmarkStart w:id="158" w:name="_Toc312678005"/>
      <w:bookmarkStart w:id="159" w:name="_Toc303539123"/>
      <w:r>
        <w:rPr>
          <w:rFonts w:hint="eastAsia" w:asciiTheme="minorEastAsia" w:hAnsiTheme="minorEastAsia" w:eastAsiaTheme="minorEastAsia" w:cstheme="minorEastAsia"/>
          <w:sz w:val="21"/>
          <w:szCs w:val="21"/>
        </w:rPr>
        <w:t>.2 施工进度计划</w:t>
      </w:r>
    </w:p>
    <w:p w14:paraId="0F6E02F1">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7.2.1 施工进度计划的修订</w:t>
      </w:r>
    </w:p>
    <w:p w14:paraId="792E3153">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发包人和监理人在收到修订的施工进度计划后确认或提出修改意见的期限：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收到后7天内</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840251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 开工</w:t>
      </w:r>
    </w:p>
    <w:p w14:paraId="1FE21B48">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7.3.1 开工准备</w:t>
      </w:r>
    </w:p>
    <w:p w14:paraId="697F477C">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关于承包人提交工程开工报审表的期限：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开工前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C8E6293">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7.3.2开工通知</w:t>
      </w:r>
    </w:p>
    <w:p w14:paraId="0DF75735">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u w:val="single"/>
        </w:rPr>
        <w:t>因发包人原因未能在计划开工日期之日起</w:t>
      </w:r>
      <w:r>
        <w:rPr>
          <w:rFonts w:hint="eastAsia" w:asciiTheme="minorEastAsia" w:hAnsiTheme="minorEastAsia" w:eastAsiaTheme="minorEastAsia" w:cstheme="minorEastAsia"/>
          <w:b/>
          <w:sz w:val="21"/>
          <w:szCs w:val="21"/>
          <w:u w:val="single"/>
        </w:rPr>
        <w:t>180</w:t>
      </w:r>
      <w:r>
        <w:rPr>
          <w:rFonts w:hint="eastAsia" w:asciiTheme="minorEastAsia" w:hAnsiTheme="minorEastAsia" w:eastAsiaTheme="minorEastAsia" w:cstheme="minorEastAsia"/>
          <w:b/>
          <w:color w:val="000000"/>
          <w:sz w:val="21"/>
          <w:szCs w:val="21"/>
          <w:u w:val="single"/>
        </w:rPr>
        <w:t>天内发出开工通知的，承包人有权提出价格调整要求，或者解除合同。</w:t>
      </w:r>
      <w:bookmarkEnd w:id="153"/>
      <w:bookmarkEnd w:id="154"/>
      <w:bookmarkEnd w:id="155"/>
      <w:bookmarkEnd w:id="156"/>
      <w:bookmarkEnd w:id="157"/>
      <w:bookmarkEnd w:id="158"/>
      <w:bookmarkEnd w:id="159"/>
    </w:p>
    <w:p w14:paraId="2F79700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 测量放线</w:t>
      </w:r>
    </w:p>
    <w:p w14:paraId="1D7277A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7.4.1发包人通过监理人向承包人提供测量基准点、基准线和水准点及其书面资料的期限：</w:t>
      </w:r>
      <w:r>
        <w:rPr>
          <w:rFonts w:hint="eastAsia" w:asciiTheme="minorEastAsia" w:hAnsiTheme="minorEastAsia" w:eastAsiaTheme="minorEastAsia" w:cstheme="minorEastAsia"/>
          <w:b/>
          <w:sz w:val="21"/>
          <w:szCs w:val="21"/>
          <w:u w:val="single"/>
        </w:rPr>
        <w:t>开工前7天</w:t>
      </w:r>
      <w:r>
        <w:rPr>
          <w:rFonts w:hint="eastAsia" w:asciiTheme="minorEastAsia" w:hAnsiTheme="minorEastAsia" w:eastAsiaTheme="minorEastAsia" w:cstheme="minorEastAsia"/>
          <w:sz w:val="21"/>
          <w:szCs w:val="21"/>
        </w:rPr>
        <w:t>。</w:t>
      </w:r>
    </w:p>
    <w:p w14:paraId="5E626AF4">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bookmarkStart w:id="160" w:name="_Toc303539125"/>
      <w:bookmarkStart w:id="161" w:name="_Toc297123516"/>
      <w:bookmarkStart w:id="162" w:name="_Toc297216175"/>
      <w:bookmarkStart w:id="163" w:name="_Toc312678010"/>
      <w:bookmarkStart w:id="164" w:name="_Toc300934968"/>
      <w:bookmarkStart w:id="165" w:name="_Toc304295546"/>
      <w:bookmarkStart w:id="166" w:name="_Toc312677484"/>
      <w:r>
        <w:rPr>
          <w:rFonts w:hint="eastAsia" w:asciiTheme="minorEastAsia" w:hAnsiTheme="minorEastAsia" w:eastAsiaTheme="minorEastAsia" w:cstheme="minorEastAsia"/>
          <w:sz w:val="21"/>
          <w:szCs w:val="21"/>
        </w:rPr>
        <w:t>.5 工期延误</w:t>
      </w:r>
      <w:bookmarkEnd w:id="160"/>
      <w:bookmarkEnd w:id="161"/>
      <w:bookmarkEnd w:id="162"/>
      <w:bookmarkEnd w:id="163"/>
      <w:bookmarkEnd w:id="164"/>
      <w:bookmarkEnd w:id="165"/>
      <w:bookmarkEnd w:id="166"/>
    </w:p>
    <w:p w14:paraId="7847CEF7">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7.5.1 因发包人原因导致工期延误</w:t>
      </w:r>
    </w:p>
    <w:p w14:paraId="7AEEE422">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（7）因发包人原因导致工期延误的其他情形：如果发包人的现场交付发生延误，则实际开工日和工期应由发包人代表核准后顺延，但承包人不对这类开工的延误而引起的任何损失或损坏提出费用索赔。  </w:t>
      </w:r>
    </w:p>
    <w:p w14:paraId="3F71F509">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bookmarkStart w:id="167" w:name="_Toc312677486"/>
      <w:bookmarkStart w:id="168" w:name="_Toc297216177"/>
      <w:bookmarkStart w:id="169" w:name="_Toc318581169"/>
      <w:bookmarkStart w:id="170" w:name="_Toc312678012"/>
      <w:bookmarkStart w:id="171" w:name="_Toc297123518"/>
      <w:bookmarkStart w:id="172" w:name="_Toc300934970"/>
      <w:bookmarkStart w:id="173" w:name="_Toc304295548"/>
      <w:bookmarkStart w:id="174" w:name="_Toc303539127"/>
      <w:r>
        <w:rPr>
          <w:rFonts w:hint="eastAsia" w:asciiTheme="minorEastAsia" w:hAnsiTheme="minorEastAsia" w:eastAsiaTheme="minorEastAsia" w:cstheme="minorEastAsia"/>
          <w:sz w:val="21"/>
          <w:szCs w:val="21"/>
        </w:rPr>
        <w:t>.5.2 因承包人原因导致工期延误</w:t>
      </w:r>
      <w:bookmarkEnd w:id="167"/>
      <w:bookmarkEnd w:id="168"/>
      <w:bookmarkEnd w:id="169"/>
      <w:bookmarkEnd w:id="170"/>
      <w:bookmarkEnd w:id="171"/>
      <w:bookmarkEnd w:id="172"/>
      <w:bookmarkEnd w:id="173"/>
      <w:bookmarkEnd w:id="174"/>
    </w:p>
    <w:p w14:paraId="7A1E1F3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如因施工单位自身施工组织问题造成工期延误的，延误时间如超过3天，每延误一天，处罚300元，如因工期延误，造成学校重大影响的，学校有权追究责任。（工程延误处罚款项在审计时直接扣除）7</w:t>
      </w:r>
      <w:bookmarkStart w:id="175" w:name="_Toc297123521"/>
      <w:bookmarkStart w:id="176" w:name="_Toc303539130"/>
      <w:bookmarkStart w:id="177" w:name="_Toc312678017"/>
      <w:bookmarkStart w:id="178" w:name="_Toc300934973"/>
      <w:bookmarkStart w:id="179" w:name="_Toc304295551"/>
      <w:bookmarkStart w:id="180" w:name="_Toc297216180"/>
      <w:r>
        <w:rPr>
          <w:rFonts w:hint="eastAsia" w:asciiTheme="minorEastAsia" w:hAnsiTheme="minorEastAsia" w:eastAsiaTheme="minorEastAsia" w:cstheme="minorEastAsia"/>
          <w:sz w:val="21"/>
          <w:szCs w:val="21"/>
        </w:rPr>
        <w:t>.6异常恶劣的气候条件</w:t>
      </w:r>
      <w:bookmarkEnd w:id="175"/>
      <w:bookmarkEnd w:id="176"/>
      <w:bookmarkEnd w:id="177"/>
      <w:bookmarkEnd w:id="178"/>
      <w:bookmarkEnd w:id="179"/>
      <w:bookmarkEnd w:id="180"/>
    </w:p>
    <w:p w14:paraId="499CCE5B">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发包人和承包人同意以下情形视为异常恶劣的气候条件：</w:t>
      </w:r>
    </w:p>
    <w:p w14:paraId="74CADA7B">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（1）因甲方要求的设计变更或非乙方原因造成停电、停水、停气及不可抗力因素影响，导致停工8小时以上（一周内累计计算），工期相应顺延。       </w:t>
      </w:r>
    </w:p>
    <w:p w14:paraId="7268CA46">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u w:val="single"/>
        </w:rPr>
        <w:t>地震、暴风雪</w:t>
      </w:r>
      <w:r>
        <w:rPr>
          <w:rFonts w:hint="eastAsia" w:asciiTheme="minorEastAsia" w:hAnsiTheme="minorEastAsia" w:eastAsiaTheme="minorEastAsia" w:cstheme="minorEastAsia"/>
          <w:sz w:val="21"/>
          <w:szCs w:val="21"/>
        </w:rPr>
        <w:t>。</w:t>
      </w:r>
    </w:p>
    <w:p w14:paraId="17CC55A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81" w:name="_Toc351203640"/>
      <w:r>
        <w:rPr>
          <w:rFonts w:hint="eastAsia" w:asciiTheme="minorEastAsia" w:hAnsiTheme="minorEastAsia" w:eastAsiaTheme="minorEastAsia" w:cstheme="minorEastAsia"/>
          <w:sz w:val="21"/>
          <w:szCs w:val="21"/>
        </w:rPr>
        <w:t>8. 材料与设备</w:t>
      </w:r>
      <w:bookmarkEnd w:id="181"/>
    </w:p>
    <w:p w14:paraId="7C80E801">
      <w:pPr>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8</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1材料及设备的进场验收：承包人应按投标样品或投标文件和招标文件有关标准要求采购</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工程所需材料设备，并提供产品合格证明，对材料设备质量负责。承包人在采购前和材料设备进场前必须得到发包人和本工程监理工程师的认可，未经认可不得进场。</w:t>
      </w:r>
      <w:bookmarkEnd w:id="134"/>
      <w:bookmarkEnd w:id="135"/>
      <w:bookmarkEnd w:id="136"/>
      <w:bookmarkEnd w:id="137"/>
      <w:bookmarkEnd w:id="138"/>
      <w:bookmarkEnd w:id="139"/>
      <w:bookmarkEnd w:id="140"/>
      <w:bookmarkEnd w:id="141"/>
      <w:bookmarkEnd w:id="142"/>
      <w:bookmarkEnd w:id="143"/>
    </w:p>
    <w:p w14:paraId="08FF49D6">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bookmarkStart w:id="182" w:name="_Toc296347166"/>
      <w:bookmarkStart w:id="183" w:name="_Toc296346668"/>
      <w:bookmarkStart w:id="184" w:name="_Toc303539136"/>
      <w:bookmarkStart w:id="185" w:name="_Toc296891207"/>
      <w:bookmarkStart w:id="186" w:name="_Toc296944506"/>
      <w:bookmarkStart w:id="187" w:name="_Toc296503167"/>
      <w:bookmarkStart w:id="188" w:name="_Toc297123527"/>
      <w:bookmarkStart w:id="189" w:name="_Toc297216186"/>
      <w:bookmarkStart w:id="190" w:name="_Toc297120467"/>
      <w:bookmarkStart w:id="191" w:name="_Toc304295556"/>
      <w:bookmarkStart w:id="192" w:name="_Toc292559877"/>
      <w:bookmarkStart w:id="193" w:name="_Toc300934979"/>
      <w:bookmarkStart w:id="194" w:name="_Toc280868654"/>
      <w:bookmarkStart w:id="195" w:name="_Toc296890995"/>
      <w:bookmarkStart w:id="196" w:name="_Toc312677493"/>
      <w:bookmarkStart w:id="197" w:name="_Toc312678019"/>
      <w:bookmarkStart w:id="198" w:name="_Toc292559372"/>
      <w:bookmarkStart w:id="199" w:name="_Toc297048353"/>
      <w:bookmarkStart w:id="200" w:name="_Toc280868655"/>
      <w:bookmarkStart w:id="201" w:name="_Toc280868656"/>
      <w:bookmarkStart w:id="202" w:name="_Toc267251424"/>
      <w:r>
        <w:rPr>
          <w:rFonts w:hint="eastAsia" w:asciiTheme="minorEastAsia" w:hAnsiTheme="minorEastAsia" w:eastAsiaTheme="minorEastAsia" w:cstheme="minorEastAsia"/>
          <w:sz w:val="21"/>
          <w:szCs w:val="21"/>
        </w:rPr>
        <w:t>.2材料与工程设备的保管与使用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558962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8</w:t>
      </w:r>
      <w:bookmarkStart w:id="203" w:name="_Toc292559373"/>
      <w:bookmarkStart w:id="204" w:name="_Toc292559878"/>
      <w:bookmarkStart w:id="205" w:name="_Toc296346669"/>
      <w:bookmarkStart w:id="206" w:name="_Toc296503168"/>
      <w:bookmarkStart w:id="207" w:name="_Toc318581173"/>
      <w:bookmarkStart w:id="208" w:name="_Toc296891208"/>
      <w:bookmarkStart w:id="209" w:name="_Toc312677494"/>
      <w:bookmarkStart w:id="210" w:name="_Toc304295557"/>
      <w:bookmarkStart w:id="211" w:name="_Toc296890996"/>
      <w:bookmarkStart w:id="212" w:name="_Toc303539137"/>
      <w:bookmarkStart w:id="213" w:name="_Toc297216187"/>
      <w:bookmarkStart w:id="214" w:name="_Toc297048354"/>
      <w:bookmarkStart w:id="215" w:name="_Toc300934980"/>
      <w:bookmarkStart w:id="216" w:name="_Toc296944507"/>
      <w:bookmarkStart w:id="217" w:name="_Toc297123528"/>
      <w:bookmarkStart w:id="218" w:name="_Toc296347167"/>
      <w:bookmarkStart w:id="219" w:name="_Toc312678020"/>
      <w:bookmarkStart w:id="220" w:name="_Toc297120468"/>
      <w:r>
        <w:rPr>
          <w:rFonts w:hint="eastAsia" w:asciiTheme="minorEastAsia" w:hAnsiTheme="minorEastAsia" w:eastAsiaTheme="minorEastAsia" w:cstheme="minorEastAsia"/>
          <w:sz w:val="21"/>
          <w:szCs w:val="21"/>
        </w:rPr>
        <w:t>.2.1发包人供应的材料设备的保管费用的承担：</w:t>
      </w:r>
      <w:r>
        <w:rPr>
          <w:rFonts w:hint="eastAsia" w:asciiTheme="minorEastAsia" w:hAnsiTheme="minorEastAsia" w:eastAsiaTheme="minorEastAsia" w:cstheme="minorEastAsia"/>
          <w:b/>
          <w:sz w:val="21"/>
          <w:szCs w:val="21"/>
          <w:u w:val="single"/>
        </w:rPr>
        <w:t>由承包人承担</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bookmarkEnd w:id="203"/>
      <w:bookmarkEnd w:id="204"/>
    </w:p>
    <w:p w14:paraId="74186A3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 样品</w:t>
      </w:r>
    </w:p>
    <w:p w14:paraId="5C5B3FCC">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8.3.1 样品的报送与封存</w:t>
      </w:r>
    </w:p>
    <w:p w14:paraId="052D54F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需要承包人报送样品的材料或工程设备，样品的种类、名称、规格、数量要求：</w:t>
      </w:r>
      <w:r>
        <w:rPr>
          <w:rFonts w:hint="eastAsia" w:asciiTheme="minorEastAsia" w:hAnsiTheme="minorEastAsia" w:eastAsiaTheme="minorEastAsia" w:cstheme="minorEastAsia"/>
          <w:b/>
          <w:sz w:val="21"/>
          <w:szCs w:val="21"/>
          <w:u w:val="single"/>
        </w:rPr>
        <w:t xml:space="preserve">按管理部门及发包人要求确定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5262F7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 施工设备和临时设施</w:t>
      </w:r>
    </w:p>
    <w:p w14:paraId="4824FCB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8.4.1 承包人提供的施工设备和临时设施</w:t>
      </w:r>
    </w:p>
    <w:p w14:paraId="0039B279">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关于修建临时设施费用承担的约定：</w:t>
      </w:r>
      <w:r>
        <w:rPr>
          <w:rFonts w:hint="eastAsia" w:asciiTheme="minorEastAsia" w:hAnsiTheme="minorEastAsia" w:eastAsiaTheme="minorEastAsia" w:cstheme="minorEastAsia"/>
          <w:b/>
          <w:sz w:val="21"/>
          <w:szCs w:val="21"/>
          <w:u w:val="single"/>
        </w:rPr>
        <w:t>由承包人承担</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E6E827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221" w:name="_Toc351203641"/>
      <w:r>
        <w:rPr>
          <w:rFonts w:hint="eastAsia" w:asciiTheme="minorEastAsia" w:hAnsiTheme="minorEastAsia" w:eastAsiaTheme="minorEastAsia" w:cstheme="minorEastAsia"/>
          <w:sz w:val="21"/>
          <w:szCs w:val="21"/>
        </w:rPr>
        <w:t>9</w:t>
      </w:r>
      <w:bookmarkEnd w:id="200"/>
      <w:bookmarkEnd w:id="201"/>
      <w:bookmarkEnd w:id="202"/>
      <w:bookmarkStart w:id="222" w:name="_Toc297123533"/>
      <w:bookmarkStart w:id="223" w:name="_Toc312678021"/>
      <w:bookmarkStart w:id="224" w:name="_Toc300934982"/>
      <w:bookmarkStart w:id="225" w:name="_Toc297216192"/>
      <w:bookmarkStart w:id="226" w:name="_Toc303539139"/>
      <w:bookmarkStart w:id="227" w:name="_Toc304295559"/>
      <w:bookmarkStart w:id="228" w:name="_Toc312677495"/>
      <w:bookmarkStart w:id="229" w:name="_Toc297120473"/>
      <w:bookmarkStart w:id="230" w:name="_Toc292559883"/>
      <w:bookmarkStart w:id="231" w:name="_Toc296891213"/>
      <w:bookmarkStart w:id="232" w:name="_Toc296944512"/>
      <w:bookmarkStart w:id="233" w:name="_Toc296347172"/>
      <w:bookmarkStart w:id="234" w:name="_Toc296346674"/>
      <w:bookmarkStart w:id="235" w:name="_Toc267251428"/>
      <w:bookmarkStart w:id="236" w:name="_Toc296503173"/>
      <w:bookmarkStart w:id="237" w:name="_Toc267251427"/>
      <w:bookmarkStart w:id="238" w:name="_Toc292559378"/>
      <w:bookmarkStart w:id="239" w:name="_Toc297048359"/>
      <w:bookmarkStart w:id="240" w:name="_Toc296891001"/>
      <w:r>
        <w:rPr>
          <w:rFonts w:hint="eastAsia" w:asciiTheme="minorEastAsia" w:hAnsiTheme="minorEastAsia" w:eastAsiaTheme="minorEastAsia" w:cstheme="minorEastAsia"/>
          <w:sz w:val="21"/>
          <w:szCs w:val="21"/>
        </w:rPr>
        <w:t>. 试验与检验</w:t>
      </w:r>
      <w:bookmarkEnd w:id="221"/>
      <w:bookmarkEnd w:id="222"/>
      <w:bookmarkEnd w:id="223"/>
      <w:bookmarkEnd w:id="224"/>
      <w:bookmarkEnd w:id="225"/>
      <w:bookmarkEnd w:id="226"/>
      <w:bookmarkEnd w:id="227"/>
      <w:bookmarkEnd w:id="228"/>
    </w:p>
    <w:p w14:paraId="567CD983">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bookmarkStart w:id="241" w:name="_Toc312678022"/>
      <w:bookmarkStart w:id="242" w:name="_Toc304295560"/>
      <w:bookmarkStart w:id="243" w:name="_Toc303539140"/>
      <w:bookmarkStart w:id="244" w:name="_Toc312677496"/>
      <w:bookmarkStart w:id="245" w:name="_Toc297123534"/>
      <w:bookmarkStart w:id="246" w:name="_Toc297216193"/>
      <w:bookmarkStart w:id="247" w:name="_Toc300934983"/>
      <w:r>
        <w:rPr>
          <w:rFonts w:hint="eastAsia" w:asciiTheme="minorEastAsia" w:hAnsiTheme="minorEastAsia" w:eastAsiaTheme="minorEastAsia" w:cstheme="minorEastAsia"/>
          <w:sz w:val="21"/>
          <w:szCs w:val="21"/>
        </w:rPr>
        <w:t>.1试验设备与试验人员</w:t>
      </w:r>
      <w:bookmarkEnd w:id="241"/>
      <w:bookmarkEnd w:id="242"/>
      <w:bookmarkEnd w:id="243"/>
      <w:bookmarkEnd w:id="244"/>
      <w:bookmarkEnd w:id="245"/>
      <w:bookmarkEnd w:id="246"/>
      <w:bookmarkEnd w:id="247"/>
    </w:p>
    <w:p w14:paraId="7A13E9A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bookmarkStart w:id="248" w:name="_Toc297123535"/>
      <w:bookmarkStart w:id="249" w:name="_Toc312677497"/>
      <w:bookmarkStart w:id="250" w:name="_Toc300934984"/>
      <w:bookmarkStart w:id="251" w:name="_Toc297216194"/>
      <w:bookmarkStart w:id="252" w:name="_Toc303539141"/>
      <w:bookmarkStart w:id="253" w:name="_Toc312678023"/>
      <w:bookmarkStart w:id="254" w:name="_Toc304295561"/>
      <w:bookmarkStart w:id="255" w:name="_Toc318581174"/>
      <w:r>
        <w:rPr>
          <w:rFonts w:hint="eastAsia" w:asciiTheme="minorEastAsia" w:hAnsiTheme="minorEastAsia" w:eastAsiaTheme="minorEastAsia" w:cstheme="minorEastAsia"/>
          <w:sz w:val="21"/>
          <w:szCs w:val="21"/>
        </w:rPr>
        <w:t>.1.1 试验设备</w:t>
      </w:r>
    </w:p>
    <w:p w14:paraId="0106C4D2">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施工现场需要配置的试验场所：</w:t>
      </w:r>
      <w:bookmarkEnd w:id="248"/>
      <w:bookmarkEnd w:id="249"/>
      <w:bookmarkEnd w:id="250"/>
      <w:bookmarkEnd w:id="251"/>
      <w:bookmarkEnd w:id="252"/>
      <w:bookmarkEnd w:id="253"/>
      <w:bookmarkEnd w:id="254"/>
      <w:bookmarkStart w:id="256" w:name="_Toc312677498"/>
      <w:bookmarkStart w:id="257" w:name="_Toc303539142"/>
      <w:bookmarkStart w:id="258" w:name="_Toc312678024"/>
      <w:bookmarkStart w:id="259" w:name="_Toc297216195"/>
      <w:bookmarkStart w:id="260" w:name="_Toc297123536"/>
      <w:bookmarkStart w:id="261" w:name="_Toc304295562"/>
      <w:bookmarkStart w:id="262" w:name="_Toc300934985"/>
      <w:r>
        <w:rPr>
          <w:rFonts w:hint="eastAsia" w:asciiTheme="minorEastAsia" w:hAnsiTheme="minorEastAsia" w:eastAsiaTheme="minorEastAsia" w:cstheme="minorEastAsia"/>
          <w:b/>
          <w:sz w:val="21"/>
          <w:szCs w:val="21"/>
          <w:u w:val="single"/>
        </w:rPr>
        <w:t>按相关规定执行</w:t>
      </w:r>
      <w:r>
        <w:rPr>
          <w:rFonts w:hint="eastAsia" w:asciiTheme="minorEastAsia" w:hAnsiTheme="minorEastAsia" w:eastAsiaTheme="minorEastAsia" w:cstheme="minorEastAsia"/>
          <w:sz w:val="21"/>
          <w:szCs w:val="21"/>
        </w:rPr>
        <w:t xml:space="preserve">。 </w:t>
      </w:r>
    </w:p>
    <w:p w14:paraId="00FD19FD">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施工现场需要配备的试验设备：</w:t>
      </w:r>
      <w:r>
        <w:rPr>
          <w:rFonts w:hint="eastAsia" w:asciiTheme="minorEastAsia" w:hAnsiTheme="minorEastAsia" w:eastAsiaTheme="minorEastAsia" w:cstheme="minorEastAsia"/>
          <w:b/>
          <w:sz w:val="21"/>
          <w:szCs w:val="21"/>
          <w:u w:val="single"/>
        </w:rPr>
        <w:t>按相关规定执行</w:t>
      </w:r>
      <w:r>
        <w:rPr>
          <w:rFonts w:hint="eastAsia" w:asciiTheme="minorEastAsia" w:hAnsiTheme="minorEastAsia" w:eastAsiaTheme="minorEastAsia" w:cstheme="minorEastAsia"/>
          <w:sz w:val="21"/>
          <w:szCs w:val="21"/>
        </w:rPr>
        <w:t>。</w:t>
      </w:r>
    </w:p>
    <w:p w14:paraId="57A89E74">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施工现场需要具备的其他试验条件：</w:t>
      </w:r>
      <w:r>
        <w:rPr>
          <w:rFonts w:hint="eastAsia" w:asciiTheme="minorEastAsia" w:hAnsiTheme="minorEastAsia" w:eastAsiaTheme="minorEastAsia" w:cstheme="minorEastAsia"/>
          <w:b/>
          <w:sz w:val="21"/>
          <w:szCs w:val="21"/>
          <w:u w:val="single"/>
        </w:rPr>
        <w:t>按相关规定执行</w:t>
      </w:r>
      <w:r>
        <w:rPr>
          <w:rFonts w:hint="eastAsia" w:asciiTheme="minorEastAsia" w:hAnsiTheme="minorEastAsia" w:eastAsiaTheme="minorEastAsia" w:cstheme="minorEastAsia"/>
          <w:sz w:val="21"/>
          <w:szCs w:val="21"/>
        </w:rPr>
        <w:t>。</w:t>
      </w:r>
      <w:bookmarkEnd w:id="255"/>
      <w:bookmarkEnd w:id="256"/>
      <w:bookmarkEnd w:id="257"/>
      <w:bookmarkEnd w:id="258"/>
      <w:bookmarkEnd w:id="259"/>
      <w:bookmarkEnd w:id="260"/>
      <w:bookmarkEnd w:id="261"/>
      <w:bookmarkEnd w:id="262"/>
    </w:p>
    <w:p w14:paraId="2FE81526">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263" w:name="_Toc351203642"/>
      <w:r>
        <w:rPr>
          <w:rFonts w:hint="eastAsia" w:asciiTheme="minorEastAsia" w:hAnsiTheme="minorEastAsia" w:eastAsiaTheme="minorEastAsia" w:cstheme="minorEastAsia"/>
          <w:sz w:val="21"/>
          <w:szCs w:val="21"/>
        </w:rPr>
        <w:t>1</w:t>
      </w:r>
      <w:bookmarkEnd w:id="229"/>
      <w:bookmarkEnd w:id="230"/>
      <w:bookmarkEnd w:id="231"/>
      <w:bookmarkEnd w:id="232"/>
      <w:bookmarkEnd w:id="233"/>
      <w:bookmarkEnd w:id="234"/>
      <w:bookmarkEnd w:id="235"/>
      <w:bookmarkEnd w:id="236"/>
      <w:bookmarkEnd w:id="237"/>
      <w:bookmarkEnd w:id="238"/>
      <w:bookmarkEnd w:id="239"/>
      <w:bookmarkEnd w:id="240"/>
      <w:bookmarkStart w:id="264" w:name="_Toc312678025"/>
      <w:bookmarkStart w:id="265" w:name="_Toc297120493"/>
      <w:bookmarkStart w:id="266" w:name="_Toc292559903"/>
      <w:bookmarkStart w:id="267" w:name="_Toc297048379"/>
      <w:bookmarkStart w:id="268" w:name="_Toc296346694"/>
      <w:bookmarkStart w:id="269" w:name="_Toc304295566"/>
      <w:bookmarkStart w:id="270" w:name="_Toc296891233"/>
      <w:bookmarkStart w:id="271" w:name="_Toc296944532"/>
      <w:bookmarkStart w:id="272" w:name="_Toc303539146"/>
      <w:bookmarkStart w:id="273" w:name="_Toc296347192"/>
      <w:bookmarkStart w:id="274" w:name="_Toc296891021"/>
      <w:bookmarkStart w:id="275" w:name="_Toc312677499"/>
      <w:bookmarkStart w:id="276" w:name="_Toc300934989"/>
      <w:bookmarkStart w:id="277" w:name="_Toc297216199"/>
      <w:bookmarkStart w:id="278" w:name="_Toc292559398"/>
      <w:bookmarkStart w:id="279" w:name="_Toc297123540"/>
      <w:bookmarkStart w:id="280" w:name="_Toc296503193"/>
      <w:bookmarkStart w:id="281" w:name="_Toc267251433"/>
      <w:bookmarkStart w:id="282" w:name="_Toc267251441"/>
      <w:bookmarkStart w:id="283" w:name="_Toc267251439"/>
      <w:bookmarkStart w:id="284" w:name="_Toc267251435"/>
      <w:bookmarkStart w:id="285" w:name="_Toc267251440"/>
      <w:bookmarkStart w:id="286" w:name="_Toc267251437"/>
      <w:bookmarkStart w:id="287" w:name="_Toc267251442"/>
      <w:r>
        <w:rPr>
          <w:rFonts w:hint="eastAsia" w:asciiTheme="minorEastAsia" w:hAnsiTheme="minorEastAsia" w:eastAsiaTheme="minorEastAsia" w:cstheme="minorEastAsia"/>
          <w:sz w:val="21"/>
          <w:szCs w:val="21"/>
        </w:rPr>
        <w:t>0. 变更</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35A2F6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288" w:name="_Toc312677500"/>
      <w:bookmarkStart w:id="289" w:name="_Toc292559399"/>
      <w:bookmarkStart w:id="290" w:name="_Toc297048380"/>
      <w:bookmarkStart w:id="291" w:name="_Toc300934990"/>
      <w:bookmarkStart w:id="292" w:name="_Toc296347193"/>
      <w:bookmarkStart w:id="293" w:name="_Toc296891234"/>
      <w:bookmarkStart w:id="294" w:name="_Toc296944533"/>
      <w:bookmarkStart w:id="295" w:name="_Toc304295567"/>
      <w:bookmarkStart w:id="296" w:name="_Toc297123541"/>
      <w:bookmarkStart w:id="297" w:name="_Toc303539147"/>
      <w:bookmarkStart w:id="298" w:name="_Toc312678026"/>
      <w:bookmarkStart w:id="299" w:name="_Toc296346695"/>
      <w:bookmarkStart w:id="300" w:name="_Toc292559904"/>
      <w:bookmarkStart w:id="301" w:name="_Toc296891022"/>
      <w:bookmarkStart w:id="302" w:name="_Toc296503194"/>
      <w:bookmarkStart w:id="303" w:name="_Toc297120494"/>
      <w:bookmarkStart w:id="304" w:name="_Toc297216200"/>
      <w:r>
        <w:rPr>
          <w:rFonts w:hint="eastAsia" w:asciiTheme="minorEastAsia" w:hAnsiTheme="minorEastAsia" w:eastAsiaTheme="minorEastAsia" w:cstheme="minorEastAsia"/>
          <w:sz w:val="21"/>
          <w:szCs w:val="21"/>
        </w:rPr>
        <w:t>0.1变更的范围</w:t>
      </w:r>
    </w:p>
    <w:p w14:paraId="7CF036C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关于变更的范围的约定：</w:t>
      </w:r>
      <w:r>
        <w:rPr>
          <w:rFonts w:hint="eastAsia" w:asciiTheme="minorEastAsia" w:hAnsiTheme="minorEastAsia" w:eastAsiaTheme="minorEastAsia" w:cstheme="minorEastAsia"/>
          <w:b/>
          <w:color w:val="000000"/>
          <w:sz w:val="21"/>
          <w:szCs w:val="21"/>
          <w:u w:val="single"/>
        </w:rPr>
        <w:t>增加或减少合同中任何工作，或追加额外的工作；改变合同中任何工作的质量标准或其他特性；但变更追加总金额不得超过原合同采购金额的百分之十，合计不得超过项目预算。超过原合同采购金额百分之十的，应重新组织采购活动。</w:t>
      </w:r>
    </w:p>
    <w:p w14:paraId="176B792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 变更估价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40AAE7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10.2.1 变更估价原则</w:t>
      </w:r>
    </w:p>
    <w:p w14:paraId="5C09D73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 xml:space="preserve">关于变更估价的约定: </w:t>
      </w:r>
    </w:p>
    <w:p w14:paraId="577F6E03">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（1）已标价工程量清单中有适用的综合单价，按照已有的中标综合单价确定；</w:t>
      </w:r>
    </w:p>
    <w:p w14:paraId="06112B46">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（2）已标价工程量清单中有类似的综合单价，参照类似的中标综合单价确定；</w:t>
      </w:r>
    </w:p>
    <w:p w14:paraId="3BFB6558">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sz w:val="21"/>
          <w:szCs w:val="21"/>
          <w:u w:val="single"/>
        </w:rPr>
        <w:t>（3）已标价工程量清单中没有适用或类似的综合单价，由承包人提出综合单价，综合单价不高于招标时采用的江苏省定额和施工期的盐城市造价管理部门发布的材料价格信息及省、市有关造价管理规定计算并进行优惠，经发包人审核后确定变更综合单价，变更优惠率为：〔1-（中标价-暂列金额-暂估价）/（招标控制价-暂列金额-暂估价）〕×100%，其中按双方认可的市场价格计入的材料、设备等价格，该材料、设备不再优惠。</w:t>
      </w:r>
    </w:p>
    <w:p w14:paraId="062E5EC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305" w:name="_Toc296346700"/>
      <w:bookmarkStart w:id="306" w:name="_Toc297120499"/>
      <w:bookmarkStart w:id="307" w:name="_Toc296347198"/>
      <w:bookmarkStart w:id="308" w:name="_Toc292559909"/>
      <w:bookmarkStart w:id="309" w:name="_Toc296503199"/>
      <w:bookmarkStart w:id="310" w:name="_Toc312677507"/>
      <w:bookmarkStart w:id="311" w:name="_Toc296944538"/>
      <w:bookmarkStart w:id="312" w:name="_Toc297048385"/>
      <w:bookmarkStart w:id="313" w:name="_Toc297216207"/>
      <w:bookmarkStart w:id="314" w:name="_Toc292559404"/>
      <w:bookmarkStart w:id="315" w:name="_Toc296891027"/>
      <w:bookmarkStart w:id="316" w:name="_Toc304295574"/>
      <w:bookmarkStart w:id="317" w:name="_Toc303539154"/>
      <w:bookmarkStart w:id="318" w:name="_Toc300934997"/>
      <w:bookmarkStart w:id="319" w:name="_Toc296891239"/>
      <w:bookmarkStart w:id="320" w:name="_Toc312678033"/>
      <w:bookmarkStart w:id="321" w:name="_Toc297123548"/>
      <w:r>
        <w:rPr>
          <w:rFonts w:hint="eastAsia" w:asciiTheme="minorEastAsia" w:hAnsiTheme="minorEastAsia" w:eastAsiaTheme="minorEastAsia" w:cstheme="minorEastAsia"/>
          <w:sz w:val="21"/>
          <w:szCs w:val="21"/>
        </w:rPr>
        <w:t>0.3暂估价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048E108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暂</w:t>
      </w:r>
      <w:bookmarkStart w:id="322" w:name="_Toc318581176"/>
      <w:bookmarkStart w:id="323" w:name="_Toc312678034"/>
      <w:bookmarkStart w:id="324" w:name="_Toc312677508"/>
      <w:r>
        <w:rPr>
          <w:rFonts w:hint="eastAsia" w:asciiTheme="minorEastAsia" w:hAnsiTheme="minorEastAsia" w:eastAsiaTheme="minorEastAsia" w:cstheme="minorEastAsia"/>
          <w:sz w:val="21"/>
          <w:szCs w:val="21"/>
        </w:rPr>
        <w:t>估价材料和工程设备的明细详见附件：《</w:t>
      </w:r>
      <w:r>
        <w:rPr>
          <w:rFonts w:hint="eastAsia" w:asciiTheme="minorEastAsia" w:hAnsiTheme="minorEastAsia" w:eastAsiaTheme="minorEastAsia" w:cstheme="minorEastAsia"/>
          <w:color w:val="000000"/>
          <w:sz w:val="21"/>
          <w:szCs w:val="21"/>
        </w:rPr>
        <w:t>暂估价一览表》</w:t>
      </w:r>
      <w:r>
        <w:rPr>
          <w:rFonts w:hint="eastAsia" w:asciiTheme="minorEastAsia" w:hAnsiTheme="minorEastAsia" w:eastAsiaTheme="minorEastAsia" w:cstheme="minorEastAsia"/>
          <w:sz w:val="21"/>
          <w:szCs w:val="21"/>
        </w:rPr>
        <w:t>。</w:t>
      </w:r>
      <w:bookmarkEnd w:id="322"/>
      <w:bookmarkEnd w:id="323"/>
      <w:bookmarkEnd w:id="324"/>
    </w:p>
    <w:p w14:paraId="603A1F29">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325" w:name="_Toc312677509"/>
      <w:bookmarkStart w:id="326" w:name="_Toc318581177"/>
      <w:bookmarkStart w:id="327" w:name="_Toc312678035"/>
      <w:r>
        <w:rPr>
          <w:rFonts w:hint="eastAsia" w:asciiTheme="minorEastAsia" w:hAnsiTheme="minorEastAsia" w:eastAsiaTheme="minorEastAsia" w:cstheme="minorEastAsia"/>
          <w:sz w:val="21"/>
          <w:szCs w:val="21"/>
        </w:rPr>
        <w:t>0.3.1暂估价项目</w:t>
      </w:r>
      <w:bookmarkEnd w:id="325"/>
      <w:bookmarkEnd w:id="326"/>
      <w:bookmarkEnd w:id="327"/>
    </w:p>
    <w:p w14:paraId="202F88A4">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由发包人和承包人以招标或询价方式共同确定暂估价供应商或分包人的，承包人应按照施工进度计划，在采购工作启动前14天通知发包人，并提交暂估价采购方案和工作分工。确定暂估价中标成交人后，由发包人、承包人与中标成交人共同签订暂估价合同。暂估价价差在项目决算时进行税前调整；如果有分包施工项目时，决算时应追加承包人暂估价项目2%的总承包管理费。</w:t>
      </w:r>
    </w:p>
    <w:p w14:paraId="0DA2E38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 xml:space="preserve">10.3.2 </w:t>
      </w:r>
      <w:r>
        <w:rPr>
          <w:rFonts w:hint="eastAsia" w:asciiTheme="minorEastAsia" w:hAnsiTheme="minorEastAsia" w:eastAsiaTheme="minorEastAsia" w:cstheme="minorEastAsia"/>
          <w:color w:val="000000"/>
          <w:sz w:val="21"/>
          <w:szCs w:val="21"/>
        </w:rPr>
        <w:t>暂列金额</w:t>
      </w:r>
    </w:p>
    <w:p w14:paraId="22903068">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暂列金额应按照发包人的要求使用，发包人的要求应通过监理人发出。</w:t>
      </w:r>
    </w:p>
    <w:p w14:paraId="212BFB72">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328" w:name="_Toc351203643"/>
      <w:r>
        <w:rPr>
          <w:rFonts w:hint="eastAsia" w:asciiTheme="minorEastAsia" w:hAnsiTheme="minorEastAsia" w:eastAsiaTheme="minorEastAsia" w:cstheme="minorEastAsia"/>
          <w:sz w:val="21"/>
          <w:szCs w:val="21"/>
        </w:rPr>
        <w:t>11. 价格调整</w:t>
      </w:r>
      <w:bookmarkEnd w:id="328"/>
    </w:p>
    <w:p w14:paraId="53291AB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329" w:name="_Toc297048387"/>
      <w:bookmarkStart w:id="330" w:name="_Toc292559406"/>
      <w:bookmarkStart w:id="331" w:name="_Toc297216209"/>
      <w:bookmarkStart w:id="332" w:name="_Toc296347200"/>
      <w:bookmarkStart w:id="333" w:name="_Toc300935000"/>
      <w:bookmarkStart w:id="334" w:name="_Toc312678039"/>
      <w:bookmarkStart w:id="335" w:name="_Toc296503201"/>
      <w:bookmarkStart w:id="336" w:name="_Toc297123550"/>
      <w:bookmarkStart w:id="337" w:name="_Toc292559911"/>
      <w:bookmarkStart w:id="338" w:name="_Toc296944540"/>
      <w:bookmarkStart w:id="339" w:name="_Toc303539157"/>
      <w:bookmarkStart w:id="340" w:name="_Toc297120501"/>
      <w:bookmarkStart w:id="341" w:name="_Toc296346702"/>
      <w:bookmarkStart w:id="342" w:name="_Toc296891241"/>
      <w:bookmarkStart w:id="343" w:name="_Toc304295577"/>
      <w:bookmarkStart w:id="344" w:name="_Toc296891029"/>
      <w:r>
        <w:rPr>
          <w:rFonts w:hint="eastAsia" w:asciiTheme="minorEastAsia" w:hAnsiTheme="minorEastAsia" w:eastAsiaTheme="minorEastAsia" w:cstheme="minorEastAsia"/>
          <w:sz w:val="21"/>
          <w:szCs w:val="21"/>
        </w:rPr>
        <w:t>11.1 市场价格波动引起的调整</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F709BD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市场价格波动是否调整合同价格的约定：</w:t>
      </w:r>
      <w:r>
        <w:rPr>
          <w:rFonts w:hint="eastAsia" w:asciiTheme="minorEastAsia" w:hAnsiTheme="minorEastAsia" w:eastAsiaTheme="minorEastAsia" w:cstheme="minorEastAsia"/>
          <w:b/>
          <w:sz w:val="21"/>
          <w:szCs w:val="21"/>
          <w:u w:val="single"/>
        </w:rPr>
        <w:t>不调整</w:t>
      </w:r>
      <w:r>
        <w:rPr>
          <w:rFonts w:hint="eastAsia" w:asciiTheme="minorEastAsia" w:hAnsiTheme="minorEastAsia" w:eastAsiaTheme="minorEastAsia" w:cstheme="minorEastAsia"/>
          <w:sz w:val="21"/>
          <w:szCs w:val="21"/>
        </w:rPr>
        <w:t>。</w:t>
      </w:r>
      <w:bookmarkEnd w:id="281"/>
      <w:bookmarkEnd w:id="282"/>
      <w:bookmarkEnd w:id="283"/>
      <w:bookmarkEnd w:id="284"/>
      <w:bookmarkEnd w:id="285"/>
      <w:bookmarkEnd w:id="286"/>
    </w:p>
    <w:p w14:paraId="23528AC0">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345" w:name="_Toc292559915"/>
      <w:bookmarkStart w:id="346" w:name="_Toc296347204"/>
      <w:bookmarkStart w:id="347" w:name="_Toc296891245"/>
      <w:bookmarkStart w:id="348" w:name="_Toc296503205"/>
      <w:bookmarkStart w:id="349" w:name="_Toc296891033"/>
      <w:bookmarkStart w:id="350" w:name="_Toc296944544"/>
      <w:bookmarkStart w:id="351" w:name="_Toc297048391"/>
      <w:bookmarkStart w:id="352" w:name="_Toc292559410"/>
      <w:bookmarkStart w:id="353" w:name="_Toc296346706"/>
      <w:bookmarkStart w:id="354" w:name="_Toc297120505"/>
      <w:bookmarkStart w:id="355" w:name="_Toc297123552"/>
      <w:bookmarkStart w:id="356" w:name="_Toc304295579"/>
      <w:bookmarkStart w:id="357" w:name="_Toc351203644"/>
      <w:bookmarkStart w:id="358" w:name="_Toc303539159"/>
      <w:bookmarkStart w:id="359" w:name="_Toc312678040"/>
      <w:bookmarkStart w:id="360" w:name="_Toc300935002"/>
      <w:bookmarkStart w:id="361" w:name="_Toc297216211"/>
      <w:r>
        <w:rPr>
          <w:rFonts w:hint="eastAsia" w:asciiTheme="minorEastAsia" w:hAnsiTheme="minorEastAsia" w:eastAsiaTheme="minorEastAsia" w:cstheme="minorEastAsia"/>
          <w:sz w:val="21"/>
          <w:szCs w:val="21"/>
        </w:rPr>
        <w:t xml:space="preserve">12. </w:t>
      </w:r>
      <w:bookmarkEnd w:id="345"/>
      <w:bookmarkEnd w:id="346"/>
      <w:bookmarkEnd w:id="347"/>
      <w:bookmarkEnd w:id="348"/>
      <w:bookmarkEnd w:id="349"/>
      <w:bookmarkEnd w:id="350"/>
      <w:bookmarkEnd w:id="351"/>
      <w:bookmarkEnd w:id="352"/>
      <w:bookmarkEnd w:id="353"/>
      <w:bookmarkEnd w:id="354"/>
      <w:r>
        <w:rPr>
          <w:rFonts w:hint="eastAsia" w:asciiTheme="minorEastAsia" w:hAnsiTheme="minorEastAsia" w:eastAsiaTheme="minorEastAsia" w:cstheme="minorEastAsia"/>
          <w:sz w:val="21"/>
          <w:szCs w:val="21"/>
        </w:rPr>
        <w:t>合同价格、计量与支付</w:t>
      </w:r>
      <w:bookmarkEnd w:id="355"/>
      <w:bookmarkEnd w:id="356"/>
      <w:bookmarkEnd w:id="357"/>
      <w:bookmarkEnd w:id="358"/>
      <w:bookmarkEnd w:id="359"/>
      <w:bookmarkEnd w:id="360"/>
      <w:bookmarkEnd w:id="361"/>
    </w:p>
    <w:p w14:paraId="63A34E57">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bookmarkStart w:id="362" w:name="_Toc292559411"/>
      <w:bookmarkStart w:id="363" w:name="_Toc292559916"/>
      <w:bookmarkStart w:id="364" w:name="_Toc267251461"/>
      <w:bookmarkStart w:id="365" w:name="_Toc297048392"/>
      <w:bookmarkStart w:id="366" w:name="_Toc296346707"/>
      <w:bookmarkStart w:id="367" w:name="_Toc296944545"/>
      <w:bookmarkStart w:id="368" w:name="_Toc296891246"/>
      <w:bookmarkStart w:id="369" w:name="_Toc297120506"/>
      <w:bookmarkStart w:id="370" w:name="_Toc296503206"/>
      <w:bookmarkStart w:id="371" w:name="_Toc296891034"/>
      <w:bookmarkStart w:id="372" w:name="_Toc296347205"/>
      <w:bookmarkStart w:id="373" w:name="_Toc303539160"/>
      <w:bookmarkStart w:id="374" w:name="_Toc300935003"/>
      <w:bookmarkStart w:id="375" w:name="_Toc297216212"/>
      <w:bookmarkStart w:id="376" w:name="_Toc297123553"/>
      <w:bookmarkStart w:id="377" w:name="_Toc312678041"/>
      <w:bookmarkStart w:id="378" w:name="_Toc304295580"/>
      <w:r>
        <w:rPr>
          <w:rFonts w:hint="eastAsia" w:asciiTheme="minorEastAsia" w:hAnsiTheme="minorEastAsia" w:eastAsiaTheme="minorEastAsia" w:cstheme="minorEastAsia"/>
          <w:sz w:val="21"/>
          <w:szCs w:val="21"/>
        </w:rPr>
        <w:t>12.1 合</w:t>
      </w:r>
      <w:bookmarkEnd w:id="362"/>
      <w:bookmarkEnd w:id="363"/>
      <w:bookmarkEnd w:id="364"/>
      <w:r>
        <w:rPr>
          <w:rFonts w:hint="eastAsia" w:asciiTheme="minorEastAsia" w:hAnsiTheme="minorEastAsia" w:eastAsiaTheme="minorEastAsia" w:cstheme="minorEastAsia"/>
          <w:sz w:val="21"/>
          <w:szCs w:val="21"/>
        </w:rPr>
        <w:t>同价</w:t>
      </w:r>
      <w:bookmarkEnd w:id="365"/>
      <w:bookmarkEnd w:id="366"/>
      <w:bookmarkEnd w:id="367"/>
      <w:bookmarkEnd w:id="368"/>
      <w:bookmarkEnd w:id="369"/>
      <w:bookmarkEnd w:id="370"/>
      <w:bookmarkEnd w:id="371"/>
      <w:bookmarkEnd w:id="372"/>
      <w:r>
        <w:rPr>
          <w:rFonts w:hint="eastAsia" w:asciiTheme="minorEastAsia" w:hAnsiTheme="minorEastAsia" w:eastAsiaTheme="minorEastAsia" w:cstheme="minorEastAsia"/>
          <w:sz w:val="21"/>
          <w:szCs w:val="21"/>
        </w:rPr>
        <w:t xml:space="preserve">格形式: </w:t>
      </w:r>
      <w:r>
        <w:rPr>
          <w:rFonts w:hint="eastAsia" w:asciiTheme="minorEastAsia" w:hAnsiTheme="minorEastAsia" w:eastAsiaTheme="minorEastAsia" w:cstheme="minorEastAsia"/>
          <w:b/>
          <w:sz w:val="21"/>
          <w:szCs w:val="21"/>
          <w:u w:val="single"/>
        </w:rPr>
        <w:t>限定总价审计结算。</w:t>
      </w:r>
      <w:bookmarkEnd w:id="373"/>
      <w:bookmarkEnd w:id="374"/>
      <w:bookmarkEnd w:id="375"/>
      <w:bookmarkEnd w:id="376"/>
      <w:bookmarkEnd w:id="377"/>
      <w:bookmarkEnd w:id="378"/>
    </w:p>
    <w:p w14:paraId="5E3C127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计量</w:t>
      </w:r>
    </w:p>
    <w:p w14:paraId="5A8446D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12.2.1 计量原则</w:t>
      </w:r>
    </w:p>
    <w:p w14:paraId="31EB84A6">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工程量计算规则：</w:t>
      </w:r>
      <w:r>
        <w:rPr>
          <w:rFonts w:hint="eastAsia" w:asciiTheme="minorEastAsia" w:hAnsiTheme="minorEastAsia" w:eastAsiaTheme="minorEastAsia" w:cstheme="minorEastAsia"/>
          <w:b/>
          <w:color w:val="000000"/>
          <w:sz w:val="21"/>
          <w:szCs w:val="21"/>
          <w:u w:val="single"/>
        </w:rPr>
        <w:t>工程量计算规则执行国家标准《建设工程工程量清单计价规范》(GB50500—2013)或其适用的修订版本。</w:t>
      </w:r>
    </w:p>
    <w:p w14:paraId="676BFECA">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12.2.2 计量周期</w:t>
      </w:r>
    </w:p>
    <w:p w14:paraId="3A8744E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关于计量周期的约定：</w:t>
      </w:r>
      <w:r>
        <w:rPr>
          <w:rFonts w:hint="eastAsia" w:asciiTheme="minorEastAsia" w:hAnsiTheme="minorEastAsia" w:eastAsiaTheme="minorEastAsia" w:cstheme="minorEastAsia"/>
          <w:b/>
          <w:color w:val="000000"/>
          <w:sz w:val="21"/>
          <w:szCs w:val="21"/>
          <w:u w:val="single"/>
        </w:rPr>
        <w:t>按形象进度计量。</w:t>
      </w:r>
    </w:p>
    <w:p w14:paraId="4CD9C7F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 工程进度款支付</w:t>
      </w:r>
    </w:p>
    <w:p w14:paraId="48003FF2">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12.3.1 项目验收合格后无质量问题支付合同价的60%款项；审计合格后付至审计价的80%，一年后无质量问题付至审计价的90%，二年后无质量问题付至审计价的95%，余款待质保结束后无质量问题一次性无息付清。</w:t>
      </w:r>
    </w:p>
    <w:p w14:paraId="4011A57F">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12.3.2支</w:t>
      </w:r>
      <w:r>
        <w:rPr>
          <w:rFonts w:hint="eastAsia" w:asciiTheme="minorEastAsia" w:hAnsiTheme="minorEastAsia" w:eastAsiaTheme="minorEastAsia" w:cstheme="minorEastAsia"/>
          <w:sz w:val="21"/>
          <w:szCs w:val="21"/>
        </w:rPr>
        <w:t>付条件：承包人向发包人提供支付申请书及相关资料，经发包人确认后，予</w:t>
      </w:r>
      <w:r>
        <w:rPr>
          <w:rFonts w:hint="eastAsia" w:asciiTheme="minorEastAsia" w:hAnsiTheme="minorEastAsia" w:eastAsiaTheme="minorEastAsia" w:cstheme="minorEastAsia"/>
          <w:color w:val="000000"/>
          <w:sz w:val="21"/>
          <w:szCs w:val="21"/>
        </w:rPr>
        <w:t>以支付。承包人须提供完整合法的发票和有效的支付手续，否则不予支付。</w:t>
      </w:r>
    </w:p>
    <w:p w14:paraId="2BDF9F27">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12.3.3双方约定所有工程款项支付均由发包人以银行转账方式划入承包人账户。</w:t>
      </w:r>
    </w:p>
    <w:p w14:paraId="750D520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12.3.4工程款支付时应预留审定价款的</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%作为质量保证金，工程缺陷责任期满后，无质量问题再行支付给承包人。</w:t>
      </w:r>
      <w:bookmarkEnd w:id="287"/>
    </w:p>
    <w:p w14:paraId="7C24887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379" w:name="_Toc296891047"/>
      <w:bookmarkStart w:id="380" w:name="_Toc292559929"/>
      <w:bookmarkStart w:id="381" w:name="_Toc296944558"/>
      <w:bookmarkStart w:id="382" w:name="_Toc297048405"/>
      <w:bookmarkStart w:id="383" w:name="_Toc351203645"/>
      <w:bookmarkStart w:id="384" w:name="_Toc303539172"/>
      <w:bookmarkStart w:id="385" w:name="_Toc304295593"/>
      <w:bookmarkStart w:id="386" w:name="_Toc297120519"/>
      <w:bookmarkStart w:id="387" w:name="_Toc312678053"/>
      <w:bookmarkStart w:id="388" w:name="_Toc297123564"/>
      <w:bookmarkStart w:id="389" w:name="_Toc296891259"/>
      <w:bookmarkStart w:id="390" w:name="_Toc296347218"/>
      <w:bookmarkStart w:id="391" w:name="_Toc296346720"/>
      <w:bookmarkStart w:id="392" w:name="_Toc292559424"/>
      <w:bookmarkStart w:id="393" w:name="_Toc297216223"/>
      <w:bookmarkStart w:id="394" w:name="_Toc300935015"/>
      <w:bookmarkStart w:id="395" w:name="_Toc296503219"/>
      <w:r>
        <w:rPr>
          <w:rFonts w:hint="eastAsia" w:asciiTheme="minorEastAsia" w:hAnsiTheme="minorEastAsia" w:eastAsiaTheme="minorEastAsia" w:cstheme="minorEastAsia"/>
          <w:sz w:val="21"/>
          <w:szCs w:val="21"/>
        </w:rPr>
        <w:t>13. 验收和工程试车</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4772AC76">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 分部分项工程验收</w:t>
      </w:r>
    </w:p>
    <w:p w14:paraId="0376ABD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13.1.1监理人不能按时进行验收时，应提前</w:t>
      </w:r>
      <w:r>
        <w:rPr>
          <w:rFonts w:hint="eastAsia" w:asciiTheme="minorEastAsia" w:hAnsiTheme="minorEastAsia" w:eastAsiaTheme="minorEastAsia" w:cstheme="minorEastAsia"/>
          <w:b/>
          <w:sz w:val="21"/>
          <w:szCs w:val="21"/>
          <w:u w:val="single"/>
        </w:rPr>
        <w:t>24</w:t>
      </w:r>
      <w:r>
        <w:rPr>
          <w:rFonts w:hint="eastAsia" w:asciiTheme="minorEastAsia" w:hAnsiTheme="minorEastAsia" w:eastAsiaTheme="minorEastAsia" w:cstheme="minorEastAsia"/>
          <w:sz w:val="21"/>
          <w:szCs w:val="21"/>
        </w:rPr>
        <w:t>小时提交书面延期要求。</w:t>
      </w:r>
    </w:p>
    <w:p w14:paraId="3CC34886">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sz w:val="21"/>
          <w:szCs w:val="21"/>
        </w:rPr>
        <w:t>关于延期最长不得超过：</w:t>
      </w:r>
      <w:r>
        <w:rPr>
          <w:rFonts w:hint="eastAsia" w:asciiTheme="minorEastAsia" w:hAnsiTheme="minorEastAsia" w:eastAsiaTheme="minorEastAsia" w:cstheme="minorEastAsia"/>
          <w:b/>
          <w:sz w:val="21"/>
          <w:szCs w:val="21"/>
          <w:u w:val="single"/>
        </w:rPr>
        <w:t>48</w:t>
      </w:r>
      <w:r>
        <w:rPr>
          <w:rFonts w:hint="eastAsia" w:asciiTheme="minorEastAsia" w:hAnsiTheme="minorEastAsia" w:eastAsiaTheme="minorEastAsia" w:cstheme="minorEastAsia"/>
          <w:sz w:val="21"/>
          <w:szCs w:val="21"/>
        </w:rPr>
        <w:t>小时。</w:t>
      </w:r>
    </w:p>
    <w:p w14:paraId="776C97F7">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396" w:name="_Toc297120523"/>
      <w:bookmarkStart w:id="397" w:name="_Toc296944562"/>
      <w:bookmarkStart w:id="398" w:name="_Toc296346724"/>
      <w:bookmarkStart w:id="399" w:name="_Toc292559428"/>
      <w:bookmarkStart w:id="400" w:name="_Toc296891051"/>
      <w:bookmarkStart w:id="401" w:name="_Toc304295596"/>
      <w:bookmarkStart w:id="402" w:name="_Toc296891263"/>
      <w:bookmarkStart w:id="403" w:name="_Toc297123565"/>
      <w:bookmarkStart w:id="404" w:name="_Toc296347222"/>
      <w:bookmarkStart w:id="405" w:name="_Toc297216224"/>
      <w:bookmarkStart w:id="406" w:name="_Toc312678056"/>
      <w:bookmarkStart w:id="407" w:name="_Toc303539173"/>
      <w:bookmarkStart w:id="408" w:name="_Toc300935016"/>
      <w:bookmarkStart w:id="409" w:name="_Toc297048409"/>
      <w:bookmarkStart w:id="410" w:name="_Toc292559933"/>
      <w:bookmarkStart w:id="411" w:name="_Toc296503223"/>
      <w:bookmarkStart w:id="412" w:name="_Toc267251476"/>
      <w:bookmarkStart w:id="413" w:name="_Toc267251475"/>
      <w:bookmarkStart w:id="414" w:name="_Toc267251471"/>
      <w:bookmarkStart w:id="415" w:name="_Toc267251473"/>
      <w:bookmarkStart w:id="416" w:name="_Toc267251472"/>
      <w:bookmarkStart w:id="417" w:name="_Toc267251474"/>
      <w:bookmarkStart w:id="418" w:name="_Toc267251470"/>
      <w:r>
        <w:rPr>
          <w:rFonts w:hint="eastAsia" w:asciiTheme="minorEastAsia" w:hAnsiTheme="minorEastAsia" w:eastAsiaTheme="minorEastAsia" w:cstheme="minorEastAsia"/>
          <w:sz w:val="21"/>
          <w:szCs w:val="21"/>
        </w:rPr>
        <w:t>13.2 竣工验收</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7254CB0">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bookmarkStart w:id="419" w:name="_Toc280868706"/>
      <w:bookmarkStart w:id="420" w:name="_Toc280868708"/>
      <w:bookmarkStart w:id="421" w:name="_Toc280868707"/>
      <w:bookmarkStart w:id="422" w:name="_Toc280868709"/>
      <w:r>
        <w:rPr>
          <w:rFonts w:hint="eastAsia" w:asciiTheme="minorEastAsia" w:hAnsiTheme="minorEastAsia" w:eastAsiaTheme="minorEastAsia" w:cstheme="minorEastAsia"/>
          <w:b/>
          <w:sz w:val="21"/>
          <w:szCs w:val="21"/>
          <w:u w:val="single"/>
        </w:rPr>
        <w:t>由项目单位主管领导组织初验。大型、复杂或者技术性很强的政府采购项目，应当首先邀请国家认可的质量检测机构验收合格。国家规定强制性检测的采购项目，项目单位必须委托国家认可专业检测机构进行验收合格。初验合格后，向国资处提供竣工验收资料（初验合格报告、采购文件及附件、投标文件及附件、政府采购合同、竣工图纸、施工单位工程竣工报告、监理单位工程竣工质量评价报告、工程质量控制资料记录等），由学校牵头，验收工作组成员不少于5人。验收合格后，要按照本合同约定的支付方式，提交支付申请、验收报告等资料，办理资金支付手续。</w:t>
      </w:r>
    </w:p>
    <w:p w14:paraId="65E187B9">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项目施工过程中的主要材料检测及竣工后环境质量检测等检测服务费用由施工单位承担（检测项目由校方核定，数量参照国家有关标准）。</w:t>
      </w:r>
      <w:bookmarkEnd w:id="419"/>
      <w:bookmarkEnd w:id="420"/>
      <w:bookmarkEnd w:id="421"/>
    </w:p>
    <w:p w14:paraId="78A68CF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23" w:name="_Toc351203646"/>
      <w:r>
        <w:rPr>
          <w:rFonts w:hint="eastAsia" w:asciiTheme="minorEastAsia" w:hAnsiTheme="minorEastAsia" w:eastAsiaTheme="minorEastAsia" w:cstheme="minorEastAsia"/>
          <w:sz w:val="21"/>
          <w:szCs w:val="21"/>
        </w:rPr>
        <w:t>14. 竣工结算</w:t>
      </w:r>
      <w:bookmarkEnd w:id="423"/>
    </w:p>
    <w:p w14:paraId="495297B2">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14.1本工程采用限定总价审计结算方法，按合同以中标单价和实际工作量计算总价，经审计后确认合同审计总价，但合同审计总价不得高于中标总价（不包含签证变更部分）。</w:t>
      </w:r>
    </w:p>
    <w:p w14:paraId="25CBF947">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14.2工程结算方式：</w:t>
      </w:r>
    </w:p>
    <w:p w14:paraId="096F4534">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14.2.1本工程采用限定总价审计结算方法，按合同以中标单价和实际工作量计算总价，经审计后确认合同审计总价，但合同审计总价不得高于中标总价（不包含签证变更部分）。</w:t>
      </w:r>
    </w:p>
    <w:p w14:paraId="339AA563">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14.2.2结算总价=合同审计总价+签证变更的审计总价。</w:t>
      </w:r>
    </w:p>
    <w:p w14:paraId="194FEC2A">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14.2.3工程竣工验收合格后乙方应提交工程结算资料，要求资料齐全，计算准确，若本工程审计核减率(含复审)达10%(含10%)以上的，全部审计费用由施工单位承担；若核减率在5%-10%之间的，其审计费用由施工单位和建设单位各承担50%；若核减率(含复审)为5%及其以下的审计费用，由学校承担。</w:t>
      </w:r>
    </w:p>
    <w:p w14:paraId="53245F6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14.2.4</w:t>
      </w:r>
      <w:r>
        <w:rPr>
          <w:rFonts w:hint="eastAsia" w:asciiTheme="minorEastAsia" w:hAnsiTheme="minorEastAsia" w:eastAsiaTheme="minorEastAsia" w:cstheme="minorEastAsia"/>
          <w:sz w:val="21"/>
          <w:szCs w:val="21"/>
          <w:lang w:val="zh-CN"/>
        </w:rPr>
        <w:t>工程竣工验收</w:t>
      </w:r>
      <w:r>
        <w:rPr>
          <w:rFonts w:hint="eastAsia" w:asciiTheme="minorEastAsia" w:hAnsiTheme="minorEastAsia" w:eastAsiaTheme="minorEastAsia" w:cstheme="minorEastAsia"/>
          <w:sz w:val="21"/>
          <w:szCs w:val="21"/>
        </w:rPr>
        <w:t>合格</w:t>
      </w:r>
      <w:r>
        <w:rPr>
          <w:rFonts w:hint="eastAsia" w:asciiTheme="minorEastAsia" w:hAnsiTheme="minorEastAsia" w:eastAsiaTheme="minorEastAsia" w:cstheme="minorEastAsia"/>
          <w:sz w:val="21"/>
          <w:szCs w:val="21"/>
          <w:lang w:val="zh-CN"/>
        </w:rPr>
        <w:t>后，乙方提出工程竣工</w:t>
      </w:r>
      <w:r>
        <w:rPr>
          <w:rFonts w:hint="eastAsia" w:asciiTheme="minorEastAsia" w:hAnsiTheme="minorEastAsia" w:eastAsiaTheme="minorEastAsia" w:cstheme="minorEastAsia"/>
          <w:sz w:val="21"/>
          <w:szCs w:val="21"/>
        </w:rPr>
        <w:t>结算</w:t>
      </w:r>
      <w:r>
        <w:rPr>
          <w:rFonts w:hint="eastAsia" w:asciiTheme="minorEastAsia" w:hAnsiTheme="minorEastAsia" w:eastAsiaTheme="minorEastAsia" w:cstheme="minorEastAsia"/>
          <w:sz w:val="21"/>
          <w:szCs w:val="21"/>
          <w:lang w:val="zh-CN"/>
        </w:rPr>
        <w:t>并将有关合格的竣工资料一式三份送交项目单位。项目单位自接到上述资料后送审，审计后按本合同付款办法支付。</w:t>
      </w:r>
      <w:bookmarkEnd w:id="412"/>
      <w:bookmarkEnd w:id="413"/>
      <w:bookmarkEnd w:id="414"/>
      <w:bookmarkEnd w:id="415"/>
      <w:bookmarkEnd w:id="416"/>
      <w:bookmarkEnd w:id="417"/>
      <w:bookmarkEnd w:id="418"/>
      <w:bookmarkEnd w:id="422"/>
    </w:p>
    <w:p w14:paraId="601FE1D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24" w:name="_Toc351203647"/>
      <w:bookmarkStart w:id="425" w:name="_Toc267251483"/>
      <w:bookmarkStart w:id="426" w:name="_Toc267251488"/>
      <w:bookmarkStart w:id="427" w:name="_Toc267251486"/>
      <w:bookmarkStart w:id="428" w:name="_Toc267251485"/>
      <w:bookmarkStart w:id="429" w:name="_Toc267251482"/>
      <w:bookmarkStart w:id="430" w:name="_Toc267251484"/>
      <w:bookmarkStart w:id="431" w:name="_Toc267251489"/>
      <w:bookmarkStart w:id="432" w:name="_Toc267251490"/>
      <w:bookmarkStart w:id="433" w:name="_Toc267251493"/>
      <w:bookmarkStart w:id="434" w:name="_Toc267251492"/>
      <w:bookmarkStart w:id="435" w:name="_Toc267251497"/>
      <w:bookmarkStart w:id="436" w:name="_Toc267251491"/>
      <w:bookmarkStart w:id="437" w:name="_Toc267251496"/>
      <w:bookmarkStart w:id="438" w:name="_Toc267251501"/>
      <w:bookmarkStart w:id="439" w:name="_Toc267251503"/>
      <w:bookmarkStart w:id="440" w:name="_Toc267251494"/>
      <w:bookmarkStart w:id="441" w:name="_Toc267251498"/>
      <w:bookmarkStart w:id="442" w:name="_Toc267251495"/>
      <w:bookmarkStart w:id="443" w:name="_Toc267251502"/>
      <w:bookmarkStart w:id="444" w:name="_Toc267251499"/>
      <w:bookmarkStart w:id="445" w:name="_Toc267251506"/>
      <w:bookmarkStart w:id="446" w:name="_Toc267251507"/>
      <w:bookmarkStart w:id="447" w:name="_Toc267251504"/>
      <w:bookmarkStart w:id="448" w:name="_Toc267251508"/>
      <w:bookmarkStart w:id="449" w:name="_Toc267251515"/>
      <w:bookmarkStart w:id="450" w:name="_Toc267251513"/>
      <w:bookmarkStart w:id="451" w:name="_Toc267251509"/>
      <w:bookmarkStart w:id="452" w:name="_Toc267251514"/>
      <w:bookmarkStart w:id="453" w:name="_Toc267251510"/>
      <w:bookmarkStart w:id="454" w:name="_Toc267251511"/>
      <w:r>
        <w:rPr>
          <w:rFonts w:hint="eastAsia" w:asciiTheme="minorEastAsia" w:hAnsiTheme="minorEastAsia" w:eastAsiaTheme="minorEastAsia" w:cstheme="minorEastAsia"/>
          <w:sz w:val="21"/>
          <w:szCs w:val="21"/>
        </w:rPr>
        <w:t>15. 缺陷责任期与保修</w:t>
      </w:r>
      <w:bookmarkEnd w:id="424"/>
      <w:bookmarkEnd w:id="425"/>
    </w:p>
    <w:p w14:paraId="34FCC9B8">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本工程质保期五年</w:t>
      </w:r>
      <w:r>
        <w:rPr>
          <w:rFonts w:hint="eastAsia" w:asciiTheme="minorEastAsia" w:hAnsiTheme="minorEastAsia" w:eastAsiaTheme="minorEastAsia" w:cstheme="minorEastAsia"/>
          <w:sz w:val="21"/>
          <w:szCs w:val="21"/>
        </w:rPr>
        <w:t>。质量保修期从工程竣工验收合格之日起计算，具体保修范围、保修期限、保修责任、保修金的支付、返还应按《建设工程质量管理条例》和《房屋建筑工程质量保修办法》及双方约定执行。</w:t>
      </w:r>
      <w:bookmarkEnd w:id="426"/>
      <w:bookmarkEnd w:id="427"/>
      <w:bookmarkEnd w:id="428"/>
      <w:bookmarkEnd w:id="429"/>
      <w:bookmarkEnd w:id="430"/>
      <w:bookmarkEnd w:id="431"/>
      <w:bookmarkEnd w:id="432"/>
    </w:p>
    <w:p w14:paraId="23545153">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55" w:name="_Toc351203648"/>
      <w:bookmarkStart w:id="456" w:name="_Toc280868717"/>
      <w:bookmarkStart w:id="457" w:name="_Toc280868718"/>
      <w:r>
        <w:rPr>
          <w:rFonts w:hint="eastAsia" w:asciiTheme="minorEastAsia" w:hAnsiTheme="minorEastAsia" w:eastAsiaTheme="minorEastAsia" w:cstheme="minorEastAsia"/>
          <w:sz w:val="21"/>
          <w:szCs w:val="21"/>
        </w:rPr>
        <w:t>16. 违约</w:t>
      </w:r>
      <w:bookmarkEnd w:id="455"/>
    </w:p>
    <w:p w14:paraId="339A76D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 xml:space="preserve">16.1 </w:t>
      </w:r>
      <w:r>
        <w:rPr>
          <w:rFonts w:hint="eastAsia" w:asciiTheme="minorEastAsia" w:hAnsiTheme="minorEastAsia" w:eastAsiaTheme="minorEastAsia" w:cstheme="minorEastAsia"/>
          <w:sz w:val="21"/>
          <w:szCs w:val="21"/>
          <w:lang w:val="zh-CN"/>
        </w:rPr>
        <w:t>承包方的责任：</w:t>
      </w:r>
    </w:p>
    <w:p w14:paraId="7FFD6355">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highlight w:val="none"/>
          <w:u w:val="single"/>
          <w:lang w:val="zh-CN"/>
        </w:rPr>
      </w:pPr>
      <w:r>
        <w:rPr>
          <w:rFonts w:hint="eastAsia" w:asciiTheme="minorEastAsia" w:hAnsiTheme="minorEastAsia" w:eastAsiaTheme="minorEastAsia" w:cstheme="minorEastAsia"/>
          <w:b/>
          <w:sz w:val="21"/>
          <w:szCs w:val="21"/>
          <w:u w:val="single"/>
          <w:lang w:val="zh-CN"/>
        </w:rPr>
        <w:t>工程质量不符合合同规定，负责无偿修理或返工。由于修理返工或承包方其他原因造成</w:t>
      </w:r>
      <w:r>
        <w:rPr>
          <w:rFonts w:hint="eastAsia" w:asciiTheme="minorEastAsia" w:hAnsiTheme="minorEastAsia" w:eastAsiaTheme="minorEastAsia" w:cstheme="minorEastAsia"/>
          <w:b/>
          <w:sz w:val="21"/>
          <w:szCs w:val="21"/>
          <w:highlight w:val="none"/>
          <w:u w:val="single"/>
          <w:lang w:val="zh-CN"/>
        </w:rPr>
        <w:t>重大影响的，</w:t>
      </w:r>
      <w:r>
        <w:rPr>
          <w:rFonts w:hint="eastAsia" w:asciiTheme="minorEastAsia" w:hAnsiTheme="minorEastAsia" w:eastAsiaTheme="minorEastAsia" w:cstheme="minorEastAsia"/>
          <w:b/>
          <w:sz w:val="21"/>
          <w:szCs w:val="21"/>
          <w:highlight w:val="none"/>
          <w:u w:val="single"/>
        </w:rPr>
        <w:t>合同总金额的5%</w:t>
      </w:r>
      <w:r>
        <w:rPr>
          <w:rFonts w:hint="eastAsia" w:asciiTheme="minorEastAsia" w:hAnsiTheme="minorEastAsia" w:eastAsiaTheme="minorEastAsia" w:cstheme="minorEastAsia"/>
          <w:b/>
          <w:sz w:val="21"/>
          <w:szCs w:val="21"/>
          <w:highlight w:val="none"/>
          <w:u w:val="single"/>
          <w:lang w:val="zh-CN"/>
        </w:rPr>
        <w:t>予以扣除。</w:t>
      </w:r>
    </w:p>
    <w:p w14:paraId="59137A63">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b/>
          <w:sz w:val="21"/>
          <w:szCs w:val="21"/>
          <w:highlight w:val="none"/>
          <w:u w:val="single"/>
        </w:rPr>
        <w:t>若发包人发现承包人违法转包、分包，发包人有权依法解除合同，并有权保留相应权利。由此给发包人造成的一切损失由承包人承担。</w:t>
      </w:r>
    </w:p>
    <w:p w14:paraId="647D8796">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 xml:space="preserve">施工单位进场后必须在开工前将有关资质证明资料复印件加盖公章报监理单位备案，不报或未按时报罚款1000 元。 </w:t>
      </w:r>
    </w:p>
    <w:p w14:paraId="6A8AD4A2">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 xml:space="preserve">现场所使用材料设备（品牌或厂家等）需提供采购单据，并经甲方及监理单位审查确认后使用，违者除材料退场外还将罚款2000元/次。 </w:t>
      </w:r>
    </w:p>
    <w:p w14:paraId="14015415">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 xml:space="preserve">材料设备进场后施工单位应进行自检，自检合格后向监理机构报验。报验时应提交厂家资质证书、出厂检验单、出厂合格证和有效的质量抽检报告，对于重要的材料还应进行见证取样送检，经进场检验合格后方可使用，违者每次罚款3000元。 </w:t>
      </w:r>
    </w:p>
    <w:p w14:paraId="03F4BEE9">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对重要的工序、隐蔽工程进行双控，施工单位应提交“工程报验申请表”（监理表格）经监理机构初验后报甲方进行复验，验收合格后方可进行下道工序施工，违者罚款 1000 元/次。甲方、监理对工程质量提出整改要求时，施工单位必须积极主动配合落实，按时完成整改。对整改不按时或有意推脱的每项/次罚款1000元。</w:t>
      </w:r>
    </w:p>
    <w:p w14:paraId="1F2C9222">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highlight w:val="none"/>
          <w:u w:val="single"/>
          <w:lang w:val="zh-CN"/>
        </w:rPr>
      </w:pPr>
      <w:r>
        <w:rPr>
          <w:rFonts w:hint="eastAsia" w:asciiTheme="minorEastAsia" w:hAnsiTheme="minorEastAsia" w:eastAsiaTheme="minorEastAsia" w:cstheme="minorEastAsia"/>
          <w:b/>
          <w:sz w:val="21"/>
          <w:szCs w:val="21"/>
          <w:highlight w:val="none"/>
          <w:u w:val="single"/>
          <w:lang w:val="zh-CN"/>
        </w:rPr>
        <w:t>如因施工单位自身施工组织问题造成工期延误的，延误时间如超过3天，每延误1天，处罚1000元，如因工期延误，造成学校重大影响的，学校有权追究责任。（工期延误处罚款项在审计时直接扣除）</w:t>
      </w:r>
    </w:p>
    <w:p w14:paraId="731D58CD">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 xml:space="preserve">16.2 </w:t>
      </w:r>
      <w:r>
        <w:rPr>
          <w:rFonts w:hint="eastAsia" w:asciiTheme="minorEastAsia" w:hAnsiTheme="minorEastAsia" w:eastAsiaTheme="minorEastAsia" w:cstheme="minorEastAsia"/>
          <w:sz w:val="21"/>
          <w:szCs w:val="21"/>
          <w:lang w:val="zh-CN"/>
        </w:rPr>
        <w:t>发包方的责任：</w:t>
      </w:r>
    </w:p>
    <w:p w14:paraId="5732A40F">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发包人违约责任的承担方式和计算方法：</w:t>
      </w:r>
    </w:p>
    <w:p w14:paraId="6DE37BC5">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（1）因发包人原因未能在计划开工日期前7天内下达开工通知的违约责任：  /  。</w:t>
      </w:r>
    </w:p>
    <w:p w14:paraId="15E55FF6">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（2）因发包人原因未能按合同约定支付合同价款的违约责任：     双方另行确定  。</w:t>
      </w:r>
    </w:p>
    <w:p w14:paraId="5D15DCE6">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 xml:space="preserve">（3）发包人违反第10.1款〔变更的范围〕第（2）项约定，自行实施被取消的工作或转由他人实施的违约责任：     双方另行确定。 </w:t>
      </w:r>
    </w:p>
    <w:p w14:paraId="33B5B6EF">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（4）发包人提供的材料、工程设备的规格、数量或质量不符合合同约定，或因发包人原因导致交货日期延误或交货地点变更等情况的违约责任：   /   。</w:t>
      </w:r>
    </w:p>
    <w:p w14:paraId="0CC536E9">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（5）因发包人违反合同约定造成暂停施工的违约责任： / 。</w:t>
      </w:r>
    </w:p>
    <w:p w14:paraId="2902116B">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（6）发包人无正当理由没有在约定期限内发出复工指示，导致承包人无法复工的违约责任：      /                 。</w:t>
      </w:r>
    </w:p>
    <w:p w14:paraId="4E19AFE7">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（7）其他：          /                           。</w:t>
      </w:r>
    </w:p>
    <w:p w14:paraId="04F87684">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16.1.3 因发包人违约解除合同</w:t>
      </w:r>
    </w:p>
    <w:p w14:paraId="359FDBCB">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承包人按16.1.1项〔发包人违约的情形〕约定暂停施工满   / 天后发包人仍不纠正其违约行为并致使合同目的不能实现的，承包人有权解除合同。</w:t>
      </w:r>
    </w:p>
    <w:p w14:paraId="6B718D24">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工程中途停建、缓建或由于设计变更错误造成的停工180天，应采取措施弥补或减少损失。</w:t>
      </w:r>
    </w:p>
    <w:p w14:paraId="192814E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58" w:name="_Toc351203649"/>
      <w:r>
        <w:rPr>
          <w:rFonts w:hint="eastAsia" w:asciiTheme="minorEastAsia" w:hAnsiTheme="minorEastAsia" w:eastAsiaTheme="minorEastAsia" w:cstheme="minorEastAsia"/>
          <w:sz w:val="21"/>
          <w:szCs w:val="21"/>
        </w:rPr>
        <w:t>17. 不可抗力</w:t>
      </w:r>
      <w:bookmarkEnd w:id="458"/>
      <w:r>
        <w:rPr>
          <w:rFonts w:hint="eastAsia" w:asciiTheme="minorEastAsia" w:hAnsiTheme="minorEastAsia" w:eastAsiaTheme="minorEastAsia" w:cstheme="minorEastAsia"/>
          <w:sz w:val="21"/>
          <w:szCs w:val="21"/>
        </w:rPr>
        <w:t xml:space="preserve"> </w:t>
      </w:r>
      <w:bookmarkEnd w:id="456"/>
    </w:p>
    <w:p w14:paraId="1A7A666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不可抗力的确认</w:t>
      </w:r>
    </w:p>
    <w:p w14:paraId="3DE4610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 xml:space="preserve">除通用合同条款约定的不可抗力事件之外，视为不可抗力的其他情形：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8F7EB1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59" w:name="_Toc351203650"/>
      <w:r>
        <w:rPr>
          <w:rFonts w:hint="eastAsia" w:asciiTheme="minorEastAsia" w:hAnsiTheme="minorEastAsia" w:eastAsiaTheme="minorEastAsia" w:cstheme="minorEastAsia"/>
          <w:sz w:val="21"/>
          <w:szCs w:val="21"/>
        </w:rPr>
        <w:t>18. 保险</w:t>
      </w:r>
      <w:bookmarkEnd w:id="457"/>
      <w:bookmarkEnd w:id="459"/>
    </w:p>
    <w:p w14:paraId="4BFBCAD8">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工程保险</w:t>
      </w:r>
    </w:p>
    <w:p w14:paraId="6FDF168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关于工程保险的特别约定：</w:t>
      </w:r>
      <w:r>
        <w:rPr>
          <w:rFonts w:hint="eastAsia" w:asciiTheme="minorEastAsia" w:hAnsiTheme="minorEastAsia" w:eastAsiaTheme="minorEastAsia" w:cstheme="minorEastAsia"/>
          <w:b/>
          <w:color w:val="000000"/>
          <w:sz w:val="21"/>
          <w:szCs w:val="21"/>
          <w:u w:val="single"/>
        </w:rPr>
        <w:t>发包人委托承包人办理的保险事项：工程一切险和第三方责任险（包括建设工程、发包人自有人员、第三人生命财产 、运至施工场地内用于工程的材料和待安装设备），由承包人负责代为办理，费用由承包人承担，包含在合同价中。</w:t>
      </w:r>
    </w:p>
    <w:p w14:paraId="20A0092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 其他保险</w:t>
      </w:r>
    </w:p>
    <w:p w14:paraId="347C82F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关于其他保险的约定：</w:t>
      </w:r>
      <w:r>
        <w:rPr>
          <w:rFonts w:hint="eastAsia" w:asciiTheme="minorEastAsia" w:hAnsiTheme="minorEastAsia" w:eastAsiaTheme="minorEastAsia" w:cstheme="minorEastAsia"/>
          <w:color w:val="000000"/>
          <w:sz w:val="21"/>
          <w:szCs w:val="21"/>
          <w:u w:val="single"/>
        </w:rPr>
        <w:t xml:space="preserve"> / </w:t>
      </w:r>
      <w:r>
        <w:rPr>
          <w:rFonts w:hint="eastAsia" w:asciiTheme="minorEastAsia" w:hAnsiTheme="minorEastAsia" w:eastAsiaTheme="minorEastAsia" w:cstheme="minorEastAsia"/>
          <w:color w:val="000000"/>
          <w:sz w:val="21"/>
          <w:szCs w:val="21"/>
        </w:rPr>
        <w:t>。</w:t>
      </w:r>
    </w:p>
    <w:p w14:paraId="6F0B72C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承包人是否应为其施工设备等办理财产保险：</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4B96C13">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 通知义务</w:t>
      </w:r>
    </w:p>
    <w:p w14:paraId="72D1AB21">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关于变更保险合同时的通知义务的约定：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bookmarkEnd w:id="433"/>
      <w:bookmarkEnd w:id="434"/>
      <w:bookmarkEnd w:id="435"/>
      <w:bookmarkEnd w:id="436"/>
      <w:bookmarkEnd w:id="437"/>
      <w:bookmarkEnd w:id="438"/>
      <w:bookmarkEnd w:id="439"/>
      <w:bookmarkEnd w:id="440"/>
      <w:bookmarkEnd w:id="441"/>
      <w:bookmarkEnd w:id="442"/>
      <w:bookmarkEnd w:id="443"/>
      <w:bookmarkEnd w:id="444"/>
    </w:p>
    <w:p w14:paraId="6A33691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60" w:name="_Toc351203651"/>
      <w:r>
        <w:rPr>
          <w:rFonts w:hint="eastAsia" w:asciiTheme="minorEastAsia" w:hAnsiTheme="minorEastAsia" w:eastAsiaTheme="minorEastAsia" w:cstheme="minorEastAsia"/>
          <w:sz w:val="21"/>
          <w:szCs w:val="21"/>
        </w:rPr>
        <w:t>19. 争议解决</w:t>
      </w:r>
      <w:bookmarkEnd w:id="445"/>
      <w:bookmarkEnd w:id="446"/>
      <w:bookmarkEnd w:id="447"/>
      <w:bookmarkEnd w:id="448"/>
      <w:bookmarkEnd w:id="460"/>
    </w:p>
    <w:p w14:paraId="3435E9B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因合同及合同有关事项发生的争议，可向</w:t>
      </w:r>
      <w:r>
        <w:rPr>
          <w:rFonts w:hint="eastAsia" w:asciiTheme="minorEastAsia" w:hAnsiTheme="minorEastAsia" w:eastAsiaTheme="minorEastAsia" w:cstheme="minorEastAsia"/>
          <w:b/>
          <w:sz w:val="21"/>
          <w:szCs w:val="21"/>
          <w:u w:val="single"/>
        </w:rPr>
        <w:t>工程所在地</w:t>
      </w:r>
      <w:r>
        <w:rPr>
          <w:rFonts w:hint="eastAsia" w:asciiTheme="minorEastAsia" w:hAnsiTheme="minorEastAsia" w:eastAsiaTheme="minorEastAsia" w:cstheme="minorEastAsia"/>
          <w:sz w:val="21"/>
          <w:szCs w:val="21"/>
        </w:rPr>
        <w:t>人民法院起诉。</w:t>
      </w:r>
      <w:bookmarkEnd w:id="449"/>
      <w:bookmarkEnd w:id="450"/>
      <w:bookmarkEnd w:id="451"/>
      <w:bookmarkEnd w:id="452"/>
      <w:bookmarkEnd w:id="453"/>
      <w:bookmarkEnd w:id="454"/>
    </w:p>
    <w:p w14:paraId="085964F0">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sz w:val="21"/>
          <w:szCs w:val="21"/>
        </w:rPr>
        <w:t>20. 补充条款：</w:t>
      </w:r>
      <w:bookmarkEnd w:id="53"/>
    </w:p>
    <w:p w14:paraId="63BC6931">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zh-CN"/>
        </w:rPr>
        <w:t>2</w:t>
      </w:r>
      <w:r>
        <w:rPr>
          <w:rFonts w:hint="eastAsia" w:asciiTheme="minorEastAsia" w:hAnsiTheme="minorEastAsia" w:eastAsiaTheme="minorEastAsia" w:cstheme="minorEastAsia"/>
          <w:b/>
          <w:sz w:val="21"/>
          <w:szCs w:val="21"/>
          <w:u w:val="single"/>
        </w:rPr>
        <w:t>0</w:t>
      </w:r>
      <w:r>
        <w:rPr>
          <w:rFonts w:hint="eastAsia" w:asciiTheme="minorEastAsia" w:hAnsiTheme="minorEastAsia" w:eastAsiaTheme="minorEastAsia" w:cstheme="minorEastAsia"/>
          <w:b/>
          <w:sz w:val="21"/>
          <w:szCs w:val="21"/>
          <w:u w:val="single"/>
          <w:lang w:val="zh-CN"/>
        </w:rPr>
        <w:t>.1发包方负责提供水源电源接点，施工用电、用水费用由承包方装表据实缴纳或审计时扣除。</w:t>
      </w:r>
    </w:p>
    <w:p w14:paraId="1B515E10">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20.2承包人在投标文件中拟定的施工项目经理、主要技术人员、管理人员的有关证件，进驻现场之日起应交发包人对照审验，凡与招标文件不相符的人员，一律不准进入施工现场参与施工工作，由此造成的一切后果，均由承包人负责。</w:t>
      </w:r>
    </w:p>
    <w:p w14:paraId="59DD1306">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zh-CN"/>
        </w:rPr>
        <w:t>2</w:t>
      </w:r>
      <w:r>
        <w:rPr>
          <w:rFonts w:hint="eastAsia" w:asciiTheme="minorEastAsia" w:hAnsiTheme="minorEastAsia" w:eastAsiaTheme="minorEastAsia" w:cstheme="minorEastAsia"/>
          <w:b/>
          <w:sz w:val="21"/>
          <w:szCs w:val="21"/>
          <w:u w:val="single"/>
        </w:rPr>
        <w:t>0</w:t>
      </w:r>
      <w:r>
        <w:rPr>
          <w:rFonts w:hint="eastAsia" w:asciiTheme="minorEastAsia" w:hAnsiTheme="minorEastAsia" w:eastAsiaTheme="minorEastAsia" w:cstheme="minorEastAsia"/>
          <w:b/>
          <w:sz w:val="21"/>
          <w:szCs w:val="21"/>
          <w:u w:val="single"/>
          <w:lang w:val="zh-CN"/>
        </w:rPr>
        <w:t>.3</w:t>
      </w:r>
      <w:r>
        <w:rPr>
          <w:rFonts w:hint="eastAsia" w:asciiTheme="minorEastAsia" w:hAnsiTheme="minorEastAsia" w:eastAsiaTheme="minorEastAsia" w:cstheme="minorEastAsia"/>
          <w:b/>
          <w:sz w:val="21"/>
          <w:szCs w:val="21"/>
          <w:u w:val="single"/>
        </w:rPr>
        <w:t>承包方对施工人员应加强管理，严格遵守国家和学校的有关法律法规和制度，施工期间发生任何事故及其费用均与发包人无关。</w:t>
      </w:r>
    </w:p>
    <w:p w14:paraId="02F3A0C0">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20.4施工垃圾应按发包方指定地点堆放，及时清理。工程竣工3天内，承包人要全部清除运出施工现场的一切垃圾、废料、设备等，保持场地整洁，费用由承包人自理。</w:t>
      </w:r>
    </w:p>
    <w:p w14:paraId="5061B172">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 xml:space="preserve">20.5其它 </w:t>
      </w:r>
    </w:p>
    <w:p w14:paraId="548EE54E">
      <w:pPr>
        <w:pageBreakBefore w:val="0"/>
        <w:kinsoku/>
        <w:wordWrap/>
        <w:overflowPunct/>
        <w:topLinePunct w:val="0"/>
        <w:autoSpaceDE/>
        <w:autoSpaceDN/>
        <w:bidi w:val="0"/>
        <w:adjustRightInd/>
        <w:snapToGrid/>
        <w:spacing w:line="500" w:lineRule="exact"/>
        <w:ind w:firstLine="422"/>
        <w:textAlignment w:val="auto"/>
        <w:rPr>
          <w:rFonts w:hint="eastAsia" w:asciiTheme="minorEastAsia" w:hAnsiTheme="minorEastAsia" w:eastAsiaTheme="minorEastAsia" w:cstheme="minorEastAsia"/>
          <w:b/>
          <w:color w:val="FF0000"/>
          <w:sz w:val="21"/>
          <w:szCs w:val="21"/>
          <w:u w:val="single"/>
        </w:rPr>
      </w:pPr>
    </w:p>
    <w:p w14:paraId="040DAA7E">
      <w:pPr>
        <w:pageBreakBefore w:val="0"/>
        <w:kinsoku/>
        <w:wordWrap/>
        <w:overflowPunct/>
        <w:topLinePunct w:val="0"/>
        <w:autoSpaceDE/>
        <w:autoSpaceDN/>
        <w:bidi w:val="0"/>
        <w:adjustRightInd/>
        <w:snapToGrid/>
        <w:spacing w:line="500" w:lineRule="exact"/>
        <w:ind w:firstLine="422"/>
        <w:jc w:val="center"/>
        <w:textAlignment w:val="auto"/>
        <w:rPr>
          <w:rFonts w:hint="eastAsia" w:asciiTheme="minorEastAsia" w:hAnsiTheme="minorEastAsia" w:eastAsiaTheme="minorEastAsia" w:cstheme="minorEastAsia"/>
          <w:b/>
          <w:sz w:val="21"/>
          <w:szCs w:val="21"/>
        </w:rPr>
      </w:pPr>
    </w:p>
    <w:p w14:paraId="1EA9FAC8">
      <w:pPr>
        <w:pageBreakBefore w:val="0"/>
        <w:kinsoku/>
        <w:wordWrap/>
        <w:overflowPunct/>
        <w:topLinePunct w:val="0"/>
        <w:autoSpaceDE/>
        <w:autoSpaceDN/>
        <w:bidi w:val="0"/>
        <w:adjustRightInd/>
        <w:snapToGrid/>
        <w:spacing w:line="500" w:lineRule="exact"/>
        <w:ind w:firstLine="422"/>
        <w:jc w:val="center"/>
        <w:textAlignment w:val="auto"/>
        <w:rPr>
          <w:rFonts w:hint="eastAsia" w:asciiTheme="minorEastAsia" w:hAnsiTheme="minorEastAsia" w:eastAsiaTheme="minorEastAsia" w:cstheme="minorEastAsia"/>
          <w:b/>
          <w:sz w:val="21"/>
          <w:szCs w:val="21"/>
        </w:rPr>
      </w:pPr>
    </w:p>
    <w:p w14:paraId="36B00B1D">
      <w:pPr>
        <w:pageBreakBefore w:val="0"/>
        <w:kinsoku/>
        <w:wordWrap/>
        <w:overflowPunct/>
        <w:topLinePunct w:val="0"/>
        <w:autoSpaceDE/>
        <w:autoSpaceDN/>
        <w:bidi w:val="0"/>
        <w:adjustRightInd/>
        <w:snapToGrid/>
        <w:spacing w:line="500" w:lineRule="exact"/>
        <w:ind w:firstLine="422"/>
        <w:jc w:val="center"/>
        <w:textAlignment w:val="auto"/>
        <w:rPr>
          <w:rFonts w:hint="eastAsia" w:asciiTheme="minorEastAsia" w:hAnsiTheme="minorEastAsia" w:eastAsiaTheme="minorEastAsia" w:cstheme="minorEastAsia"/>
          <w:b/>
          <w:sz w:val="21"/>
          <w:szCs w:val="21"/>
        </w:rPr>
      </w:pPr>
    </w:p>
    <w:p w14:paraId="15878AEF">
      <w:pPr>
        <w:pageBreakBefore w:val="0"/>
        <w:kinsoku/>
        <w:wordWrap/>
        <w:overflowPunct/>
        <w:topLinePunct w:val="0"/>
        <w:autoSpaceDE/>
        <w:autoSpaceDN/>
        <w:bidi w:val="0"/>
        <w:adjustRightInd/>
        <w:snapToGrid/>
        <w:spacing w:line="500" w:lineRule="exact"/>
        <w:ind w:firstLine="422"/>
        <w:jc w:val="center"/>
        <w:textAlignment w:val="auto"/>
        <w:rPr>
          <w:rFonts w:hint="eastAsia" w:asciiTheme="minorEastAsia" w:hAnsiTheme="minorEastAsia" w:eastAsiaTheme="minorEastAsia" w:cstheme="minorEastAsia"/>
          <w:b/>
          <w:sz w:val="21"/>
          <w:szCs w:val="21"/>
        </w:rPr>
      </w:pPr>
    </w:p>
    <w:p w14:paraId="0360EB4D">
      <w:pPr>
        <w:pageBreakBefore w:val="0"/>
        <w:tabs>
          <w:tab w:val="left" w:pos="900"/>
        </w:tabs>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rPr>
      </w:pPr>
    </w:p>
    <w:p w14:paraId="10564F91">
      <w:pPr>
        <w:pageBreakBefore w:val="0"/>
        <w:tabs>
          <w:tab w:val="left" w:pos="900"/>
        </w:tabs>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rPr>
        <w:sectPr>
          <w:pgSz w:w="11906" w:h="16838"/>
          <w:pgMar w:top="1134" w:right="1134" w:bottom="1134" w:left="1134" w:header="851" w:footer="992" w:gutter="0"/>
          <w:cols w:space="720" w:num="1"/>
          <w:docGrid w:linePitch="360" w:charSpace="0"/>
        </w:sectPr>
      </w:pPr>
    </w:p>
    <w:p w14:paraId="73446900">
      <w:pPr>
        <w:keepNext w:val="0"/>
        <w:keepLines w:val="0"/>
        <w:pageBreakBefore w:val="0"/>
        <w:tabs>
          <w:tab w:val="left" w:pos="900"/>
        </w:tabs>
        <w:kinsoku/>
        <w:wordWrap/>
        <w:overflowPunct/>
        <w:topLinePunct w:val="0"/>
        <w:autoSpaceDE/>
        <w:autoSpaceDN/>
        <w:bidi w:val="0"/>
        <w:adjustRightInd/>
        <w:snapToGrid/>
        <w:spacing w:line="480" w:lineRule="auto"/>
        <w:ind w:firstLine="482"/>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附件：工程安全生产责任状</w:t>
      </w:r>
      <w:bookmarkStart w:id="461" w:name="_Toc20981"/>
      <w:bookmarkStart w:id="462" w:name="_Toc21367"/>
      <w:bookmarkStart w:id="463" w:name="_Toc28666"/>
      <w:bookmarkStart w:id="464" w:name="_Toc24801"/>
    </w:p>
    <w:p w14:paraId="25F52ADA">
      <w:pPr>
        <w:keepNext w:val="0"/>
        <w:keepLines w:val="0"/>
        <w:pageBreakBefore w:val="0"/>
        <w:kinsoku/>
        <w:wordWrap/>
        <w:overflowPunct/>
        <w:topLinePunct w:val="0"/>
        <w:autoSpaceDE/>
        <w:autoSpaceDN/>
        <w:bidi w:val="0"/>
        <w:adjustRightInd/>
        <w:snapToGrid/>
        <w:spacing w:line="480" w:lineRule="auto"/>
        <w:ind w:firstLine="643"/>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工程安全生产责任状</w:t>
      </w:r>
      <w:bookmarkEnd w:id="461"/>
      <w:bookmarkEnd w:id="462"/>
      <w:bookmarkEnd w:id="463"/>
      <w:bookmarkEnd w:id="464"/>
    </w:p>
    <w:p w14:paraId="2C5CD611">
      <w:pPr>
        <w:keepNext w:val="0"/>
        <w:keepLines w:val="0"/>
        <w:pageBreakBefore w:val="0"/>
        <w:kinsoku/>
        <w:wordWrap/>
        <w:overflowPunct/>
        <w:topLinePunct w:val="0"/>
        <w:autoSpaceDE/>
        <w:autoSpaceDN/>
        <w:bidi w:val="0"/>
        <w:adjustRightInd/>
        <w:snapToGrid/>
        <w:spacing w:line="480" w:lineRule="auto"/>
        <w:ind w:firstLine="480"/>
        <w:jc w:val="center"/>
        <w:textAlignment w:val="auto"/>
        <w:rPr>
          <w:rFonts w:hint="eastAsia" w:asciiTheme="minorEastAsia" w:hAnsiTheme="minorEastAsia" w:eastAsiaTheme="minorEastAsia" w:cstheme="minorEastAsia"/>
          <w:sz w:val="21"/>
          <w:szCs w:val="21"/>
        </w:rPr>
      </w:pPr>
    </w:p>
    <w:p w14:paraId="4D355BE6">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发包人：</w:t>
      </w:r>
      <w:r>
        <w:rPr>
          <w:rFonts w:hint="eastAsia" w:asciiTheme="minorEastAsia" w:hAnsiTheme="minorEastAsia" w:eastAsiaTheme="minorEastAsia" w:cstheme="minorEastAsia"/>
          <w:sz w:val="21"/>
          <w:szCs w:val="21"/>
          <w:u w:val="single"/>
        </w:rPr>
        <w:t xml:space="preserve">                     </w:t>
      </w:r>
    </w:p>
    <w:p w14:paraId="59CE7DBA">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承包人：</w:t>
      </w:r>
      <w:r>
        <w:rPr>
          <w:rFonts w:hint="eastAsia" w:asciiTheme="minorEastAsia" w:hAnsiTheme="minorEastAsia" w:eastAsiaTheme="minorEastAsia" w:cstheme="minorEastAsia"/>
          <w:sz w:val="21"/>
          <w:szCs w:val="21"/>
          <w:u w:val="single"/>
        </w:rPr>
        <w:t xml:space="preserve">                      </w:t>
      </w:r>
    </w:p>
    <w:p w14:paraId="23126070">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为贯彻“安全第一，预防为主”方针，明确双方的安全责任，切实加强工程管理，确保施工中人身和设备安全，根据国家有关法律法规，经双方协商一致签订工程安全生产管理目标责任状如下：</w:t>
      </w:r>
    </w:p>
    <w:p w14:paraId="0BA16E02">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一、工程名称：</w:t>
      </w:r>
    </w:p>
    <w:p w14:paraId="6612EE67">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二、发包人的主要安全责任：</w:t>
      </w:r>
    </w:p>
    <w:p w14:paraId="1833CE12">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1.及时宣传贯彻国家、省、市有关安全生产的方针、政策、法律、法规。</w:t>
      </w:r>
    </w:p>
    <w:p w14:paraId="115390AF">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2.严肃查处工程各类安全隐患并落实整改责任单位和责任人，涉及查处等事项及时通报承包人。</w:t>
      </w:r>
    </w:p>
    <w:p w14:paraId="28876883">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3.指派专职安监员深入施工现场，加强工程安全行为和建筑实体的安全督查。 </w:t>
      </w:r>
    </w:p>
    <w:p w14:paraId="6CB24FB4">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4.根据招标文件以及工程施工合同明确的文明工地创建目标，督促和鼓励本工程施工、监理单位做好施工现场安全和文明施工管理。</w:t>
      </w:r>
    </w:p>
    <w:p w14:paraId="2FDC5EA3">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bookmarkStart w:id="465" w:name="_Toc13480"/>
      <w:r>
        <w:rPr>
          <w:rFonts w:hint="eastAsia" w:asciiTheme="minorEastAsia" w:hAnsiTheme="minorEastAsia" w:eastAsiaTheme="minorEastAsia" w:cstheme="minorEastAsia"/>
          <w:b/>
          <w:bCs/>
          <w:sz w:val="21"/>
          <w:szCs w:val="21"/>
        </w:rPr>
        <w:t>三、承包人的主要安全责任</w:t>
      </w:r>
      <w:bookmarkEnd w:id="465"/>
    </w:p>
    <w:p w14:paraId="7145BFBB">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1.承包人所提供的承包工程要求的相关资质证明材料应真实、合法、有效。</w:t>
      </w:r>
    </w:p>
    <w:p w14:paraId="17E70763">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2.现场施工应遵守国家和地方关于劳动安全，劳务用工法律法规及规章制度，保证其用工的合法性。承包人必须按国家有关规定，为施工人员进行人身保险，配备合格的劳动防护用品、安全用具。</w:t>
      </w:r>
    </w:p>
    <w:p w14:paraId="1959B0E7">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3.材料进场需要检查是否有出产合格证，同时应经发包人现场负责人或监理工程师验证后方可使用。</w:t>
      </w:r>
    </w:p>
    <w:p w14:paraId="59161448">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4.施工期间，承包人应指派专职安全员作为安全工作联系和现场安全管理。</w:t>
      </w:r>
    </w:p>
    <w:p w14:paraId="30DE9A42">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5.承包人一切施工活动，必须编制安全施工措施，施工前对全体施工人员进行全面的安全技术交底，并在整个施工过程正确、完整地执行，无措施或未交底严禁施工。</w:t>
      </w:r>
    </w:p>
    <w:p w14:paraId="2AA4E3BD">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6.开工前，承包人应组织全体施工人员进行安全教育。特种作业人员必须有关部门核发的合格有效的上岗资格证书。</w:t>
      </w:r>
    </w:p>
    <w:p w14:paraId="55C86FD9">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7.承包人应在施工范围装设临时围栏或警告标志，不得超越指定的施工范围进行施工，禁止无关人员进入施工现场。</w:t>
      </w:r>
    </w:p>
    <w:p w14:paraId="317ECA6B">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bookmarkStart w:id="466" w:name="_Toc7086"/>
      <w:r>
        <w:rPr>
          <w:rFonts w:hint="eastAsia" w:asciiTheme="minorEastAsia" w:hAnsiTheme="minorEastAsia" w:eastAsiaTheme="minorEastAsia" w:cstheme="minorEastAsia"/>
          <w:sz w:val="21"/>
          <w:szCs w:val="21"/>
        </w:rPr>
        <w:t>8.承包人施工过程中应做到日产、日清，确保施工场地卫生整洁。</w:t>
      </w:r>
      <w:bookmarkEnd w:id="466"/>
    </w:p>
    <w:p w14:paraId="1000DC99">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9.做好文明施工、安全施工;施工过程中需使用电、水源，应事先与发包人取得联系，不得私拉乱接;做好施工临时用电;按规范要求搭设脚手架做好安全防护工作，确保施工人员安全。</w:t>
      </w:r>
    </w:p>
    <w:p w14:paraId="5F56DEE0">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467" w:name="_Toc4607"/>
      <w:r>
        <w:rPr>
          <w:rFonts w:hint="eastAsia" w:asciiTheme="minorEastAsia" w:hAnsiTheme="minorEastAsia" w:eastAsiaTheme="minorEastAsia" w:cstheme="minorEastAsia"/>
          <w:sz w:val="21"/>
          <w:szCs w:val="21"/>
        </w:rPr>
        <w:t>10.办理施工现场作业人员意外伤害保险。</w:t>
      </w:r>
      <w:bookmarkEnd w:id="467"/>
    </w:p>
    <w:p w14:paraId="04B172C0">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工程实行施工总承包的，由总承包单位对施工现场的安全生产负总责。总承包单位依法将工程分包给其他单位的，分包合同中应明确各自的安全生产方面的权利、义务。总承包单位和分承包单位对分包工程的安全生产承担连带责任。分包单位应当服从总承包单位的安全生产管理，分包单位不服从管理导致生产安全事故的，由分包单位承担主要责任。</w:t>
      </w:r>
    </w:p>
    <w:p w14:paraId="45E3147E">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12.建立整改责任制，对检查中发现的质量安全隐患，采取有效措施立即进行整改，落实专人负责监控，确保质量安全。</w:t>
      </w:r>
    </w:p>
    <w:p w14:paraId="6E241BB3">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13.现场工地要切实加强节日期间安全、文明生产工作，一旦发生各类突发事故和紧急情况，要立即启动预案，并按照有关规定及时上报和妥善处置。</w:t>
      </w:r>
    </w:p>
    <w:p w14:paraId="2336B38B">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468" w:name="_Toc2893"/>
      <w:r>
        <w:rPr>
          <w:rFonts w:hint="eastAsia" w:asciiTheme="minorEastAsia" w:hAnsiTheme="minorEastAsia" w:eastAsiaTheme="minorEastAsia" w:cstheme="minorEastAsia"/>
          <w:sz w:val="21"/>
          <w:szCs w:val="21"/>
        </w:rPr>
        <w:t>14.保障本工程安全负责人联络电话（移动电话）24小时开机。</w:t>
      </w:r>
      <w:bookmarkEnd w:id="468"/>
    </w:p>
    <w:p w14:paraId="42B49A16">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四、考核目标：</w:t>
      </w:r>
      <w:r>
        <w:rPr>
          <w:rFonts w:hint="eastAsia" w:asciiTheme="minorEastAsia" w:hAnsiTheme="minorEastAsia" w:eastAsiaTheme="minorEastAsia" w:cstheme="minorEastAsia"/>
          <w:sz w:val="21"/>
          <w:szCs w:val="21"/>
        </w:rPr>
        <w:t>无安全生产事故。</w:t>
      </w:r>
    </w:p>
    <w:p w14:paraId="15F9695C">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五、考核奖惩</w:t>
      </w:r>
    </w:p>
    <w:p w14:paraId="40B384AB">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发包人认真行使安全生产“一票否决权”，对造成安全生产重大事故的责任单位和个人，发包人会同相关部门视情节轻重，给予通报批评、警告、责令限期整改、停业整顿等处罚。责任单位和个人不得参加评优、评先。</w:t>
      </w:r>
    </w:p>
    <w:p w14:paraId="6319F23E">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2.对安全生产管理渎职行为造成重大安全事故的责任人，由司法机关依法追究其刑事责任。</w:t>
      </w:r>
    </w:p>
    <w:p w14:paraId="0A83E299">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bookmarkStart w:id="469" w:name="_Toc12113"/>
      <w:r>
        <w:rPr>
          <w:rFonts w:hint="eastAsia" w:asciiTheme="minorEastAsia" w:hAnsiTheme="minorEastAsia" w:eastAsiaTheme="minorEastAsia" w:cstheme="minorEastAsia"/>
          <w:b/>
          <w:bCs/>
          <w:sz w:val="21"/>
          <w:szCs w:val="21"/>
        </w:rPr>
        <w:t>六、其他</w:t>
      </w:r>
      <w:bookmarkEnd w:id="469"/>
    </w:p>
    <w:p w14:paraId="5630C02D">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470" w:name="_Toc25969"/>
      <w:r>
        <w:rPr>
          <w:rFonts w:hint="eastAsia" w:asciiTheme="minorEastAsia" w:hAnsiTheme="minorEastAsia" w:eastAsiaTheme="minorEastAsia" w:cstheme="minorEastAsia"/>
          <w:sz w:val="21"/>
          <w:szCs w:val="21"/>
        </w:rPr>
        <w:t>1.本责任状一式</w:t>
      </w:r>
      <w:r>
        <w:rPr>
          <w:rFonts w:hint="eastAsia" w:asciiTheme="minorEastAsia" w:hAnsiTheme="minorEastAsia" w:eastAsiaTheme="minorEastAsia" w:cstheme="minorEastAsia"/>
          <w:bCs/>
          <w:color w:val="000000"/>
          <w:sz w:val="21"/>
          <w:szCs w:val="21"/>
        </w:rPr>
        <w:t>陆份</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color w:val="000000"/>
          <w:sz w:val="21"/>
          <w:szCs w:val="21"/>
        </w:rPr>
        <w:t>甲、乙双方各执三份</w:t>
      </w:r>
      <w:r>
        <w:rPr>
          <w:rFonts w:hint="eastAsia" w:asciiTheme="minorEastAsia" w:hAnsiTheme="minorEastAsia" w:eastAsiaTheme="minorEastAsia" w:cstheme="minorEastAsia"/>
          <w:sz w:val="21"/>
          <w:szCs w:val="21"/>
        </w:rPr>
        <w:t>。</w:t>
      </w:r>
      <w:bookmarkEnd w:id="470"/>
    </w:p>
    <w:p w14:paraId="4E99DDD5">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2.本责任状自签订之日起生效，工程竣工验收并且移交后自动失效。</w:t>
      </w:r>
    </w:p>
    <w:p w14:paraId="401EF219">
      <w:pPr>
        <w:keepNext w:val="0"/>
        <w:keepLines w:val="0"/>
        <w:pageBreakBefore w:val="0"/>
        <w:kinsoku/>
        <w:wordWrap/>
        <w:overflowPunct/>
        <w:topLinePunct w:val="0"/>
        <w:autoSpaceDE/>
        <w:autoSpaceDN/>
        <w:bidi w:val="0"/>
        <w:adjustRightInd/>
        <w:snapToGrid/>
        <w:spacing w:line="500" w:lineRule="exact"/>
        <w:ind w:firstLine="943"/>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                    承包人：（施工单位）</w:t>
      </w:r>
    </w:p>
    <w:p w14:paraId="36904B0D">
      <w:pPr>
        <w:keepNext w:val="0"/>
        <w:keepLines w:val="0"/>
        <w:pageBreakBefore w:val="0"/>
        <w:kinsoku/>
        <w:wordWrap/>
        <w:overflowPunct/>
        <w:topLinePunct w:val="0"/>
        <w:autoSpaceDE/>
        <w:autoSpaceDN/>
        <w:bidi w:val="0"/>
        <w:adjustRightInd/>
        <w:snapToGrid/>
        <w:spacing w:line="500" w:lineRule="exact"/>
        <w:ind w:firstLine="7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（单位印鉴）                 （单位印鉴）</w:t>
      </w:r>
    </w:p>
    <w:p w14:paraId="46A7724F">
      <w:pPr>
        <w:pStyle w:val="26"/>
        <w:keepNext w:val="0"/>
        <w:keepLines w:val="0"/>
        <w:pageBreakBefore w:val="0"/>
        <w:kinsoku/>
        <w:wordWrap/>
        <w:overflowPunct/>
        <w:topLinePunct w:val="0"/>
        <w:autoSpaceDE/>
        <w:autoSpaceDN/>
        <w:bidi w:val="0"/>
        <w:adjustRightInd/>
        <w:snapToGrid/>
        <w:spacing w:line="500" w:lineRule="exact"/>
        <w:ind w:left="0" w:leftChars="0" w:firstLine="0" w:firstLineChars="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p w14:paraId="6972986A">
      <w:pPr>
        <w:keepNext w:val="0"/>
        <w:keepLines w:val="0"/>
        <w:pageBreakBefore w:val="0"/>
        <w:kinsoku/>
        <w:wordWrap/>
        <w:overflowPunct/>
        <w:topLinePunct w:val="0"/>
        <w:autoSpaceDE/>
        <w:autoSpaceDN/>
        <w:bidi w:val="0"/>
        <w:adjustRightInd/>
        <w:snapToGrid/>
        <w:spacing w:line="500" w:lineRule="exact"/>
        <w:ind w:firstLine="562"/>
        <w:textAlignment w:val="auto"/>
        <w:rPr>
          <w:rFonts w:ascii="宋体" w:hAnsi="宋体" w:cs="Arial Unicode MS"/>
          <w:szCs w:val="21"/>
        </w:rPr>
      </w:pPr>
      <w:r>
        <w:rPr>
          <w:rFonts w:hint="eastAsia" w:ascii="宋体" w:hAnsi="宋体" w:cs="宋体"/>
          <w:b/>
          <w:sz w:val="28"/>
          <w:szCs w:val="21"/>
        </w:rPr>
        <w:br w:type="page"/>
      </w:r>
    </w:p>
    <w:p w14:paraId="05ED2531">
      <w:pPr>
        <w:spacing w:line="398" w:lineRule="exact"/>
        <w:jc w:val="center"/>
        <w:outlineLvl w:val="0"/>
        <w:rPr>
          <w:rFonts w:ascii="宋体" w:hAnsi="宋体"/>
          <w:b/>
          <w:color w:val="000000"/>
          <w:szCs w:val="21"/>
        </w:rPr>
      </w:pPr>
      <w:bookmarkStart w:id="471" w:name="_Toc184029946"/>
      <w:r>
        <w:rPr>
          <w:rFonts w:hint="eastAsia" w:ascii="宋体" w:hAnsi="宋体"/>
          <w:b/>
          <w:color w:val="000000"/>
          <w:sz w:val="28"/>
          <w:szCs w:val="28"/>
        </w:rPr>
        <w:t>第四章  成交原则与评审内容（主要部分）</w:t>
      </w:r>
      <w:bookmarkEnd w:id="471"/>
    </w:p>
    <w:p w14:paraId="35835702">
      <w:pPr>
        <w:spacing w:line="360" w:lineRule="auto"/>
        <w:ind w:firstLine="422" w:firstLineChars="200"/>
        <w:jc w:val="left"/>
        <w:rPr>
          <w:rFonts w:ascii="宋体" w:hAnsi="宋体"/>
          <w:b/>
          <w:color w:val="000000"/>
          <w:szCs w:val="21"/>
        </w:rPr>
      </w:pPr>
      <w:r>
        <w:rPr>
          <w:rFonts w:hint="eastAsia" w:ascii="宋体" w:hAnsi="宋体"/>
          <w:b/>
          <w:color w:val="000000"/>
          <w:szCs w:val="21"/>
        </w:rPr>
        <w:t>一、成交原则</w:t>
      </w:r>
    </w:p>
    <w:p w14:paraId="5977D7ED">
      <w:pPr>
        <w:spacing w:line="264" w:lineRule="auto"/>
        <w:ind w:firstLine="480" w:firstLineChars="200"/>
        <w:rPr>
          <w:rFonts w:hint="eastAsia" w:ascii="宋体" w:hAnsi="宋体"/>
          <w:b/>
          <w:bCs/>
          <w:color w:val="000000"/>
          <w:sz w:val="21"/>
          <w:szCs w:val="21"/>
        </w:rPr>
      </w:pPr>
      <w:r>
        <w:rPr>
          <w:rFonts w:hint="eastAsia" w:ascii="宋体" w:hAnsi="宋体" w:cs="宋体"/>
          <w:color w:val="000000"/>
          <w:spacing w:val="15"/>
          <w:sz w:val="21"/>
          <w:szCs w:val="21"/>
        </w:rPr>
        <w:t>采购人</w:t>
      </w:r>
      <w:r>
        <w:rPr>
          <w:rFonts w:hint="eastAsia" w:ascii="宋体" w:hAnsi="宋体"/>
          <w:color w:val="000000"/>
          <w:sz w:val="21"/>
          <w:szCs w:val="21"/>
        </w:rPr>
        <w:t>根据质量和服务均能满足采购文件实质性响应要求且</w:t>
      </w:r>
      <w:r>
        <w:rPr>
          <w:rFonts w:hint="eastAsia"/>
          <w:b/>
          <w:bCs/>
        </w:rPr>
        <w:t>报价</w:t>
      </w:r>
      <w:r>
        <w:rPr>
          <w:rFonts w:hint="eastAsia"/>
          <w:b/>
          <w:bCs/>
          <w:lang w:eastAsia="zh-CN"/>
        </w:rPr>
        <w:t>最低</w:t>
      </w:r>
      <w:r>
        <w:rPr>
          <w:rFonts w:hint="eastAsia" w:ascii="宋体" w:hAnsi="宋体"/>
          <w:b/>
          <w:bCs/>
          <w:color w:val="000000"/>
          <w:sz w:val="21"/>
          <w:szCs w:val="21"/>
        </w:rPr>
        <w:t>的</w:t>
      </w:r>
      <w:r>
        <w:rPr>
          <w:rFonts w:hint="eastAsia" w:ascii="宋体" w:hAnsi="宋体"/>
          <w:color w:val="000000"/>
          <w:sz w:val="21"/>
          <w:szCs w:val="21"/>
        </w:rPr>
        <w:t>原则确定成交供应商</w:t>
      </w:r>
      <w:r>
        <w:rPr>
          <w:rFonts w:hint="eastAsia" w:ascii="宋体" w:hAnsi="宋体"/>
          <w:b/>
          <w:bCs/>
          <w:color w:val="000000"/>
          <w:sz w:val="21"/>
          <w:szCs w:val="21"/>
        </w:rPr>
        <w:t>（如</w:t>
      </w:r>
      <w:r>
        <w:rPr>
          <w:rFonts w:hint="eastAsia" w:ascii="宋体" w:hAnsi="宋体"/>
          <w:b/>
          <w:bCs/>
          <w:color w:val="000000"/>
          <w:sz w:val="21"/>
          <w:szCs w:val="21"/>
          <w:lang w:eastAsia="zh-CN"/>
        </w:rPr>
        <w:t>出现</w:t>
      </w:r>
      <w:r>
        <w:rPr>
          <w:rFonts w:hint="eastAsia" w:ascii="宋体" w:hAnsi="宋体"/>
          <w:b/>
          <w:bCs/>
          <w:color w:val="000000"/>
          <w:sz w:val="21"/>
          <w:szCs w:val="21"/>
        </w:rPr>
        <w:t>并列情形的，采购人将授权询价小组</w:t>
      </w:r>
      <w:r>
        <w:rPr>
          <w:rFonts w:hint="eastAsia" w:ascii="宋体" w:hAnsi="宋体"/>
          <w:b/>
          <w:bCs/>
          <w:color w:val="000000"/>
          <w:sz w:val="21"/>
          <w:szCs w:val="21"/>
          <w:lang w:eastAsia="zh-CN"/>
        </w:rPr>
        <w:t>现场抽签</w:t>
      </w:r>
      <w:r>
        <w:rPr>
          <w:rFonts w:hint="eastAsia" w:ascii="宋体" w:hAnsi="宋体"/>
          <w:b/>
          <w:bCs/>
          <w:color w:val="000000"/>
          <w:sz w:val="21"/>
          <w:szCs w:val="21"/>
        </w:rPr>
        <w:t>确定成交供应商）。</w:t>
      </w:r>
    </w:p>
    <w:p w14:paraId="687047EE">
      <w:pPr>
        <w:spacing w:line="480" w:lineRule="auto"/>
        <w:ind w:firstLine="422" w:firstLineChars="200"/>
        <w:jc w:val="left"/>
        <w:rPr>
          <w:rFonts w:ascii="宋体" w:hAnsi="宋体"/>
          <w:b/>
          <w:color w:val="000000"/>
          <w:szCs w:val="21"/>
        </w:rPr>
      </w:pPr>
      <w:r>
        <w:rPr>
          <w:rFonts w:hint="eastAsia" w:ascii="宋体" w:hAnsi="宋体"/>
          <w:b/>
          <w:color w:val="000000"/>
          <w:szCs w:val="21"/>
        </w:rPr>
        <w:t>二、评审内容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142"/>
        <w:gridCol w:w="1520"/>
        <w:gridCol w:w="1418"/>
      </w:tblGrid>
      <w:tr w14:paraId="6340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6" w:type="dxa"/>
            <w:vAlign w:val="center"/>
          </w:tcPr>
          <w:p w14:paraId="7486DAC2">
            <w:pPr>
              <w:spacing w:line="480" w:lineRule="auto"/>
              <w:jc w:val="center"/>
              <w:rPr>
                <w:rFonts w:ascii="宋体" w:hAnsi="宋体"/>
                <w:color w:val="000000"/>
                <w:szCs w:val="21"/>
              </w:rPr>
            </w:pPr>
            <w:r>
              <w:rPr>
                <w:rFonts w:hint="eastAsia" w:ascii="宋体" w:hAnsi="宋体"/>
                <w:color w:val="000000"/>
                <w:szCs w:val="21"/>
              </w:rPr>
              <w:t>序号</w:t>
            </w:r>
          </w:p>
        </w:tc>
        <w:tc>
          <w:tcPr>
            <w:tcW w:w="5142" w:type="dxa"/>
            <w:vAlign w:val="center"/>
          </w:tcPr>
          <w:p w14:paraId="40ECCBD2">
            <w:pPr>
              <w:spacing w:line="480" w:lineRule="auto"/>
              <w:jc w:val="center"/>
              <w:rPr>
                <w:rFonts w:ascii="宋体" w:hAnsi="宋体"/>
                <w:color w:val="000000"/>
                <w:szCs w:val="21"/>
              </w:rPr>
            </w:pPr>
            <w:r>
              <w:rPr>
                <w:rFonts w:hint="eastAsia" w:ascii="宋体" w:hAnsi="宋体"/>
                <w:color w:val="000000"/>
                <w:szCs w:val="21"/>
              </w:rPr>
              <w:t>评审内容</w:t>
            </w:r>
          </w:p>
        </w:tc>
        <w:tc>
          <w:tcPr>
            <w:tcW w:w="1520" w:type="dxa"/>
            <w:vAlign w:val="center"/>
          </w:tcPr>
          <w:p w14:paraId="43860ADB">
            <w:pPr>
              <w:spacing w:line="480" w:lineRule="auto"/>
              <w:jc w:val="center"/>
              <w:rPr>
                <w:rFonts w:ascii="宋体" w:hAnsi="宋体"/>
                <w:color w:val="000000"/>
                <w:szCs w:val="21"/>
              </w:rPr>
            </w:pPr>
            <w:r>
              <w:rPr>
                <w:rFonts w:hint="eastAsia" w:ascii="宋体" w:hAnsi="宋体"/>
                <w:color w:val="000000"/>
                <w:szCs w:val="21"/>
              </w:rPr>
              <w:t>评审是否合格</w:t>
            </w:r>
          </w:p>
        </w:tc>
        <w:tc>
          <w:tcPr>
            <w:tcW w:w="1418" w:type="dxa"/>
            <w:vAlign w:val="center"/>
          </w:tcPr>
          <w:p w14:paraId="0A4B14FB">
            <w:pPr>
              <w:spacing w:line="480" w:lineRule="auto"/>
              <w:jc w:val="center"/>
              <w:rPr>
                <w:rFonts w:ascii="宋体" w:hAnsi="宋体"/>
                <w:color w:val="000000"/>
                <w:szCs w:val="21"/>
              </w:rPr>
            </w:pPr>
            <w:r>
              <w:rPr>
                <w:rFonts w:hint="eastAsia" w:ascii="宋体" w:hAnsi="宋体"/>
                <w:color w:val="000000"/>
                <w:szCs w:val="21"/>
              </w:rPr>
              <w:t>不合格原因</w:t>
            </w:r>
          </w:p>
        </w:tc>
      </w:tr>
      <w:tr w14:paraId="179B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6" w:type="dxa"/>
            <w:vAlign w:val="center"/>
          </w:tcPr>
          <w:p w14:paraId="38FF87D2">
            <w:pPr>
              <w:spacing w:line="480" w:lineRule="auto"/>
              <w:jc w:val="center"/>
              <w:rPr>
                <w:rFonts w:ascii="宋体" w:hAnsi="宋体"/>
                <w:color w:val="000000"/>
                <w:szCs w:val="21"/>
              </w:rPr>
            </w:pPr>
            <w:r>
              <w:rPr>
                <w:rFonts w:hint="eastAsia" w:ascii="宋体" w:hAnsi="宋体"/>
                <w:color w:val="000000"/>
                <w:szCs w:val="21"/>
              </w:rPr>
              <w:t>1</w:t>
            </w:r>
          </w:p>
        </w:tc>
        <w:tc>
          <w:tcPr>
            <w:tcW w:w="5142" w:type="dxa"/>
            <w:vAlign w:val="center"/>
          </w:tcPr>
          <w:p w14:paraId="509562CF">
            <w:pPr>
              <w:spacing w:line="480" w:lineRule="auto"/>
              <w:rPr>
                <w:rFonts w:ascii="宋体" w:hAnsi="宋体"/>
                <w:color w:val="000000"/>
                <w:szCs w:val="21"/>
              </w:rPr>
            </w:pPr>
            <w:r>
              <w:rPr>
                <w:rFonts w:hint="eastAsia" w:ascii="宋体" w:hAnsi="宋体"/>
                <w:color w:val="000000"/>
                <w:szCs w:val="21"/>
              </w:rPr>
              <w:t>资格性检查：依据法律法规和采购文件的规定，对响应文件中的资格证明文件等进行审查，以确定供应商是否具备参加询价的资格。</w:t>
            </w:r>
            <w:bookmarkStart w:id="481" w:name="_GoBack"/>
            <w:bookmarkEnd w:id="481"/>
          </w:p>
        </w:tc>
        <w:tc>
          <w:tcPr>
            <w:tcW w:w="1520" w:type="dxa"/>
            <w:vAlign w:val="center"/>
          </w:tcPr>
          <w:p w14:paraId="17182C9F">
            <w:pPr>
              <w:spacing w:line="480" w:lineRule="auto"/>
              <w:rPr>
                <w:rFonts w:ascii="宋体" w:hAnsi="宋体"/>
                <w:color w:val="000000"/>
                <w:szCs w:val="21"/>
              </w:rPr>
            </w:pPr>
          </w:p>
        </w:tc>
        <w:tc>
          <w:tcPr>
            <w:tcW w:w="1418" w:type="dxa"/>
            <w:vAlign w:val="center"/>
          </w:tcPr>
          <w:p w14:paraId="12ABC9C8">
            <w:pPr>
              <w:spacing w:line="480" w:lineRule="auto"/>
              <w:rPr>
                <w:rFonts w:ascii="宋体" w:hAnsi="宋体"/>
                <w:color w:val="000000"/>
                <w:szCs w:val="21"/>
              </w:rPr>
            </w:pPr>
          </w:p>
        </w:tc>
      </w:tr>
      <w:tr w14:paraId="2009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6" w:type="dxa"/>
            <w:vAlign w:val="center"/>
          </w:tcPr>
          <w:p w14:paraId="5C01E41F">
            <w:pPr>
              <w:spacing w:line="480" w:lineRule="auto"/>
              <w:jc w:val="center"/>
              <w:rPr>
                <w:rFonts w:ascii="宋体" w:hAnsi="宋体"/>
                <w:color w:val="000000"/>
                <w:szCs w:val="21"/>
              </w:rPr>
            </w:pPr>
            <w:r>
              <w:rPr>
                <w:rFonts w:hint="eastAsia" w:ascii="宋体" w:hAnsi="宋体"/>
                <w:color w:val="000000"/>
                <w:szCs w:val="21"/>
              </w:rPr>
              <w:t>2</w:t>
            </w:r>
          </w:p>
        </w:tc>
        <w:tc>
          <w:tcPr>
            <w:tcW w:w="5142" w:type="dxa"/>
            <w:vAlign w:val="center"/>
          </w:tcPr>
          <w:p w14:paraId="69E81BB0">
            <w:pPr>
              <w:spacing w:line="480" w:lineRule="auto"/>
              <w:rPr>
                <w:rFonts w:ascii="宋体" w:hAnsi="宋体"/>
                <w:color w:val="000000"/>
                <w:szCs w:val="21"/>
              </w:rPr>
            </w:pPr>
            <w:r>
              <w:rPr>
                <w:rFonts w:hint="eastAsia" w:ascii="宋体" w:hAnsi="宋体"/>
                <w:color w:val="000000"/>
                <w:szCs w:val="21"/>
              </w:rPr>
              <w:t>符合性检查：依据采购文件的规定，从响应文件的有效性、完整性和对采购文件的响应程度进行审查，以确定是否对采购文件的实质性要求作出响应。</w:t>
            </w:r>
          </w:p>
        </w:tc>
        <w:tc>
          <w:tcPr>
            <w:tcW w:w="1520" w:type="dxa"/>
            <w:vAlign w:val="center"/>
          </w:tcPr>
          <w:p w14:paraId="3F63224E">
            <w:pPr>
              <w:spacing w:line="480" w:lineRule="auto"/>
              <w:rPr>
                <w:rFonts w:ascii="宋体" w:hAnsi="宋体"/>
                <w:color w:val="000000"/>
                <w:szCs w:val="21"/>
              </w:rPr>
            </w:pPr>
          </w:p>
        </w:tc>
        <w:tc>
          <w:tcPr>
            <w:tcW w:w="1418" w:type="dxa"/>
            <w:vAlign w:val="center"/>
          </w:tcPr>
          <w:p w14:paraId="20CA0816">
            <w:pPr>
              <w:spacing w:line="480" w:lineRule="auto"/>
              <w:rPr>
                <w:rFonts w:ascii="宋体" w:hAnsi="宋体"/>
                <w:color w:val="000000"/>
                <w:szCs w:val="21"/>
              </w:rPr>
            </w:pPr>
          </w:p>
        </w:tc>
      </w:tr>
      <w:tr w14:paraId="2838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6" w:type="dxa"/>
            <w:vAlign w:val="center"/>
          </w:tcPr>
          <w:p w14:paraId="18E041D0">
            <w:pPr>
              <w:spacing w:line="480" w:lineRule="auto"/>
              <w:jc w:val="center"/>
              <w:rPr>
                <w:rFonts w:ascii="宋体" w:hAnsi="宋体"/>
                <w:color w:val="000000"/>
                <w:szCs w:val="21"/>
              </w:rPr>
            </w:pPr>
            <w:r>
              <w:rPr>
                <w:rFonts w:hint="eastAsia" w:ascii="宋体" w:hAnsi="宋体"/>
                <w:color w:val="000000"/>
                <w:szCs w:val="21"/>
              </w:rPr>
              <w:t>3</w:t>
            </w:r>
          </w:p>
        </w:tc>
        <w:tc>
          <w:tcPr>
            <w:tcW w:w="5142" w:type="dxa"/>
            <w:vAlign w:val="center"/>
          </w:tcPr>
          <w:p w14:paraId="3DAECDB4">
            <w:pPr>
              <w:spacing w:line="480" w:lineRule="auto"/>
              <w:rPr>
                <w:rFonts w:ascii="宋体" w:hAnsi="宋体"/>
                <w:color w:val="000000"/>
                <w:szCs w:val="21"/>
              </w:rPr>
            </w:pPr>
            <w:r>
              <w:rPr>
                <w:rFonts w:hint="eastAsia" w:ascii="宋体" w:hAnsi="宋体"/>
                <w:color w:val="000000"/>
                <w:szCs w:val="21"/>
              </w:rPr>
              <w:t>法律法规及采购文件规定的其他规定或约定（条款）</w:t>
            </w:r>
          </w:p>
        </w:tc>
        <w:tc>
          <w:tcPr>
            <w:tcW w:w="1520" w:type="dxa"/>
            <w:vAlign w:val="center"/>
          </w:tcPr>
          <w:p w14:paraId="228ED2D2">
            <w:pPr>
              <w:spacing w:line="480" w:lineRule="auto"/>
              <w:rPr>
                <w:rFonts w:ascii="宋体" w:hAnsi="宋体"/>
                <w:color w:val="000000"/>
                <w:szCs w:val="21"/>
              </w:rPr>
            </w:pPr>
          </w:p>
        </w:tc>
        <w:tc>
          <w:tcPr>
            <w:tcW w:w="1418" w:type="dxa"/>
            <w:vAlign w:val="center"/>
          </w:tcPr>
          <w:p w14:paraId="41FD3D03">
            <w:pPr>
              <w:spacing w:line="480" w:lineRule="auto"/>
              <w:rPr>
                <w:rFonts w:ascii="宋体" w:hAnsi="宋体"/>
                <w:color w:val="000000"/>
                <w:szCs w:val="21"/>
              </w:rPr>
            </w:pPr>
          </w:p>
        </w:tc>
      </w:tr>
    </w:tbl>
    <w:p w14:paraId="6A4A648A">
      <w:pPr>
        <w:rPr>
          <w:color w:val="000000"/>
        </w:rPr>
      </w:pPr>
    </w:p>
    <w:p w14:paraId="01289343">
      <w:pPr>
        <w:rPr>
          <w:color w:val="000000"/>
        </w:rPr>
      </w:pPr>
    </w:p>
    <w:p w14:paraId="6675F3F7">
      <w:pPr>
        <w:rPr>
          <w:color w:val="000000"/>
        </w:rPr>
      </w:pPr>
    </w:p>
    <w:p w14:paraId="38F409DD">
      <w:pPr>
        <w:rPr>
          <w:color w:val="000000"/>
        </w:rPr>
      </w:pPr>
    </w:p>
    <w:p w14:paraId="6B9DE43B">
      <w:pPr>
        <w:rPr>
          <w:color w:val="000000"/>
        </w:rPr>
      </w:pPr>
    </w:p>
    <w:p w14:paraId="5D6A2800">
      <w:pPr>
        <w:rPr>
          <w:color w:val="000000"/>
        </w:rPr>
      </w:pPr>
    </w:p>
    <w:p w14:paraId="53D83179">
      <w:pPr>
        <w:pStyle w:val="8"/>
        <w:rPr>
          <w:rFonts w:ascii="Times New Roman"/>
          <w:color w:val="000000"/>
          <w:kern w:val="2"/>
          <w:sz w:val="21"/>
        </w:rPr>
      </w:pPr>
    </w:p>
    <w:p w14:paraId="7D30F463">
      <w:pPr>
        <w:pStyle w:val="8"/>
        <w:rPr>
          <w:rFonts w:ascii="Times New Roman"/>
          <w:color w:val="000000"/>
          <w:kern w:val="2"/>
          <w:sz w:val="21"/>
        </w:rPr>
      </w:pPr>
    </w:p>
    <w:p w14:paraId="2365606A">
      <w:pPr>
        <w:pStyle w:val="8"/>
        <w:rPr>
          <w:rFonts w:ascii="Times New Roman"/>
          <w:color w:val="000000"/>
          <w:kern w:val="2"/>
          <w:sz w:val="21"/>
        </w:rPr>
      </w:pPr>
    </w:p>
    <w:p w14:paraId="6B55F7A7">
      <w:pPr>
        <w:pStyle w:val="8"/>
        <w:rPr>
          <w:color w:val="000000"/>
        </w:rPr>
      </w:pPr>
    </w:p>
    <w:p w14:paraId="03B76B34">
      <w:pPr>
        <w:rPr>
          <w:color w:val="000000"/>
        </w:rPr>
      </w:pPr>
    </w:p>
    <w:p w14:paraId="59468BF5">
      <w:pPr>
        <w:rPr>
          <w:color w:val="000000"/>
        </w:rPr>
      </w:pPr>
    </w:p>
    <w:p w14:paraId="7FE4CF26">
      <w:pPr>
        <w:rPr>
          <w:color w:val="000000"/>
        </w:rPr>
      </w:pPr>
    </w:p>
    <w:p w14:paraId="20048482">
      <w:pPr>
        <w:rPr>
          <w:color w:val="000000"/>
        </w:rPr>
      </w:pPr>
    </w:p>
    <w:p w14:paraId="26009320">
      <w:pPr>
        <w:rPr>
          <w:color w:val="000000"/>
        </w:rPr>
      </w:pPr>
    </w:p>
    <w:p w14:paraId="4AED1B09">
      <w:pPr>
        <w:rPr>
          <w:color w:val="000000"/>
        </w:rPr>
      </w:pPr>
    </w:p>
    <w:p w14:paraId="1CA72B49">
      <w:pPr>
        <w:spacing w:line="398" w:lineRule="exact"/>
        <w:jc w:val="center"/>
        <w:outlineLvl w:val="0"/>
        <w:rPr>
          <w:rFonts w:ascii="宋体" w:hAnsi="宋体"/>
          <w:b/>
          <w:color w:val="000000"/>
          <w:sz w:val="28"/>
          <w:szCs w:val="28"/>
        </w:rPr>
      </w:pPr>
      <w:r>
        <w:rPr>
          <w:rFonts w:hint="eastAsia" w:ascii="宋体" w:hAnsi="宋体" w:cs="宋体"/>
          <w:b/>
          <w:color w:val="000000"/>
          <w:sz w:val="28"/>
          <w:szCs w:val="28"/>
        </w:rPr>
        <w:br w:type="page"/>
      </w:r>
      <w:bookmarkStart w:id="472" w:name="_Toc184029947"/>
      <w:r>
        <w:rPr>
          <w:rFonts w:hint="eastAsia" w:ascii="宋体" w:hAnsi="宋体"/>
          <w:b/>
          <w:color w:val="000000"/>
          <w:sz w:val="28"/>
          <w:szCs w:val="28"/>
        </w:rPr>
        <w:t>第五章  投标（响应）文件格式</w:t>
      </w:r>
      <w:bookmarkEnd w:id="472"/>
    </w:p>
    <w:p w14:paraId="08E1017E"/>
    <w:p w14:paraId="1AA15936">
      <w:pPr>
        <w:spacing w:line="1200" w:lineRule="exact"/>
        <w:jc w:val="center"/>
        <w:rPr>
          <w:rFonts w:ascii="宋体" w:hAnsi="宋体" w:cs="宋体"/>
          <w:b/>
          <w:color w:val="000000"/>
          <w:sz w:val="72"/>
          <w:szCs w:val="72"/>
        </w:rPr>
      </w:pPr>
      <w:r>
        <w:rPr>
          <w:rFonts w:hint="eastAsia" w:ascii="宋体" w:hAnsi="宋体" w:cs="宋体"/>
          <w:b/>
          <w:color w:val="000000"/>
          <w:sz w:val="72"/>
          <w:szCs w:val="72"/>
        </w:rPr>
        <w:t>响 应 文 件</w:t>
      </w:r>
    </w:p>
    <w:p w14:paraId="350680CD">
      <w:pPr>
        <w:spacing w:line="1200" w:lineRule="exact"/>
        <w:jc w:val="center"/>
        <w:rPr>
          <w:rFonts w:ascii="宋体" w:hAnsi="宋体" w:cs="宋体"/>
          <w:b/>
          <w:color w:val="000000"/>
          <w:sz w:val="44"/>
          <w:szCs w:val="44"/>
        </w:rPr>
      </w:pPr>
      <w:r>
        <w:rPr>
          <w:rFonts w:hint="eastAsia" w:ascii="宋体" w:hAnsi="宋体" w:cs="宋体"/>
          <w:b/>
          <w:color w:val="000000"/>
          <w:sz w:val="44"/>
          <w:szCs w:val="44"/>
        </w:rPr>
        <w:t>（询价采购）</w:t>
      </w:r>
    </w:p>
    <w:p w14:paraId="65B46494">
      <w:pPr>
        <w:spacing w:line="480" w:lineRule="auto"/>
        <w:jc w:val="center"/>
        <w:rPr>
          <w:rFonts w:ascii="宋体" w:hAnsi="宋体" w:cs="宋体"/>
          <w:color w:val="000000"/>
          <w:sz w:val="36"/>
          <w:szCs w:val="36"/>
        </w:rPr>
      </w:pPr>
      <w:r>
        <w:rPr>
          <w:rFonts w:hint="eastAsia" w:ascii="宋体" w:hAnsi="宋体" w:cs="宋体"/>
          <w:color w:val="000000"/>
          <w:sz w:val="36"/>
          <w:szCs w:val="36"/>
        </w:rPr>
        <w:t>（正本/副本）</w:t>
      </w:r>
    </w:p>
    <w:p w14:paraId="26E5CD75">
      <w:pPr>
        <w:spacing w:line="480" w:lineRule="auto"/>
        <w:jc w:val="center"/>
        <w:rPr>
          <w:rFonts w:ascii="宋体" w:hAnsi="宋体" w:cs="宋体"/>
          <w:color w:val="000000"/>
          <w:sz w:val="36"/>
          <w:szCs w:val="36"/>
        </w:rPr>
      </w:pPr>
    </w:p>
    <w:p w14:paraId="5AAE9717">
      <w:pPr>
        <w:spacing w:line="480" w:lineRule="auto"/>
        <w:jc w:val="center"/>
        <w:rPr>
          <w:rFonts w:ascii="宋体" w:hAnsi="宋体" w:cs="宋体"/>
          <w:color w:val="000000"/>
          <w:sz w:val="36"/>
          <w:szCs w:val="36"/>
        </w:rPr>
      </w:pPr>
    </w:p>
    <w:p w14:paraId="533B4125">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项目名称：</w:t>
      </w:r>
      <w:r>
        <w:rPr>
          <w:rFonts w:hint="eastAsia" w:ascii="宋体" w:hAnsi="宋体" w:cs="宋体"/>
          <w:b/>
          <w:color w:val="000000"/>
          <w:sz w:val="30"/>
          <w:szCs w:val="30"/>
          <w:u w:val="single"/>
        </w:rPr>
        <w:t xml:space="preserve">               </w:t>
      </w:r>
    </w:p>
    <w:p w14:paraId="5F36E4A3">
      <w:pPr>
        <w:spacing w:line="1180" w:lineRule="exact"/>
        <w:ind w:firstLine="904" w:firstLineChars="300"/>
        <w:rPr>
          <w:rFonts w:ascii="宋体" w:hAnsi="宋体" w:cs="宋体"/>
          <w:b/>
          <w:color w:val="000000"/>
          <w:sz w:val="30"/>
          <w:szCs w:val="30"/>
          <w:u w:val="single"/>
        </w:rPr>
      </w:pPr>
      <w:r>
        <w:rPr>
          <w:rFonts w:hint="eastAsia" w:ascii="宋体" w:hAnsi="宋体" w:cs="宋体"/>
          <w:b/>
          <w:color w:val="000000"/>
          <w:sz w:val="30"/>
          <w:szCs w:val="30"/>
        </w:rPr>
        <w:t>项目编号：</w:t>
      </w:r>
      <w:r>
        <w:rPr>
          <w:rFonts w:hint="eastAsia" w:ascii="宋体" w:hAnsi="宋体" w:cs="宋体"/>
          <w:b/>
          <w:color w:val="000000"/>
          <w:sz w:val="30"/>
          <w:szCs w:val="30"/>
          <w:u w:val="single"/>
        </w:rPr>
        <w:t xml:space="preserve">               </w:t>
      </w:r>
    </w:p>
    <w:p w14:paraId="728DE377">
      <w:pPr>
        <w:spacing w:line="1180" w:lineRule="exact"/>
        <w:ind w:firstLine="904" w:firstLineChars="300"/>
        <w:rPr>
          <w:rFonts w:ascii="宋体" w:hAnsi="宋体" w:cs="宋体"/>
          <w:b/>
          <w:color w:val="000000"/>
          <w:sz w:val="30"/>
          <w:szCs w:val="30"/>
        </w:rPr>
      </w:pPr>
    </w:p>
    <w:p w14:paraId="0DB99F4E">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投 标 人：</w:t>
      </w:r>
      <w:r>
        <w:rPr>
          <w:rFonts w:hint="eastAsia" w:ascii="宋体" w:hAnsi="宋体" w:cs="宋体"/>
          <w:b/>
          <w:color w:val="000000"/>
          <w:sz w:val="30"/>
          <w:szCs w:val="30"/>
          <w:u w:val="single"/>
        </w:rPr>
        <w:t xml:space="preserve">  </w:t>
      </w:r>
      <w:r>
        <w:rPr>
          <w:rFonts w:hint="eastAsia" w:ascii="宋体" w:hAnsi="宋体" w:cs="宋体"/>
          <w:b/>
          <w:i/>
          <w:color w:val="000000"/>
          <w:sz w:val="30"/>
          <w:szCs w:val="30"/>
          <w:u w:val="single"/>
        </w:rPr>
        <w:t>供应商名称</w:t>
      </w:r>
      <w:r>
        <w:rPr>
          <w:rFonts w:hint="eastAsia" w:ascii="宋体" w:hAnsi="宋体" w:cs="宋体"/>
          <w:b/>
          <w:color w:val="000000"/>
          <w:sz w:val="30"/>
          <w:szCs w:val="30"/>
          <w:u w:val="single"/>
        </w:rPr>
        <w:t xml:space="preserve">    </w:t>
      </w:r>
    </w:p>
    <w:p w14:paraId="0A2F5535">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日    期 ：</w:t>
      </w:r>
      <w:r>
        <w:rPr>
          <w:rFonts w:hint="eastAsia" w:ascii="宋体" w:hAnsi="宋体" w:cs="宋体"/>
          <w:b/>
          <w:color w:val="000000"/>
          <w:sz w:val="30"/>
          <w:szCs w:val="30"/>
          <w:u w:val="single"/>
        </w:rPr>
        <w:t xml:space="preserve">               </w:t>
      </w:r>
    </w:p>
    <w:p w14:paraId="2F5730D9">
      <w:pPr>
        <w:spacing w:line="480" w:lineRule="auto"/>
        <w:jc w:val="center"/>
        <w:rPr>
          <w:rFonts w:ascii="宋体" w:hAnsi="宋体" w:cs="宋体"/>
          <w:b/>
          <w:color w:val="000000"/>
          <w:sz w:val="28"/>
          <w:szCs w:val="28"/>
        </w:rPr>
      </w:pPr>
    </w:p>
    <w:p w14:paraId="09A1687D">
      <w:pPr>
        <w:spacing w:line="480" w:lineRule="auto"/>
        <w:jc w:val="center"/>
        <w:rPr>
          <w:rFonts w:ascii="宋体" w:hAnsi="宋体" w:cs="宋体"/>
          <w:b/>
          <w:color w:val="000000"/>
          <w:sz w:val="28"/>
          <w:szCs w:val="28"/>
        </w:rPr>
      </w:pPr>
    </w:p>
    <w:p w14:paraId="1D0E6E9C">
      <w:pPr>
        <w:spacing w:line="480" w:lineRule="auto"/>
        <w:jc w:val="center"/>
        <w:rPr>
          <w:rFonts w:ascii="宋体" w:hAnsi="宋体" w:cs="宋体"/>
          <w:b/>
          <w:color w:val="000000"/>
          <w:sz w:val="28"/>
          <w:szCs w:val="28"/>
        </w:rPr>
      </w:pPr>
    </w:p>
    <w:p w14:paraId="133152D4">
      <w:pPr>
        <w:spacing w:line="480" w:lineRule="auto"/>
        <w:rPr>
          <w:rFonts w:ascii="宋体" w:hAnsi="宋体" w:cs="宋体"/>
          <w:b/>
          <w:color w:val="000000"/>
          <w:sz w:val="28"/>
          <w:szCs w:val="28"/>
        </w:rPr>
      </w:pPr>
    </w:p>
    <w:p w14:paraId="2012269D">
      <w:pPr>
        <w:spacing w:line="780" w:lineRule="exact"/>
        <w:jc w:val="center"/>
        <w:rPr>
          <w:rFonts w:ascii="宋体" w:hAnsi="宋体" w:cs="宋体"/>
          <w:b/>
          <w:color w:val="000000"/>
          <w:sz w:val="28"/>
          <w:szCs w:val="28"/>
        </w:rPr>
      </w:pPr>
    </w:p>
    <w:p w14:paraId="4538062B">
      <w:pPr>
        <w:spacing w:line="780" w:lineRule="exact"/>
        <w:jc w:val="center"/>
        <w:outlineLvl w:val="1"/>
        <w:rPr>
          <w:rFonts w:ascii="宋体" w:hAnsi="宋体" w:cs="宋体"/>
          <w:b/>
          <w:bCs/>
          <w:color w:val="000000"/>
          <w:sz w:val="28"/>
          <w:szCs w:val="28"/>
        </w:rPr>
      </w:pPr>
      <w:bookmarkStart w:id="473" w:name="_Toc184029948"/>
      <w:r>
        <w:rPr>
          <w:rFonts w:hint="eastAsia" w:ascii="宋体" w:hAnsi="宋体" w:cs="宋体"/>
          <w:b/>
          <w:color w:val="000000"/>
          <w:sz w:val="28"/>
          <w:szCs w:val="28"/>
        </w:rPr>
        <w:t>投标（响应）文件</w:t>
      </w:r>
      <w:r>
        <w:rPr>
          <w:rFonts w:hint="eastAsia" w:ascii="宋体" w:hAnsi="宋体" w:cs="宋体"/>
          <w:b/>
          <w:bCs/>
          <w:color w:val="000000"/>
          <w:sz w:val="28"/>
          <w:szCs w:val="28"/>
        </w:rPr>
        <w:t>目录</w:t>
      </w:r>
      <w:bookmarkEnd w:id="473"/>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0"/>
        <w:gridCol w:w="1563"/>
      </w:tblGrid>
      <w:tr w14:paraId="6138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930" w:type="dxa"/>
            <w:vAlign w:val="center"/>
          </w:tcPr>
          <w:p w14:paraId="19F1EFDA">
            <w:pPr>
              <w:spacing w:line="504" w:lineRule="auto"/>
              <w:jc w:val="center"/>
              <w:rPr>
                <w:rFonts w:ascii="宋体" w:hAnsi="宋体" w:cs="宋体"/>
                <w:b/>
                <w:color w:val="000000"/>
                <w:sz w:val="24"/>
              </w:rPr>
            </w:pPr>
            <w:r>
              <w:rPr>
                <w:rFonts w:hint="eastAsia" w:ascii="宋体" w:hAnsi="宋体" w:cs="宋体"/>
                <w:b/>
                <w:color w:val="000000"/>
                <w:sz w:val="24"/>
              </w:rPr>
              <w:t>名称</w:t>
            </w:r>
          </w:p>
        </w:tc>
        <w:tc>
          <w:tcPr>
            <w:tcW w:w="1563" w:type="dxa"/>
            <w:vAlign w:val="center"/>
          </w:tcPr>
          <w:p w14:paraId="4D945E60">
            <w:pPr>
              <w:spacing w:line="504" w:lineRule="auto"/>
              <w:jc w:val="center"/>
              <w:rPr>
                <w:rFonts w:ascii="宋体" w:hAnsi="宋体" w:cs="宋体"/>
                <w:b/>
                <w:color w:val="000000"/>
                <w:sz w:val="24"/>
              </w:rPr>
            </w:pPr>
            <w:r>
              <w:rPr>
                <w:rFonts w:hint="eastAsia" w:ascii="宋体" w:hAnsi="宋体" w:cs="宋体"/>
                <w:b/>
                <w:color w:val="000000"/>
                <w:sz w:val="24"/>
              </w:rPr>
              <w:t>所在页码</w:t>
            </w:r>
          </w:p>
        </w:tc>
      </w:tr>
      <w:tr w14:paraId="33B2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24EC94FE">
            <w:pPr>
              <w:spacing w:line="480" w:lineRule="auto"/>
              <w:rPr>
                <w:rFonts w:ascii="宋体" w:hAnsi="宋体"/>
                <w:color w:val="000000"/>
                <w:szCs w:val="21"/>
              </w:rPr>
            </w:pPr>
            <w:r>
              <w:rPr>
                <w:rFonts w:hint="eastAsia" w:ascii="宋体" w:hAnsi="宋体"/>
                <w:color w:val="000000"/>
                <w:szCs w:val="21"/>
              </w:rPr>
              <w:t>一、报价一览表(报价表)（格式）</w:t>
            </w:r>
          </w:p>
        </w:tc>
        <w:tc>
          <w:tcPr>
            <w:tcW w:w="1563" w:type="dxa"/>
            <w:vAlign w:val="center"/>
          </w:tcPr>
          <w:p w14:paraId="1AF3B2B3">
            <w:pPr>
              <w:spacing w:line="504" w:lineRule="auto"/>
              <w:rPr>
                <w:rFonts w:ascii="宋体" w:hAnsi="宋体" w:cs="宋体"/>
                <w:color w:val="000000"/>
                <w:szCs w:val="21"/>
              </w:rPr>
            </w:pPr>
          </w:p>
        </w:tc>
      </w:tr>
      <w:tr w14:paraId="5F2D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560B9F08">
            <w:pPr>
              <w:spacing w:line="480" w:lineRule="auto"/>
              <w:rPr>
                <w:rFonts w:ascii="宋体" w:hAnsi="宋体"/>
                <w:color w:val="000000"/>
                <w:szCs w:val="21"/>
              </w:rPr>
            </w:pPr>
            <w:r>
              <w:rPr>
                <w:rFonts w:hint="eastAsia" w:ascii="宋体" w:hAnsi="宋体"/>
                <w:color w:val="000000"/>
                <w:szCs w:val="21"/>
              </w:rPr>
              <w:t>二、供应商的资格证明文件</w:t>
            </w:r>
          </w:p>
        </w:tc>
        <w:tc>
          <w:tcPr>
            <w:tcW w:w="1563" w:type="dxa"/>
            <w:vAlign w:val="center"/>
          </w:tcPr>
          <w:p w14:paraId="76994412">
            <w:pPr>
              <w:spacing w:line="504" w:lineRule="auto"/>
              <w:rPr>
                <w:rFonts w:ascii="宋体" w:hAnsi="宋体" w:cs="宋体"/>
                <w:color w:val="000000"/>
                <w:szCs w:val="21"/>
              </w:rPr>
            </w:pPr>
          </w:p>
        </w:tc>
      </w:tr>
      <w:tr w14:paraId="56B5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7B9D5A82">
            <w:pPr>
              <w:spacing w:line="480" w:lineRule="auto"/>
              <w:rPr>
                <w:rFonts w:ascii="宋体" w:hAnsi="宋体"/>
                <w:color w:val="000000"/>
                <w:szCs w:val="21"/>
              </w:rPr>
            </w:pPr>
            <w:r>
              <w:rPr>
                <w:rFonts w:hint="eastAsia" w:ascii="宋体" w:hAnsi="宋体"/>
                <w:color w:val="000000"/>
                <w:szCs w:val="21"/>
              </w:rPr>
              <w:t>三、法定代表人授权委托书（格式）</w:t>
            </w:r>
          </w:p>
        </w:tc>
        <w:tc>
          <w:tcPr>
            <w:tcW w:w="1563" w:type="dxa"/>
            <w:vAlign w:val="center"/>
          </w:tcPr>
          <w:p w14:paraId="3BB88C69">
            <w:pPr>
              <w:spacing w:line="504" w:lineRule="auto"/>
              <w:rPr>
                <w:rFonts w:ascii="宋体" w:hAnsi="宋体" w:cs="宋体"/>
                <w:color w:val="000000"/>
                <w:szCs w:val="21"/>
              </w:rPr>
            </w:pPr>
          </w:p>
        </w:tc>
      </w:tr>
      <w:tr w14:paraId="2815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1E593137">
            <w:pPr>
              <w:spacing w:line="480" w:lineRule="auto"/>
              <w:rPr>
                <w:rFonts w:ascii="宋体" w:hAnsi="宋体"/>
                <w:color w:val="000000"/>
                <w:szCs w:val="21"/>
              </w:rPr>
            </w:pPr>
            <w:r>
              <w:rPr>
                <w:rFonts w:hint="eastAsia" w:ascii="宋体" w:hAnsi="宋体"/>
                <w:color w:val="000000"/>
                <w:szCs w:val="21"/>
              </w:rPr>
              <w:t>四、投标（响应）书（格式）</w:t>
            </w:r>
          </w:p>
        </w:tc>
        <w:tc>
          <w:tcPr>
            <w:tcW w:w="1563" w:type="dxa"/>
            <w:vAlign w:val="center"/>
          </w:tcPr>
          <w:p w14:paraId="0910FC44">
            <w:pPr>
              <w:spacing w:line="504" w:lineRule="auto"/>
              <w:rPr>
                <w:rFonts w:ascii="宋体" w:hAnsi="宋体" w:cs="宋体"/>
                <w:color w:val="000000"/>
                <w:szCs w:val="21"/>
              </w:rPr>
            </w:pPr>
          </w:p>
        </w:tc>
      </w:tr>
      <w:tr w14:paraId="40F6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6D862C48">
            <w:pPr>
              <w:spacing w:line="480" w:lineRule="auto"/>
              <w:rPr>
                <w:rFonts w:ascii="宋体" w:hAnsi="宋体"/>
                <w:color w:val="000000"/>
                <w:szCs w:val="21"/>
              </w:rPr>
            </w:pPr>
            <w:r>
              <w:rPr>
                <w:rFonts w:hint="eastAsia" w:ascii="宋体" w:hAnsi="宋体"/>
                <w:color w:val="000000"/>
                <w:szCs w:val="21"/>
              </w:rPr>
              <w:t>五、盐城市政府采购事前信用承诺书（格式）</w:t>
            </w:r>
          </w:p>
        </w:tc>
        <w:tc>
          <w:tcPr>
            <w:tcW w:w="1563" w:type="dxa"/>
            <w:vAlign w:val="center"/>
          </w:tcPr>
          <w:p w14:paraId="2E560649">
            <w:pPr>
              <w:spacing w:line="504" w:lineRule="auto"/>
              <w:rPr>
                <w:rFonts w:ascii="宋体" w:hAnsi="宋体" w:cs="宋体"/>
                <w:color w:val="000000"/>
                <w:szCs w:val="21"/>
              </w:rPr>
            </w:pPr>
          </w:p>
        </w:tc>
      </w:tr>
      <w:tr w14:paraId="2B4D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930" w:type="dxa"/>
            <w:vAlign w:val="center"/>
          </w:tcPr>
          <w:p w14:paraId="3A8ECFE6">
            <w:pPr>
              <w:spacing w:line="480" w:lineRule="auto"/>
              <w:rPr>
                <w:rFonts w:ascii="宋体" w:hAnsi="宋体"/>
                <w:color w:val="000000"/>
                <w:szCs w:val="21"/>
              </w:rPr>
            </w:pPr>
            <w:r>
              <w:rPr>
                <w:rFonts w:hint="eastAsia" w:ascii="宋体" w:hAnsi="宋体"/>
                <w:color w:val="000000"/>
                <w:szCs w:val="21"/>
              </w:rPr>
              <w:t>六、商务要求响应情况表（格式）</w:t>
            </w:r>
          </w:p>
        </w:tc>
        <w:tc>
          <w:tcPr>
            <w:tcW w:w="1563" w:type="dxa"/>
            <w:vAlign w:val="center"/>
          </w:tcPr>
          <w:p w14:paraId="315EFFBE">
            <w:pPr>
              <w:spacing w:line="504" w:lineRule="auto"/>
              <w:rPr>
                <w:rFonts w:ascii="宋体" w:hAnsi="宋体" w:cs="宋体"/>
                <w:color w:val="000000"/>
                <w:szCs w:val="21"/>
              </w:rPr>
            </w:pPr>
          </w:p>
        </w:tc>
      </w:tr>
      <w:tr w14:paraId="6651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30" w:type="dxa"/>
            <w:vAlign w:val="center"/>
          </w:tcPr>
          <w:p w14:paraId="5CBF3BA7">
            <w:pPr>
              <w:spacing w:line="480" w:lineRule="auto"/>
              <w:rPr>
                <w:rFonts w:ascii="宋体" w:hAnsi="宋体"/>
                <w:color w:val="000000"/>
                <w:szCs w:val="21"/>
              </w:rPr>
            </w:pPr>
            <w:r>
              <w:rPr>
                <w:rFonts w:hint="eastAsia" w:ascii="宋体" w:hAnsi="宋体"/>
                <w:color w:val="000000"/>
                <w:szCs w:val="21"/>
                <w:lang w:eastAsia="zh-CN"/>
              </w:rPr>
              <w:t>七</w:t>
            </w:r>
            <w:r>
              <w:rPr>
                <w:rFonts w:hint="eastAsia" w:ascii="宋体" w:hAnsi="宋体"/>
                <w:color w:val="000000"/>
                <w:szCs w:val="21"/>
              </w:rPr>
              <w:t>、投标（响应）文件的其它内容</w:t>
            </w:r>
          </w:p>
        </w:tc>
        <w:tc>
          <w:tcPr>
            <w:tcW w:w="1563" w:type="dxa"/>
            <w:vAlign w:val="center"/>
          </w:tcPr>
          <w:p w14:paraId="3A9B4654">
            <w:pPr>
              <w:spacing w:line="504" w:lineRule="auto"/>
              <w:rPr>
                <w:rFonts w:ascii="宋体" w:hAnsi="宋体" w:cs="宋体"/>
                <w:color w:val="000000"/>
                <w:szCs w:val="21"/>
              </w:rPr>
            </w:pPr>
          </w:p>
        </w:tc>
      </w:tr>
      <w:tr w14:paraId="15FF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30" w:type="dxa"/>
            <w:vAlign w:val="center"/>
          </w:tcPr>
          <w:p w14:paraId="598BEC8C">
            <w:pPr>
              <w:spacing w:line="504" w:lineRule="auto"/>
              <w:jc w:val="center"/>
              <w:rPr>
                <w:rFonts w:ascii="宋体" w:hAnsi="宋体" w:cs="宋体"/>
                <w:color w:val="000000"/>
                <w:sz w:val="24"/>
              </w:rPr>
            </w:pPr>
            <w:r>
              <w:rPr>
                <w:rFonts w:hint="eastAsia" w:ascii="宋体" w:hAnsi="宋体"/>
                <w:i/>
                <w:color w:val="000000"/>
                <w:szCs w:val="21"/>
                <w:u w:val="single"/>
              </w:rPr>
              <w:t>行数不够，可按本表格式自行添加</w:t>
            </w:r>
          </w:p>
        </w:tc>
        <w:tc>
          <w:tcPr>
            <w:tcW w:w="1563" w:type="dxa"/>
            <w:vAlign w:val="center"/>
          </w:tcPr>
          <w:p w14:paraId="57CC88C9">
            <w:pPr>
              <w:spacing w:line="504" w:lineRule="auto"/>
              <w:rPr>
                <w:rFonts w:ascii="宋体" w:hAnsi="宋体" w:cs="宋体"/>
                <w:color w:val="000000"/>
                <w:sz w:val="24"/>
              </w:rPr>
            </w:pPr>
          </w:p>
        </w:tc>
      </w:tr>
      <w:tr w14:paraId="345C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493" w:type="dxa"/>
            <w:gridSpan w:val="2"/>
            <w:vAlign w:val="center"/>
          </w:tcPr>
          <w:p w14:paraId="2C15A804">
            <w:pPr>
              <w:jc w:val="center"/>
              <w:rPr>
                <w:rFonts w:ascii="宋体" w:hAnsi="宋体"/>
                <w:b/>
                <w:color w:val="000000"/>
                <w:sz w:val="18"/>
                <w:szCs w:val="18"/>
              </w:rPr>
            </w:pPr>
            <w:r>
              <w:rPr>
                <w:rFonts w:hint="eastAsia" w:ascii="宋体" w:hAnsi="宋体"/>
                <w:b/>
                <w:color w:val="000000"/>
                <w:sz w:val="18"/>
                <w:szCs w:val="18"/>
              </w:rPr>
              <w:t>特别说明</w:t>
            </w:r>
          </w:p>
          <w:p w14:paraId="5B5E2E07">
            <w:pPr>
              <w:rPr>
                <w:rFonts w:ascii="宋体" w:hAnsi="宋体"/>
                <w:b/>
                <w:color w:val="000000"/>
                <w:sz w:val="18"/>
                <w:szCs w:val="18"/>
              </w:rPr>
            </w:pPr>
            <w:r>
              <w:rPr>
                <w:rFonts w:hint="eastAsia" w:ascii="宋体" w:hAnsi="宋体"/>
                <w:b/>
                <w:color w:val="000000"/>
                <w:sz w:val="18"/>
                <w:szCs w:val="18"/>
              </w:rPr>
              <w:t>1.本目录（含页码）是专家评审的重要依据，请供应商准确（完整）填写。如供应商未能准确（完整）填写的，所引起的后果由供应商自负；</w:t>
            </w:r>
          </w:p>
          <w:p w14:paraId="6FB5921F">
            <w:pPr>
              <w:rPr>
                <w:rFonts w:ascii="宋体" w:hAnsi="宋体"/>
                <w:color w:val="000000"/>
                <w:sz w:val="18"/>
                <w:szCs w:val="18"/>
              </w:rPr>
            </w:pPr>
            <w:r>
              <w:rPr>
                <w:rFonts w:hint="eastAsia" w:ascii="宋体" w:hAnsi="宋体"/>
                <w:color w:val="000000"/>
                <w:sz w:val="18"/>
                <w:szCs w:val="18"/>
              </w:rPr>
              <w:t>2.供应商可以根据自身需要编辑详细的投标（响应）文件目录。供应商的投标（响应）文件目录应当遵循格式规范、便于查找获得的原则（以便评审人员评审）；</w:t>
            </w:r>
          </w:p>
          <w:p w14:paraId="6F5F6B85">
            <w:pPr>
              <w:rPr>
                <w:b/>
                <w:color w:val="000000"/>
              </w:rPr>
            </w:pPr>
            <w:r>
              <w:rPr>
                <w:rFonts w:hint="eastAsia"/>
                <w:b/>
                <w:color w:val="000000"/>
                <w:sz w:val="18"/>
                <w:szCs w:val="18"/>
              </w:rPr>
              <w:t>3.</w:t>
            </w:r>
            <w:r>
              <w:rPr>
                <w:b/>
                <w:color w:val="000000"/>
                <w:sz w:val="18"/>
                <w:szCs w:val="18"/>
              </w:rPr>
              <w:t>中小企业应当</w:t>
            </w:r>
            <w:r>
              <w:rPr>
                <w:rFonts w:hint="eastAsia"/>
                <w:b/>
                <w:color w:val="000000"/>
                <w:sz w:val="18"/>
                <w:szCs w:val="18"/>
              </w:rPr>
              <w:t>按照《</w:t>
            </w:r>
            <w:r>
              <w:rPr>
                <w:b/>
                <w:color w:val="000000"/>
                <w:sz w:val="18"/>
                <w:szCs w:val="18"/>
              </w:rPr>
              <w:t>政府采购促进中小企业发展管理办法</w:t>
            </w:r>
            <w:r>
              <w:rPr>
                <w:rFonts w:hint="eastAsia"/>
                <w:b/>
                <w:color w:val="000000"/>
                <w:sz w:val="18"/>
                <w:szCs w:val="18"/>
              </w:rPr>
              <w:t>》等相关</w:t>
            </w:r>
            <w:r>
              <w:rPr>
                <w:b/>
                <w:color w:val="000000"/>
                <w:sz w:val="18"/>
                <w:szCs w:val="18"/>
              </w:rPr>
              <w:t>规定出具《中小企业声明函》</w:t>
            </w:r>
            <w:r>
              <w:rPr>
                <w:rFonts w:hint="eastAsia"/>
                <w:b/>
                <w:color w:val="000000"/>
                <w:sz w:val="18"/>
                <w:szCs w:val="18"/>
              </w:rPr>
              <w:t>等相关证明（自行从财政部官方网站下载）</w:t>
            </w:r>
            <w:r>
              <w:rPr>
                <w:b/>
                <w:color w:val="000000"/>
                <w:sz w:val="18"/>
                <w:szCs w:val="18"/>
              </w:rPr>
              <w:t>，否则不得享受相关中小企业扶持政策。</w:t>
            </w:r>
          </w:p>
        </w:tc>
      </w:tr>
    </w:tbl>
    <w:p w14:paraId="0A853353">
      <w:pPr>
        <w:rPr>
          <w:color w:val="000000"/>
        </w:rPr>
      </w:pPr>
    </w:p>
    <w:p w14:paraId="32089C3D">
      <w:pPr>
        <w:rPr>
          <w:color w:val="000000"/>
        </w:rPr>
      </w:pPr>
    </w:p>
    <w:p w14:paraId="7AD926E5">
      <w:pPr>
        <w:rPr>
          <w:color w:val="000000"/>
        </w:rPr>
      </w:pPr>
    </w:p>
    <w:p w14:paraId="5ABFF22B">
      <w:pPr>
        <w:rPr>
          <w:color w:val="000000"/>
        </w:rPr>
      </w:pPr>
    </w:p>
    <w:p w14:paraId="63509F04">
      <w:pPr>
        <w:rPr>
          <w:color w:val="000000"/>
        </w:rPr>
      </w:pPr>
    </w:p>
    <w:p w14:paraId="1CB6AB5E">
      <w:pPr>
        <w:pStyle w:val="8"/>
        <w:rPr>
          <w:color w:val="000000"/>
        </w:rPr>
      </w:pPr>
    </w:p>
    <w:p w14:paraId="4EDB82D2">
      <w:pPr>
        <w:pStyle w:val="8"/>
        <w:rPr>
          <w:color w:val="000000"/>
        </w:rPr>
      </w:pPr>
    </w:p>
    <w:p w14:paraId="083004A0">
      <w:pPr>
        <w:pStyle w:val="8"/>
        <w:rPr>
          <w:color w:val="000000"/>
        </w:rPr>
      </w:pPr>
    </w:p>
    <w:p w14:paraId="3F878B41">
      <w:pPr>
        <w:pStyle w:val="8"/>
        <w:rPr>
          <w:color w:val="000000"/>
        </w:rPr>
      </w:pPr>
    </w:p>
    <w:p w14:paraId="6B3E7B1D">
      <w:pPr>
        <w:rPr>
          <w:color w:val="000000"/>
        </w:rPr>
      </w:pPr>
    </w:p>
    <w:p w14:paraId="3DA72203">
      <w:pPr>
        <w:pStyle w:val="8"/>
        <w:rPr>
          <w:color w:val="000000"/>
        </w:rPr>
      </w:pPr>
    </w:p>
    <w:p w14:paraId="3104CF85"/>
    <w:p w14:paraId="48C517FE">
      <w:pPr>
        <w:pStyle w:val="36"/>
      </w:pPr>
    </w:p>
    <w:p w14:paraId="089F083D"/>
    <w:p w14:paraId="45D13888"/>
    <w:p w14:paraId="2650F365">
      <w:pPr>
        <w:spacing w:line="552" w:lineRule="auto"/>
        <w:jc w:val="center"/>
        <w:outlineLvl w:val="1"/>
        <w:rPr>
          <w:rFonts w:ascii="宋体" w:hAnsi="宋体" w:cs="宋体"/>
          <w:b/>
          <w:bCs/>
          <w:color w:val="000000"/>
          <w:sz w:val="28"/>
          <w:szCs w:val="28"/>
        </w:rPr>
      </w:pPr>
      <w:bookmarkStart w:id="474" w:name="_Toc184029949"/>
      <w:r>
        <w:rPr>
          <w:rFonts w:hint="eastAsia" w:ascii="宋体" w:hAnsi="宋体" w:cs="宋体"/>
          <w:b/>
          <w:bCs/>
          <w:color w:val="000000"/>
          <w:sz w:val="28"/>
          <w:szCs w:val="28"/>
        </w:rPr>
        <w:t>一、报价一览表(报价表)（格式）</w:t>
      </w:r>
      <w:bookmarkEnd w:id="47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5253"/>
      </w:tblGrid>
      <w:tr w14:paraId="3B0D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2DC87E36">
            <w:pPr>
              <w:spacing w:line="552" w:lineRule="auto"/>
              <w:ind w:firstLine="422"/>
              <w:jc w:val="center"/>
              <w:rPr>
                <w:rFonts w:ascii="宋体" w:hAnsi="宋体" w:cs="宋体"/>
                <w:b/>
                <w:color w:val="000000"/>
                <w:szCs w:val="21"/>
              </w:rPr>
            </w:pPr>
            <w:r>
              <w:rPr>
                <w:rFonts w:hint="eastAsia" w:ascii="宋体" w:hAnsi="宋体" w:cs="宋体"/>
                <w:b/>
                <w:color w:val="000000"/>
                <w:szCs w:val="21"/>
              </w:rPr>
              <w:t>项目编号</w:t>
            </w:r>
          </w:p>
        </w:tc>
        <w:tc>
          <w:tcPr>
            <w:tcW w:w="5253" w:type="dxa"/>
            <w:tcBorders>
              <w:top w:val="single" w:color="auto" w:sz="4" w:space="0"/>
              <w:left w:val="single" w:color="auto" w:sz="4" w:space="0"/>
              <w:bottom w:val="single" w:color="auto" w:sz="4" w:space="0"/>
              <w:right w:val="single" w:color="auto" w:sz="4" w:space="0"/>
            </w:tcBorders>
            <w:noWrap/>
            <w:vAlign w:val="center"/>
          </w:tcPr>
          <w:p w14:paraId="3AA9E369">
            <w:pPr>
              <w:spacing w:line="552" w:lineRule="auto"/>
              <w:ind w:firstLine="420"/>
              <w:rPr>
                <w:rFonts w:ascii="宋体" w:hAnsi="宋体" w:cs="宋体"/>
                <w:color w:val="000000"/>
                <w:szCs w:val="21"/>
              </w:rPr>
            </w:pPr>
          </w:p>
        </w:tc>
      </w:tr>
      <w:tr w14:paraId="12A6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1FD8B215">
            <w:pPr>
              <w:spacing w:line="552" w:lineRule="auto"/>
              <w:ind w:firstLine="422"/>
              <w:jc w:val="center"/>
              <w:rPr>
                <w:rFonts w:ascii="宋体" w:hAnsi="宋体" w:cs="宋体"/>
                <w:b/>
                <w:color w:val="000000"/>
                <w:szCs w:val="21"/>
              </w:rPr>
            </w:pPr>
            <w:r>
              <w:rPr>
                <w:rFonts w:hint="eastAsia" w:ascii="宋体" w:hAnsi="宋体" w:cs="宋体"/>
                <w:b/>
                <w:color w:val="000000"/>
                <w:szCs w:val="21"/>
              </w:rPr>
              <w:t>项目名称</w:t>
            </w:r>
          </w:p>
        </w:tc>
        <w:tc>
          <w:tcPr>
            <w:tcW w:w="5253" w:type="dxa"/>
            <w:tcBorders>
              <w:top w:val="single" w:color="auto" w:sz="4" w:space="0"/>
              <w:left w:val="single" w:color="auto" w:sz="4" w:space="0"/>
              <w:bottom w:val="single" w:color="auto" w:sz="4" w:space="0"/>
              <w:right w:val="single" w:color="auto" w:sz="4" w:space="0"/>
            </w:tcBorders>
            <w:noWrap/>
            <w:vAlign w:val="center"/>
          </w:tcPr>
          <w:p w14:paraId="07B8B822">
            <w:pPr>
              <w:spacing w:line="552" w:lineRule="auto"/>
              <w:ind w:firstLine="420"/>
              <w:rPr>
                <w:rFonts w:ascii="宋体" w:hAnsi="宋体" w:cs="宋体"/>
                <w:color w:val="000000"/>
                <w:szCs w:val="21"/>
              </w:rPr>
            </w:pPr>
          </w:p>
        </w:tc>
      </w:tr>
      <w:tr w14:paraId="7A02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3132" w:type="dxa"/>
            <w:tcBorders>
              <w:top w:val="single" w:color="auto" w:sz="4" w:space="0"/>
              <w:left w:val="single" w:color="auto" w:sz="4" w:space="0"/>
              <w:right w:val="single" w:color="auto" w:sz="4" w:space="0"/>
            </w:tcBorders>
            <w:noWrap/>
            <w:vAlign w:val="center"/>
          </w:tcPr>
          <w:p w14:paraId="1C1B591B">
            <w:pPr>
              <w:spacing w:line="552" w:lineRule="auto"/>
              <w:ind w:firstLine="422"/>
              <w:jc w:val="center"/>
              <w:rPr>
                <w:rFonts w:ascii="宋体" w:hAnsi="宋体" w:cs="宋体"/>
                <w:b/>
                <w:color w:val="000000"/>
                <w:szCs w:val="21"/>
              </w:rPr>
            </w:pPr>
            <w:r>
              <w:rPr>
                <w:rFonts w:hint="eastAsia" w:ascii="宋体" w:hAnsi="宋体" w:cs="宋体"/>
                <w:b/>
                <w:color w:val="000000"/>
                <w:szCs w:val="21"/>
              </w:rPr>
              <w:t>投标价格</w:t>
            </w:r>
          </w:p>
          <w:p w14:paraId="79BC6BFA">
            <w:pPr>
              <w:spacing w:line="552" w:lineRule="auto"/>
              <w:ind w:firstLine="422"/>
              <w:jc w:val="center"/>
              <w:rPr>
                <w:rFonts w:ascii="宋体" w:hAnsi="宋体" w:cs="宋体"/>
                <w:b/>
                <w:color w:val="000000"/>
                <w:szCs w:val="21"/>
              </w:rPr>
            </w:pPr>
            <w:r>
              <w:rPr>
                <w:rFonts w:hint="eastAsia" w:ascii="宋体" w:hAnsi="宋体" w:cs="宋体"/>
                <w:b/>
                <w:color w:val="000000"/>
                <w:szCs w:val="21"/>
              </w:rPr>
              <w:t>（投标总报价）</w:t>
            </w:r>
          </w:p>
        </w:tc>
        <w:tc>
          <w:tcPr>
            <w:tcW w:w="5253" w:type="dxa"/>
            <w:tcBorders>
              <w:top w:val="single" w:color="auto" w:sz="4" w:space="0"/>
              <w:left w:val="single" w:color="auto" w:sz="4" w:space="0"/>
              <w:right w:val="single" w:color="auto" w:sz="4" w:space="0"/>
            </w:tcBorders>
            <w:noWrap/>
            <w:vAlign w:val="center"/>
          </w:tcPr>
          <w:p w14:paraId="7D1A827F">
            <w:pPr>
              <w:spacing w:line="552" w:lineRule="auto"/>
              <w:ind w:firstLine="420"/>
              <w:rPr>
                <w:rFonts w:hint="eastAsia" w:ascii="宋体" w:hAnsi="宋体" w:eastAsia="宋体" w:cs="宋体"/>
                <w:color w:val="000000"/>
                <w:szCs w:val="21"/>
                <w:u w:val="single"/>
                <w:lang w:eastAsia="zh-CN"/>
              </w:rPr>
            </w:pPr>
            <w:r>
              <w:rPr>
                <w:rFonts w:hint="eastAsia" w:ascii="宋体" w:hAnsi="宋体" w:cs="宋体"/>
                <w:color w:val="000000"/>
                <w:szCs w:val="21"/>
                <w:u w:val="single"/>
              </w:rPr>
              <w:t xml:space="preserve">大写：                     </w:t>
            </w:r>
            <w:r>
              <w:rPr>
                <w:rFonts w:hint="eastAsia" w:ascii="宋体" w:hAnsi="宋体" w:cs="宋体"/>
                <w:color w:val="000000"/>
                <w:szCs w:val="21"/>
                <w:u w:val="single"/>
                <w:lang w:eastAsia="zh-CN"/>
              </w:rPr>
              <w:t>万元</w:t>
            </w:r>
          </w:p>
          <w:p w14:paraId="30202339">
            <w:pPr>
              <w:spacing w:line="552" w:lineRule="auto"/>
              <w:ind w:firstLine="420"/>
              <w:rPr>
                <w:rFonts w:hint="eastAsia" w:ascii="宋体" w:hAnsi="宋体" w:eastAsia="宋体" w:cs="宋体"/>
                <w:color w:val="000000"/>
                <w:szCs w:val="21"/>
                <w:u w:val="single"/>
                <w:lang w:eastAsia="zh-CN"/>
              </w:rPr>
            </w:pPr>
            <w:r>
              <w:rPr>
                <w:rFonts w:hint="eastAsia" w:ascii="宋体" w:hAnsi="宋体" w:cs="宋体"/>
                <w:color w:val="000000"/>
                <w:szCs w:val="21"/>
                <w:u w:val="single"/>
              </w:rPr>
              <w:t xml:space="preserve">小写：                     </w:t>
            </w:r>
            <w:r>
              <w:rPr>
                <w:rFonts w:hint="eastAsia" w:ascii="宋体" w:hAnsi="宋体" w:cs="宋体"/>
                <w:color w:val="000000"/>
                <w:szCs w:val="21"/>
                <w:u w:val="single"/>
                <w:lang w:eastAsia="zh-CN"/>
              </w:rPr>
              <w:t>万元</w:t>
            </w:r>
          </w:p>
        </w:tc>
      </w:tr>
      <w:tr w14:paraId="7B92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77593425">
            <w:pPr>
              <w:spacing w:line="552" w:lineRule="auto"/>
              <w:ind w:firstLine="422"/>
              <w:jc w:val="center"/>
              <w:rPr>
                <w:rFonts w:ascii="宋体" w:hAnsi="宋体"/>
                <w:b/>
                <w:color w:val="000000"/>
                <w:szCs w:val="21"/>
              </w:rPr>
            </w:pPr>
            <w:r>
              <w:rPr>
                <w:rFonts w:hint="eastAsia" w:ascii="宋体" w:hAnsi="宋体"/>
                <w:b/>
                <w:color w:val="000000"/>
                <w:szCs w:val="21"/>
              </w:rPr>
              <w:t>产品质量标准</w:t>
            </w:r>
          </w:p>
        </w:tc>
        <w:tc>
          <w:tcPr>
            <w:tcW w:w="5253" w:type="dxa"/>
            <w:tcBorders>
              <w:top w:val="single" w:color="auto" w:sz="4" w:space="0"/>
              <w:left w:val="single" w:color="auto" w:sz="4" w:space="0"/>
              <w:bottom w:val="single" w:color="auto" w:sz="4" w:space="0"/>
              <w:right w:val="single" w:color="auto" w:sz="4" w:space="0"/>
            </w:tcBorders>
            <w:noWrap/>
            <w:vAlign w:val="center"/>
          </w:tcPr>
          <w:p w14:paraId="4B362B13">
            <w:pPr>
              <w:spacing w:line="552" w:lineRule="auto"/>
              <w:ind w:firstLine="420"/>
              <w:rPr>
                <w:rFonts w:ascii="宋体" w:hAnsi="宋体"/>
                <w:color w:val="000000"/>
                <w:szCs w:val="21"/>
              </w:rPr>
            </w:pPr>
            <w:r>
              <w:rPr>
                <w:rFonts w:hint="eastAsia" w:ascii="宋体" w:hAnsi="宋体"/>
                <w:color w:val="000000"/>
                <w:szCs w:val="21"/>
                <w:u w:val="single"/>
              </w:rPr>
              <w:t>合格（符合国家强制标准</w:t>
            </w:r>
            <w:r>
              <w:rPr>
                <w:rFonts w:hint="eastAsia"/>
                <w:color w:val="000000"/>
                <w:szCs w:val="21"/>
                <w:u w:val="single"/>
              </w:rPr>
              <w:t>）</w:t>
            </w:r>
          </w:p>
        </w:tc>
      </w:tr>
      <w:tr w14:paraId="49A4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001F9EFF">
            <w:pPr>
              <w:spacing w:line="552" w:lineRule="auto"/>
              <w:ind w:firstLine="422"/>
              <w:jc w:val="center"/>
              <w:rPr>
                <w:rFonts w:ascii="宋体" w:hAnsi="宋体"/>
                <w:b/>
                <w:color w:val="000000"/>
                <w:szCs w:val="21"/>
              </w:rPr>
            </w:pPr>
            <w:r>
              <w:rPr>
                <w:rFonts w:hint="eastAsia" w:ascii="宋体" w:hAnsi="宋体"/>
                <w:b/>
                <w:color w:val="000000"/>
                <w:szCs w:val="21"/>
              </w:rPr>
              <w:t>工期</w:t>
            </w:r>
          </w:p>
        </w:tc>
        <w:tc>
          <w:tcPr>
            <w:tcW w:w="5253" w:type="dxa"/>
            <w:tcBorders>
              <w:top w:val="single" w:color="auto" w:sz="4" w:space="0"/>
              <w:left w:val="single" w:color="auto" w:sz="4" w:space="0"/>
              <w:bottom w:val="single" w:color="auto" w:sz="4" w:space="0"/>
              <w:right w:val="single" w:color="auto" w:sz="4" w:space="0"/>
            </w:tcBorders>
            <w:noWrap/>
            <w:vAlign w:val="center"/>
          </w:tcPr>
          <w:p w14:paraId="56E89BB3">
            <w:pPr>
              <w:widowControl/>
              <w:shd w:val="clear" w:color="auto" w:fill="FFFFFF"/>
              <w:spacing w:line="435" w:lineRule="atLeast"/>
              <w:ind w:firstLine="420" w:firstLineChars="200"/>
              <w:jc w:val="left"/>
              <w:rPr>
                <w:rFonts w:ascii="宋体" w:hAnsi="宋体"/>
                <w:color w:val="000000"/>
                <w:szCs w:val="21"/>
              </w:rPr>
            </w:pPr>
            <w:r>
              <w:rPr>
                <w:rFonts w:hint="eastAsia" w:ascii="宋体" w:hAnsi="宋体"/>
                <w:lang w:val="en-US" w:eastAsia="zh-CN"/>
              </w:rPr>
              <w:t>20</w:t>
            </w:r>
            <w:r>
              <w:rPr>
                <w:rFonts w:hint="eastAsia" w:ascii="宋体" w:hAnsi="宋体"/>
              </w:rPr>
              <w:t>日历天；如因施工单位自身施工组织问题造成工期延误的，每延误一天，处罚1000元，如因工期延误，造成学校重大影响的，学校有权追究责任。（工程延误处罚款项在审计时直接扣除）；</w:t>
            </w:r>
          </w:p>
        </w:tc>
      </w:tr>
      <w:tr w14:paraId="59EB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7DF21B43">
            <w:pPr>
              <w:spacing w:line="552" w:lineRule="auto"/>
              <w:ind w:firstLine="422"/>
              <w:jc w:val="center"/>
              <w:rPr>
                <w:rFonts w:ascii="宋体" w:hAnsi="宋体"/>
                <w:b/>
                <w:color w:val="000000"/>
                <w:szCs w:val="21"/>
              </w:rPr>
            </w:pPr>
            <w:r>
              <w:rPr>
                <w:rFonts w:hint="eastAsia" w:ascii="宋体" w:hAnsi="宋体"/>
                <w:b/>
                <w:color w:val="000000"/>
                <w:szCs w:val="21"/>
              </w:rPr>
              <w:t>工程质保期</w:t>
            </w:r>
          </w:p>
        </w:tc>
        <w:tc>
          <w:tcPr>
            <w:tcW w:w="5253" w:type="dxa"/>
            <w:tcBorders>
              <w:top w:val="single" w:color="auto" w:sz="4" w:space="0"/>
              <w:left w:val="single" w:color="auto" w:sz="4" w:space="0"/>
              <w:bottom w:val="single" w:color="auto" w:sz="4" w:space="0"/>
              <w:right w:val="single" w:color="auto" w:sz="4" w:space="0"/>
            </w:tcBorders>
            <w:noWrap/>
            <w:vAlign w:val="center"/>
          </w:tcPr>
          <w:p w14:paraId="688302C0">
            <w:pPr>
              <w:widowControl/>
              <w:shd w:val="clear" w:color="auto" w:fill="FFFFFF"/>
              <w:spacing w:line="435" w:lineRule="atLeast"/>
              <w:ind w:firstLine="420"/>
              <w:jc w:val="left"/>
              <w:rPr>
                <w:rFonts w:ascii="宋体" w:hAnsi="宋体"/>
                <w:color w:val="000000"/>
                <w:szCs w:val="21"/>
              </w:rPr>
            </w:pPr>
            <w:r>
              <w:rPr>
                <w:rFonts w:hint="eastAsia" w:ascii="宋体" w:hAnsi="宋体"/>
              </w:rPr>
              <w:t>质保期：</w:t>
            </w:r>
            <w:r>
              <w:rPr>
                <w:rFonts w:hint="eastAsia" w:ascii="宋体" w:hAnsi="宋体"/>
                <w:lang w:val="en-US" w:eastAsia="zh-CN"/>
              </w:rPr>
              <w:t>1</w:t>
            </w:r>
            <w:r>
              <w:rPr>
                <w:rFonts w:hint="eastAsia" w:ascii="宋体" w:hAnsi="宋体"/>
              </w:rPr>
              <w:t>年（质保期自验收合格之日起算）；质保要求：工程因自然力等主客观因素出现松动、脱落等现象，供应商需在3日内到场免费维修；</w:t>
            </w:r>
          </w:p>
        </w:tc>
      </w:tr>
      <w:tr w14:paraId="08E1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58F925B7">
            <w:pPr>
              <w:spacing w:line="552" w:lineRule="auto"/>
              <w:ind w:firstLine="422"/>
              <w:jc w:val="center"/>
              <w:rPr>
                <w:b/>
                <w:color w:val="FF0000"/>
                <w:szCs w:val="21"/>
                <w:highlight w:val="yellow"/>
              </w:rPr>
            </w:pPr>
            <w:r>
              <w:rPr>
                <w:rFonts w:hint="eastAsia" w:ascii="宋体" w:hAnsi="宋体"/>
                <w:b/>
                <w:color w:val="000000"/>
                <w:szCs w:val="21"/>
              </w:rPr>
              <w:t>项目经理（项目负责人）</w:t>
            </w:r>
          </w:p>
        </w:tc>
        <w:tc>
          <w:tcPr>
            <w:tcW w:w="5253" w:type="dxa"/>
            <w:tcBorders>
              <w:top w:val="single" w:color="auto" w:sz="4" w:space="0"/>
              <w:left w:val="single" w:color="auto" w:sz="4" w:space="0"/>
              <w:bottom w:val="single" w:color="auto" w:sz="4" w:space="0"/>
              <w:right w:val="single" w:color="auto" w:sz="4" w:space="0"/>
            </w:tcBorders>
            <w:noWrap/>
            <w:vAlign w:val="center"/>
          </w:tcPr>
          <w:p w14:paraId="4B313359">
            <w:pPr>
              <w:spacing w:line="360" w:lineRule="auto"/>
              <w:ind w:firstLine="420"/>
              <w:jc w:val="left"/>
              <w:rPr>
                <w:rFonts w:ascii="宋体" w:hAnsi="宋体"/>
                <w:color w:val="000000"/>
                <w:szCs w:val="21"/>
                <w:u w:val="single"/>
              </w:rPr>
            </w:pPr>
            <w:r>
              <w:rPr>
                <w:rFonts w:hint="eastAsia" w:ascii="宋体" w:hAnsi="宋体"/>
                <w:color w:val="000000"/>
                <w:szCs w:val="21"/>
                <w:u w:val="single"/>
              </w:rPr>
              <w:t>（姓名）；</w:t>
            </w:r>
          </w:p>
          <w:p w14:paraId="5612B127">
            <w:pPr>
              <w:spacing w:line="360" w:lineRule="auto"/>
              <w:ind w:firstLine="420"/>
              <w:jc w:val="left"/>
              <w:rPr>
                <w:rFonts w:ascii="宋体" w:hAnsi="宋体"/>
                <w:color w:val="000000"/>
                <w:szCs w:val="21"/>
                <w:u w:val="single"/>
              </w:rPr>
            </w:pPr>
            <w:r>
              <w:rPr>
                <w:rFonts w:hint="eastAsia" w:ascii="宋体" w:hAnsi="宋体"/>
                <w:color w:val="000000"/>
                <w:szCs w:val="21"/>
                <w:u w:val="single"/>
              </w:rPr>
              <w:t>资质等级：级；</w:t>
            </w:r>
          </w:p>
          <w:p w14:paraId="1F142C66">
            <w:pPr>
              <w:spacing w:line="360" w:lineRule="auto"/>
              <w:ind w:firstLine="420"/>
              <w:jc w:val="left"/>
              <w:rPr>
                <w:color w:val="FF0000"/>
                <w:szCs w:val="21"/>
                <w:highlight w:val="yellow"/>
              </w:rPr>
            </w:pPr>
            <w:r>
              <w:rPr>
                <w:rFonts w:hint="eastAsia" w:ascii="宋体" w:hAnsi="宋体"/>
                <w:color w:val="000000"/>
                <w:szCs w:val="21"/>
                <w:u w:val="single"/>
              </w:rPr>
              <w:t>证号：</w:t>
            </w:r>
          </w:p>
        </w:tc>
      </w:tr>
      <w:tr w14:paraId="798E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166E10CD">
            <w:pPr>
              <w:spacing w:line="552" w:lineRule="auto"/>
              <w:ind w:firstLine="422"/>
              <w:jc w:val="center"/>
              <w:rPr>
                <w:b/>
                <w:color w:val="000000"/>
                <w:szCs w:val="21"/>
              </w:rPr>
            </w:pPr>
            <w:r>
              <w:rPr>
                <w:rFonts w:hint="eastAsia"/>
                <w:b/>
                <w:color w:val="000000"/>
                <w:szCs w:val="21"/>
              </w:rPr>
              <w:t>交付或者实施的地点</w:t>
            </w:r>
          </w:p>
        </w:tc>
        <w:tc>
          <w:tcPr>
            <w:tcW w:w="5253" w:type="dxa"/>
            <w:tcBorders>
              <w:top w:val="single" w:color="auto" w:sz="4" w:space="0"/>
              <w:left w:val="single" w:color="auto" w:sz="4" w:space="0"/>
              <w:bottom w:val="single" w:color="auto" w:sz="4" w:space="0"/>
              <w:right w:val="single" w:color="auto" w:sz="4" w:space="0"/>
            </w:tcBorders>
            <w:noWrap/>
            <w:vAlign w:val="center"/>
          </w:tcPr>
          <w:p w14:paraId="04F74943">
            <w:pPr>
              <w:spacing w:line="552" w:lineRule="auto"/>
              <w:ind w:firstLine="420"/>
              <w:jc w:val="center"/>
              <w:rPr>
                <w:color w:val="000000"/>
                <w:szCs w:val="21"/>
              </w:rPr>
            </w:pPr>
            <w:r>
              <w:rPr>
                <w:rFonts w:hint="eastAsia"/>
                <w:color w:val="000000"/>
                <w:szCs w:val="21"/>
              </w:rPr>
              <w:t>江苏医药职业学院校内</w:t>
            </w:r>
          </w:p>
          <w:p w14:paraId="5E48EC6C">
            <w:pPr>
              <w:spacing w:line="552" w:lineRule="auto"/>
              <w:ind w:firstLine="420"/>
              <w:jc w:val="center"/>
              <w:rPr>
                <w:color w:val="000000"/>
                <w:szCs w:val="21"/>
              </w:rPr>
            </w:pPr>
            <w:r>
              <w:rPr>
                <w:rFonts w:hint="eastAsia"/>
                <w:color w:val="000000"/>
                <w:szCs w:val="21"/>
              </w:rPr>
              <w:t>（具体地点以采购人另行通知的为准）</w:t>
            </w:r>
          </w:p>
        </w:tc>
      </w:tr>
      <w:tr w14:paraId="4788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05D304E3">
            <w:pPr>
              <w:widowControl/>
              <w:spacing w:line="552" w:lineRule="auto"/>
              <w:ind w:firstLine="422"/>
              <w:jc w:val="center"/>
              <w:rPr>
                <w:rFonts w:ascii="宋体" w:hAnsi="宋体" w:cs="宋体"/>
                <w:b/>
                <w:color w:val="000000"/>
                <w:kern w:val="0"/>
                <w:szCs w:val="21"/>
              </w:rPr>
            </w:pPr>
            <w:r>
              <w:rPr>
                <w:rFonts w:hint="eastAsia" w:ascii="宋体" w:hAnsi="宋体" w:cs="宋体"/>
                <w:b/>
                <w:color w:val="000000"/>
                <w:kern w:val="0"/>
                <w:szCs w:val="21"/>
              </w:rPr>
              <w:t>投标有效期</w:t>
            </w:r>
          </w:p>
        </w:tc>
        <w:tc>
          <w:tcPr>
            <w:tcW w:w="5253" w:type="dxa"/>
            <w:tcBorders>
              <w:top w:val="single" w:color="auto" w:sz="4" w:space="0"/>
              <w:left w:val="single" w:color="auto" w:sz="4" w:space="0"/>
              <w:bottom w:val="single" w:color="auto" w:sz="4" w:space="0"/>
              <w:right w:val="single" w:color="auto" w:sz="4" w:space="0"/>
            </w:tcBorders>
            <w:noWrap/>
            <w:vAlign w:val="center"/>
          </w:tcPr>
          <w:p w14:paraId="5BE4706D">
            <w:pPr>
              <w:widowControl/>
              <w:spacing w:line="552" w:lineRule="auto"/>
              <w:ind w:firstLine="420"/>
              <w:jc w:val="center"/>
              <w:rPr>
                <w:rFonts w:ascii="宋体" w:hAnsi="宋体"/>
                <w:color w:val="000000"/>
                <w:szCs w:val="21"/>
              </w:rPr>
            </w:pPr>
            <w:r>
              <w:rPr>
                <w:rFonts w:hint="eastAsia" w:hAnsi="宋体"/>
                <w:color w:val="000000"/>
                <w:szCs w:val="21"/>
              </w:rPr>
              <w:t>提交响应文件截止之日起</w:t>
            </w:r>
            <w:r>
              <w:rPr>
                <w:rFonts w:hint="eastAsia" w:ascii="宋体" w:hAnsi="宋体"/>
                <w:color w:val="000000"/>
                <w:szCs w:val="21"/>
                <w:u w:val="single"/>
              </w:rPr>
              <w:t>60个日历日</w:t>
            </w:r>
          </w:p>
        </w:tc>
      </w:tr>
      <w:tr w14:paraId="5DA1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385" w:type="dxa"/>
            <w:gridSpan w:val="2"/>
            <w:tcBorders>
              <w:top w:val="single" w:color="auto" w:sz="4" w:space="0"/>
              <w:left w:val="single" w:color="auto" w:sz="4" w:space="0"/>
              <w:bottom w:val="single" w:color="auto" w:sz="4" w:space="0"/>
              <w:right w:val="single" w:color="auto" w:sz="4" w:space="0"/>
            </w:tcBorders>
            <w:noWrap/>
            <w:vAlign w:val="center"/>
          </w:tcPr>
          <w:p w14:paraId="6B355086">
            <w:pPr>
              <w:pStyle w:val="12"/>
              <w:tabs>
                <w:tab w:val="left" w:pos="5580"/>
              </w:tabs>
              <w:spacing w:line="552" w:lineRule="auto"/>
              <w:ind w:firstLine="422"/>
              <w:jc w:val="left"/>
              <w:rPr>
                <w:rFonts w:hAnsi="宋体" w:cs="宋体"/>
                <w:b/>
                <w:color w:val="000000"/>
                <w:sz w:val="21"/>
                <w:szCs w:val="21"/>
              </w:rPr>
            </w:pPr>
            <w:r>
              <w:rPr>
                <w:rFonts w:hint="eastAsia" w:hAnsi="宋体" w:cs="宋体"/>
                <w:b/>
                <w:color w:val="000000"/>
                <w:sz w:val="21"/>
                <w:szCs w:val="21"/>
              </w:rPr>
              <w:t>投标人名称（单位公章）：</w:t>
            </w:r>
          </w:p>
          <w:p w14:paraId="4C5F1D8E">
            <w:pPr>
              <w:pStyle w:val="12"/>
              <w:tabs>
                <w:tab w:val="left" w:pos="5580"/>
              </w:tabs>
              <w:spacing w:line="552" w:lineRule="auto"/>
              <w:ind w:firstLine="422"/>
              <w:jc w:val="left"/>
              <w:rPr>
                <w:rFonts w:hAnsi="宋体" w:cs="宋体"/>
                <w:b/>
                <w:color w:val="000000"/>
                <w:sz w:val="21"/>
                <w:szCs w:val="21"/>
                <w:u w:val="single"/>
              </w:rPr>
            </w:pPr>
            <w:r>
              <w:rPr>
                <w:rFonts w:hint="eastAsia" w:hAnsi="宋体" w:cs="宋体"/>
                <w:b/>
                <w:color w:val="000000"/>
                <w:sz w:val="21"/>
                <w:szCs w:val="21"/>
              </w:rPr>
              <w:t>法定代表人或其委托代理人(签字):</w:t>
            </w:r>
            <w:r>
              <w:rPr>
                <w:rFonts w:hint="eastAsia" w:hAnsi="宋体" w:cs="宋体"/>
                <w:b/>
                <w:color w:val="000000"/>
                <w:sz w:val="21"/>
                <w:szCs w:val="21"/>
                <w:u w:val="single"/>
              </w:rPr>
              <w:tab/>
            </w:r>
          </w:p>
          <w:p w14:paraId="4C60F03B">
            <w:pPr>
              <w:spacing w:line="552" w:lineRule="auto"/>
              <w:ind w:firstLine="422" w:firstLineChars="200"/>
              <w:jc w:val="left"/>
              <w:rPr>
                <w:rFonts w:ascii="宋体" w:hAnsi="宋体" w:cs="宋体"/>
                <w:color w:val="000000"/>
                <w:szCs w:val="21"/>
              </w:rPr>
            </w:pPr>
            <w:r>
              <w:rPr>
                <w:rFonts w:hint="eastAsia" w:ascii="宋体" w:hAnsi="宋体" w:cs="宋体"/>
                <w:b/>
                <w:color w:val="000000"/>
                <w:szCs w:val="21"/>
              </w:rPr>
              <w:t>日    期：</w:t>
            </w:r>
            <w:r>
              <w:rPr>
                <w:rFonts w:hint="eastAsia" w:ascii="宋体" w:hAnsi="宋体" w:cs="宋体"/>
                <w:b/>
                <w:color w:val="000000"/>
                <w:szCs w:val="21"/>
                <w:u w:val="single"/>
              </w:rPr>
              <w:t xml:space="preserve">         年  月  日</w:t>
            </w:r>
          </w:p>
        </w:tc>
      </w:tr>
      <w:tr w14:paraId="1B78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385" w:type="dxa"/>
            <w:gridSpan w:val="2"/>
            <w:tcBorders>
              <w:top w:val="single" w:color="auto" w:sz="4" w:space="0"/>
              <w:left w:val="single" w:color="auto" w:sz="4" w:space="0"/>
              <w:bottom w:val="single" w:color="auto" w:sz="4" w:space="0"/>
              <w:right w:val="single" w:color="auto" w:sz="4" w:space="0"/>
            </w:tcBorders>
            <w:noWrap/>
            <w:vAlign w:val="center"/>
          </w:tcPr>
          <w:p w14:paraId="308155EF">
            <w:pPr>
              <w:spacing w:line="276" w:lineRule="auto"/>
              <w:ind w:firstLine="422" w:firstLineChars="200"/>
              <w:rPr>
                <w:rFonts w:ascii="宋体" w:hAnsi="宋体"/>
                <w:b/>
                <w:color w:val="000000"/>
                <w:szCs w:val="21"/>
              </w:rPr>
            </w:pPr>
            <w:r>
              <w:rPr>
                <w:rFonts w:hint="eastAsia" w:ascii="宋体" w:hAnsi="宋体"/>
                <w:b/>
                <w:color w:val="000000"/>
                <w:szCs w:val="21"/>
              </w:rPr>
              <w:t>注：如果报价一览表（报价表）内容与投标（响应）分项报价表内容不一致的，以报价一览表（报价表）内容为准。</w:t>
            </w:r>
          </w:p>
        </w:tc>
      </w:tr>
    </w:tbl>
    <w:p w14:paraId="1E7B2AC6">
      <w:pPr>
        <w:rPr>
          <w:color w:val="000000"/>
        </w:rPr>
      </w:pPr>
    </w:p>
    <w:p w14:paraId="76381DDB">
      <w:pPr>
        <w:rPr>
          <w:color w:val="000000"/>
        </w:rPr>
      </w:pPr>
    </w:p>
    <w:p w14:paraId="534C87C4">
      <w:pPr>
        <w:rPr>
          <w:color w:val="000000"/>
        </w:rPr>
      </w:pPr>
    </w:p>
    <w:p w14:paraId="2A5EEDA5">
      <w:pPr>
        <w:rPr>
          <w:color w:val="000000"/>
        </w:rPr>
      </w:pPr>
    </w:p>
    <w:p w14:paraId="053E15C7">
      <w:pPr>
        <w:spacing w:line="552" w:lineRule="auto"/>
        <w:jc w:val="both"/>
        <w:outlineLvl w:val="1"/>
        <w:rPr>
          <w:rFonts w:hint="eastAsia" w:ascii="宋体" w:hAnsi="宋体" w:cs="宋体"/>
          <w:b/>
          <w:bCs/>
          <w:color w:val="000000"/>
          <w:sz w:val="28"/>
          <w:szCs w:val="28"/>
        </w:rPr>
      </w:pPr>
      <w:bookmarkStart w:id="475" w:name="_Toc184029950"/>
    </w:p>
    <w:p w14:paraId="1380D8D9">
      <w:pPr>
        <w:spacing w:line="552" w:lineRule="auto"/>
        <w:jc w:val="center"/>
        <w:outlineLvl w:val="1"/>
        <w:rPr>
          <w:rFonts w:ascii="宋体" w:hAnsi="宋体" w:cs="宋体"/>
          <w:b/>
          <w:bCs/>
          <w:color w:val="000000"/>
          <w:sz w:val="28"/>
          <w:szCs w:val="28"/>
        </w:rPr>
      </w:pPr>
      <w:r>
        <w:rPr>
          <w:rFonts w:hint="eastAsia" w:ascii="宋体" w:hAnsi="宋体" w:cs="宋体"/>
          <w:b/>
          <w:bCs/>
          <w:color w:val="000000"/>
          <w:sz w:val="28"/>
          <w:szCs w:val="28"/>
        </w:rPr>
        <w:t>二、供应商的资格证明文件</w:t>
      </w:r>
      <w:bookmarkEnd w:id="475"/>
    </w:p>
    <w:p w14:paraId="2123055E">
      <w:pPr>
        <w:spacing w:line="440" w:lineRule="exact"/>
        <w:ind w:firstLine="420" w:firstLineChars="200"/>
        <w:rPr>
          <w:rFonts w:ascii="宋体" w:hAnsi="宋体"/>
          <w:color w:val="000000"/>
        </w:rPr>
      </w:pPr>
      <w:r>
        <w:rPr>
          <w:rFonts w:hint="eastAsia" w:ascii="宋体" w:hAnsi="宋体"/>
          <w:color w:val="000000"/>
        </w:rPr>
        <w:t>1.具有独立承担民事责任的能力，</w:t>
      </w:r>
      <w:r>
        <w:rPr>
          <w:rFonts w:hint="eastAsia"/>
        </w:rPr>
        <w:t>法人或者其他组织的营业执照等证明文件，自然人的身份证明</w:t>
      </w:r>
      <w:r>
        <w:rPr>
          <w:rFonts w:hint="eastAsia" w:ascii="宋体" w:hAnsi="宋体"/>
          <w:color w:val="000000"/>
        </w:rPr>
        <w:t>（提供营业执照，并加盖公章）；；</w:t>
      </w:r>
    </w:p>
    <w:p w14:paraId="7A6E54CE">
      <w:pPr>
        <w:spacing w:line="440" w:lineRule="exact"/>
        <w:rPr>
          <w:rFonts w:ascii="宋体" w:hAnsi="宋体"/>
          <w:color w:val="000000"/>
          <w:szCs w:val="21"/>
        </w:rPr>
      </w:pPr>
    </w:p>
    <w:p w14:paraId="4B3C576E">
      <w:pPr>
        <w:spacing w:line="440" w:lineRule="exact"/>
        <w:ind w:firstLine="420" w:firstLineChars="200"/>
        <w:rPr>
          <w:rFonts w:ascii="宋体" w:hAnsi="宋体"/>
          <w:color w:val="000000"/>
          <w:szCs w:val="21"/>
        </w:rPr>
      </w:pPr>
    </w:p>
    <w:p w14:paraId="22C70A60">
      <w:pPr>
        <w:spacing w:line="440" w:lineRule="exact"/>
        <w:rPr>
          <w:rFonts w:ascii="宋体" w:hAnsi="宋体"/>
          <w:color w:val="000000"/>
          <w:szCs w:val="21"/>
        </w:rPr>
      </w:pPr>
    </w:p>
    <w:p w14:paraId="77419BF4">
      <w:pPr>
        <w:spacing w:line="440" w:lineRule="exact"/>
        <w:ind w:firstLine="420" w:firstLineChars="200"/>
        <w:rPr>
          <w:rFonts w:ascii="宋体" w:hAnsi="宋体"/>
          <w:color w:val="000000"/>
          <w:szCs w:val="21"/>
        </w:rPr>
      </w:pPr>
    </w:p>
    <w:p w14:paraId="4AB28A78">
      <w:pPr>
        <w:spacing w:line="440" w:lineRule="exact"/>
        <w:ind w:firstLine="420" w:firstLineChars="200"/>
        <w:rPr>
          <w:rFonts w:ascii="宋体" w:hAnsi="宋体"/>
          <w:color w:val="000000"/>
          <w:szCs w:val="21"/>
        </w:rPr>
      </w:pPr>
    </w:p>
    <w:p w14:paraId="0D66F9E0">
      <w:pPr>
        <w:spacing w:line="440" w:lineRule="exact"/>
        <w:ind w:firstLine="420" w:firstLineChars="200"/>
        <w:jc w:val="left"/>
        <w:rPr>
          <w:rFonts w:eastAsia="仿宋_GB2312"/>
          <w:color w:val="000000"/>
        </w:rPr>
      </w:pPr>
      <w:r>
        <w:rPr>
          <w:rFonts w:hint="eastAsia" w:ascii="宋体" w:hAnsi="宋体"/>
          <w:color w:val="000000"/>
        </w:rPr>
        <w:t>2.</w:t>
      </w:r>
      <w:r>
        <w:rPr>
          <w:rFonts w:hint="eastAsia" w:ascii="宋体" w:hAnsi="宋体"/>
          <w:color w:val="000000"/>
          <w:szCs w:val="21"/>
        </w:rPr>
        <w:t>有依法缴纳税收的良好记录等（</w:t>
      </w:r>
      <w:r>
        <w:rPr>
          <w:rFonts w:hint="eastAsia"/>
          <w:color w:val="000000"/>
        </w:rPr>
        <w:t>提供</w:t>
      </w:r>
      <w:r>
        <w:rPr>
          <w:color w:val="000000"/>
        </w:rPr>
        <w:t>依法缴纳税收的相关材料</w:t>
      </w:r>
      <w:r>
        <w:rPr>
          <w:rFonts w:hint="eastAsia" w:ascii="宋体" w:hAnsi="宋体"/>
          <w:color w:val="000000"/>
        </w:rPr>
        <w:t>，并加盖公章</w:t>
      </w:r>
      <w:r>
        <w:rPr>
          <w:rFonts w:hint="eastAsia" w:ascii="宋体" w:hAnsi="宋体"/>
          <w:color w:val="000000"/>
          <w:szCs w:val="21"/>
        </w:rPr>
        <w:t>）</w:t>
      </w:r>
    </w:p>
    <w:p w14:paraId="56754B58">
      <w:pPr>
        <w:spacing w:line="440" w:lineRule="exact"/>
        <w:ind w:firstLine="420" w:firstLineChars="200"/>
        <w:rPr>
          <w:rFonts w:ascii="宋体" w:hAnsi="宋体"/>
          <w:color w:val="000000"/>
        </w:rPr>
      </w:pPr>
    </w:p>
    <w:p w14:paraId="0CF844D4">
      <w:pPr>
        <w:spacing w:line="440" w:lineRule="exact"/>
        <w:ind w:firstLine="420" w:firstLineChars="200"/>
        <w:rPr>
          <w:rFonts w:ascii="宋体" w:hAnsi="宋体"/>
          <w:color w:val="000000"/>
        </w:rPr>
      </w:pPr>
    </w:p>
    <w:p w14:paraId="76B69006">
      <w:pPr>
        <w:spacing w:line="440" w:lineRule="exact"/>
        <w:ind w:firstLine="420" w:firstLineChars="200"/>
        <w:rPr>
          <w:rFonts w:ascii="宋体" w:hAnsi="宋体"/>
          <w:color w:val="000000"/>
        </w:rPr>
      </w:pPr>
    </w:p>
    <w:p w14:paraId="69951DA5">
      <w:pPr>
        <w:spacing w:line="440" w:lineRule="exact"/>
        <w:ind w:firstLine="420" w:firstLineChars="200"/>
        <w:rPr>
          <w:rFonts w:ascii="宋体" w:hAnsi="宋体"/>
          <w:color w:val="000000"/>
        </w:rPr>
      </w:pPr>
    </w:p>
    <w:p w14:paraId="52F43D65">
      <w:pPr>
        <w:spacing w:line="440" w:lineRule="exact"/>
        <w:ind w:firstLine="420" w:firstLineChars="200"/>
        <w:rPr>
          <w:rFonts w:ascii="宋体" w:hAnsi="宋体"/>
          <w:color w:val="000000"/>
        </w:rPr>
      </w:pPr>
      <w:r>
        <w:rPr>
          <w:rFonts w:hint="eastAsia" w:ascii="宋体" w:hAnsi="宋体"/>
          <w:color w:val="000000"/>
        </w:rPr>
        <w:t>3.投标人不得为“信用中国”网站（www.creditchina.gov.cn）中列入失信被执行人和</w:t>
      </w:r>
      <w:r>
        <w:rPr>
          <w:rFonts w:hint="eastAsia" w:ascii="宋体" w:hAnsi="宋体" w:cs="宋体"/>
          <w:color w:val="000000"/>
        </w:rPr>
        <w:t>“重大税收违法失信主体”</w:t>
      </w:r>
      <w:r>
        <w:rPr>
          <w:rFonts w:hint="eastAsia" w:ascii="宋体" w:hAnsi="宋体"/>
          <w:color w:val="000000"/>
        </w:rPr>
        <w:t>的供应商（提供“信用中国”的截图，并加盖公章）；</w:t>
      </w:r>
    </w:p>
    <w:p w14:paraId="67A5FA87">
      <w:pPr>
        <w:spacing w:line="440" w:lineRule="exact"/>
        <w:ind w:firstLine="420" w:firstLineChars="200"/>
        <w:rPr>
          <w:rFonts w:ascii="宋体" w:hAnsi="宋体"/>
          <w:color w:val="000000"/>
        </w:rPr>
      </w:pPr>
    </w:p>
    <w:p w14:paraId="6A716FC0">
      <w:pPr>
        <w:spacing w:line="440" w:lineRule="exact"/>
        <w:ind w:firstLine="420" w:firstLineChars="200"/>
        <w:rPr>
          <w:rFonts w:ascii="宋体" w:hAnsi="宋体"/>
          <w:color w:val="000000"/>
        </w:rPr>
      </w:pPr>
    </w:p>
    <w:p w14:paraId="7B970FA9">
      <w:pPr>
        <w:spacing w:line="440" w:lineRule="exact"/>
        <w:rPr>
          <w:rFonts w:ascii="宋体" w:hAnsi="宋体"/>
          <w:color w:val="000000"/>
        </w:rPr>
      </w:pPr>
    </w:p>
    <w:p w14:paraId="28DBD346">
      <w:pPr>
        <w:spacing w:line="440" w:lineRule="exact"/>
        <w:ind w:firstLine="420" w:firstLineChars="200"/>
        <w:rPr>
          <w:rFonts w:ascii="宋体" w:hAnsi="宋体"/>
          <w:color w:val="000000"/>
        </w:rPr>
      </w:pPr>
    </w:p>
    <w:p w14:paraId="72C85AAB">
      <w:pPr>
        <w:spacing w:line="440" w:lineRule="exact"/>
        <w:ind w:firstLine="420" w:firstLineChars="200"/>
        <w:rPr>
          <w:rFonts w:ascii="宋体" w:hAnsi="宋体"/>
          <w:color w:val="000000"/>
        </w:rPr>
      </w:pPr>
    </w:p>
    <w:p w14:paraId="5EE7251B">
      <w:pPr>
        <w:spacing w:line="440" w:lineRule="exact"/>
        <w:ind w:firstLine="420" w:firstLineChars="200"/>
        <w:rPr>
          <w:rFonts w:ascii="宋体" w:hAnsi="宋体"/>
          <w:color w:val="000000"/>
        </w:rPr>
      </w:pPr>
      <w:r>
        <w:rPr>
          <w:rFonts w:hint="eastAsia" w:ascii="宋体" w:hAnsi="宋体"/>
          <w:color w:val="000000"/>
        </w:rPr>
        <w:t>4.落实政府采购政策需满足的资格要求（按照采购公告的要求提供）；</w:t>
      </w:r>
    </w:p>
    <w:p w14:paraId="3CA5565B">
      <w:pPr>
        <w:spacing w:line="440" w:lineRule="exact"/>
        <w:ind w:firstLine="420" w:firstLineChars="200"/>
        <w:rPr>
          <w:rFonts w:ascii="宋体" w:hAnsi="宋体"/>
          <w:color w:val="000000"/>
        </w:rPr>
      </w:pPr>
    </w:p>
    <w:p w14:paraId="70800B85">
      <w:pPr>
        <w:spacing w:line="440" w:lineRule="exact"/>
        <w:ind w:firstLine="420" w:firstLineChars="200"/>
        <w:rPr>
          <w:rFonts w:ascii="宋体" w:hAnsi="宋体"/>
          <w:color w:val="000000"/>
        </w:rPr>
      </w:pPr>
    </w:p>
    <w:p w14:paraId="0808FE17">
      <w:pPr>
        <w:spacing w:line="440" w:lineRule="exact"/>
        <w:rPr>
          <w:rFonts w:ascii="宋体" w:hAnsi="宋体"/>
          <w:color w:val="000000"/>
        </w:rPr>
      </w:pPr>
    </w:p>
    <w:p w14:paraId="6F9E6871">
      <w:pPr>
        <w:spacing w:line="440" w:lineRule="exact"/>
        <w:ind w:firstLine="420" w:firstLineChars="200"/>
        <w:rPr>
          <w:rFonts w:ascii="宋体" w:hAnsi="宋体"/>
          <w:color w:val="000000"/>
        </w:rPr>
      </w:pPr>
    </w:p>
    <w:p w14:paraId="475121C1">
      <w:pPr>
        <w:spacing w:line="440" w:lineRule="exact"/>
        <w:ind w:firstLine="420" w:firstLineChars="200"/>
        <w:rPr>
          <w:rFonts w:ascii="宋体" w:hAnsi="宋体"/>
          <w:color w:val="000000"/>
        </w:rPr>
      </w:pPr>
    </w:p>
    <w:p w14:paraId="3DCF2A7A">
      <w:pPr>
        <w:spacing w:line="440" w:lineRule="exact"/>
        <w:ind w:firstLine="420" w:firstLineChars="200"/>
        <w:rPr>
          <w:rFonts w:ascii="宋体" w:hAnsi="宋体"/>
          <w:color w:val="000000"/>
        </w:rPr>
      </w:pPr>
      <w:r>
        <w:rPr>
          <w:rFonts w:hint="eastAsia" w:ascii="宋体" w:hAnsi="宋体"/>
          <w:color w:val="000000"/>
        </w:rPr>
        <w:t>5.本项目的特定资格要求（按照采购公告的要求提供）。</w:t>
      </w:r>
    </w:p>
    <w:p w14:paraId="3E3D5391">
      <w:pPr>
        <w:jc w:val="center"/>
        <w:rPr>
          <w:rFonts w:ascii="宋体" w:hAnsi="宋体"/>
          <w:b/>
          <w:color w:val="000000"/>
          <w:sz w:val="28"/>
          <w:szCs w:val="28"/>
        </w:rPr>
      </w:pPr>
    </w:p>
    <w:p w14:paraId="4F68216C">
      <w:pPr>
        <w:spacing w:line="360" w:lineRule="auto"/>
        <w:jc w:val="left"/>
        <w:rPr>
          <w:rFonts w:ascii="宋体" w:hAnsi="宋体"/>
          <w:b/>
          <w:color w:val="000000"/>
          <w:sz w:val="18"/>
          <w:szCs w:val="18"/>
        </w:rPr>
      </w:pPr>
    </w:p>
    <w:p w14:paraId="444F270B">
      <w:pPr>
        <w:pStyle w:val="8"/>
        <w:spacing w:line="360" w:lineRule="auto"/>
        <w:rPr>
          <w:rFonts w:hAnsi="宋体"/>
          <w:color w:val="000000"/>
          <w:sz w:val="18"/>
          <w:szCs w:val="18"/>
        </w:rPr>
      </w:pPr>
    </w:p>
    <w:p w14:paraId="07D82218"/>
    <w:p w14:paraId="7A65AD66"/>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22A0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480" w:type="dxa"/>
          </w:tcPr>
          <w:p w14:paraId="7DB6A6D6">
            <w:pPr>
              <w:jc w:val="left"/>
              <w:rPr>
                <w:rFonts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具有履行合同所必需的设备和专业技术能力的书面声明函（格式）</w:t>
            </w:r>
          </w:p>
          <w:p w14:paraId="3CA9AC5B">
            <w:pPr>
              <w:jc w:val="left"/>
              <w:rPr>
                <w:rFonts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参加政府采购活动前三年内在经营活动中没有重大违法记录的书面声明函（格式）</w:t>
            </w:r>
          </w:p>
          <w:p w14:paraId="7E550ECE">
            <w:pPr>
              <w:jc w:val="left"/>
              <w:rPr>
                <w:rFonts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具备法律、行政法规规定的其他条件的书面承诺函（格式）</w:t>
            </w:r>
          </w:p>
          <w:p w14:paraId="4D20409D">
            <w:pPr>
              <w:pStyle w:val="19"/>
              <w:ind w:left="0" w:leftChars="0"/>
              <w:jc w:val="left"/>
              <w:rPr>
                <w:rFonts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关联单位说明（格式）</w:t>
            </w:r>
          </w:p>
          <w:p w14:paraId="496AF68F">
            <w:pPr>
              <w:pStyle w:val="19"/>
              <w:ind w:left="336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b/>
                <w:color w:val="000000"/>
                <w:szCs w:val="21"/>
                <w:highlight w:val="none"/>
              </w:rPr>
              <w:t>（注：★本表须为原件）</w:t>
            </w:r>
          </w:p>
        </w:tc>
      </w:tr>
      <w:tr w14:paraId="024A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7" w:hRule="atLeast"/>
          <w:jc w:val="center"/>
        </w:trPr>
        <w:tc>
          <w:tcPr>
            <w:tcW w:w="9480" w:type="dxa"/>
          </w:tcPr>
          <w:p w14:paraId="63B0CC8F">
            <w:pPr>
              <w:spacing w:line="360" w:lineRule="auto"/>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我方郑重声明：</w:t>
            </w:r>
          </w:p>
          <w:p w14:paraId="441EC32C">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1、我方具备履行本项采购合同所必需的设备和专业技术能力，为履行本项采购合同我公司具备如下主要设备和主要专业技术能力：主要设备有：</w:t>
            </w:r>
            <w:r>
              <w:rPr>
                <w:rFonts w:hint="eastAsia" w:asciiTheme="minorEastAsia" w:hAnsiTheme="minorEastAsia" w:eastAsiaTheme="minorEastAsia" w:cstheme="minorEastAsia"/>
                <w:bCs/>
                <w:color w:val="000000"/>
                <w:szCs w:val="21"/>
                <w:highlight w:val="none"/>
                <w:u w:val="single"/>
              </w:rPr>
              <w:t xml:space="preserve">               </w:t>
            </w:r>
            <w:r>
              <w:rPr>
                <w:rFonts w:hint="eastAsia" w:asciiTheme="minorEastAsia" w:hAnsiTheme="minorEastAsia" w:eastAsiaTheme="minorEastAsia" w:cstheme="minorEastAsia"/>
                <w:bCs/>
                <w:i/>
                <w:color w:val="000000"/>
                <w:szCs w:val="21"/>
                <w:highlight w:val="none"/>
                <w:u w:val="single"/>
              </w:rPr>
              <w:t>（一个即可）</w:t>
            </w:r>
            <w:r>
              <w:rPr>
                <w:rFonts w:hint="eastAsia" w:asciiTheme="minorEastAsia" w:hAnsiTheme="minorEastAsia" w:eastAsiaTheme="minorEastAsia" w:cstheme="minorEastAsia"/>
                <w:bCs/>
                <w:color w:val="000000"/>
                <w:szCs w:val="21"/>
                <w:highlight w:val="none"/>
              </w:rPr>
              <w:t>；</w:t>
            </w:r>
          </w:p>
          <w:p w14:paraId="6019117E">
            <w:pPr>
              <w:spacing w:line="360" w:lineRule="auto"/>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主要专业技术能力有：</w:t>
            </w:r>
            <w:r>
              <w:rPr>
                <w:rFonts w:hint="eastAsia" w:asciiTheme="minorEastAsia" w:hAnsiTheme="minorEastAsia" w:eastAsiaTheme="minorEastAsia" w:cstheme="minorEastAsia"/>
                <w:bCs/>
                <w:color w:val="000000"/>
                <w:szCs w:val="21"/>
                <w:highlight w:val="none"/>
                <w:u w:val="single"/>
              </w:rPr>
              <w:t xml:space="preserve">          </w:t>
            </w:r>
            <w:r>
              <w:rPr>
                <w:rFonts w:hint="eastAsia" w:asciiTheme="minorEastAsia" w:hAnsiTheme="minorEastAsia" w:eastAsiaTheme="minorEastAsia" w:cstheme="minorEastAsia"/>
                <w:bCs/>
                <w:i/>
                <w:color w:val="000000"/>
                <w:szCs w:val="21"/>
                <w:highlight w:val="none"/>
                <w:u w:val="single"/>
              </w:rPr>
              <w:t>（一项即可）</w:t>
            </w:r>
            <w:r>
              <w:rPr>
                <w:rFonts w:hint="eastAsia" w:asciiTheme="minorEastAsia" w:hAnsiTheme="minorEastAsia" w:eastAsiaTheme="minorEastAsia" w:cstheme="minorEastAsia"/>
                <w:bCs/>
                <w:color w:val="000000"/>
                <w:szCs w:val="21"/>
                <w:highlight w:val="none"/>
              </w:rPr>
              <w:t>；</w:t>
            </w:r>
          </w:p>
          <w:p w14:paraId="565E22CA">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2、我方参加本次政府采购活动前3年内，我方在经营活动中没有因违法经营受到刑事处罚或者责令停产停业、吊销许可证或者执照、较大数额罚款等行政处罚；</w:t>
            </w:r>
          </w:p>
          <w:p w14:paraId="215D3C1C">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3、我方具有合法从事本次采购内容的经营资格（含</w:t>
            </w:r>
            <w:r>
              <w:rPr>
                <w:rFonts w:hint="eastAsia" w:asciiTheme="minorEastAsia" w:hAnsiTheme="minorEastAsia" w:eastAsiaTheme="minorEastAsia" w:cstheme="minorEastAsia"/>
                <w:color w:val="000000"/>
                <w:kern w:val="0"/>
                <w:szCs w:val="21"/>
                <w:highlight w:val="none"/>
              </w:rPr>
              <w:t>准入性资质</w:t>
            </w:r>
            <w:r>
              <w:rPr>
                <w:rFonts w:hint="eastAsia" w:asciiTheme="minorEastAsia" w:hAnsiTheme="minorEastAsia" w:eastAsiaTheme="minorEastAsia" w:cstheme="minorEastAsia"/>
                <w:bCs/>
                <w:color w:val="000000"/>
                <w:szCs w:val="21"/>
                <w:highlight w:val="none"/>
              </w:rPr>
              <w:t>等行政许可）以及</w:t>
            </w:r>
            <w:r>
              <w:rPr>
                <w:rFonts w:hint="eastAsia" w:asciiTheme="minorEastAsia" w:hAnsiTheme="minorEastAsia" w:eastAsiaTheme="minorEastAsia" w:cstheme="minorEastAsia"/>
                <w:color w:val="000000"/>
                <w:szCs w:val="21"/>
                <w:highlight w:val="none"/>
              </w:rPr>
              <w:t>具备法律、行政法规规定的其他条件</w:t>
            </w:r>
            <w:r>
              <w:rPr>
                <w:rFonts w:hint="eastAsia" w:asciiTheme="minorEastAsia" w:hAnsiTheme="minorEastAsia" w:eastAsiaTheme="minorEastAsia" w:cstheme="minorEastAsia"/>
                <w:bCs/>
                <w:color w:val="000000"/>
                <w:szCs w:val="21"/>
                <w:highlight w:val="none"/>
              </w:rPr>
              <w:t>；</w:t>
            </w:r>
          </w:p>
          <w:p w14:paraId="29082A13">
            <w:pPr>
              <w:spacing w:line="360" w:lineRule="auto"/>
              <w:ind w:firstLine="420" w:firstLineChars="20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Cs/>
                <w:color w:val="000000"/>
                <w:szCs w:val="21"/>
                <w:highlight w:val="none"/>
              </w:rPr>
              <w:t>4、</w:t>
            </w:r>
            <w:r>
              <w:rPr>
                <w:rFonts w:hint="eastAsia" w:asciiTheme="minorEastAsia" w:hAnsiTheme="minorEastAsia" w:eastAsiaTheme="minorEastAsia" w:cstheme="minorEastAsia"/>
                <w:bCs/>
                <w:szCs w:val="21"/>
                <w:highlight w:val="none"/>
              </w:rPr>
              <w:t>关联单位说明：</w:t>
            </w:r>
          </w:p>
          <w:p w14:paraId="22E44988">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我单位没有关联单位或我单位相关关联单位未参加本项目。特此说明。</w:t>
            </w:r>
            <w:r>
              <w:rPr>
                <w:rFonts w:hint="eastAsia" w:asciiTheme="minorEastAsia" w:hAnsiTheme="minorEastAsia" w:eastAsiaTheme="minorEastAsia" w:cstheme="minorEastAsia"/>
                <w:szCs w:val="21"/>
                <w:highlight w:val="none"/>
              </w:rPr>
              <w:t xml:space="preserve">        </w:t>
            </w:r>
          </w:p>
          <w:p w14:paraId="543CB44D">
            <w:pPr>
              <w:spacing w:line="360" w:lineRule="auto"/>
              <w:ind w:firstLine="420" w:firstLineChars="200"/>
              <w:jc w:val="left"/>
              <w:rPr>
                <w:rFonts w:asciiTheme="minorEastAsia" w:hAnsiTheme="minorEastAsia" w:eastAsiaTheme="minorEastAsia" w:cstheme="minorEastAsia"/>
                <w:bCs/>
                <w:color w:val="000000"/>
                <w:szCs w:val="21"/>
                <w:highlight w:val="none"/>
              </w:rPr>
            </w:pPr>
          </w:p>
          <w:p w14:paraId="2D24AC68">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供应商（盖公章）：</w:t>
            </w:r>
            <w:r>
              <w:rPr>
                <w:rFonts w:hint="eastAsia" w:asciiTheme="minorEastAsia" w:hAnsiTheme="minorEastAsia" w:eastAsiaTheme="minorEastAsia" w:cstheme="minorEastAsia"/>
                <w:bCs/>
                <w:color w:val="000000"/>
                <w:szCs w:val="21"/>
                <w:highlight w:val="none"/>
                <w:u w:val="single"/>
              </w:rPr>
              <w:t xml:space="preserve">    </w:t>
            </w:r>
            <w:r>
              <w:rPr>
                <w:rFonts w:hint="eastAsia" w:asciiTheme="minorEastAsia" w:hAnsiTheme="minorEastAsia" w:eastAsiaTheme="minorEastAsia" w:cstheme="minorEastAsia"/>
                <w:bCs/>
                <w:i/>
                <w:color w:val="000000"/>
                <w:szCs w:val="21"/>
                <w:highlight w:val="none"/>
                <w:u w:val="single"/>
              </w:rPr>
              <w:t>供应商名称</w:t>
            </w:r>
            <w:r>
              <w:rPr>
                <w:rFonts w:hint="eastAsia" w:asciiTheme="minorEastAsia" w:hAnsiTheme="minorEastAsia" w:eastAsiaTheme="minorEastAsia" w:cstheme="minorEastAsia"/>
                <w:bCs/>
                <w:color w:val="000000"/>
                <w:szCs w:val="21"/>
                <w:highlight w:val="none"/>
                <w:u w:val="single"/>
              </w:rPr>
              <w:t xml:space="preserve">                 </w:t>
            </w:r>
          </w:p>
          <w:p w14:paraId="7894D4BF">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color w:val="000000"/>
                <w:szCs w:val="21"/>
                <w:highlight w:val="none"/>
              </w:rPr>
              <w:t>法定代表人或其委托代理人（</w:t>
            </w:r>
            <w:r>
              <w:rPr>
                <w:rFonts w:hint="eastAsia" w:asciiTheme="minorEastAsia" w:hAnsiTheme="minorEastAsia" w:eastAsiaTheme="minorEastAsia" w:cstheme="minorEastAsia"/>
                <w:bCs/>
                <w:color w:val="000000"/>
                <w:szCs w:val="21"/>
                <w:highlight w:val="none"/>
              </w:rPr>
              <w:t>签字或盖章）：</w:t>
            </w:r>
            <w:r>
              <w:rPr>
                <w:rFonts w:hint="eastAsia" w:asciiTheme="minorEastAsia" w:hAnsiTheme="minorEastAsia" w:eastAsiaTheme="minorEastAsia" w:cstheme="minorEastAsia"/>
                <w:bCs/>
                <w:color w:val="000000"/>
                <w:szCs w:val="21"/>
                <w:highlight w:val="none"/>
                <w:u w:val="single"/>
              </w:rPr>
              <w:t xml:space="preserve">         </w:t>
            </w:r>
          </w:p>
          <w:p w14:paraId="1BE54C3E">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color w:val="000000"/>
                <w:szCs w:val="21"/>
                <w:highlight w:val="none"/>
                <w:u w:val="single"/>
              </w:rPr>
              <w:t>日期：         年    月    日</w:t>
            </w:r>
          </w:p>
        </w:tc>
      </w:tr>
      <w:tr w14:paraId="492A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480" w:type="dxa"/>
          </w:tcPr>
          <w:p w14:paraId="79C1EA6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color w:val="000000"/>
                <w:szCs w:val="21"/>
              </w:rPr>
              <w:t>说明： 供应商须按本表格式制作，并在正本中提供原件，否按无效处理。</w:t>
            </w:r>
          </w:p>
        </w:tc>
      </w:tr>
    </w:tbl>
    <w:p w14:paraId="17E662BC">
      <w:pPr>
        <w:pStyle w:val="8"/>
        <w:rPr>
          <w:color w:val="000000"/>
        </w:rPr>
      </w:pPr>
    </w:p>
    <w:p w14:paraId="64813C24">
      <w:pPr>
        <w:pStyle w:val="8"/>
        <w:rPr>
          <w:color w:val="000000"/>
        </w:rPr>
      </w:pPr>
    </w:p>
    <w:p w14:paraId="2DF7BE23">
      <w:pPr>
        <w:pStyle w:val="8"/>
        <w:rPr>
          <w:color w:val="000000"/>
        </w:rPr>
      </w:pPr>
    </w:p>
    <w:p w14:paraId="5047F721">
      <w:pPr>
        <w:pStyle w:val="8"/>
        <w:rPr>
          <w:color w:val="000000"/>
        </w:rPr>
      </w:pPr>
    </w:p>
    <w:p w14:paraId="4C4DCCBA">
      <w:pPr>
        <w:pStyle w:val="8"/>
        <w:rPr>
          <w:color w:val="000000"/>
        </w:rPr>
      </w:pPr>
    </w:p>
    <w:p w14:paraId="4FE6B38A"/>
    <w:p w14:paraId="5BD206FC">
      <w:pPr>
        <w:pStyle w:val="36"/>
      </w:pPr>
    </w:p>
    <w:p w14:paraId="7A25EA3D">
      <w:pPr>
        <w:rPr>
          <w:color w:val="000000"/>
        </w:rPr>
      </w:pPr>
    </w:p>
    <w:p w14:paraId="711A9F12">
      <w:pPr>
        <w:rPr>
          <w:color w:val="000000"/>
        </w:rPr>
      </w:pPr>
    </w:p>
    <w:p w14:paraId="68E35235">
      <w:pPr>
        <w:pStyle w:val="19"/>
        <w:ind w:left="3360"/>
        <w:rPr>
          <w:color w:val="000000"/>
        </w:rPr>
      </w:pPr>
    </w:p>
    <w:p w14:paraId="341EA9F6">
      <w:pPr>
        <w:rPr>
          <w:color w:val="000000"/>
        </w:rPr>
      </w:pPr>
    </w:p>
    <w:p w14:paraId="73056C22">
      <w:pPr>
        <w:spacing w:line="552" w:lineRule="auto"/>
        <w:jc w:val="center"/>
        <w:outlineLvl w:val="1"/>
        <w:rPr>
          <w:rFonts w:ascii="宋体" w:hAnsi="宋体" w:cs="宋体"/>
          <w:b/>
          <w:bCs/>
          <w:color w:val="000000"/>
          <w:sz w:val="28"/>
          <w:szCs w:val="28"/>
        </w:rPr>
      </w:pPr>
      <w:bookmarkStart w:id="476" w:name="_Toc184029951"/>
      <w:r>
        <w:rPr>
          <w:rFonts w:ascii="宋体" w:hAnsi="宋体" w:cs="宋体"/>
          <w:b/>
          <w:bCs/>
          <w:color w:val="000000"/>
          <w:sz w:val="28"/>
          <w:szCs w:val="28"/>
        </w:rPr>
        <w:t>三、法定代表人授权委托书(格式）</w:t>
      </w:r>
      <w:bookmarkEnd w:id="476"/>
    </w:p>
    <w:p w14:paraId="1D177FC8">
      <w:pPr>
        <w:pStyle w:val="4"/>
        <w:spacing w:line="600" w:lineRule="exact"/>
        <w:ind w:firstLine="422"/>
        <w:jc w:val="center"/>
        <w:rPr>
          <w:rFonts w:ascii="宋体" w:hAnsi="宋体" w:cs="宋体"/>
          <w:b/>
          <w:color w:val="000000"/>
        </w:rPr>
      </w:pPr>
    </w:p>
    <w:p w14:paraId="0BD31751">
      <w:pPr>
        <w:spacing w:line="600" w:lineRule="exact"/>
        <w:ind w:firstLine="420" w:firstLineChars="200"/>
        <w:rPr>
          <w:rFonts w:ascii="宋体" w:hAnsi="宋体" w:cs="宋体"/>
          <w:color w:val="000000"/>
          <w:szCs w:val="21"/>
        </w:rPr>
      </w:pPr>
      <w:r>
        <w:rPr>
          <w:rFonts w:hint="eastAsia" w:ascii="宋体" w:hAnsi="宋体" w:cs="宋体"/>
          <w:color w:val="000000"/>
          <w:szCs w:val="21"/>
        </w:rPr>
        <w:t>本授权书声明：注册于</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（地区的名称。例：江苏盐城）</w:t>
      </w:r>
      <w:r>
        <w:rPr>
          <w:rFonts w:hint="eastAsia" w:ascii="宋体" w:hAnsi="宋体" w:cs="宋体"/>
          <w:color w:val="000000"/>
          <w:szCs w:val="21"/>
        </w:rPr>
        <w:t>的</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（供应商）</w:t>
      </w:r>
      <w:r>
        <w:rPr>
          <w:rFonts w:hint="eastAsia" w:ascii="宋体" w:hAnsi="宋体" w:cs="宋体"/>
          <w:color w:val="000000"/>
          <w:szCs w:val="21"/>
        </w:rPr>
        <w:t>的在下面签字的</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（法人代表姓名、职务）</w:t>
      </w:r>
      <w:r>
        <w:rPr>
          <w:rFonts w:hint="eastAsia" w:ascii="宋体" w:hAnsi="宋体" w:cs="宋体"/>
          <w:color w:val="000000"/>
          <w:szCs w:val="21"/>
        </w:rPr>
        <w:t>代表我单位授权</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（单位名称）</w:t>
      </w:r>
      <w:r>
        <w:rPr>
          <w:rFonts w:hint="eastAsia" w:ascii="宋体" w:hAnsi="宋体" w:cs="宋体"/>
          <w:color w:val="000000"/>
          <w:szCs w:val="21"/>
        </w:rPr>
        <w:t>的在下面签字的</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（被授权人的姓名、职务）</w:t>
      </w:r>
      <w:r>
        <w:rPr>
          <w:rFonts w:hint="eastAsia" w:ascii="宋体" w:hAnsi="宋体" w:cs="宋体"/>
          <w:color w:val="000000"/>
          <w:szCs w:val="21"/>
        </w:rPr>
        <w:t>为我单位的合法代理人</w:t>
      </w:r>
      <w:r>
        <w:rPr>
          <w:rFonts w:hint="eastAsia" w:ascii="宋体" w:hAnsi="宋体"/>
          <w:color w:val="000000"/>
          <w:szCs w:val="21"/>
        </w:rPr>
        <w:t>（授权代表）</w:t>
      </w:r>
      <w:r>
        <w:rPr>
          <w:rFonts w:hint="eastAsia" w:ascii="宋体" w:hAnsi="宋体" w:cs="宋体"/>
          <w:color w:val="000000"/>
          <w:szCs w:val="21"/>
        </w:rPr>
        <w:t>，就</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（项目名称）</w:t>
      </w:r>
      <w:r>
        <w:rPr>
          <w:rFonts w:hint="eastAsia" w:ascii="宋体" w:hAnsi="宋体" w:cs="宋体"/>
          <w:color w:val="000000"/>
          <w:szCs w:val="21"/>
        </w:rPr>
        <w:t>的投标（响应），以我单位名义处理一切与之有关的事务。</w:t>
      </w:r>
    </w:p>
    <w:p w14:paraId="43DC1B95">
      <w:pPr>
        <w:spacing w:line="600" w:lineRule="exact"/>
        <w:ind w:firstLine="420" w:firstLineChars="200"/>
        <w:rPr>
          <w:rFonts w:ascii="宋体" w:hAnsi="宋体" w:cs="宋体"/>
          <w:color w:val="000000"/>
          <w:szCs w:val="21"/>
        </w:rPr>
      </w:pPr>
      <w:r>
        <w:rPr>
          <w:rFonts w:hint="eastAsia" w:ascii="宋体" w:hAnsi="宋体" w:cs="宋体"/>
          <w:color w:val="000000"/>
          <w:szCs w:val="21"/>
        </w:rPr>
        <w:t>本授权书于</w:t>
      </w:r>
      <w:r>
        <w:rPr>
          <w:rFonts w:hint="eastAsia" w:ascii="宋体" w:hAnsi="宋体" w:cs="宋体"/>
          <w:color w:val="000000"/>
          <w:szCs w:val="21"/>
          <w:u w:val="single"/>
        </w:rPr>
        <w:t xml:space="preserve">           年     月     </w:t>
      </w:r>
      <w:r>
        <w:rPr>
          <w:rFonts w:hint="eastAsia" w:ascii="宋体" w:hAnsi="宋体" w:cs="宋体"/>
          <w:color w:val="000000"/>
          <w:szCs w:val="21"/>
        </w:rPr>
        <w:t>日签字生效,特此声明。</w:t>
      </w:r>
    </w:p>
    <w:p w14:paraId="0249D215">
      <w:pPr>
        <w:spacing w:line="600" w:lineRule="exact"/>
        <w:ind w:firstLine="420" w:firstLineChars="200"/>
        <w:rPr>
          <w:rFonts w:ascii="宋体" w:hAnsi="宋体" w:cs="宋体"/>
          <w:color w:val="000000"/>
          <w:szCs w:val="21"/>
        </w:rPr>
      </w:pPr>
      <w:r>
        <w:rPr>
          <w:rFonts w:hint="eastAsia" w:ascii="宋体" w:hAnsi="宋体" w:cs="宋体"/>
          <w:color w:val="000000"/>
          <w:szCs w:val="21"/>
        </w:rPr>
        <w:t>供应商（盖公章）：</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rPr>
        <w:t xml:space="preserve"> </w:t>
      </w:r>
    </w:p>
    <w:p w14:paraId="6E59F24D">
      <w:pPr>
        <w:spacing w:line="600" w:lineRule="exact"/>
        <w:ind w:firstLine="420" w:firstLineChars="200"/>
        <w:rPr>
          <w:rFonts w:ascii="宋体" w:hAnsi="宋体" w:cs="宋体"/>
          <w:color w:val="000000"/>
          <w:szCs w:val="21"/>
        </w:rPr>
      </w:pPr>
      <w:r>
        <w:rPr>
          <w:rFonts w:hint="eastAsia" w:ascii="宋体" w:hAnsi="宋体" w:cs="宋体"/>
          <w:color w:val="000000"/>
          <w:szCs w:val="21"/>
        </w:rPr>
        <w:t>法定代表人（签字或签章）：</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p>
    <w:p w14:paraId="63C2494F">
      <w:pPr>
        <w:spacing w:line="600" w:lineRule="exact"/>
        <w:ind w:firstLine="420" w:firstLineChars="200"/>
        <w:rPr>
          <w:rFonts w:ascii="宋体" w:hAnsi="宋体" w:cs="宋体"/>
          <w:color w:val="000000"/>
          <w:szCs w:val="21"/>
        </w:rPr>
      </w:pPr>
      <w:r>
        <w:rPr>
          <w:rFonts w:hint="eastAsia" w:ascii="宋体" w:hAnsi="宋体" w:cs="宋体"/>
          <w:color w:val="000000"/>
          <w:szCs w:val="21"/>
        </w:rPr>
        <w:t>委托代理人（签字或签章）：</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p>
    <w:p w14:paraId="60860E46">
      <w:pPr>
        <w:spacing w:line="600" w:lineRule="exact"/>
        <w:ind w:firstLine="420" w:firstLineChars="200"/>
        <w:rPr>
          <w:rFonts w:ascii="宋体" w:hAnsi="宋体" w:cs="宋体"/>
          <w:color w:val="000000"/>
          <w:szCs w:val="21"/>
        </w:rPr>
      </w:pPr>
      <w:r>
        <w:rPr>
          <w:rFonts w:hint="eastAsia" w:ascii="宋体" w:hAnsi="宋体" w:cs="宋体"/>
          <w:color w:val="000000"/>
          <w:szCs w:val="21"/>
        </w:rPr>
        <w:t>日        期：</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p>
    <w:p w14:paraId="063A87C2">
      <w:pPr>
        <w:spacing w:line="600" w:lineRule="exact"/>
        <w:ind w:firstLine="420" w:firstLineChars="200"/>
        <w:jc w:val="center"/>
        <w:rPr>
          <w:rFonts w:ascii="宋体" w:hAnsi="宋体" w:cs="宋体"/>
          <w:color w:val="000000"/>
          <w:szCs w:val="21"/>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0"/>
        <w:gridCol w:w="4871"/>
      </w:tblGrid>
      <w:tr w14:paraId="5CD9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870" w:type="dxa"/>
            <w:tcBorders>
              <w:top w:val="single" w:color="auto" w:sz="4" w:space="0"/>
              <w:left w:val="single" w:color="auto" w:sz="4" w:space="0"/>
              <w:bottom w:val="single" w:color="auto" w:sz="4" w:space="0"/>
              <w:right w:val="single" w:color="auto" w:sz="4" w:space="0"/>
            </w:tcBorders>
            <w:vAlign w:val="center"/>
          </w:tcPr>
          <w:p w14:paraId="79F56227">
            <w:pPr>
              <w:jc w:val="center"/>
              <w:rPr>
                <w:rFonts w:ascii="宋体" w:hAnsi="宋体"/>
                <w:b/>
                <w:color w:val="000000"/>
                <w:sz w:val="24"/>
              </w:rPr>
            </w:pPr>
            <w:r>
              <w:rPr>
                <w:rFonts w:hint="eastAsia" w:ascii="宋体" w:hAnsi="宋体"/>
                <w:b/>
                <w:color w:val="000000"/>
                <w:sz w:val="24"/>
              </w:rPr>
              <w:t>法定代表人有效身份证明</w:t>
            </w:r>
          </w:p>
        </w:tc>
        <w:tc>
          <w:tcPr>
            <w:tcW w:w="4871" w:type="dxa"/>
            <w:tcBorders>
              <w:top w:val="single" w:color="auto" w:sz="4" w:space="0"/>
              <w:left w:val="single" w:color="auto" w:sz="4" w:space="0"/>
              <w:bottom w:val="single" w:color="auto" w:sz="4" w:space="0"/>
              <w:right w:val="single" w:color="auto" w:sz="4" w:space="0"/>
            </w:tcBorders>
            <w:vAlign w:val="center"/>
          </w:tcPr>
          <w:p w14:paraId="3F139129">
            <w:pPr>
              <w:jc w:val="center"/>
              <w:rPr>
                <w:rFonts w:ascii="宋体" w:hAnsi="宋体"/>
                <w:b/>
                <w:color w:val="000000"/>
                <w:sz w:val="24"/>
              </w:rPr>
            </w:pPr>
            <w:r>
              <w:rPr>
                <w:rFonts w:hint="eastAsia" w:ascii="宋体" w:hAnsi="宋体"/>
                <w:b/>
                <w:color w:val="000000"/>
                <w:sz w:val="24"/>
              </w:rPr>
              <w:t>委托代理人（</w:t>
            </w:r>
            <w:r>
              <w:rPr>
                <w:rFonts w:hint="eastAsia" w:ascii="宋体" w:hAnsi="宋体" w:cs="宋体"/>
                <w:b/>
                <w:color w:val="000000"/>
                <w:sz w:val="24"/>
              </w:rPr>
              <w:t>被授权人</w:t>
            </w:r>
            <w:r>
              <w:rPr>
                <w:rFonts w:hint="eastAsia" w:ascii="宋体" w:hAnsi="宋体"/>
                <w:b/>
                <w:color w:val="000000"/>
                <w:sz w:val="24"/>
              </w:rPr>
              <w:t>）有效身份证明</w:t>
            </w:r>
          </w:p>
        </w:tc>
      </w:tr>
      <w:tr w14:paraId="2287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jc w:val="center"/>
        </w:trPr>
        <w:tc>
          <w:tcPr>
            <w:tcW w:w="4870" w:type="dxa"/>
            <w:tcBorders>
              <w:top w:val="single" w:color="auto" w:sz="4" w:space="0"/>
              <w:left w:val="single" w:color="auto" w:sz="4" w:space="0"/>
              <w:bottom w:val="single" w:color="auto" w:sz="4" w:space="0"/>
              <w:right w:val="single" w:color="auto" w:sz="4" w:space="0"/>
            </w:tcBorders>
            <w:vAlign w:val="center"/>
          </w:tcPr>
          <w:p w14:paraId="2C98E821">
            <w:pPr>
              <w:jc w:val="center"/>
              <w:rPr>
                <w:rFonts w:ascii="宋体" w:hAnsi="宋体"/>
                <w:i/>
                <w:color w:val="000000"/>
              </w:rPr>
            </w:pPr>
            <w:r>
              <w:rPr>
                <w:rFonts w:hint="eastAsia" w:ascii="宋体" w:hAnsi="宋体"/>
                <w:i/>
                <w:color w:val="000000"/>
              </w:rPr>
              <w:t>（身份证复印件粘贴处）</w:t>
            </w:r>
          </w:p>
          <w:p w14:paraId="04EE054C">
            <w:pPr>
              <w:jc w:val="center"/>
              <w:rPr>
                <w:rFonts w:ascii="宋体" w:hAnsi="宋体"/>
                <w:i/>
                <w:color w:val="000000"/>
              </w:rPr>
            </w:pPr>
          </w:p>
          <w:p w14:paraId="252ACE0B">
            <w:pPr>
              <w:jc w:val="center"/>
              <w:rPr>
                <w:rFonts w:ascii="宋体" w:hAnsi="宋体"/>
                <w:i/>
                <w:color w:val="000000"/>
              </w:rPr>
            </w:pPr>
            <w:r>
              <w:rPr>
                <w:rFonts w:hint="eastAsia" w:ascii="宋体" w:hAnsi="宋体"/>
                <w:i/>
                <w:color w:val="000000"/>
              </w:rPr>
              <w:t>（可电子粘贴）</w:t>
            </w:r>
          </w:p>
          <w:p w14:paraId="71B78937">
            <w:pPr>
              <w:jc w:val="center"/>
              <w:rPr>
                <w:rFonts w:ascii="宋体" w:hAnsi="宋体"/>
                <w:i/>
                <w:color w:val="000000"/>
              </w:rPr>
            </w:pPr>
          </w:p>
          <w:p w14:paraId="2A3C6A99">
            <w:pPr>
              <w:jc w:val="center"/>
              <w:rPr>
                <w:rFonts w:ascii="宋体" w:hAnsi="宋体"/>
                <w:i/>
                <w:color w:val="000000"/>
              </w:rPr>
            </w:pPr>
            <w:r>
              <w:rPr>
                <w:rFonts w:hint="eastAsia" w:ascii="宋体" w:hAnsi="宋体"/>
                <w:i/>
                <w:color w:val="000000"/>
              </w:rPr>
              <w:t>（证明材料可另页，不限于本框内）</w:t>
            </w:r>
          </w:p>
        </w:tc>
        <w:tc>
          <w:tcPr>
            <w:tcW w:w="4871" w:type="dxa"/>
            <w:tcBorders>
              <w:top w:val="single" w:color="auto" w:sz="4" w:space="0"/>
              <w:left w:val="single" w:color="auto" w:sz="4" w:space="0"/>
              <w:bottom w:val="single" w:color="auto" w:sz="4" w:space="0"/>
              <w:right w:val="single" w:color="auto" w:sz="4" w:space="0"/>
            </w:tcBorders>
            <w:vAlign w:val="center"/>
          </w:tcPr>
          <w:p w14:paraId="6BA0D23B">
            <w:pPr>
              <w:jc w:val="center"/>
              <w:rPr>
                <w:rFonts w:ascii="宋体" w:hAnsi="宋体"/>
                <w:i/>
                <w:color w:val="000000"/>
              </w:rPr>
            </w:pPr>
            <w:r>
              <w:rPr>
                <w:rFonts w:hint="eastAsia" w:ascii="宋体" w:hAnsi="宋体"/>
                <w:i/>
                <w:color w:val="000000"/>
              </w:rPr>
              <w:t>（身份证复印件粘贴处）</w:t>
            </w:r>
          </w:p>
          <w:p w14:paraId="3DF6BF00">
            <w:pPr>
              <w:jc w:val="center"/>
              <w:rPr>
                <w:rFonts w:ascii="宋体" w:hAnsi="宋体"/>
                <w:i/>
                <w:color w:val="000000"/>
              </w:rPr>
            </w:pPr>
          </w:p>
          <w:p w14:paraId="17C15D45">
            <w:pPr>
              <w:jc w:val="center"/>
              <w:rPr>
                <w:rFonts w:ascii="宋体" w:hAnsi="宋体"/>
                <w:i/>
                <w:color w:val="000000"/>
              </w:rPr>
            </w:pPr>
            <w:r>
              <w:rPr>
                <w:rFonts w:hint="eastAsia" w:ascii="宋体" w:hAnsi="宋体"/>
                <w:i/>
                <w:color w:val="000000"/>
              </w:rPr>
              <w:t>（可电子粘贴）</w:t>
            </w:r>
          </w:p>
          <w:p w14:paraId="3ACD6792">
            <w:pPr>
              <w:jc w:val="center"/>
              <w:rPr>
                <w:rFonts w:ascii="宋体" w:hAnsi="宋体"/>
                <w:i/>
                <w:color w:val="000000"/>
              </w:rPr>
            </w:pPr>
          </w:p>
          <w:p w14:paraId="1E5B435F">
            <w:pPr>
              <w:jc w:val="center"/>
              <w:rPr>
                <w:rFonts w:ascii="宋体" w:hAnsi="宋体"/>
                <w:i/>
                <w:color w:val="000000"/>
              </w:rPr>
            </w:pPr>
            <w:r>
              <w:rPr>
                <w:rFonts w:hint="eastAsia" w:ascii="宋体" w:hAnsi="宋体"/>
                <w:i/>
                <w:color w:val="000000"/>
              </w:rPr>
              <w:t>（证明材料可另页，不限于本框内）</w:t>
            </w:r>
          </w:p>
        </w:tc>
      </w:tr>
    </w:tbl>
    <w:p w14:paraId="3C01038E">
      <w:pPr>
        <w:pStyle w:val="4"/>
        <w:spacing w:line="600" w:lineRule="exact"/>
        <w:ind w:firstLine="422"/>
        <w:jc w:val="center"/>
        <w:rPr>
          <w:rFonts w:ascii="宋体" w:hAnsi="宋体" w:cs="宋体"/>
          <w:b/>
          <w:color w:val="000000"/>
        </w:rPr>
      </w:pPr>
    </w:p>
    <w:p w14:paraId="6599D8EF">
      <w:pPr>
        <w:spacing w:line="360" w:lineRule="auto"/>
        <w:rPr>
          <w:rFonts w:ascii="宋体" w:hAnsi="宋体" w:cs="宋体"/>
          <w:b/>
          <w:color w:val="000000"/>
          <w:sz w:val="28"/>
          <w:szCs w:val="28"/>
        </w:rPr>
      </w:pPr>
    </w:p>
    <w:p w14:paraId="79141A0B">
      <w:pPr>
        <w:pStyle w:val="8"/>
        <w:rPr>
          <w:color w:val="000000"/>
        </w:rPr>
      </w:pPr>
    </w:p>
    <w:p w14:paraId="4558116A">
      <w:pPr>
        <w:spacing w:line="360" w:lineRule="auto"/>
        <w:jc w:val="center"/>
        <w:rPr>
          <w:rFonts w:ascii="宋体" w:hAnsi="宋体" w:cs="宋体"/>
          <w:b/>
          <w:color w:val="000000"/>
          <w:sz w:val="28"/>
          <w:szCs w:val="28"/>
        </w:rPr>
      </w:pPr>
    </w:p>
    <w:p w14:paraId="765A1767">
      <w:pPr>
        <w:spacing w:line="552" w:lineRule="auto"/>
        <w:jc w:val="center"/>
        <w:outlineLvl w:val="1"/>
        <w:rPr>
          <w:rFonts w:ascii="宋体" w:hAnsi="宋体" w:cs="宋体"/>
          <w:b/>
          <w:bCs/>
          <w:color w:val="000000"/>
          <w:sz w:val="28"/>
          <w:szCs w:val="28"/>
        </w:rPr>
      </w:pPr>
      <w:bookmarkStart w:id="477" w:name="_Toc184029952"/>
      <w:r>
        <w:rPr>
          <w:rFonts w:hint="eastAsia" w:ascii="宋体" w:hAnsi="宋体" w:cs="宋体"/>
          <w:b/>
          <w:bCs/>
          <w:color w:val="000000"/>
          <w:sz w:val="28"/>
          <w:szCs w:val="28"/>
        </w:rPr>
        <w:t>四、投标（响应）书（格式）</w:t>
      </w:r>
      <w:bookmarkEnd w:id="477"/>
    </w:p>
    <w:p w14:paraId="0CBAEEF8">
      <w:pPr>
        <w:spacing w:line="360" w:lineRule="auto"/>
        <w:rPr>
          <w:rFonts w:asciiTheme="minorEastAsia" w:hAnsiTheme="minorEastAsia" w:eastAsiaTheme="minorEastAsia" w:cstheme="minorEastAsia"/>
          <w:b/>
          <w:color w:val="000000"/>
          <w:szCs w:val="21"/>
          <w:u w:val="single"/>
        </w:rPr>
      </w:pPr>
    </w:p>
    <w:p w14:paraId="74E9D39D">
      <w:pPr>
        <w:spacing w:line="360" w:lineRule="auto"/>
        <w:rPr>
          <w:rFonts w:asciiTheme="minorEastAsia" w:hAnsiTheme="minorEastAsia" w:eastAsiaTheme="minorEastAsia" w:cstheme="minorEastAsia"/>
          <w:b/>
          <w:color w:val="000000"/>
          <w:szCs w:val="21"/>
          <w:u w:val="single"/>
        </w:rPr>
      </w:pPr>
      <w:r>
        <w:rPr>
          <w:rFonts w:hint="eastAsia" w:asciiTheme="minorEastAsia" w:hAnsiTheme="minorEastAsia" w:eastAsiaTheme="minorEastAsia" w:cstheme="minorEastAsia"/>
          <w:b/>
          <w:color w:val="000000"/>
          <w:szCs w:val="21"/>
          <w:u w:val="single"/>
        </w:rPr>
        <w:t xml:space="preserve">致：    </w:t>
      </w:r>
      <w:r>
        <w:rPr>
          <w:rFonts w:hint="eastAsia" w:asciiTheme="minorEastAsia" w:hAnsiTheme="minorEastAsia" w:eastAsiaTheme="minorEastAsia" w:cstheme="minorEastAsia"/>
          <w:b/>
          <w:i/>
          <w:color w:val="000000"/>
          <w:szCs w:val="21"/>
          <w:u w:val="single"/>
        </w:rPr>
        <w:t>(</w:t>
      </w:r>
      <w:r>
        <w:rPr>
          <w:rFonts w:hint="eastAsia" w:asciiTheme="minorEastAsia" w:hAnsiTheme="minorEastAsia" w:eastAsiaTheme="minorEastAsia" w:cstheme="minorEastAsia"/>
          <w:b/>
          <w:i/>
          <w:color w:val="000000"/>
          <w:kern w:val="0"/>
          <w:szCs w:val="21"/>
          <w:u w:val="single"/>
        </w:rPr>
        <w:t>采购人或携手阳光公司的名称</w:t>
      </w:r>
      <w:r>
        <w:rPr>
          <w:rFonts w:hint="eastAsia" w:asciiTheme="minorEastAsia" w:hAnsiTheme="minorEastAsia" w:eastAsiaTheme="minorEastAsia" w:cstheme="minorEastAsia"/>
          <w:b/>
          <w:i/>
          <w:color w:val="000000"/>
          <w:szCs w:val="21"/>
          <w:u w:val="single"/>
        </w:rPr>
        <w:t>)</w:t>
      </w:r>
    </w:p>
    <w:p w14:paraId="282A1005">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根据贵方</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i/>
          <w:color w:val="000000"/>
          <w:sz w:val="21"/>
          <w:szCs w:val="21"/>
          <w:u w:val="single"/>
        </w:rPr>
        <w:t xml:space="preserve"> (项目名称)</w:t>
      </w:r>
      <w:r>
        <w:rPr>
          <w:rFonts w:hint="eastAsia" w:asciiTheme="minorEastAsia" w:hAnsiTheme="minorEastAsia" w:eastAsiaTheme="minorEastAsia" w:cstheme="minorEastAsia"/>
          <w:color w:val="000000"/>
          <w:sz w:val="21"/>
          <w:szCs w:val="21"/>
        </w:rPr>
        <w:t>项目的投标邀请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i/>
          <w:color w:val="000000"/>
          <w:sz w:val="21"/>
          <w:szCs w:val="21"/>
          <w:u w:val="single"/>
        </w:rPr>
        <w:t>(采购编号)</w:t>
      </w:r>
      <w:r>
        <w:rPr>
          <w:rFonts w:hint="eastAsia" w:asciiTheme="minorEastAsia" w:hAnsiTheme="minorEastAsia" w:eastAsiaTheme="minorEastAsia" w:cstheme="minorEastAsia"/>
          <w:color w:val="000000"/>
          <w:sz w:val="21"/>
          <w:szCs w:val="21"/>
        </w:rPr>
        <w:t>,签字代表</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i/>
          <w:color w:val="000000"/>
          <w:sz w:val="21"/>
          <w:szCs w:val="21"/>
          <w:u w:val="single"/>
        </w:rPr>
        <w:t>(姓名、职务)</w:t>
      </w:r>
      <w:r>
        <w:rPr>
          <w:rFonts w:hint="eastAsia" w:asciiTheme="minorEastAsia" w:hAnsiTheme="minorEastAsia" w:eastAsiaTheme="minorEastAsia" w:cstheme="minorEastAsia"/>
          <w:color w:val="000000"/>
          <w:sz w:val="21"/>
          <w:szCs w:val="21"/>
        </w:rPr>
        <w:t>经正式授权并代表供应商</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i/>
          <w:color w:val="000000"/>
          <w:sz w:val="21"/>
          <w:szCs w:val="21"/>
          <w:u w:val="single"/>
        </w:rPr>
        <w:t>（供应商名称）</w:t>
      </w:r>
      <w:r>
        <w:rPr>
          <w:rFonts w:hint="eastAsia" w:asciiTheme="minorEastAsia" w:hAnsiTheme="minorEastAsia" w:eastAsiaTheme="minorEastAsia" w:cstheme="minorEastAsia"/>
          <w:color w:val="000000"/>
          <w:sz w:val="21"/>
          <w:szCs w:val="21"/>
        </w:rPr>
        <w:t>提交下述文件正本</w:t>
      </w:r>
      <w:r>
        <w:rPr>
          <w:rFonts w:hint="eastAsia" w:asciiTheme="minorEastAsia" w:hAnsiTheme="minorEastAsia" w:eastAsiaTheme="minorEastAsia" w:cstheme="minorEastAsia"/>
          <w:b/>
          <w:color w:val="000000"/>
          <w:sz w:val="21"/>
          <w:szCs w:val="21"/>
          <w:u w:val="single"/>
        </w:rPr>
        <w:t>1</w:t>
      </w:r>
      <w:r>
        <w:rPr>
          <w:rFonts w:hint="eastAsia" w:asciiTheme="minorEastAsia" w:hAnsiTheme="minorEastAsia" w:eastAsiaTheme="minorEastAsia" w:cstheme="minorEastAsia"/>
          <w:color w:val="000000"/>
          <w:sz w:val="21"/>
          <w:szCs w:val="21"/>
        </w:rPr>
        <w:t>份、副本</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b/>
          <w:color w:val="000000"/>
          <w:sz w:val="21"/>
          <w:szCs w:val="21"/>
        </w:rPr>
        <w:t>份</w:t>
      </w:r>
      <w:r>
        <w:rPr>
          <w:rFonts w:hint="eastAsia" w:asciiTheme="minorEastAsia" w:hAnsiTheme="minorEastAsia" w:eastAsiaTheme="minorEastAsia" w:cstheme="minorEastAsia"/>
          <w:color w:val="000000"/>
          <w:sz w:val="21"/>
          <w:szCs w:val="21"/>
        </w:rPr>
        <w:t>。</w:t>
      </w:r>
    </w:p>
    <w:p w14:paraId="04559A9D">
      <w:pPr>
        <w:pStyle w:val="12"/>
        <w:tabs>
          <w:tab w:val="left" w:pos="5580"/>
        </w:tabs>
        <w:spacing w:line="360" w:lineRule="auto"/>
        <w:ind w:firstLine="422" w:firstLineChars="200"/>
        <w:rPr>
          <w:rFonts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据此，签字代表宣布同意如下：</w:t>
      </w:r>
    </w:p>
    <w:p w14:paraId="023EAEAE">
      <w:pPr>
        <w:pStyle w:val="12"/>
        <w:tabs>
          <w:tab w:val="left" w:pos="5580"/>
        </w:tabs>
        <w:spacing w:line="360" w:lineRule="auto"/>
        <w:ind w:firstLine="420" w:firstLineChars="200"/>
        <w:rPr>
          <w:rFonts w:asciiTheme="minorEastAsia" w:hAnsiTheme="minorEastAsia" w:eastAsiaTheme="minorEastAsia" w:cstheme="minorEastAsia"/>
          <w:color w:val="000000"/>
          <w:spacing w:val="15"/>
          <w:sz w:val="21"/>
          <w:szCs w:val="21"/>
          <w:u w:val="single"/>
        </w:rPr>
      </w:pPr>
      <w:r>
        <w:rPr>
          <w:rFonts w:hint="eastAsia" w:asciiTheme="minorEastAsia" w:hAnsiTheme="minorEastAsia" w:eastAsiaTheme="minorEastAsia" w:cstheme="minorEastAsia"/>
          <w:color w:val="000000"/>
          <w:sz w:val="21"/>
          <w:szCs w:val="21"/>
        </w:rPr>
        <w:t>（1）附投标价格表中规定的应提供产品（货物、服务、工程）的投标总价详见报价一览表。</w:t>
      </w:r>
    </w:p>
    <w:p w14:paraId="15D0EC30">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（2）本投标有效期为自提交响应文件截止之日起</w:t>
      </w:r>
      <w:r>
        <w:rPr>
          <w:rFonts w:hint="eastAsia" w:asciiTheme="minorEastAsia" w:hAnsiTheme="minorEastAsia" w:eastAsiaTheme="minorEastAsia" w:cstheme="minorEastAsia"/>
          <w:color w:val="000000"/>
          <w:sz w:val="21"/>
          <w:szCs w:val="21"/>
          <w:u w:val="single"/>
        </w:rPr>
        <w:t>90</w:t>
      </w:r>
      <w:r>
        <w:rPr>
          <w:rFonts w:hint="eastAsia" w:asciiTheme="minorEastAsia" w:hAnsiTheme="minorEastAsia" w:eastAsiaTheme="minorEastAsia" w:cstheme="minorEastAsia"/>
          <w:color w:val="000000"/>
          <w:sz w:val="21"/>
          <w:szCs w:val="21"/>
        </w:rPr>
        <w:t>个日历日。</w:t>
      </w:r>
    </w:p>
    <w:p w14:paraId="41FC04EE">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（3）已详细审查全部采购文件，包括所有补充通知（如果有的话），完全理解并同意放弃对这方面有不明、误解和质疑的权力。</w:t>
      </w:r>
    </w:p>
    <w:p w14:paraId="66A2183F">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（4）在规定的提交响应文件截止时间后，遵守采购文件中有关保证金的规定。</w:t>
      </w:r>
    </w:p>
    <w:p w14:paraId="4CF61B3B">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（5）我方不是为本项目提供整体设计、规范编制或者项目管理、监理、检测等服务的供应商，我方不是采购代理机构的附属机构。</w:t>
      </w:r>
    </w:p>
    <w:p w14:paraId="4D27A6F0">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（6）在领取成交通知书的同时按采购文件规定的形式，向盐城市携手阳光集中采购代理有限公司一次性支付代理服务费。</w:t>
      </w:r>
    </w:p>
    <w:p w14:paraId="27930932">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（7）按照贵方可能要求，提供与其投标有关的一切数据或资料，完全理解贵方不一定接受最低价的投标或收到的任何投标。</w:t>
      </w:r>
    </w:p>
    <w:p w14:paraId="4768B4D5">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（8）按照采购文件的规定履行合同责任和义务。</w:t>
      </w:r>
    </w:p>
    <w:p w14:paraId="09758207">
      <w:pPr>
        <w:pStyle w:val="12"/>
        <w:tabs>
          <w:tab w:val="left" w:pos="5580"/>
        </w:tabs>
        <w:spacing w:line="360" w:lineRule="auto"/>
        <w:ind w:firstLine="422" w:firstLineChars="200"/>
        <w:rPr>
          <w:rFonts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u w:val="single"/>
        </w:rPr>
        <w:t>（9）评审期间，如采购人或携手阳光相关工作人员无法与我方委托代理人联系（联系电话：</w:t>
      </w:r>
      <w:r>
        <w:rPr>
          <w:rFonts w:hint="eastAsia" w:asciiTheme="minorEastAsia" w:hAnsiTheme="minorEastAsia" w:eastAsiaTheme="minorEastAsia" w:cstheme="minorEastAsia"/>
          <w:b/>
          <w:i/>
          <w:color w:val="000000"/>
          <w:sz w:val="21"/>
          <w:szCs w:val="21"/>
          <w:u w:val="single"/>
        </w:rPr>
        <w:t xml:space="preserve">手机号 </w:t>
      </w:r>
      <w:r>
        <w:rPr>
          <w:rFonts w:hint="eastAsia" w:asciiTheme="minorEastAsia" w:hAnsiTheme="minorEastAsia" w:eastAsiaTheme="minorEastAsia" w:cstheme="minorEastAsia"/>
          <w:b/>
          <w:color w:val="000000"/>
          <w:sz w:val="21"/>
          <w:szCs w:val="21"/>
          <w:u w:val="single"/>
        </w:rPr>
        <w:t xml:space="preserve">                    ）或我方法定代表人或其委托代理人接到通知后15分钟内未及时向评审人员进行澄清（含提供相关证明材料等）等情形的，评审人员有权视为我方放弃澄清等相关所有权益（以贵方或评审人员理解为准）。</w:t>
      </w:r>
    </w:p>
    <w:p w14:paraId="0B299BE3">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与本投标有关的一切正式往来信函请寄：</w:t>
      </w:r>
    </w:p>
    <w:p w14:paraId="75ECF1C0">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  址：</w:t>
      </w:r>
      <w:r>
        <w:rPr>
          <w:rFonts w:hint="eastAsia" w:asciiTheme="minorEastAsia" w:hAnsiTheme="minorEastAsia" w:eastAsiaTheme="minorEastAsia" w:cstheme="minorEastAsia"/>
          <w:color w:val="000000"/>
          <w:sz w:val="21"/>
          <w:szCs w:val="21"/>
          <w:u w:val="single"/>
        </w:rPr>
        <w:t xml:space="preserve">                                                                 </w:t>
      </w:r>
    </w:p>
    <w:p w14:paraId="7D98A429">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供应商（盖公章）：</w:t>
      </w:r>
      <w:r>
        <w:rPr>
          <w:rFonts w:hint="eastAsia" w:asciiTheme="minorEastAsia" w:hAnsiTheme="minorEastAsia" w:eastAsiaTheme="minorEastAsia" w:cstheme="minorEastAsia"/>
          <w:color w:val="000000"/>
          <w:sz w:val="21"/>
          <w:szCs w:val="21"/>
          <w:u w:val="single"/>
        </w:rPr>
        <w:t xml:space="preserve">                                                       </w:t>
      </w:r>
    </w:p>
    <w:p w14:paraId="0BD1DF86">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法定代表人或其委托代理人(签字或盖章)：</w:t>
      </w:r>
      <w:r>
        <w:rPr>
          <w:rFonts w:hint="eastAsia" w:asciiTheme="minorEastAsia" w:hAnsiTheme="minorEastAsia" w:eastAsiaTheme="minorEastAsia" w:cstheme="minorEastAsia"/>
          <w:color w:val="000000"/>
          <w:sz w:val="21"/>
          <w:szCs w:val="21"/>
          <w:u w:val="single"/>
        </w:rPr>
        <w:t xml:space="preserve">                                   </w:t>
      </w:r>
    </w:p>
    <w:p w14:paraId="4F9AFB23">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电子函件或传真：</w:t>
      </w:r>
      <w:r>
        <w:rPr>
          <w:rFonts w:hint="eastAsia" w:asciiTheme="minorEastAsia" w:hAnsiTheme="minorEastAsia" w:eastAsiaTheme="minorEastAsia" w:cstheme="minorEastAsia"/>
          <w:color w:val="000000"/>
          <w:sz w:val="21"/>
          <w:szCs w:val="21"/>
          <w:u w:val="single"/>
        </w:rPr>
        <w:t xml:space="preserve">                       </w:t>
      </w:r>
    </w:p>
    <w:p w14:paraId="306CAB71">
      <w:pPr>
        <w:pStyle w:val="12"/>
        <w:tabs>
          <w:tab w:val="left" w:pos="5580"/>
        </w:tabs>
        <w:spacing w:line="360" w:lineRule="auto"/>
        <w:ind w:firstLine="420" w:firstLineChars="200"/>
        <w:rPr>
          <w:rFonts w:hAnsi="宋体" w:cs="宋体"/>
          <w:color w:val="000000"/>
          <w:szCs w:val="21"/>
        </w:rPr>
      </w:pPr>
      <w:r>
        <w:rPr>
          <w:rFonts w:hint="eastAsia" w:asciiTheme="minorEastAsia" w:hAnsiTheme="minorEastAsia" w:eastAsiaTheme="minorEastAsia" w:cstheme="minorEastAsia"/>
          <w:color w:val="000000"/>
          <w:sz w:val="21"/>
          <w:szCs w:val="21"/>
        </w:rPr>
        <w:t>日  期：</w:t>
      </w:r>
      <w:r>
        <w:rPr>
          <w:rFonts w:hint="eastAsia" w:asciiTheme="minorEastAsia" w:hAnsiTheme="minorEastAsia" w:eastAsiaTheme="minorEastAsia" w:cstheme="minorEastAsia"/>
          <w:color w:val="000000"/>
          <w:sz w:val="21"/>
          <w:szCs w:val="21"/>
          <w:u w:val="single"/>
        </w:rPr>
        <w:t xml:space="preserve">      </w:t>
      </w:r>
      <w:r>
        <w:rPr>
          <w:rFonts w:hAnsi="宋体" w:cs="宋体"/>
          <w:color w:val="000000"/>
          <w:szCs w:val="21"/>
          <w:u w:val="single"/>
        </w:rPr>
        <w:t xml:space="preserve">                        </w:t>
      </w:r>
    </w:p>
    <w:p w14:paraId="615A65CD">
      <w:pPr>
        <w:spacing w:line="540" w:lineRule="atLeast"/>
        <w:rPr>
          <w:rFonts w:ascii="宋体" w:hAnsi="宋体"/>
          <w:b/>
          <w:color w:val="000000"/>
          <w:sz w:val="28"/>
          <w:szCs w:val="28"/>
        </w:rPr>
      </w:pPr>
    </w:p>
    <w:p w14:paraId="44B6809A">
      <w:pPr>
        <w:spacing w:line="552" w:lineRule="auto"/>
        <w:jc w:val="center"/>
        <w:outlineLvl w:val="1"/>
        <w:rPr>
          <w:rFonts w:ascii="宋体" w:hAnsi="宋体" w:cs="宋体"/>
          <w:b/>
          <w:bCs/>
          <w:color w:val="000000"/>
          <w:sz w:val="28"/>
          <w:szCs w:val="28"/>
        </w:rPr>
      </w:pPr>
      <w:bookmarkStart w:id="478" w:name="_Toc184029953"/>
      <w:r>
        <w:rPr>
          <w:rFonts w:hint="eastAsia" w:ascii="宋体" w:hAnsi="宋体" w:cs="宋体"/>
          <w:b/>
          <w:bCs/>
          <w:color w:val="000000"/>
          <w:sz w:val="28"/>
          <w:szCs w:val="28"/>
        </w:rPr>
        <w:t>五、盐城市政府采购事前信用承诺书（格式）</w:t>
      </w:r>
      <w:bookmarkEnd w:id="478"/>
    </w:p>
    <w:p w14:paraId="2FEB57E5">
      <w:pPr>
        <w:spacing w:line="540" w:lineRule="atLeast"/>
        <w:jc w:val="left"/>
        <w:rPr>
          <w:rFonts w:ascii="宋体" w:hAnsi="宋体" w:cs="宋体"/>
          <w:b/>
          <w:color w:val="000000"/>
          <w:szCs w:val="21"/>
        </w:rPr>
      </w:pPr>
      <w:r>
        <w:rPr>
          <w:rFonts w:hint="eastAsia" w:ascii="宋体" w:hAnsi="宋体" w:cs="宋体"/>
          <w:b/>
          <w:color w:val="000000"/>
          <w:szCs w:val="21"/>
        </w:rPr>
        <w:t xml:space="preserve">    </w:t>
      </w:r>
      <w:r>
        <w:rPr>
          <w:rFonts w:hint="eastAsia" w:ascii="宋体" w:hAnsi="宋体"/>
          <w:color w:val="000000"/>
          <w:szCs w:val="21"/>
        </w:rPr>
        <w:t>为营造我市公开、公平、公正、诚实守信的政府采购交易环境，树立诚信守法的投标人形象，本人代表本单位作出以下承诺：</w:t>
      </w:r>
    </w:p>
    <w:p w14:paraId="365BBBAF">
      <w:pPr>
        <w:widowControl/>
        <w:spacing w:line="540" w:lineRule="atLeast"/>
        <w:jc w:val="left"/>
        <w:rPr>
          <w:rFonts w:ascii="宋体" w:hAnsi="宋体"/>
          <w:color w:val="000000"/>
          <w:szCs w:val="21"/>
        </w:rPr>
      </w:pPr>
      <w:r>
        <w:rPr>
          <w:rFonts w:hint="eastAsia" w:ascii="宋体" w:hAnsi="宋体"/>
          <w:color w:val="000000"/>
          <w:szCs w:val="21"/>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3B700EFE">
      <w:pPr>
        <w:widowControl/>
        <w:spacing w:line="540" w:lineRule="atLeast"/>
        <w:ind w:firstLine="420" w:firstLineChars="200"/>
        <w:jc w:val="left"/>
        <w:rPr>
          <w:rFonts w:ascii="宋体" w:hAnsi="宋体"/>
          <w:color w:val="000000"/>
          <w:szCs w:val="21"/>
        </w:rPr>
      </w:pPr>
      <w:r>
        <w:rPr>
          <w:rFonts w:hint="eastAsia" w:ascii="宋体" w:hAnsi="宋体"/>
          <w:color w:val="000000"/>
          <w:szCs w:val="21"/>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33DCACA8">
      <w:pPr>
        <w:widowControl/>
        <w:spacing w:line="540" w:lineRule="atLeast"/>
        <w:jc w:val="left"/>
        <w:rPr>
          <w:rFonts w:ascii="宋体" w:hAnsi="宋体"/>
          <w:color w:val="000000"/>
          <w:szCs w:val="21"/>
        </w:rPr>
      </w:pPr>
      <w:r>
        <w:rPr>
          <w:rFonts w:hint="eastAsia" w:ascii="宋体" w:hAnsi="宋体"/>
          <w:color w:val="000000"/>
          <w:szCs w:val="21"/>
        </w:rPr>
        <w:t xml:space="preserve">   （三）严格依照国家和省、市关于政府采购的法律、法规、规章、规范性文件，参加政府采购投标活动；积极履行社会责任，促进廉政建设； </w:t>
      </w:r>
    </w:p>
    <w:p w14:paraId="682248FB">
      <w:pPr>
        <w:widowControl/>
        <w:spacing w:line="540" w:lineRule="atLeast"/>
        <w:jc w:val="left"/>
        <w:rPr>
          <w:rFonts w:ascii="宋体" w:hAnsi="宋体"/>
          <w:color w:val="000000"/>
          <w:szCs w:val="21"/>
        </w:rPr>
      </w:pPr>
      <w:r>
        <w:rPr>
          <w:rFonts w:hint="eastAsia" w:ascii="宋体" w:hAnsi="宋体"/>
          <w:color w:val="000000"/>
          <w:szCs w:val="21"/>
        </w:rPr>
        <w:t>   （四）严格遵守即时信息公示规定，及时维护和更新盐城市政府采购网中与本单位相关的信息；</w:t>
      </w:r>
    </w:p>
    <w:p w14:paraId="0AA76171">
      <w:pPr>
        <w:widowControl/>
        <w:spacing w:line="540" w:lineRule="atLeast"/>
        <w:jc w:val="left"/>
        <w:rPr>
          <w:rFonts w:ascii="宋体" w:hAnsi="宋体"/>
          <w:color w:val="000000"/>
          <w:szCs w:val="21"/>
        </w:rPr>
      </w:pPr>
      <w:r>
        <w:rPr>
          <w:rFonts w:hint="eastAsia" w:ascii="宋体" w:hAnsi="宋体"/>
          <w:color w:val="000000"/>
          <w:szCs w:val="21"/>
        </w:rPr>
        <w:t>   （五）自我约束、自我管理，守合同、重信用，自觉维护政府采购交易的良好秩序，与参与本次政府采购活动的其他供应商不存在直接控股或管理关系，不参与围标串标、弄虚作假、骗取中标（成交）、干扰评审、违约毁约等行为；</w:t>
      </w:r>
    </w:p>
    <w:p w14:paraId="6D6D1D80">
      <w:pPr>
        <w:widowControl/>
        <w:spacing w:line="540" w:lineRule="atLeast"/>
        <w:jc w:val="left"/>
        <w:rPr>
          <w:rFonts w:ascii="宋体" w:hAnsi="宋体"/>
          <w:color w:val="000000"/>
          <w:szCs w:val="21"/>
        </w:rPr>
      </w:pPr>
      <w:r>
        <w:rPr>
          <w:rFonts w:hint="eastAsia" w:ascii="宋体" w:hAnsi="宋体"/>
          <w:color w:val="000000"/>
          <w:szCs w:val="21"/>
        </w:rPr>
        <w:t>   （六）自觉接受政府、行业组织、社会公众、新闻舆论的监督；</w:t>
      </w:r>
    </w:p>
    <w:p w14:paraId="07C53D69">
      <w:pPr>
        <w:widowControl/>
        <w:spacing w:line="540" w:lineRule="atLeast"/>
        <w:ind w:firstLine="420" w:firstLineChars="200"/>
        <w:jc w:val="left"/>
        <w:rPr>
          <w:rFonts w:ascii="宋体" w:hAnsi="宋体"/>
          <w:color w:val="000000"/>
          <w:szCs w:val="21"/>
        </w:rPr>
      </w:pPr>
      <w:r>
        <w:rPr>
          <w:rFonts w:hint="eastAsia" w:ascii="宋体" w:hAnsi="宋体"/>
          <w:color w:val="000000"/>
          <w:szCs w:val="21"/>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64DBE501">
      <w:pPr>
        <w:widowControl/>
        <w:spacing w:line="540" w:lineRule="atLeast"/>
        <w:jc w:val="left"/>
        <w:rPr>
          <w:rFonts w:ascii="宋体" w:hAnsi="宋体"/>
          <w:color w:val="000000"/>
          <w:szCs w:val="21"/>
        </w:rPr>
      </w:pPr>
      <w:r>
        <w:rPr>
          <w:rFonts w:hint="eastAsia" w:ascii="宋体" w:hAnsi="宋体"/>
          <w:color w:val="000000"/>
          <w:szCs w:val="21"/>
        </w:rPr>
        <w:t>   （八）本人已认真阅读了上述承诺，并向本单位员工作了宣传教育。</w:t>
      </w:r>
    </w:p>
    <w:p w14:paraId="1ACE2DAF">
      <w:pPr>
        <w:pStyle w:val="12"/>
        <w:tabs>
          <w:tab w:val="left" w:pos="5580"/>
        </w:tabs>
        <w:spacing w:line="360" w:lineRule="auto"/>
        <w:ind w:firstLine="400" w:firstLineChars="200"/>
        <w:rPr>
          <w:rFonts w:hAnsi="宋体" w:cs="宋体"/>
          <w:color w:val="000000"/>
          <w:szCs w:val="21"/>
        </w:rPr>
      </w:pPr>
      <w:r>
        <w:rPr>
          <w:rFonts w:hAnsi="宋体" w:cs="宋体"/>
          <w:color w:val="000000"/>
          <w:szCs w:val="21"/>
        </w:rPr>
        <w:t>供应商（盖公章）：</w:t>
      </w:r>
      <w:r>
        <w:rPr>
          <w:rFonts w:hAnsi="宋体" w:cs="宋体"/>
          <w:color w:val="000000"/>
          <w:szCs w:val="21"/>
          <w:u w:val="single"/>
        </w:rPr>
        <w:t xml:space="preserve">                                         </w:t>
      </w:r>
    </w:p>
    <w:p w14:paraId="333FDD4D">
      <w:pPr>
        <w:pStyle w:val="12"/>
        <w:tabs>
          <w:tab w:val="left" w:pos="5580"/>
        </w:tabs>
        <w:spacing w:line="360" w:lineRule="auto"/>
        <w:ind w:firstLine="400" w:firstLineChars="200"/>
        <w:rPr>
          <w:rFonts w:hAnsi="宋体" w:cs="宋体"/>
          <w:color w:val="000000"/>
          <w:szCs w:val="21"/>
        </w:rPr>
      </w:pPr>
      <w:r>
        <w:rPr>
          <w:rFonts w:hAnsi="宋体" w:cs="宋体"/>
          <w:color w:val="000000"/>
          <w:szCs w:val="21"/>
        </w:rPr>
        <w:t>法定代表人 (签字或盖章)：</w:t>
      </w:r>
      <w:r>
        <w:rPr>
          <w:rFonts w:hAnsi="宋体" w:cs="宋体"/>
          <w:color w:val="000000"/>
          <w:szCs w:val="21"/>
          <w:u w:val="single"/>
        </w:rPr>
        <w:t xml:space="preserve">                                  </w:t>
      </w:r>
    </w:p>
    <w:p w14:paraId="0C60454E">
      <w:pPr>
        <w:pStyle w:val="12"/>
        <w:tabs>
          <w:tab w:val="left" w:pos="5580"/>
        </w:tabs>
        <w:spacing w:line="360" w:lineRule="auto"/>
        <w:ind w:firstLine="400" w:firstLineChars="200"/>
        <w:rPr>
          <w:rFonts w:hAnsi="宋体" w:cs="宋体"/>
          <w:color w:val="000000"/>
          <w:szCs w:val="21"/>
        </w:rPr>
      </w:pPr>
      <w:r>
        <w:rPr>
          <w:rFonts w:hAnsi="宋体" w:cs="宋体"/>
          <w:color w:val="000000"/>
          <w:szCs w:val="21"/>
        </w:rPr>
        <w:t>日  期：</w:t>
      </w:r>
      <w:r>
        <w:rPr>
          <w:rFonts w:hAnsi="宋体" w:cs="宋体"/>
          <w:color w:val="000000"/>
          <w:szCs w:val="21"/>
          <w:u w:val="single"/>
        </w:rPr>
        <w:t xml:space="preserve">                           </w:t>
      </w:r>
    </w:p>
    <w:p w14:paraId="4DCC37B0">
      <w:pPr>
        <w:rPr>
          <w:color w:val="000000"/>
        </w:rPr>
      </w:pPr>
    </w:p>
    <w:p w14:paraId="1262365B">
      <w:pPr>
        <w:rPr>
          <w:color w:val="000000"/>
        </w:rPr>
      </w:pPr>
    </w:p>
    <w:p w14:paraId="7E4C2C61">
      <w:pPr>
        <w:rPr>
          <w:color w:val="000000"/>
        </w:rPr>
      </w:pPr>
    </w:p>
    <w:p w14:paraId="1C1DA4D2">
      <w:pPr>
        <w:rPr>
          <w:color w:val="000000"/>
        </w:rPr>
      </w:pPr>
    </w:p>
    <w:p w14:paraId="049B6B58">
      <w:pPr>
        <w:pStyle w:val="19"/>
        <w:ind w:left="3360"/>
        <w:rPr>
          <w:color w:val="000000"/>
        </w:rPr>
      </w:pPr>
    </w:p>
    <w:p w14:paraId="0BF5D75D">
      <w:pPr>
        <w:rPr>
          <w:color w:val="000000"/>
        </w:rPr>
      </w:pPr>
    </w:p>
    <w:p w14:paraId="137A7305">
      <w:pPr>
        <w:pStyle w:val="19"/>
        <w:ind w:left="3360"/>
      </w:pPr>
    </w:p>
    <w:p w14:paraId="6FEC740E"/>
    <w:p w14:paraId="73507B0A">
      <w:pPr>
        <w:rPr>
          <w:color w:val="000000"/>
        </w:rPr>
      </w:pPr>
    </w:p>
    <w:p w14:paraId="31FD765F">
      <w:pPr>
        <w:spacing w:line="552" w:lineRule="auto"/>
        <w:jc w:val="center"/>
        <w:outlineLvl w:val="1"/>
        <w:rPr>
          <w:rFonts w:ascii="宋体" w:hAnsi="宋体" w:cs="宋体"/>
          <w:b/>
          <w:bCs/>
          <w:color w:val="000000"/>
          <w:sz w:val="28"/>
          <w:szCs w:val="28"/>
        </w:rPr>
      </w:pPr>
      <w:bookmarkStart w:id="479" w:name="_Toc184029954"/>
      <w:r>
        <w:rPr>
          <w:rFonts w:hint="eastAsia" w:ascii="宋体" w:hAnsi="宋体" w:cs="宋体"/>
          <w:b/>
          <w:bCs/>
          <w:color w:val="000000"/>
          <w:sz w:val="28"/>
          <w:szCs w:val="28"/>
        </w:rPr>
        <w:t>六、商务要求响应情况表（格式）</w:t>
      </w:r>
      <w:bookmarkEnd w:id="479"/>
    </w:p>
    <w:tbl>
      <w:tblPr>
        <w:tblStyle w:val="27"/>
        <w:tblpPr w:leftFromText="180" w:rightFromText="180" w:vertAnchor="text" w:horzAnchor="margin" w:tblpXSpec="center" w:tblpY="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718"/>
        <w:gridCol w:w="4536"/>
        <w:gridCol w:w="1985"/>
        <w:gridCol w:w="1134"/>
      </w:tblGrid>
      <w:tr w14:paraId="0687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22DD21FA">
            <w:pPr>
              <w:spacing w:line="480" w:lineRule="auto"/>
              <w:jc w:val="center"/>
              <w:rPr>
                <w:rFonts w:ascii="宋体" w:hAnsi="宋体" w:cs="宋体"/>
                <w:color w:val="000000"/>
                <w:szCs w:val="21"/>
              </w:rPr>
            </w:pPr>
            <w:r>
              <w:rPr>
                <w:rFonts w:hint="eastAsia" w:ascii="宋体" w:hAnsi="宋体" w:cs="宋体"/>
                <w:color w:val="000000"/>
                <w:szCs w:val="21"/>
              </w:rPr>
              <w:t>项目编号</w:t>
            </w:r>
          </w:p>
        </w:tc>
        <w:tc>
          <w:tcPr>
            <w:tcW w:w="7655" w:type="dxa"/>
            <w:gridSpan w:val="3"/>
            <w:tcBorders>
              <w:top w:val="single" w:color="auto" w:sz="4" w:space="0"/>
              <w:left w:val="single" w:color="auto" w:sz="4" w:space="0"/>
              <w:bottom w:val="single" w:color="auto" w:sz="4" w:space="0"/>
              <w:right w:val="single" w:color="auto" w:sz="4" w:space="0"/>
            </w:tcBorders>
            <w:vAlign w:val="center"/>
          </w:tcPr>
          <w:p w14:paraId="2F784E6E">
            <w:pPr>
              <w:spacing w:line="480" w:lineRule="auto"/>
              <w:jc w:val="center"/>
              <w:rPr>
                <w:rFonts w:ascii="宋体" w:hAnsi="宋体" w:cs="宋体"/>
                <w:color w:val="000000"/>
                <w:szCs w:val="21"/>
              </w:rPr>
            </w:pPr>
          </w:p>
        </w:tc>
      </w:tr>
      <w:tr w14:paraId="7BE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0AB97122">
            <w:pPr>
              <w:spacing w:line="480" w:lineRule="auto"/>
              <w:jc w:val="center"/>
              <w:rPr>
                <w:rFonts w:ascii="宋体" w:hAnsi="宋体" w:cs="宋体"/>
                <w:color w:val="000000"/>
                <w:szCs w:val="21"/>
              </w:rPr>
            </w:pPr>
            <w:r>
              <w:rPr>
                <w:rFonts w:hint="eastAsia" w:ascii="宋体" w:hAnsi="宋体" w:cs="宋体"/>
                <w:color w:val="000000"/>
                <w:szCs w:val="21"/>
              </w:rPr>
              <w:t>项目名称</w:t>
            </w:r>
          </w:p>
        </w:tc>
        <w:tc>
          <w:tcPr>
            <w:tcW w:w="7655" w:type="dxa"/>
            <w:gridSpan w:val="3"/>
            <w:tcBorders>
              <w:top w:val="single" w:color="auto" w:sz="4" w:space="0"/>
              <w:left w:val="single" w:color="auto" w:sz="4" w:space="0"/>
              <w:bottom w:val="single" w:color="auto" w:sz="4" w:space="0"/>
              <w:right w:val="single" w:color="auto" w:sz="4" w:space="0"/>
            </w:tcBorders>
            <w:vAlign w:val="center"/>
          </w:tcPr>
          <w:p w14:paraId="3B27DD8C">
            <w:pPr>
              <w:spacing w:line="480" w:lineRule="auto"/>
              <w:jc w:val="center"/>
              <w:rPr>
                <w:rFonts w:ascii="宋体" w:hAnsi="宋体" w:cs="宋体"/>
                <w:color w:val="000000"/>
                <w:szCs w:val="21"/>
              </w:rPr>
            </w:pPr>
          </w:p>
        </w:tc>
      </w:tr>
      <w:tr w14:paraId="104D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658" w:type="dxa"/>
            <w:tcBorders>
              <w:top w:val="single" w:color="auto" w:sz="4" w:space="0"/>
              <w:left w:val="single" w:color="auto" w:sz="4" w:space="0"/>
              <w:bottom w:val="single" w:color="auto" w:sz="4" w:space="0"/>
              <w:right w:val="single" w:color="auto" w:sz="4" w:space="0"/>
            </w:tcBorders>
            <w:vAlign w:val="center"/>
          </w:tcPr>
          <w:p w14:paraId="08BC76FC">
            <w:pPr>
              <w:spacing w:line="480" w:lineRule="auto"/>
              <w:jc w:val="center"/>
              <w:rPr>
                <w:rFonts w:ascii="宋体" w:hAnsi="宋体"/>
                <w:color w:val="000000"/>
                <w:szCs w:val="21"/>
              </w:rPr>
            </w:pPr>
            <w:r>
              <w:rPr>
                <w:rFonts w:hint="eastAsia" w:ascii="宋体" w:hAnsi="宋体"/>
                <w:color w:val="000000"/>
                <w:szCs w:val="21"/>
              </w:rPr>
              <w:t>序号</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4E7E55AF">
            <w:pPr>
              <w:spacing w:line="480" w:lineRule="auto"/>
              <w:jc w:val="center"/>
              <w:rPr>
                <w:rFonts w:ascii="宋体" w:hAnsi="宋体"/>
                <w:color w:val="000000"/>
                <w:szCs w:val="21"/>
              </w:rPr>
            </w:pPr>
            <w:r>
              <w:rPr>
                <w:rFonts w:hint="eastAsia" w:ascii="宋体" w:hAnsi="宋体"/>
                <w:color w:val="000000"/>
                <w:szCs w:val="21"/>
              </w:rPr>
              <w:t>商务要求</w:t>
            </w:r>
          </w:p>
        </w:tc>
        <w:tc>
          <w:tcPr>
            <w:tcW w:w="1985" w:type="dxa"/>
            <w:tcBorders>
              <w:top w:val="single" w:color="auto" w:sz="4" w:space="0"/>
              <w:left w:val="single" w:color="auto" w:sz="4" w:space="0"/>
              <w:bottom w:val="single" w:color="auto" w:sz="4" w:space="0"/>
              <w:right w:val="single" w:color="auto" w:sz="4" w:space="0"/>
            </w:tcBorders>
            <w:vAlign w:val="center"/>
          </w:tcPr>
          <w:p w14:paraId="68A6FDEF">
            <w:pPr>
              <w:spacing w:line="480" w:lineRule="auto"/>
              <w:jc w:val="center"/>
              <w:rPr>
                <w:rFonts w:ascii="宋体" w:hAnsi="宋体"/>
                <w:color w:val="000000"/>
                <w:szCs w:val="21"/>
              </w:rPr>
            </w:pPr>
            <w:r>
              <w:rPr>
                <w:rFonts w:hint="eastAsia" w:ascii="宋体" w:hAnsi="宋体"/>
                <w:color w:val="000000"/>
                <w:szCs w:val="21"/>
              </w:rPr>
              <w:t>供应商响应（承诺）</w:t>
            </w:r>
          </w:p>
        </w:tc>
        <w:tc>
          <w:tcPr>
            <w:tcW w:w="1134" w:type="dxa"/>
            <w:tcBorders>
              <w:top w:val="single" w:color="auto" w:sz="4" w:space="0"/>
              <w:left w:val="single" w:color="auto" w:sz="4" w:space="0"/>
              <w:bottom w:val="single" w:color="auto" w:sz="4" w:space="0"/>
              <w:right w:val="single" w:color="auto" w:sz="4" w:space="0"/>
            </w:tcBorders>
            <w:vAlign w:val="center"/>
          </w:tcPr>
          <w:p w14:paraId="11BB5807">
            <w:pPr>
              <w:spacing w:line="480" w:lineRule="auto"/>
              <w:jc w:val="center"/>
              <w:rPr>
                <w:rFonts w:ascii="宋体" w:hAnsi="宋体"/>
                <w:color w:val="000000"/>
                <w:szCs w:val="21"/>
              </w:rPr>
            </w:pPr>
            <w:r>
              <w:rPr>
                <w:rFonts w:hint="eastAsia" w:ascii="宋体" w:hAnsi="宋体"/>
                <w:color w:val="000000"/>
                <w:szCs w:val="21"/>
              </w:rPr>
              <w:t>相关说明</w:t>
            </w:r>
          </w:p>
        </w:tc>
      </w:tr>
      <w:tr w14:paraId="31E1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7AD7FAE2">
            <w:pPr>
              <w:spacing w:line="480" w:lineRule="auto"/>
              <w:jc w:val="center"/>
              <w:rPr>
                <w:rFonts w:ascii="宋体" w:hAnsi="宋体"/>
                <w:color w:val="000000"/>
              </w:rPr>
            </w:pPr>
            <w:r>
              <w:rPr>
                <w:rFonts w:hint="eastAsia" w:ascii="宋体" w:hAnsi="宋体"/>
                <w:color w:val="000000"/>
              </w:rPr>
              <w:t>1</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567B824D">
            <w:pPr>
              <w:rPr>
                <w:color w:val="000000"/>
              </w:rPr>
            </w:pPr>
            <w:r>
              <w:rPr>
                <w:rFonts w:hint="eastAsia"/>
                <w:color w:val="000000"/>
              </w:rPr>
              <w:t>为采购项目提供整体设计、规范编制或者项目管理、监理、检测等服务的投标人，不得再参加该采购项目的其他采购活动</w:t>
            </w:r>
          </w:p>
        </w:tc>
        <w:tc>
          <w:tcPr>
            <w:tcW w:w="1985" w:type="dxa"/>
            <w:tcBorders>
              <w:top w:val="single" w:color="auto" w:sz="4" w:space="0"/>
              <w:left w:val="single" w:color="auto" w:sz="4" w:space="0"/>
              <w:bottom w:val="single" w:color="auto" w:sz="4" w:space="0"/>
              <w:right w:val="single" w:color="auto" w:sz="4" w:space="0"/>
            </w:tcBorders>
            <w:vAlign w:val="center"/>
          </w:tcPr>
          <w:p w14:paraId="59955E23">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737D588C">
            <w:pPr>
              <w:spacing w:line="480" w:lineRule="auto"/>
              <w:rPr>
                <w:rFonts w:ascii="宋体" w:hAnsi="宋体"/>
                <w:color w:val="000000"/>
              </w:rPr>
            </w:pPr>
          </w:p>
        </w:tc>
      </w:tr>
      <w:tr w14:paraId="0C09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50D4A90A">
            <w:pPr>
              <w:spacing w:line="480" w:lineRule="auto"/>
              <w:jc w:val="center"/>
              <w:rPr>
                <w:rFonts w:ascii="宋体" w:hAnsi="宋体"/>
                <w:color w:val="000000"/>
              </w:rPr>
            </w:pPr>
            <w:r>
              <w:rPr>
                <w:rFonts w:hint="eastAsia" w:ascii="宋体" w:hAnsi="宋体"/>
                <w:color w:val="000000"/>
              </w:rPr>
              <w:t>2</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1E08F315">
            <w:pPr>
              <w:rPr>
                <w:color w:val="000000"/>
              </w:rPr>
            </w:pPr>
            <w:r>
              <w:rPr>
                <w:color w:val="000000"/>
              </w:rPr>
              <w:t>单位负责人为同一人或者存在直接控股、管理关系的不同</w:t>
            </w:r>
            <w:r>
              <w:rPr>
                <w:rFonts w:hint="eastAsia"/>
                <w:color w:val="000000"/>
              </w:rPr>
              <w:t>投标人</w:t>
            </w:r>
            <w:r>
              <w:rPr>
                <w:color w:val="000000"/>
              </w:rPr>
              <w:t>，不得参加同一合同项下的政府采购活动</w:t>
            </w:r>
          </w:p>
        </w:tc>
        <w:tc>
          <w:tcPr>
            <w:tcW w:w="1985" w:type="dxa"/>
            <w:tcBorders>
              <w:top w:val="single" w:color="auto" w:sz="4" w:space="0"/>
              <w:left w:val="single" w:color="auto" w:sz="4" w:space="0"/>
              <w:bottom w:val="single" w:color="auto" w:sz="4" w:space="0"/>
              <w:right w:val="single" w:color="auto" w:sz="4" w:space="0"/>
            </w:tcBorders>
            <w:vAlign w:val="center"/>
          </w:tcPr>
          <w:p w14:paraId="6EEB2C6F">
            <w:pPr>
              <w:spacing w:line="480" w:lineRule="auto"/>
              <w:jc w:val="center"/>
              <w:rPr>
                <w:rFonts w:ascii="宋体" w:hAnsi="宋体"/>
                <w:i/>
                <w:color w:val="000000"/>
                <w:szCs w:val="21"/>
                <w:u w:val="single"/>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32EC29F2">
            <w:pPr>
              <w:spacing w:line="480" w:lineRule="auto"/>
              <w:rPr>
                <w:rFonts w:ascii="宋体" w:hAnsi="宋体"/>
                <w:color w:val="000000"/>
              </w:rPr>
            </w:pPr>
          </w:p>
        </w:tc>
      </w:tr>
      <w:tr w14:paraId="7AD1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722D1D36">
            <w:pPr>
              <w:spacing w:line="480" w:lineRule="auto"/>
              <w:jc w:val="center"/>
              <w:rPr>
                <w:rFonts w:ascii="宋体" w:hAnsi="宋体"/>
                <w:color w:val="000000"/>
              </w:rPr>
            </w:pPr>
            <w:r>
              <w:rPr>
                <w:rFonts w:hint="eastAsia" w:ascii="宋体" w:hAnsi="宋体"/>
                <w:color w:val="000000"/>
              </w:rPr>
              <w:t>3</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25C2329B">
            <w:pPr>
              <w:rPr>
                <w:color w:val="000000"/>
              </w:rPr>
            </w:pPr>
            <w:r>
              <w:rPr>
                <w:rFonts w:hint="eastAsia"/>
                <w:color w:val="000000"/>
              </w:rPr>
              <w:t>投标人不得在中国政府采购网被列入政府采购严重违法失信行为记录名单，或在“信用中国”网站被列入失信被执行人、重大税收违法案件当事人名单，以及存在《政府采购法实施条例》第十九条规定的行政处罚记录</w:t>
            </w:r>
          </w:p>
        </w:tc>
        <w:tc>
          <w:tcPr>
            <w:tcW w:w="1985" w:type="dxa"/>
            <w:tcBorders>
              <w:top w:val="single" w:color="auto" w:sz="4" w:space="0"/>
              <w:left w:val="single" w:color="auto" w:sz="4" w:space="0"/>
              <w:bottom w:val="single" w:color="auto" w:sz="4" w:space="0"/>
              <w:right w:val="single" w:color="auto" w:sz="4" w:space="0"/>
            </w:tcBorders>
            <w:vAlign w:val="center"/>
          </w:tcPr>
          <w:p w14:paraId="4F0B3F6A">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163851A0">
            <w:pPr>
              <w:spacing w:line="480" w:lineRule="auto"/>
              <w:rPr>
                <w:rFonts w:ascii="宋体" w:hAnsi="宋体"/>
                <w:color w:val="000000"/>
              </w:rPr>
            </w:pPr>
          </w:p>
        </w:tc>
      </w:tr>
      <w:tr w14:paraId="2EDE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071E6E5C">
            <w:pPr>
              <w:spacing w:line="480" w:lineRule="auto"/>
              <w:jc w:val="center"/>
              <w:rPr>
                <w:rFonts w:ascii="宋体" w:hAnsi="宋体"/>
                <w:color w:val="000000"/>
              </w:rPr>
            </w:pPr>
            <w:r>
              <w:rPr>
                <w:rFonts w:hint="eastAsia" w:ascii="宋体" w:hAnsi="宋体"/>
                <w:color w:val="000000"/>
              </w:rPr>
              <w:t>4</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5C924526">
            <w:pPr>
              <w:spacing w:line="480" w:lineRule="auto"/>
              <w:jc w:val="left"/>
              <w:rPr>
                <w:rFonts w:ascii="宋体" w:hAnsi="宋体" w:cs="宋体"/>
                <w:color w:val="000000"/>
                <w:sz w:val="18"/>
                <w:szCs w:val="18"/>
              </w:rPr>
            </w:pPr>
            <w:r>
              <w:rPr>
                <w:rFonts w:hint="eastAsia" w:ascii="宋体" w:hAnsi="宋体" w:cs="宋体"/>
                <w:color w:val="000000"/>
                <w:szCs w:val="21"/>
              </w:rPr>
              <w:t>响应文件未含有采购人不能接受的附加条件</w:t>
            </w:r>
          </w:p>
        </w:tc>
        <w:tc>
          <w:tcPr>
            <w:tcW w:w="1985" w:type="dxa"/>
            <w:tcBorders>
              <w:top w:val="single" w:color="auto" w:sz="4" w:space="0"/>
              <w:left w:val="single" w:color="auto" w:sz="4" w:space="0"/>
              <w:bottom w:val="single" w:color="auto" w:sz="4" w:space="0"/>
              <w:right w:val="single" w:color="auto" w:sz="4" w:space="0"/>
            </w:tcBorders>
            <w:vAlign w:val="center"/>
          </w:tcPr>
          <w:p w14:paraId="12E0B4C1">
            <w:pPr>
              <w:spacing w:line="480" w:lineRule="auto"/>
              <w:jc w:val="center"/>
              <w:rPr>
                <w:rFonts w:ascii="宋体" w:hAnsi="宋体"/>
                <w:i/>
                <w:color w:val="000000"/>
                <w:szCs w:val="21"/>
                <w:u w:val="single"/>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3A19EE67">
            <w:pPr>
              <w:spacing w:line="480" w:lineRule="auto"/>
              <w:rPr>
                <w:rFonts w:ascii="宋体" w:hAnsi="宋体"/>
                <w:color w:val="000000"/>
              </w:rPr>
            </w:pPr>
          </w:p>
        </w:tc>
      </w:tr>
      <w:tr w14:paraId="00F3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3D520937">
            <w:pPr>
              <w:spacing w:line="480" w:lineRule="auto"/>
              <w:jc w:val="center"/>
              <w:rPr>
                <w:rFonts w:ascii="宋体" w:hAnsi="宋体"/>
                <w:color w:val="000000"/>
              </w:rPr>
            </w:pPr>
            <w:r>
              <w:rPr>
                <w:rFonts w:hint="eastAsia" w:ascii="宋体" w:hAnsi="宋体"/>
                <w:color w:val="000000"/>
              </w:rPr>
              <w:t>5</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672C9D35">
            <w:pPr>
              <w:rPr>
                <w:color w:val="000000"/>
              </w:rPr>
            </w:pPr>
            <w:r>
              <w:rPr>
                <w:rFonts w:hint="eastAsia"/>
                <w:color w:val="000000"/>
              </w:rPr>
              <w:t>所投产品质量标准符合招标文件“合格（符合国家强制标准等），全新原厂原件”的要求</w:t>
            </w:r>
          </w:p>
        </w:tc>
        <w:tc>
          <w:tcPr>
            <w:tcW w:w="1985" w:type="dxa"/>
            <w:tcBorders>
              <w:top w:val="single" w:color="auto" w:sz="4" w:space="0"/>
              <w:left w:val="single" w:color="auto" w:sz="4" w:space="0"/>
              <w:bottom w:val="single" w:color="auto" w:sz="4" w:space="0"/>
              <w:right w:val="single" w:color="auto" w:sz="4" w:space="0"/>
            </w:tcBorders>
            <w:vAlign w:val="center"/>
          </w:tcPr>
          <w:p w14:paraId="2FF3D67F">
            <w:pPr>
              <w:spacing w:line="480" w:lineRule="auto"/>
              <w:jc w:val="center"/>
              <w:rPr>
                <w:rFonts w:ascii="宋体" w:hAnsi="宋体"/>
                <w:i/>
                <w:color w:val="000000"/>
                <w:szCs w:val="21"/>
                <w:u w:val="single"/>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32397F59">
            <w:pPr>
              <w:spacing w:line="480" w:lineRule="auto"/>
              <w:rPr>
                <w:rFonts w:ascii="宋体" w:hAnsi="宋体"/>
                <w:color w:val="000000"/>
              </w:rPr>
            </w:pPr>
          </w:p>
        </w:tc>
      </w:tr>
      <w:tr w14:paraId="457C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531A268B">
            <w:pPr>
              <w:jc w:val="center"/>
              <w:rPr>
                <w:color w:val="000000"/>
              </w:rPr>
            </w:pPr>
            <w:r>
              <w:rPr>
                <w:rFonts w:hint="eastAsia"/>
                <w:color w:val="000000"/>
              </w:rPr>
              <w:t>6</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4B5025BF">
            <w:pPr>
              <w:rPr>
                <w:color w:val="000000"/>
              </w:rPr>
            </w:pPr>
            <w:r>
              <w:rPr>
                <w:rFonts w:hint="eastAsia" w:ascii="宋体" w:hAnsi="宋体"/>
                <w:color w:val="000000"/>
              </w:rPr>
              <w:t>所投产品符合采购文件“进口产品”的要求</w:t>
            </w:r>
          </w:p>
        </w:tc>
        <w:tc>
          <w:tcPr>
            <w:tcW w:w="1985" w:type="dxa"/>
            <w:tcBorders>
              <w:top w:val="single" w:color="auto" w:sz="4" w:space="0"/>
              <w:left w:val="single" w:color="auto" w:sz="4" w:space="0"/>
              <w:bottom w:val="single" w:color="auto" w:sz="4" w:space="0"/>
              <w:right w:val="single" w:color="auto" w:sz="4" w:space="0"/>
            </w:tcBorders>
            <w:vAlign w:val="center"/>
          </w:tcPr>
          <w:p w14:paraId="3A9DEFF1">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5C6CE02E">
            <w:pPr>
              <w:rPr>
                <w:b/>
                <w:color w:val="000000"/>
              </w:rPr>
            </w:pPr>
          </w:p>
        </w:tc>
      </w:tr>
      <w:tr w14:paraId="7202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2030589E">
            <w:pPr>
              <w:jc w:val="center"/>
              <w:rPr>
                <w:color w:val="000000"/>
              </w:rPr>
            </w:pPr>
            <w:r>
              <w:rPr>
                <w:rFonts w:hint="eastAsia"/>
                <w:color w:val="000000"/>
              </w:rPr>
              <w:t>7</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16F98B2F">
            <w:pPr>
              <w:spacing w:line="480" w:lineRule="auto"/>
              <w:rPr>
                <w:color w:val="000000"/>
              </w:rPr>
            </w:pPr>
            <w:r>
              <w:rPr>
                <w:rFonts w:hint="eastAsia" w:ascii="宋体" w:hAnsi="宋体"/>
                <w:color w:val="000000"/>
                <w:szCs w:val="21"/>
              </w:rPr>
              <w:t>投标人不得进行多方案投标（多方案的</w:t>
            </w:r>
            <w:r>
              <w:rPr>
                <w:rFonts w:hint="eastAsia" w:ascii="宋体" w:hAnsi="宋体" w:cs="宋体"/>
                <w:color w:val="000000"/>
                <w:szCs w:val="21"/>
              </w:rPr>
              <w:t>将被认定为</w:t>
            </w:r>
            <w:r>
              <w:rPr>
                <w:rFonts w:hint="eastAsia" w:ascii="宋体" w:hAnsi="宋体" w:cs="宋体"/>
                <w:bCs/>
                <w:color w:val="000000"/>
                <w:szCs w:val="21"/>
              </w:rPr>
              <w:t>投标无效</w:t>
            </w:r>
            <w:r>
              <w:rPr>
                <w:rFonts w:hint="eastAsia" w:ascii="宋体" w:hAnsi="宋体"/>
                <w:color w:val="000000"/>
                <w:szCs w:val="21"/>
              </w:rPr>
              <w:t>）</w:t>
            </w:r>
          </w:p>
        </w:tc>
        <w:tc>
          <w:tcPr>
            <w:tcW w:w="1985" w:type="dxa"/>
            <w:tcBorders>
              <w:top w:val="single" w:color="auto" w:sz="4" w:space="0"/>
              <w:left w:val="single" w:color="auto" w:sz="4" w:space="0"/>
              <w:bottom w:val="single" w:color="auto" w:sz="4" w:space="0"/>
              <w:right w:val="single" w:color="auto" w:sz="4" w:space="0"/>
            </w:tcBorders>
            <w:vAlign w:val="center"/>
          </w:tcPr>
          <w:p w14:paraId="6DA15AB2">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6A2DAC8E">
            <w:pPr>
              <w:rPr>
                <w:b/>
                <w:color w:val="000000"/>
              </w:rPr>
            </w:pPr>
          </w:p>
        </w:tc>
      </w:tr>
      <w:tr w14:paraId="395F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753A33F7">
            <w:pPr>
              <w:spacing w:line="480" w:lineRule="auto"/>
              <w:jc w:val="center"/>
              <w:rPr>
                <w:rFonts w:ascii="宋体" w:hAnsi="宋体"/>
                <w:color w:val="000000"/>
              </w:rPr>
            </w:pPr>
            <w:r>
              <w:rPr>
                <w:rFonts w:hint="eastAsia" w:ascii="宋体" w:hAnsi="宋体"/>
                <w:color w:val="000000"/>
              </w:rPr>
              <w:t>8</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5DB8085A">
            <w:pPr>
              <w:spacing w:line="480" w:lineRule="auto"/>
              <w:rPr>
                <w:color w:val="000000"/>
              </w:rPr>
            </w:pPr>
            <w:r>
              <w:rPr>
                <w:rFonts w:hint="eastAsia"/>
                <w:color w:val="000000"/>
              </w:rPr>
              <w:t>接受招标文件约定的交付或者实施的地点（范围）（施工地点）</w:t>
            </w:r>
          </w:p>
        </w:tc>
        <w:tc>
          <w:tcPr>
            <w:tcW w:w="1985" w:type="dxa"/>
            <w:tcBorders>
              <w:top w:val="single" w:color="auto" w:sz="4" w:space="0"/>
              <w:left w:val="single" w:color="auto" w:sz="4" w:space="0"/>
              <w:bottom w:val="single" w:color="auto" w:sz="4" w:space="0"/>
              <w:right w:val="single" w:color="auto" w:sz="4" w:space="0"/>
            </w:tcBorders>
            <w:vAlign w:val="center"/>
          </w:tcPr>
          <w:p w14:paraId="550E28CC">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42EC25CD">
            <w:pPr>
              <w:spacing w:line="480" w:lineRule="auto"/>
              <w:rPr>
                <w:rFonts w:ascii="宋体" w:hAnsi="宋体"/>
                <w:color w:val="000000"/>
              </w:rPr>
            </w:pPr>
          </w:p>
        </w:tc>
      </w:tr>
      <w:tr w14:paraId="6BF5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35138234">
            <w:pPr>
              <w:spacing w:line="480" w:lineRule="auto"/>
              <w:jc w:val="center"/>
              <w:rPr>
                <w:rFonts w:ascii="宋体" w:hAnsi="宋体"/>
                <w:color w:val="000000"/>
              </w:rPr>
            </w:pPr>
            <w:r>
              <w:rPr>
                <w:rFonts w:hint="eastAsia" w:ascii="宋体" w:hAnsi="宋体"/>
                <w:color w:val="000000"/>
              </w:rPr>
              <w:t>9</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0DECF556">
            <w:pPr>
              <w:spacing w:line="480" w:lineRule="auto"/>
              <w:rPr>
                <w:rFonts w:ascii="宋体" w:hAnsi="宋体"/>
                <w:color w:val="000000"/>
              </w:rPr>
            </w:pPr>
            <w:r>
              <w:rPr>
                <w:rFonts w:hint="eastAsia" w:ascii="宋体" w:hAnsi="宋体"/>
                <w:color w:val="000000"/>
              </w:rPr>
              <w:t>接受招标文件约定的采购资金的支付方式、时间、条件（付款条件）</w:t>
            </w:r>
          </w:p>
        </w:tc>
        <w:tc>
          <w:tcPr>
            <w:tcW w:w="1985" w:type="dxa"/>
            <w:tcBorders>
              <w:top w:val="single" w:color="auto" w:sz="4" w:space="0"/>
              <w:left w:val="single" w:color="auto" w:sz="4" w:space="0"/>
              <w:bottom w:val="single" w:color="auto" w:sz="4" w:space="0"/>
              <w:right w:val="single" w:color="auto" w:sz="4" w:space="0"/>
            </w:tcBorders>
            <w:vAlign w:val="center"/>
          </w:tcPr>
          <w:p w14:paraId="51F0DCAE">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1A1DC99D">
            <w:pPr>
              <w:spacing w:line="480" w:lineRule="auto"/>
              <w:rPr>
                <w:rFonts w:ascii="宋体" w:hAnsi="宋体"/>
                <w:color w:val="000000"/>
              </w:rPr>
            </w:pPr>
          </w:p>
        </w:tc>
      </w:tr>
      <w:tr w14:paraId="0A91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60FC5175">
            <w:pPr>
              <w:spacing w:line="480" w:lineRule="auto"/>
              <w:jc w:val="center"/>
              <w:rPr>
                <w:rFonts w:ascii="宋体" w:hAnsi="宋体"/>
                <w:color w:val="000000"/>
              </w:rPr>
            </w:pP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7C08AC5A">
            <w:pPr>
              <w:spacing w:line="480" w:lineRule="auto"/>
              <w:rPr>
                <w:rFonts w:ascii="宋体" w:hAnsi="宋体"/>
                <w:i/>
                <w:color w:val="000000"/>
              </w:rPr>
            </w:pPr>
            <w:r>
              <w:rPr>
                <w:rFonts w:hint="eastAsia" w:ascii="宋体" w:hAnsi="宋体"/>
                <w:i/>
                <w:color w:val="000000"/>
              </w:rPr>
              <w:t>其它要求（可自行添加或另页详述，但须标注其所在页码）</w:t>
            </w:r>
          </w:p>
        </w:tc>
        <w:tc>
          <w:tcPr>
            <w:tcW w:w="1985" w:type="dxa"/>
            <w:tcBorders>
              <w:top w:val="single" w:color="auto" w:sz="4" w:space="0"/>
              <w:left w:val="single" w:color="auto" w:sz="4" w:space="0"/>
              <w:bottom w:val="single" w:color="auto" w:sz="4" w:space="0"/>
              <w:right w:val="single" w:color="auto" w:sz="4" w:space="0"/>
            </w:tcBorders>
            <w:vAlign w:val="center"/>
          </w:tcPr>
          <w:p w14:paraId="0D3BB0EC">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0381B885">
            <w:pPr>
              <w:spacing w:line="480" w:lineRule="auto"/>
              <w:rPr>
                <w:rFonts w:ascii="宋体" w:hAnsi="宋体"/>
                <w:color w:val="000000"/>
              </w:rPr>
            </w:pPr>
          </w:p>
        </w:tc>
      </w:tr>
      <w:tr w14:paraId="7DA9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1" w:type="dxa"/>
            <w:gridSpan w:val="5"/>
            <w:tcBorders>
              <w:top w:val="single" w:color="auto" w:sz="4" w:space="0"/>
              <w:left w:val="single" w:color="auto" w:sz="4" w:space="0"/>
              <w:bottom w:val="single" w:color="auto" w:sz="4" w:space="0"/>
              <w:right w:val="single" w:color="auto" w:sz="4" w:space="0"/>
            </w:tcBorders>
            <w:vAlign w:val="center"/>
          </w:tcPr>
          <w:p w14:paraId="23CC852F">
            <w:pPr>
              <w:spacing w:line="480" w:lineRule="auto"/>
              <w:jc w:val="left"/>
              <w:rPr>
                <w:rFonts w:ascii="宋体" w:hAnsi="宋体"/>
                <w:color w:val="000000"/>
                <w:sz w:val="24"/>
                <w:u w:val="single"/>
              </w:rPr>
            </w:pPr>
            <w:r>
              <w:rPr>
                <w:rFonts w:hint="eastAsia" w:ascii="宋体" w:hAnsi="宋体"/>
                <w:color w:val="000000"/>
                <w:sz w:val="24"/>
                <w:u w:val="single"/>
              </w:rPr>
              <w:t xml:space="preserve">供应商(盖公章)：                                 </w:t>
            </w:r>
          </w:p>
          <w:p w14:paraId="6F40C2C1">
            <w:pPr>
              <w:spacing w:line="480" w:lineRule="auto"/>
              <w:jc w:val="left"/>
              <w:rPr>
                <w:rFonts w:ascii="宋体" w:hAnsi="宋体"/>
                <w:b/>
                <w:color w:val="000000"/>
                <w:szCs w:val="21"/>
                <w:u w:val="single"/>
              </w:rPr>
            </w:pPr>
            <w:r>
              <w:rPr>
                <w:rFonts w:hint="eastAsia" w:ascii="宋体" w:hAnsi="宋体"/>
                <w:color w:val="000000"/>
                <w:sz w:val="24"/>
                <w:u w:val="single"/>
              </w:rPr>
              <w:t>法定代表人或其委托</w:t>
            </w:r>
            <w:r>
              <w:rPr>
                <w:rFonts w:ascii="宋体" w:hAnsi="宋体"/>
                <w:color w:val="000000"/>
                <w:sz w:val="24"/>
                <w:u w:val="single"/>
              </w:rPr>
              <w:t>代理人</w:t>
            </w:r>
            <w:r>
              <w:rPr>
                <w:rFonts w:hint="eastAsia" w:ascii="宋体" w:hAnsi="宋体" w:cs="宋体"/>
                <w:color w:val="000000"/>
                <w:sz w:val="24"/>
                <w:u w:val="single"/>
              </w:rPr>
              <w:t>（签字或签章）</w:t>
            </w:r>
            <w:r>
              <w:rPr>
                <w:rFonts w:hint="eastAsia" w:ascii="宋体" w:hAnsi="宋体"/>
                <w:color w:val="000000"/>
                <w:sz w:val="24"/>
                <w:u w:val="single"/>
              </w:rPr>
              <w:t xml:space="preserve">：          </w:t>
            </w:r>
          </w:p>
        </w:tc>
      </w:tr>
      <w:tr w14:paraId="1CCB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1" w:type="dxa"/>
            <w:gridSpan w:val="5"/>
            <w:tcBorders>
              <w:top w:val="single" w:color="auto" w:sz="4" w:space="0"/>
              <w:left w:val="single" w:color="auto" w:sz="4" w:space="0"/>
              <w:bottom w:val="single" w:color="auto" w:sz="4" w:space="0"/>
              <w:right w:val="single" w:color="auto" w:sz="4" w:space="0"/>
            </w:tcBorders>
            <w:vAlign w:val="center"/>
          </w:tcPr>
          <w:p w14:paraId="023321C3">
            <w:pPr>
              <w:rPr>
                <w:rFonts w:ascii="宋体" w:hAnsi="宋体"/>
                <w:color w:val="000000"/>
                <w:szCs w:val="21"/>
              </w:rPr>
            </w:pPr>
            <w:r>
              <w:rPr>
                <w:rFonts w:hint="eastAsia" w:ascii="宋体" w:hAnsi="宋体"/>
                <w:b/>
                <w:color w:val="000000"/>
                <w:szCs w:val="21"/>
              </w:rPr>
              <w:t>注：</w:t>
            </w:r>
            <w:r>
              <w:rPr>
                <w:rFonts w:ascii="宋体" w:hAnsi="宋体"/>
                <w:b/>
                <w:color w:val="000000"/>
                <w:szCs w:val="21"/>
              </w:rPr>
              <w:t>1.</w:t>
            </w:r>
            <w:r>
              <w:rPr>
                <w:rFonts w:hint="eastAsia" w:ascii="宋体" w:hAnsi="宋体"/>
                <w:b/>
                <w:color w:val="000000"/>
                <w:szCs w:val="21"/>
              </w:rPr>
              <w:t>供应商</w:t>
            </w:r>
            <w:r>
              <w:rPr>
                <w:rFonts w:ascii="宋体" w:hAnsi="宋体"/>
                <w:b/>
                <w:color w:val="000000"/>
                <w:szCs w:val="21"/>
              </w:rPr>
              <w:t>用“满足</w:t>
            </w:r>
            <w:r>
              <w:rPr>
                <w:rFonts w:hint="eastAsia" w:ascii="宋体" w:hAnsi="宋体"/>
                <w:b/>
                <w:color w:val="000000"/>
                <w:szCs w:val="21"/>
              </w:rPr>
              <w:t>或</w:t>
            </w:r>
            <w:r>
              <w:rPr>
                <w:rFonts w:ascii="宋体" w:hAnsi="宋体"/>
                <w:b/>
                <w:color w:val="000000"/>
                <w:szCs w:val="21"/>
              </w:rPr>
              <w:t>不满足”来表明该要求是否满足</w:t>
            </w:r>
            <w:r>
              <w:rPr>
                <w:rFonts w:hint="eastAsia" w:ascii="宋体" w:hAnsi="宋体"/>
                <w:b/>
                <w:color w:val="000000"/>
                <w:szCs w:val="21"/>
              </w:rPr>
              <w:t>；</w:t>
            </w:r>
          </w:p>
          <w:p w14:paraId="53C364E4">
            <w:pPr>
              <w:rPr>
                <w:rFonts w:ascii="宋体" w:hAnsi="宋体"/>
                <w:color w:val="000000"/>
                <w:sz w:val="18"/>
                <w:szCs w:val="18"/>
              </w:rPr>
            </w:pPr>
            <w:r>
              <w:rPr>
                <w:rFonts w:ascii="宋体" w:hAnsi="宋体"/>
                <w:color w:val="000000"/>
                <w:sz w:val="18"/>
                <w:szCs w:val="18"/>
              </w:rPr>
              <w:t>2</w:t>
            </w:r>
            <w:r>
              <w:rPr>
                <w:rFonts w:hint="eastAsia" w:ascii="宋体" w:hAnsi="宋体"/>
                <w:color w:val="000000"/>
                <w:sz w:val="18"/>
                <w:szCs w:val="18"/>
              </w:rPr>
              <w:t>.</w:t>
            </w:r>
            <w:r>
              <w:rPr>
                <w:rFonts w:ascii="宋体" w:hAnsi="宋体"/>
                <w:color w:val="000000"/>
                <w:sz w:val="18"/>
                <w:szCs w:val="18"/>
              </w:rPr>
              <w:t>供应商可根据其投标内容进一步细化上述表格，</w:t>
            </w:r>
            <w:r>
              <w:rPr>
                <w:rFonts w:hint="eastAsia" w:ascii="宋体" w:hAnsi="宋体"/>
                <w:color w:val="000000"/>
                <w:sz w:val="18"/>
                <w:szCs w:val="18"/>
              </w:rPr>
              <w:t>如本表表格填写不便的，可以另页</w:t>
            </w:r>
            <w:r>
              <w:rPr>
                <w:rFonts w:ascii="宋体" w:hAnsi="宋体"/>
                <w:color w:val="000000"/>
                <w:sz w:val="18"/>
                <w:szCs w:val="18"/>
              </w:rPr>
              <w:t>详述</w:t>
            </w:r>
            <w:r>
              <w:rPr>
                <w:rFonts w:hint="eastAsia" w:ascii="宋体" w:hAnsi="宋体"/>
                <w:color w:val="000000"/>
                <w:sz w:val="18"/>
                <w:szCs w:val="18"/>
              </w:rPr>
              <w:t>（</w:t>
            </w:r>
            <w:r>
              <w:rPr>
                <w:rFonts w:ascii="宋体" w:hAnsi="宋体"/>
                <w:color w:val="000000"/>
                <w:sz w:val="18"/>
                <w:szCs w:val="18"/>
              </w:rPr>
              <w:t>应答</w:t>
            </w:r>
            <w:r>
              <w:rPr>
                <w:rFonts w:hint="eastAsia" w:ascii="宋体" w:hAnsi="宋体"/>
                <w:color w:val="000000"/>
                <w:sz w:val="18"/>
                <w:szCs w:val="18"/>
              </w:rPr>
              <w:t>）</w:t>
            </w:r>
            <w:r>
              <w:rPr>
                <w:rFonts w:ascii="宋体" w:hAnsi="宋体"/>
                <w:color w:val="000000"/>
                <w:sz w:val="18"/>
                <w:szCs w:val="18"/>
              </w:rPr>
              <w:t>，但必须给出确切的位置索引</w:t>
            </w:r>
            <w:r>
              <w:rPr>
                <w:rFonts w:hint="eastAsia" w:ascii="宋体" w:hAnsi="宋体"/>
                <w:color w:val="000000"/>
                <w:sz w:val="18"/>
                <w:szCs w:val="18"/>
              </w:rPr>
              <w:t>（标注内容的所在页码）</w:t>
            </w:r>
            <w:r>
              <w:rPr>
                <w:rFonts w:ascii="宋体" w:hAnsi="宋体"/>
                <w:color w:val="000000"/>
                <w:sz w:val="18"/>
                <w:szCs w:val="18"/>
              </w:rPr>
              <w:t>。</w:t>
            </w:r>
            <w:r>
              <w:rPr>
                <w:rFonts w:hint="eastAsia" w:ascii="宋体" w:hAnsi="宋体"/>
                <w:color w:val="000000"/>
                <w:sz w:val="18"/>
                <w:szCs w:val="18"/>
              </w:rPr>
              <w:t>3.如供应商知道关联关系</w:t>
            </w:r>
            <w:r>
              <w:rPr>
                <w:rFonts w:ascii="宋体" w:hAnsi="宋体"/>
                <w:color w:val="000000"/>
                <w:sz w:val="18"/>
                <w:szCs w:val="18"/>
              </w:rPr>
              <w:t>单位</w:t>
            </w:r>
            <w:r>
              <w:rPr>
                <w:rFonts w:hint="eastAsia" w:ascii="宋体" w:hAnsi="宋体"/>
                <w:color w:val="000000"/>
                <w:sz w:val="18"/>
                <w:szCs w:val="18"/>
              </w:rPr>
              <w:t>（</w:t>
            </w:r>
            <w:r>
              <w:rPr>
                <w:rFonts w:ascii="宋体" w:hAnsi="宋体"/>
                <w:color w:val="000000"/>
                <w:sz w:val="18"/>
                <w:szCs w:val="18"/>
              </w:rPr>
              <w:t>与供应商单位负责人为同一人</w:t>
            </w:r>
            <w:r>
              <w:rPr>
                <w:rFonts w:hint="eastAsia" w:ascii="宋体" w:hAnsi="宋体"/>
                <w:color w:val="000000"/>
                <w:sz w:val="18"/>
                <w:szCs w:val="18"/>
              </w:rPr>
              <w:t>或</w:t>
            </w:r>
            <w:r>
              <w:rPr>
                <w:rFonts w:ascii="宋体" w:hAnsi="宋体"/>
                <w:color w:val="000000"/>
                <w:sz w:val="18"/>
                <w:szCs w:val="18"/>
              </w:rPr>
              <w:t>存在直接控股、管理关系的其他单位</w:t>
            </w:r>
            <w:r>
              <w:rPr>
                <w:rFonts w:hint="eastAsia" w:ascii="宋体" w:hAnsi="宋体"/>
                <w:color w:val="000000"/>
                <w:sz w:val="18"/>
                <w:szCs w:val="18"/>
              </w:rPr>
              <w:t>）未参加</w:t>
            </w:r>
            <w:r>
              <w:rPr>
                <w:rFonts w:ascii="宋体" w:hAnsi="宋体"/>
                <w:color w:val="000000"/>
                <w:sz w:val="18"/>
                <w:szCs w:val="18"/>
              </w:rPr>
              <w:t>同一合同项下的政府采购活动</w:t>
            </w:r>
            <w:r>
              <w:rPr>
                <w:rFonts w:hint="eastAsia" w:ascii="宋体" w:hAnsi="宋体"/>
                <w:color w:val="000000"/>
                <w:sz w:val="18"/>
                <w:szCs w:val="18"/>
              </w:rPr>
              <w:t>的，填“满足”</w:t>
            </w:r>
            <w:r>
              <w:rPr>
                <w:rFonts w:ascii="宋体" w:hAnsi="宋体"/>
                <w:color w:val="000000"/>
                <w:sz w:val="18"/>
                <w:szCs w:val="18"/>
              </w:rPr>
              <w:t>。</w:t>
            </w:r>
            <w:r>
              <w:rPr>
                <w:rFonts w:hint="eastAsia" w:ascii="宋体" w:hAnsi="宋体"/>
                <w:color w:val="000000"/>
                <w:sz w:val="18"/>
                <w:szCs w:val="18"/>
              </w:rPr>
              <w:t>如供应商不知道，须列出所有有关联关系的</w:t>
            </w:r>
            <w:r>
              <w:rPr>
                <w:rFonts w:ascii="宋体" w:hAnsi="宋体"/>
                <w:color w:val="000000"/>
                <w:sz w:val="18"/>
                <w:szCs w:val="18"/>
              </w:rPr>
              <w:t>单位</w:t>
            </w:r>
            <w:r>
              <w:rPr>
                <w:rFonts w:hint="eastAsia" w:ascii="宋体" w:hAnsi="宋体"/>
                <w:color w:val="000000"/>
                <w:sz w:val="18"/>
                <w:szCs w:val="18"/>
              </w:rPr>
              <w:t>（可另页表达）。</w:t>
            </w:r>
          </w:p>
        </w:tc>
      </w:tr>
    </w:tbl>
    <w:p w14:paraId="69690742">
      <w:pPr>
        <w:pStyle w:val="8"/>
        <w:rPr>
          <w:color w:val="000000"/>
        </w:rPr>
      </w:pPr>
    </w:p>
    <w:p w14:paraId="65EEB24A">
      <w:pPr>
        <w:pStyle w:val="8"/>
        <w:rPr>
          <w:color w:val="000000"/>
        </w:rPr>
      </w:pPr>
    </w:p>
    <w:p w14:paraId="024F876F">
      <w:pPr>
        <w:pStyle w:val="8"/>
        <w:rPr>
          <w:color w:val="000000"/>
        </w:rPr>
      </w:pPr>
    </w:p>
    <w:p w14:paraId="796077D9">
      <w:pPr>
        <w:pStyle w:val="8"/>
        <w:rPr>
          <w:color w:val="000000"/>
        </w:rPr>
        <w:sectPr>
          <w:headerReference r:id="rId6" w:type="default"/>
          <w:footerReference r:id="rId7" w:type="default"/>
          <w:pgSz w:w="11906" w:h="16838"/>
          <w:pgMar w:top="720" w:right="720" w:bottom="720" w:left="720" w:header="851" w:footer="992" w:gutter="0"/>
          <w:cols w:space="720" w:num="1"/>
          <w:docGrid w:type="lines" w:linePitch="312" w:charSpace="0"/>
        </w:sectPr>
      </w:pPr>
    </w:p>
    <w:p w14:paraId="5C48AF2C">
      <w:pPr>
        <w:spacing w:line="552" w:lineRule="auto"/>
        <w:jc w:val="center"/>
        <w:outlineLvl w:val="1"/>
        <w:rPr>
          <w:rFonts w:ascii="宋体" w:hAnsi="宋体" w:cs="宋体"/>
          <w:b/>
          <w:bCs/>
          <w:color w:val="000000"/>
          <w:sz w:val="28"/>
          <w:szCs w:val="28"/>
        </w:rPr>
      </w:pPr>
      <w:bookmarkStart w:id="480" w:name="_Toc184029958"/>
      <w:r>
        <w:rPr>
          <w:rFonts w:hint="eastAsia" w:ascii="宋体" w:hAnsi="宋体" w:cs="宋体"/>
          <w:b/>
          <w:bCs/>
          <w:color w:val="000000"/>
          <w:sz w:val="28"/>
          <w:szCs w:val="28"/>
          <w:lang w:eastAsia="zh-CN"/>
        </w:rPr>
        <w:t>七</w:t>
      </w:r>
      <w:r>
        <w:rPr>
          <w:rFonts w:hint="eastAsia" w:ascii="宋体" w:hAnsi="宋体" w:cs="宋体"/>
          <w:b/>
          <w:bCs/>
          <w:color w:val="000000"/>
          <w:sz w:val="28"/>
          <w:szCs w:val="28"/>
        </w:rPr>
        <w:t>、投标（响应）文件的其它内容</w:t>
      </w:r>
      <w:bookmarkEnd w:id="480"/>
    </w:p>
    <w:p w14:paraId="126E049C">
      <w:pPr>
        <w:spacing w:line="360" w:lineRule="auto"/>
        <w:jc w:val="center"/>
        <w:rPr>
          <w:rFonts w:ascii="宋体" w:hAnsi="宋体" w:cs="宋体"/>
          <w:b/>
          <w:color w:val="000000"/>
          <w:szCs w:val="21"/>
        </w:rPr>
      </w:pPr>
      <w:r>
        <w:rPr>
          <w:rFonts w:hint="eastAsia" w:ascii="宋体" w:hAnsi="宋体" w:cs="宋体"/>
          <w:b/>
          <w:color w:val="000000"/>
          <w:szCs w:val="21"/>
        </w:rPr>
        <w:t>证明投标标的的合格性和符合采购文件规定的技术文件</w:t>
      </w:r>
      <w:r>
        <w:rPr>
          <w:rFonts w:hint="eastAsia" w:ascii="宋体" w:hAnsi="宋体"/>
          <w:b/>
          <w:color w:val="000000"/>
          <w:szCs w:val="21"/>
        </w:rPr>
        <w:t>等</w:t>
      </w:r>
    </w:p>
    <w:p w14:paraId="603E77A7">
      <w:pPr>
        <w:spacing w:line="360" w:lineRule="auto"/>
        <w:jc w:val="center"/>
        <w:rPr>
          <w:rFonts w:ascii="宋体" w:hAnsi="宋体" w:cs="宋体"/>
          <w:b/>
          <w:color w:val="000000"/>
          <w:szCs w:val="21"/>
        </w:rPr>
      </w:pPr>
      <w:r>
        <w:rPr>
          <w:rFonts w:hint="eastAsia" w:ascii="宋体" w:hAnsi="宋体" w:cs="宋体"/>
          <w:b/>
          <w:color w:val="000000"/>
          <w:szCs w:val="21"/>
        </w:rPr>
        <w:t>（包括但不限于:采购文件要求及供应商认为应当提供相关</w:t>
      </w:r>
      <w:r>
        <w:rPr>
          <w:rFonts w:hint="eastAsia" w:ascii="宋体" w:hAnsi="宋体"/>
          <w:b/>
          <w:color w:val="000000"/>
          <w:szCs w:val="21"/>
        </w:rPr>
        <w:t>文件</w:t>
      </w:r>
      <w:r>
        <w:rPr>
          <w:rFonts w:hint="eastAsia" w:ascii="宋体" w:hAnsi="宋体" w:cs="宋体"/>
          <w:b/>
          <w:color w:val="000000"/>
          <w:szCs w:val="21"/>
        </w:rPr>
        <w:t>等）</w:t>
      </w:r>
    </w:p>
    <w:p w14:paraId="7DD976D4">
      <w:pPr>
        <w:spacing w:line="360" w:lineRule="auto"/>
        <w:jc w:val="center"/>
        <w:rPr>
          <w:rFonts w:ascii="宋体" w:hAnsi="宋体" w:cs="宋体"/>
          <w:b/>
          <w:color w:val="000000"/>
          <w:szCs w:val="21"/>
        </w:rPr>
      </w:pPr>
      <w:r>
        <w:rPr>
          <w:rFonts w:ascii="宋体" w:hAnsi="宋体" w:cs="宋体"/>
          <w:b/>
          <w:color w:val="000000"/>
          <w:szCs w:val="21"/>
        </w:rPr>
        <w:t>注：</w:t>
      </w:r>
      <w:r>
        <w:rPr>
          <w:b/>
          <w:color w:val="000000"/>
          <w:szCs w:val="21"/>
        </w:rPr>
        <w:t>中小企业应当</w:t>
      </w:r>
      <w:r>
        <w:rPr>
          <w:rFonts w:hint="eastAsia"/>
          <w:b/>
          <w:color w:val="000000"/>
          <w:szCs w:val="21"/>
        </w:rPr>
        <w:t>按照《</w:t>
      </w:r>
      <w:r>
        <w:rPr>
          <w:b/>
          <w:color w:val="000000"/>
          <w:szCs w:val="21"/>
        </w:rPr>
        <w:t>政府采购促进中小企业发展管理办法</w:t>
      </w:r>
      <w:r>
        <w:rPr>
          <w:rFonts w:hint="eastAsia"/>
          <w:b/>
          <w:color w:val="000000"/>
          <w:szCs w:val="21"/>
        </w:rPr>
        <w:t>》等相关</w:t>
      </w:r>
      <w:r>
        <w:rPr>
          <w:b/>
          <w:color w:val="000000"/>
          <w:szCs w:val="21"/>
        </w:rPr>
        <w:t>规定出具《中小企业声明函》</w:t>
      </w:r>
      <w:r>
        <w:rPr>
          <w:rFonts w:hint="eastAsia"/>
          <w:b/>
          <w:color w:val="000000"/>
          <w:szCs w:val="21"/>
        </w:rPr>
        <w:t>等相关证明（自行从财政部官方网站下载）</w:t>
      </w:r>
      <w:r>
        <w:rPr>
          <w:b/>
          <w:color w:val="000000"/>
          <w:szCs w:val="21"/>
        </w:rPr>
        <w:t>，否则不得享受相关中小企业扶持政策。</w:t>
      </w:r>
    </w:p>
    <w:p w14:paraId="5B743010">
      <w:pPr>
        <w:spacing w:line="480" w:lineRule="auto"/>
        <w:rPr>
          <w:rFonts w:ascii="宋体" w:hAnsi="宋体" w:cs="宋体"/>
          <w:b/>
          <w:bCs/>
          <w:color w:val="000000"/>
          <w:szCs w:val="21"/>
        </w:rPr>
      </w:pPr>
      <w:r>
        <w:rPr>
          <w:rFonts w:hint="eastAsia" w:ascii="宋体" w:hAnsi="宋体" w:cs="宋体"/>
          <w:b/>
          <w:bCs/>
          <w:color w:val="000000"/>
          <w:szCs w:val="21"/>
        </w:rPr>
        <w:t>附表：主要材料品牌表</w:t>
      </w:r>
    </w:p>
    <w:tbl>
      <w:tblPr>
        <w:tblStyle w:val="27"/>
        <w:tblW w:w="9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2013"/>
        <w:gridCol w:w="2285"/>
        <w:gridCol w:w="3202"/>
        <w:gridCol w:w="1751"/>
      </w:tblGrid>
      <w:tr w14:paraId="7E71C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647" w:type="dxa"/>
            <w:tcBorders>
              <w:top w:val="single" w:color="000000" w:sz="4" w:space="0"/>
              <w:left w:val="single" w:color="000000" w:sz="4" w:space="0"/>
              <w:bottom w:val="single" w:color="auto" w:sz="4" w:space="0"/>
              <w:right w:val="single" w:color="auto" w:sz="4" w:space="0"/>
            </w:tcBorders>
            <w:vAlign w:val="center"/>
          </w:tcPr>
          <w:p w14:paraId="7AADC0BB">
            <w:pPr>
              <w:jc w:val="center"/>
              <w:rPr>
                <w:rFonts w:hint="eastAsia" w:cs="宋体"/>
                <w:b/>
                <w:bCs/>
                <w:u w:val="none"/>
              </w:rPr>
            </w:pPr>
            <w:r>
              <w:rPr>
                <w:rFonts w:hint="eastAsia" w:cs="宋体"/>
                <w:b/>
                <w:bCs/>
                <w:u w:val="none"/>
              </w:rPr>
              <w:t>序号</w:t>
            </w:r>
          </w:p>
        </w:tc>
        <w:tc>
          <w:tcPr>
            <w:tcW w:w="2013" w:type="dxa"/>
            <w:tcBorders>
              <w:top w:val="single" w:color="000000" w:sz="4" w:space="0"/>
              <w:left w:val="single" w:color="auto" w:sz="4" w:space="0"/>
              <w:bottom w:val="single" w:color="auto" w:sz="4" w:space="0"/>
              <w:right w:val="single" w:color="000000" w:sz="4" w:space="0"/>
            </w:tcBorders>
            <w:vAlign w:val="center"/>
          </w:tcPr>
          <w:p w14:paraId="0B0CCD9F">
            <w:pPr>
              <w:jc w:val="center"/>
              <w:rPr>
                <w:rFonts w:hint="eastAsia" w:cs="宋体"/>
                <w:b/>
                <w:bCs/>
                <w:u w:val="none"/>
              </w:rPr>
            </w:pPr>
            <w:r>
              <w:rPr>
                <w:rFonts w:hint="eastAsia" w:cs="宋体"/>
                <w:b/>
                <w:bCs/>
                <w:u w:val="none"/>
              </w:rPr>
              <w:t>材料设备名称</w:t>
            </w:r>
          </w:p>
        </w:tc>
        <w:tc>
          <w:tcPr>
            <w:tcW w:w="2285" w:type="dxa"/>
            <w:tcBorders>
              <w:top w:val="single" w:color="000000" w:sz="4" w:space="0"/>
              <w:left w:val="single" w:color="000000" w:sz="4" w:space="0"/>
              <w:bottom w:val="single" w:color="auto" w:sz="4" w:space="0"/>
              <w:right w:val="single" w:color="000000" w:sz="4" w:space="0"/>
            </w:tcBorders>
            <w:vAlign w:val="center"/>
          </w:tcPr>
          <w:p w14:paraId="24795937">
            <w:pPr>
              <w:jc w:val="center"/>
              <w:rPr>
                <w:rFonts w:hint="eastAsia" w:cs="宋体"/>
                <w:b/>
                <w:bCs/>
                <w:u w:val="none"/>
              </w:rPr>
            </w:pPr>
            <w:r>
              <w:rPr>
                <w:rFonts w:hint="eastAsia" w:cs="宋体"/>
                <w:b/>
                <w:bCs/>
                <w:u w:val="none"/>
              </w:rPr>
              <w:t>材料主要性能要求</w:t>
            </w:r>
          </w:p>
        </w:tc>
        <w:tc>
          <w:tcPr>
            <w:tcW w:w="3202" w:type="dxa"/>
            <w:tcBorders>
              <w:top w:val="single" w:color="000000" w:sz="4" w:space="0"/>
              <w:left w:val="single" w:color="000000" w:sz="4" w:space="0"/>
              <w:bottom w:val="single" w:color="auto" w:sz="4" w:space="0"/>
              <w:right w:val="single" w:color="000000" w:sz="4" w:space="0"/>
            </w:tcBorders>
            <w:vAlign w:val="center"/>
          </w:tcPr>
          <w:p w14:paraId="621C6B05">
            <w:pPr>
              <w:jc w:val="center"/>
              <w:rPr>
                <w:rFonts w:hint="eastAsia" w:cs="宋体"/>
                <w:b/>
                <w:bCs/>
                <w:u w:val="none"/>
              </w:rPr>
            </w:pPr>
            <w:r>
              <w:rPr>
                <w:rFonts w:hint="eastAsia" w:cs="宋体"/>
                <w:b/>
                <w:bCs/>
                <w:u w:val="none"/>
                <w:lang w:eastAsia="zh-CN"/>
              </w:rPr>
              <w:t>参照或相当于</w:t>
            </w:r>
            <w:r>
              <w:rPr>
                <w:rFonts w:hint="eastAsia" w:cs="宋体"/>
                <w:b/>
                <w:bCs/>
                <w:u w:val="none"/>
              </w:rPr>
              <w:t>品牌</w:t>
            </w:r>
          </w:p>
        </w:tc>
        <w:tc>
          <w:tcPr>
            <w:tcW w:w="1751" w:type="dxa"/>
            <w:tcBorders>
              <w:top w:val="single" w:color="000000" w:sz="4" w:space="0"/>
              <w:left w:val="single" w:color="000000" w:sz="4" w:space="0"/>
              <w:bottom w:val="single" w:color="auto" w:sz="4" w:space="0"/>
              <w:right w:val="single" w:color="000000" w:sz="4" w:space="0"/>
            </w:tcBorders>
            <w:vAlign w:val="center"/>
          </w:tcPr>
          <w:p w14:paraId="6E30F286">
            <w:pPr>
              <w:jc w:val="center"/>
              <w:rPr>
                <w:rFonts w:hint="eastAsia" w:cs="宋体"/>
                <w:b/>
                <w:bCs/>
                <w:u w:val="none"/>
              </w:rPr>
            </w:pPr>
            <w:r>
              <w:rPr>
                <w:rFonts w:hint="eastAsia" w:cs="宋体"/>
                <w:b/>
                <w:bCs/>
                <w:u w:val="none"/>
              </w:rPr>
              <w:t>投标人选用品牌</w:t>
            </w:r>
          </w:p>
        </w:tc>
      </w:tr>
      <w:tr w14:paraId="67306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647" w:type="dxa"/>
            <w:tcBorders>
              <w:top w:val="single" w:color="auto" w:sz="4" w:space="0"/>
              <w:left w:val="single" w:color="000000" w:sz="4" w:space="0"/>
              <w:bottom w:val="single" w:color="000000" w:sz="4" w:space="0"/>
              <w:right w:val="single" w:color="auto" w:sz="4" w:space="0"/>
            </w:tcBorders>
            <w:vAlign w:val="center"/>
          </w:tcPr>
          <w:p w14:paraId="32DFEC43">
            <w:pPr>
              <w:jc w:val="center"/>
              <w:rPr>
                <w:rFonts w:hint="eastAsia" w:cs="宋体"/>
                <w:sz w:val="21"/>
                <w:szCs w:val="21"/>
                <w:u w:val="none"/>
              </w:rPr>
            </w:pPr>
            <w:r>
              <w:rPr>
                <w:rFonts w:hint="eastAsia" w:cs="宋体"/>
                <w:sz w:val="21"/>
                <w:szCs w:val="21"/>
                <w:u w:val="none"/>
              </w:rPr>
              <w:t>1</w:t>
            </w:r>
          </w:p>
        </w:tc>
        <w:tc>
          <w:tcPr>
            <w:tcW w:w="2013" w:type="dxa"/>
            <w:tcBorders>
              <w:top w:val="single" w:color="auto" w:sz="4" w:space="0"/>
              <w:left w:val="single" w:color="auto" w:sz="4" w:space="0"/>
              <w:bottom w:val="single" w:color="000000" w:sz="4" w:space="0"/>
              <w:right w:val="single" w:color="000000" w:sz="4" w:space="0"/>
            </w:tcBorders>
            <w:vAlign w:val="center"/>
          </w:tcPr>
          <w:p w14:paraId="5DF7516E">
            <w:pPr>
              <w:jc w:val="center"/>
              <w:rPr>
                <w:rFonts w:hint="eastAsia" w:cs="宋体"/>
                <w:sz w:val="21"/>
                <w:szCs w:val="21"/>
                <w:u w:val="none"/>
              </w:rPr>
            </w:pPr>
            <w:r>
              <w:rPr>
                <w:rFonts w:hint="eastAsia" w:ascii="Times New Roman" w:hAnsi="Times New Roman" w:eastAsia="宋体" w:cs="宋体"/>
                <w:sz w:val="21"/>
                <w:szCs w:val="21"/>
                <w:u w:val="none"/>
                <w:lang w:val="en-US" w:eastAsia="zh-CN"/>
              </w:rPr>
              <w:t>防腐油漆</w:t>
            </w:r>
          </w:p>
        </w:tc>
        <w:tc>
          <w:tcPr>
            <w:tcW w:w="2285" w:type="dxa"/>
            <w:tcBorders>
              <w:top w:val="single" w:color="auto" w:sz="4" w:space="0"/>
              <w:left w:val="single" w:color="000000" w:sz="4" w:space="0"/>
              <w:bottom w:val="single" w:color="000000" w:sz="4" w:space="0"/>
              <w:right w:val="single" w:color="000000" w:sz="4" w:space="0"/>
            </w:tcBorders>
            <w:vAlign w:val="center"/>
          </w:tcPr>
          <w:p w14:paraId="5B1DB78E">
            <w:pPr>
              <w:jc w:val="center"/>
              <w:rPr>
                <w:rFonts w:hint="eastAsia" w:cs="宋体"/>
                <w:sz w:val="21"/>
                <w:szCs w:val="21"/>
                <w:u w:val="none"/>
              </w:rPr>
            </w:pPr>
            <w:r>
              <w:rPr>
                <w:rFonts w:hint="eastAsia" w:cs="宋体"/>
                <w:sz w:val="21"/>
                <w:szCs w:val="21"/>
                <w:u w:val="none"/>
              </w:rPr>
              <w:t>合格品及其以上等级</w:t>
            </w:r>
          </w:p>
        </w:tc>
        <w:tc>
          <w:tcPr>
            <w:tcW w:w="3202" w:type="dxa"/>
            <w:tcBorders>
              <w:top w:val="single" w:color="auto" w:sz="4" w:space="0"/>
              <w:left w:val="single" w:color="000000" w:sz="4" w:space="0"/>
              <w:bottom w:val="single" w:color="000000" w:sz="4" w:space="0"/>
              <w:right w:val="single" w:color="000000" w:sz="4" w:space="0"/>
            </w:tcBorders>
            <w:vAlign w:val="center"/>
          </w:tcPr>
          <w:p w14:paraId="57C9EAC1">
            <w:pPr>
              <w:jc w:val="center"/>
              <w:rPr>
                <w:rFonts w:hint="eastAsia" w:cs="宋体"/>
                <w:sz w:val="21"/>
                <w:szCs w:val="21"/>
                <w:u w:val="none"/>
              </w:rPr>
            </w:pPr>
            <w:r>
              <w:rPr>
                <w:rFonts w:hint="eastAsia" w:ascii="Times New Roman" w:hAnsi="Times New Roman" w:eastAsia="宋体" w:cs="宋体"/>
                <w:sz w:val="21"/>
                <w:szCs w:val="21"/>
                <w:u w:val="none"/>
                <w:lang w:val="en-US" w:eastAsia="zh-CN"/>
              </w:rPr>
              <w:t>江苏金陵、江苏兰陵、立邦、三棵树、山东聚东、三棵树</w:t>
            </w:r>
          </w:p>
        </w:tc>
        <w:tc>
          <w:tcPr>
            <w:tcW w:w="1751" w:type="dxa"/>
            <w:tcBorders>
              <w:top w:val="single" w:color="auto" w:sz="4" w:space="0"/>
              <w:left w:val="single" w:color="000000" w:sz="4" w:space="0"/>
              <w:bottom w:val="single" w:color="000000" w:sz="4" w:space="0"/>
              <w:right w:val="single" w:color="000000" w:sz="4" w:space="0"/>
            </w:tcBorders>
          </w:tcPr>
          <w:p w14:paraId="7BF3CCA8">
            <w:pPr>
              <w:jc w:val="center"/>
              <w:rPr>
                <w:rFonts w:hint="eastAsia" w:cs="宋体"/>
                <w:sz w:val="21"/>
                <w:szCs w:val="21"/>
                <w:u w:val="none"/>
              </w:rPr>
            </w:pPr>
          </w:p>
        </w:tc>
      </w:tr>
      <w:tr w14:paraId="40BCF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47" w:type="dxa"/>
            <w:tcBorders>
              <w:top w:val="single" w:color="000000" w:sz="4" w:space="0"/>
              <w:left w:val="single" w:color="000000" w:sz="4" w:space="0"/>
              <w:bottom w:val="single" w:color="000000" w:sz="4" w:space="0"/>
              <w:right w:val="single" w:color="auto" w:sz="4" w:space="0"/>
            </w:tcBorders>
            <w:vAlign w:val="center"/>
          </w:tcPr>
          <w:p w14:paraId="32B759FA">
            <w:pPr>
              <w:jc w:val="center"/>
              <w:rPr>
                <w:rFonts w:hint="eastAsia" w:eastAsia="宋体" w:cs="宋体"/>
                <w:sz w:val="21"/>
                <w:szCs w:val="21"/>
                <w:u w:val="none"/>
                <w:lang w:eastAsia="zh-CN"/>
              </w:rPr>
            </w:pPr>
            <w:r>
              <w:rPr>
                <w:rFonts w:hint="eastAsia" w:cs="宋体"/>
                <w:sz w:val="21"/>
                <w:szCs w:val="21"/>
                <w:u w:val="none"/>
                <w:lang w:val="en-US" w:eastAsia="zh-CN"/>
              </w:rPr>
              <w:t>.</w:t>
            </w:r>
          </w:p>
        </w:tc>
        <w:tc>
          <w:tcPr>
            <w:tcW w:w="2013" w:type="dxa"/>
            <w:tcBorders>
              <w:top w:val="single" w:color="000000" w:sz="4" w:space="0"/>
              <w:left w:val="single" w:color="auto" w:sz="4" w:space="0"/>
              <w:bottom w:val="single" w:color="000000" w:sz="4" w:space="0"/>
              <w:right w:val="single" w:color="000000" w:sz="4" w:space="0"/>
            </w:tcBorders>
            <w:vAlign w:val="center"/>
          </w:tcPr>
          <w:p w14:paraId="160538CF">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285" w:type="dxa"/>
            <w:tcBorders>
              <w:top w:val="single" w:color="000000" w:sz="4" w:space="0"/>
              <w:left w:val="single" w:color="000000" w:sz="4" w:space="0"/>
              <w:bottom w:val="single" w:color="000000" w:sz="4" w:space="0"/>
              <w:right w:val="single" w:color="000000" w:sz="4" w:space="0"/>
            </w:tcBorders>
            <w:vAlign w:val="center"/>
          </w:tcPr>
          <w:p w14:paraId="07D964F1">
            <w:pPr>
              <w:jc w:val="center"/>
              <w:rPr>
                <w:rFonts w:hint="eastAsia" w:eastAsia="宋体" w:cs="宋体"/>
                <w:sz w:val="21"/>
                <w:szCs w:val="21"/>
                <w:u w:val="none"/>
                <w:lang w:eastAsia="zh-CN"/>
              </w:rPr>
            </w:pPr>
            <w:r>
              <w:rPr>
                <w:rFonts w:hint="eastAsia" w:cs="宋体"/>
                <w:sz w:val="21"/>
                <w:szCs w:val="21"/>
                <w:u w:val="none"/>
                <w:lang w:val="en-US" w:eastAsia="zh-CN"/>
              </w:rPr>
              <w:t>.</w:t>
            </w:r>
          </w:p>
        </w:tc>
        <w:tc>
          <w:tcPr>
            <w:tcW w:w="3202" w:type="dxa"/>
            <w:tcBorders>
              <w:top w:val="single" w:color="000000" w:sz="4" w:space="0"/>
              <w:left w:val="single" w:color="000000" w:sz="4" w:space="0"/>
              <w:bottom w:val="single" w:color="000000" w:sz="4" w:space="0"/>
              <w:right w:val="single" w:color="000000" w:sz="4" w:space="0"/>
            </w:tcBorders>
            <w:vAlign w:val="center"/>
          </w:tcPr>
          <w:p w14:paraId="268A1A0B">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1751" w:type="dxa"/>
            <w:tcBorders>
              <w:top w:val="single" w:color="000000" w:sz="4" w:space="0"/>
              <w:left w:val="single" w:color="000000" w:sz="4" w:space="0"/>
              <w:bottom w:val="single" w:color="000000" w:sz="4" w:space="0"/>
              <w:right w:val="single" w:color="000000" w:sz="4" w:space="0"/>
            </w:tcBorders>
          </w:tcPr>
          <w:p w14:paraId="71773BB8">
            <w:pPr>
              <w:jc w:val="center"/>
              <w:rPr>
                <w:rFonts w:hint="eastAsia" w:eastAsia="宋体" w:cs="宋体"/>
                <w:sz w:val="21"/>
                <w:szCs w:val="21"/>
                <w:u w:val="none"/>
                <w:lang w:val="en-US" w:eastAsia="zh-CN"/>
              </w:rPr>
            </w:pPr>
            <w:r>
              <w:rPr>
                <w:rFonts w:hint="eastAsia" w:cs="宋体"/>
                <w:sz w:val="21"/>
                <w:szCs w:val="21"/>
                <w:u w:val="none"/>
                <w:lang w:val="en-US" w:eastAsia="zh-CN"/>
              </w:rPr>
              <w:t>.</w:t>
            </w:r>
          </w:p>
        </w:tc>
      </w:tr>
      <w:tr w14:paraId="2E85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47" w:type="dxa"/>
            <w:tcBorders>
              <w:top w:val="single" w:color="000000" w:sz="4" w:space="0"/>
              <w:left w:val="single" w:color="000000" w:sz="4" w:space="0"/>
              <w:bottom w:val="single" w:color="000000" w:sz="4" w:space="0"/>
              <w:right w:val="single" w:color="auto" w:sz="4" w:space="0"/>
            </w:tcBorders>
            <w:vAlign w:val="center"/>
          </w:tcPr>
          <w:p w14:paraId="53817904">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013" w:type="dxa"/>
            <w:tcBorders>
              <w:top w:val="single" w:color="000000" w:sz="4" w:space="0"/>
              <w:left w:val="single" w:color="auto" w:sz="4" w:space="0"/>
              <w:bottom w:val="single" w:color="000000" w:sz="4" w:space="0"/>
              <w:right w:val="single" w:color="000000" w:sz="4" w:space="0"/>
            </w:tcBorders>
            <w:vAlign w:val="center"/>
          </w:tcPr>
          <w:p w14:paraId="73039EA1">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285" w:type="dxa"/>
            <w:tcBorders>
              <w:top w:val="single" w:color="000000" w:sz="4" w:space="0"/>
              <w:left w:val="single" w:color="000000" w:sz="4" w:space="0"/>
              <w:bottom w:val="single" w:color="000000" w:sz="4" w:space="0"/>
              <w:right w:val="single" w:color="000000" w:sz="4" w:space="0"/>
            </w:tcBorders>
            <w:vAlign w:val="center"/>
          </w:tcPr>
          <w:p w14:paraId="2CAC483B">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3202" w:type="dxa"/>
            <w:tcBorders>
              <w:top w:val="single" w:color="000000" w:sz="4" w:space="0"/>
              <w:left w:val="single" w:color="000000" w:sz="4" w:space="0"/>
              <w:bottom w:val="single" w:color="000000" w:sz="4" w:space="0"/>
              <w:right w:val="single" w:color="000000" w:sz="4" w:space="0"/>
            </w:tcBorders>
            <w:vAlign w:val="center"/>
          </w:tcPr>
          <w:p w14:paraId="62EF28FD">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1751" w:type="dxa"/>
            <w:tcBorders>
              <w:top w:val="single" w:color="000000" w:sz="4" w:space="0"/>
              <w:left w:val="single" w:color="000000" w:sz="4" w:space="0"/>
              <w:bottom w:val="single" w:color="000000" w:sz="4" w:space="0"/>
              <w:right w:val="single" w:color="000000" w:sz="4" w:space="0"/>
            </w:tcBorders>
          </w:tcPr>
          <w:p w14:paraId="591D0383">
            <w:pPr>
              <w:jc w:val="center"/>
              <w:rPr>
                <w:rFonts w:hint="eastAsia" w:eastAsia="宋体" w:cs="宋体"/>
                <w:sz w:val="21"/>
                <w:szCs w:val="21"/>
                <w:u w:val="none"/>
                <w:lang w:val="en-US" w:eastAsia="zh-CN"/>
              </w:rPr>
            </w:pPr>
            <w:r>
              <w:rPr>
                <w:rFonts w:hint="eastAsia" w:cs="宋体"/>
                <w:sz w:val="21"/>
                <w:szCs w:val="21"/>
                <w:u w:val="none"/>
                <w:lang w:val="en-US" w:eastAsia="zh-CN"/>
              </w:rPr>
              <w:t>.</w:t>
            </w:r>
          </w:p>
        </w:tc>
      </w:tr>
      <w:tr w14:paraId="3D051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647" w:type="dxa"/>
            <w:tcBorders>
              <w:top w:val="single" w:color="000000" w:sz="4" w:space="0"/>
              <w:left w:val="single" w:color="000000" w:sz="4" w:space="0"/>
              <w:bottom w:val="single" w:color="000000" w:sz="4" w:space="0"/>
              <w:right w:val="single" w:color="auto" w:sz="4" w:space="0"/>
            </w:tcBorders>
            <w:vAlign w:val="center"/>
          </w:tcPr>
          <w:p w14:paraId="298A4073">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013" w:type="dxa"/>
            <w:tcBorders>
              <w:top w:val="single" w:color="000000" w:sz="4" w:space="0"/>
              <w:left w:val="single" w:color="auto" w:sz="4" w:space="0"/>
              <w:bottom w:val="single" w:color="000000" w:sz="4" w:space="0"/>
              <w:right w:val="single" w:color="000000" w:sz="4" w:space="0"/>
            </w:tcBorders>
            <w:vAlign w:val="center"/>
          </w:tcPr>
          <w:p w14:paraId="1DC49762">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285" w:type="dxa"/>
            <w:tcBorders>
              <w:top w:val="single" w:color="000000" w:sz="4" w:space="0"/>
              <w:left w:val="single" w:color="000000" w:sz="4" w:space="0"/>
              <w:bottom w:val="single" w:color="000000" w:sz="4" w:space="0"/>
              <w:right w:val="single" w:color="000000" w:sz="4" w:space="0"/>
            </w:tcBorders>
            <w:vAlign w:val="center"/>
          </w:tcPr>
          <w:p w14:paraId="676D9FE6">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3202" w:type="dxa"/>
            <w:tcBorders>
              <w:top w:val="single" w:color="000000" w:sz="4" w:space="0"/>
              <w:left w:val="single" w:color="000000" w:sz="4" w:space="0"/>
              <w:bottom w:val="single" w:color="000000" w:sz="4" w:space="0"/>
              <w:right w:val="single" w:color="000000" w:sz="4" w:space="0"/>
            </w:tcBorders>
            <w:vAlign w:val="center"/>
          </w:tcPr>
          <w:p w14:paraId="09E61EBB">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1751" w:type="dxa"/>
            <w:tcBorders>
              <w:top w:val="single" w:color="000000" w:sz="4" w:space="0"/>
              <w:left w:val="single" w:color="000000" w:sz="4" w:space="0"/>
              <w:bottom w:val="single" w:color="000000" w:sz="4" w:space="0"/>
              <w:right w:val="single" w:color="000000" w:sz="4" w:space="0"/>
            </w:tcBorders>
          </w:tcPr>
          <w:p w14:paraId="65CB98E0">
            <w:pPr>
              <w:jc w:val="center"/>
              <w:rPr>
                <w:rFonts w:hint="eastAsia" w:eastAsia="宋体" w:cs="宋体"/>
                <w:sz w:val="21"/>
                <w:szCs w:val="21"/>
                <w:u w:val="none"/>
                <w:lang w:val="en-US" w:eastAsia="zh-CN"/>
              </w:rPr>
            </w:pPr>
            <w:r>
              <w:rPr>
                <w:rFonts w:hint="eastAsia" w:cs="宋体"/>
                <w:sz w:val="21"/>
                <w:szCs w:val="21"/>
                <w:u w:val="none"/>
                <w:lang w:val="en-US" w:eastAsia="zh-CN"/>
              </w:rPr>
              <w:t>.</w:t>
            </w:r>
          </w:p>
        </w:tc>
      </w:tr>
    </w:tbl>
    <w:p w14:paraId="5A2E3A36">
      <w:pPr>
        <w:spacing w:line="276" w:lineRule="auto"/>
        <w:ind w:firstLine="211" w:firstLineChars="100"/>
        <w:rPr>
          <w:rFonts w:ascii="宋体" w:hAnsi="宋体" w:cs="宋体"/>
          <w:b/>
          <w:bCs/>
          <w:szCs w:val="21"/>
        </w:rPr>
      </w:pPr>
      <w:r>
        <w:rPr>
          <w:rFonts w:hint="eastAsia" w:ascii="宋体" w:hAnsi="宋体" w:cs="宋体"/>
          <w:b/>
          <w:bCs/>
          <w:szCs w:val="21"/>
        </w:rPr>
        <w:t>注：</w:t>
      </w:r>
    </w:p>
    <w:p w14:paraId="19BF1106">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宋体" w:hAnsi="宋体" w:eastAsia="宋体" w:cs="宋体"/>
          <w:b/>
          <w:bCs/>
          <w:kern w:val="2"/>
          <w:sz w:val="21"/>
          <w:szCs w:val="21"/>
          <w:lang w:val="en-US" w:eastAsia="zh-CN" w:bidi="ar-SA"/>
        </w:rPr>
        <w:t>★</w:t>
      </w:r>
      <w:r>
        <w:rPr>
          <w:rFonts w:hint="eastAsia" w:asciiTheme="minorEastAsia" w:hAnsiTheme="minorEastAsia" w:eastAsiaTheme="minorEastAsia" w:cstheme="minorEastAsia"/>
          <w:b/>
          <w:bCs/>
          <w:kern w:val="2"/>
          <w:sz w:val="21"/>
          <w:szCs w:val="21"/>
          <w:lang w:val="en-US" w:eastAsia="zh-CN" w:bidi="ar-SA"/>
        </w:rPr>
        <w:t>1、</w:t>
      </w:r>
      <w:r>
        <w:rPr>
          <w:rFonts w:hint="eastAsia" w:asciiTheme="minorEastAsia" w:hAnsiTheme="minorEastAsia" w:eastAsiaTheme="minorEastAsia" w:cstheme="minorEastAsia"/>
          <w:b/>
          <w:bCs/>
          <w:sz w:val="21"/>
          <w:szCs w:val="21"/>
          <w:lang w:val="en-US" w:eastAsia="zh-CN"/>
        </w:rPr>
        <w:t>投标时投标人必须注明所投产品品牌，否则按未实质性响应处理；</w:t>
      </w:r>
    </w:p>
    <w:p w14:paraId="2CD10DB8">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、以上材料在进场前须经</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和设计单位认可，</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有权在颜色、样式、用量、材质、配置等方面做出适当调整，但价格不予调整</w:t>
      </w:r>
      <w:r>
        <w:rPr>
          <w:rFonts w:hint="eastAsia" w:asciiTheme="minorEastAsia" w:hAnsiTheme="minorEastAsia" w:eastAsiaTheme="minorEastAsia" w:cstheme="minorEastAsia"/>
          <w:b/>
          <w:bCs/>
          <w:sz w:val="21"/>
          <w:szCs w:val="21"/>
          <w:lang w:eastAsia="zh-CN"/>
        </w:rPr>
        <w:t>；</w:t>
      </w:r>
    </w:p>
    <w:p w14:paraId="029E59FC">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、如投标人采用推荐品牌以外的其他产品供货的，质量和性能等技术指标必须优于或者相当于推荐品牌。一旦中标，中标人不得以任何理由更换选定品牌,并于领取中标通知书后三天内向</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提供样品，经</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认可后方可签订合同。</w:t>
      </w:r>
    </w:p>
    <w:p w14:paraId="24BE6215">
      <w:pPr>
        <w:spacing w:line="400" w:lineRule="exact"/>
        <w:ind w:firstLine="422" w:firstLineChars="200"/>
        <w:jc w:val="left"/>
        <w:rPr>
          <w:rFonts w:ascii="宋体" w:hAnsi="宋体" w:cs="宋体"/>
          <w:b/>
          <w:bCs/>
          <w:color w:val="FF0000"/>
          <w:szCs w:val="21"/>
        </w:rPr>
      </w:pPr>
    </w:p>
    <w:p w14:paraId="37521E2D">
      <w:pPr>
        <w:spacing w:before="156" w:beforeLines="50" w:line="360" w:lineRule="auto"/>
        <w:ind w:firstLine="422"/>
        <w:jc w:val="right"/>
        <w:rPr>
          <w:rFonts w:ascii="宋体" w:hAnsi="宋体" w:cs="宋体"/>
          <w:b/>
          <w:bCs/>
          <w:szCs w:val="21"/>
        </w:rPr>
      </w:pPr>
      <w:r>
        <w:rPr>
          <w:rFonts w:hint="eastAsia" w:ascii="宋体" w:hAnsi="宋体" w:cs="宋体"/>
          <w:b/>
          <w:bCs/>
          <w:szCs w:val="21"/>
        </w:rPr>
        <w:t>投标人（单位公章）：</w:t>
      </w:r>
    </w:p>
    <w:p w14:paraId="003851EC">
      <w:pPr>
        <w:wordWrap w:val="0"/>
        <w:spacing w:before="156" w:beforeLines="50" w:line="360" w:lineRule="auto"/>
        <w:ind w:right="240" w:firstLine="422"/>
        <w:jc w:val="right"/>
        <w:rPr>
          <w:rFonts w:ascii="宋体" w:hAnsi="宋体" w:cs="宋体"/>
          <w:b/>
          <w:bCs/>
          <w:szCs w:val="21"/>
        </w:rPr>
      </w:pPr>
      <w:r>
        <w:rPr>
          <w:rFonts w:hint="eastAsia" w:ascii="宋体" w:hAnsi="宋体" w:cs="宋体"/>
          <w:b/>
          <w:bCs/>
          <w:szCs w:val="21"/>
        </w:rPr>
        <w:t>年   月   日</w:t>
      </w:r>
    </w:p>
    <w:p w14:paraId="6A139047">
      <w:pPr>
        <w:pStyle w:val="8"/>
        <w:rPr>
          <w:rFonts w:hAnsi="宋体"/>
          <w:color w:val="000000"/>
        </w:rPr>
      </w:pPr>
    </w:p>
    <w:p w14:paraId="6AA71623">
      <w:pPr>
        <w:pStyle w:val="8"/>
        <w:spacing w:line="312" w:lineRule="auto"/>
        <w:rPr>
          <w:rFonts w:hAnsi="宋体"/>
          <w:b/>
          <w:color w:val="000000"/>
          <w:sz w:val="21"/>
          <w:szCs w:val="21"/>
        </w:rPr>
      </w:pPr>
    </w:p>
    <w:p w14:paraId="36C46580">
      <w:pPr>
        <w:pStyle w:val="8"/>
        <w:spacing w:line="312" w:lineRule="auto"/>
        <w:rPr>
          <w:rFonts w:hAnsi="宋体"/>
          <w:b/>
          <w:color w:val="000000"/>
          <w:sz w:val="21"/>
          <w:szCs w:val="21"/>
        </w:rPr>
      </w:pPr>
    </w:p>
    <w:p w14:paraId="19C9956B">
      <w:pPr>
        <w:rPr>
          <w:rFonts w:hAnsi="宋体"/>
          <w:b/>
          <w:color w:val="000000"/>
          <w:szCs w:val="21"/>
        </w:rPr>
      </w:pPr>
    </w:p>
    <w:p w14:paraId="24B0ECF9">
      <w:pPr>
        <w:rPr>
          <w:rFonts w:hAnsi="宋体"/>
          <w:b/>
          <w:color w:val="000000"/>
          <w:szCs w:val="21"/>
        </w:rPr>
      </w:pPr>
    </w:p>
    <w:p w14:paraId="3D6E314B">
      <w:pPr>
        <w:rPr>
          <w:rFonts w:hAnsi="宋体"/>
          <w:b/>
          <w:color w:val="000000"/>
          <w:szCs w:val="21"/>
        </w:rPr>
      </w:pPr>
    </w:p>
    <w:p w14:paraId="78AE614F">
      <w:pPr>
        <w:rPr>
          <w:rFonts w:hAnsi="宋体"/>
          <w:b/>
          <w:color w:val="000000"/>
          <w:szCs w:val="21"/>
        </w:rPr>
      </w:pPr>
    </w:p>
    <w:p w14:paraId="4C24957D">
      <w:pPr>
        <w:rPr>
          <w:rFonts w:hAnsi="宋体"/>
          <w:b/>
          <w:color w:val="000000"/>
          <w:szCs w:val="21"/>
        </w:rPr>
      </w:pPr>
    </w:p>
    <w:p w14:paraId="16A3E9AA">
      <w:pPr>
        <w:rPr>
          <w:rFonts w:hAnsi="宋体"/>
          <w:b/>
          <w:color w:val="000000"/>
          <w:szCs w:val="21"/>
        </w:rPr>
      </w:pPr>
    </w:p>
    <w:p w14:paraId="0D267E29">
      <w:pPr>
        <w:rPr>
          <w:rFonts w:hAnsi="宋体"/>
          <w:b/>
          <w:color w:val="000000"/>
          <w:szCs w:val="21"/>
        </w:rPr>
      </w:pPr>
    </w:p>
    <w:p w14:paraId="50F5FE51">
      <w:pPr>
        <w:rPr>
          <w:rFonts w:hAnsi="宋体"/>
          <w:b/>
          <w:color w:val="000000"/>
          <w:szCs w:val="21"/>
        </w:rPr>
      </w:pPr>
    </w:p>
    <w:p w14:paraId="6862572C">
      <w:pPr>
        <w:rPr>
          <w:rFonts w:hAnsi="宋体"/>
          <w:b/>
          <w:color w:val="000000"/>
          <w:szCs w:val="21"/>
        </w:rPr>
      </w:pPr>
    </w:p>
    <w:p w14:paraId="1293C5B9">
      <w:pPr>
        <w:rPr>
          <w:rFonts w:hAnsi="宋体"/>
          <w:b/>
          <w:color w:val="000000"/>
          <w:szCs w:val="21"/>
        </w:rPr>
      </w:pPr>
    </w:p>
    <w:p w14:paraId="3BA51D10">
      <w:pPr>
        <w:rPr>
          <w:rFonts w:hAnsi="宋体"/>
          <w:b/>
          <w:color w:val="000000"/>
          <w:szCs w:val="21"/>
        </w:rPr>
      </w:pPr>
    </w:p>
    <w:p w14:paraId="7D3C6E39">
      <w:pPr>
        <w:rPr>
          <w:rFonts w:hAnsi="宋体"/>
          <w:b/>
          <w:color w:val="000000"/>
          <w:szCs w:val="21"/>
        </w:rPr>
      </w:pPr>
    </w:p>
    <w:p w14:paraId="7C6E2B49">
      <w:pPr>
        <w:rPr>
          <w:rFonts w:hAnsi="宋体"/>
          <w:b/>
          <w:color w:val="000000"/>
          <w:szCs w:val="21"/>
        </w:rPr>
      </w:pPr>
    </w:p>
    <w:p w14:paraId="21C4F6A2">
      <w:pPr>
        <w:rPr>
          <w:rFonts w:hAnsi="宋体"/>
          <w:b/>
          <w:color w:val="000000"/>
          <w:szCs w:val="21"/>
        </w:rPr>
      </w:pPr>
    </w:p>
    <w:p w14:paraId="6C10F569">
      <w:pPr>
        <w:pStyle w:val="8"/>
        <w:spacing w:line="360" w:lineRule="auto"/>
        <w:ind w:firstLine="420" w:firstLineChars="200"/>
        <w:jc w:val="center"/>
        <w:rPr>
          <w:rFonts w:hAnsi="宋体"/>
          <w:color w:val="000000"/>
          <w:sz w:val="21"/>
          <w:szCs w:val="21"/>
        </w:rPr>
      </w:pPr>
    </w:p>
    <w:p w14:paraId="3FD09845">
      <w:pPr>
        <w:pStyle w:val="8"/>
        <w:spacing w:line="360" w:lineRule="auto"/>
        <w:ind w:firstLine="420" w:firstLineChars="20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携手阳光下、政府采购人自己的故事”是江苏省首届政府采购培训活动的征文题，我们以“携手阳光”为公司的名号，旨在将政府采购这项阳光事业作为我司毕生的事业。通过不懈的学习与努力，为政府采购参与人提供最专业的服务，携手共建政府采购的美好明天。</w:t>
      </w:r>
    </w:p>
    <w:p w14:paraId="36C0999F">
      <w:pPr>
        <w:pStyle w:val="8"/>
        <w:spacing w:line="360" w:lineRule="auto"/>
        <w:ind w:firstLine="422" w:firstLineChars="20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以下空白，感谢您对携手阳光公司的支持。</w:t>
      </w:r>
    </w:p>
    <w:p w14:paraId="2977206B">
      <w:pPr>
        <w:rPr>
          <w:rFonts w:ascii="宋体" w:hAnsi="宋体"/>
          <w:b/>
          <w:color w:val="000000"/>
          <w:sz w:val="28"/>
          <w:szCs w:val="28"/>
        </w:rPr>
      </w:pPr>
    </w:p>
    <w:sectPr>
      <w:headerReference r:id="rId10" w:type="first"/>
      <w:headerReference r:id="rId8" w:type="default"/>
      <w:footerReference r:id="rId11" w:type="default"/>
      <w:headerReference r:id="rId9" w:type="even"/>
      <w:footerReference r:id="rId12" w:type="even"/>
      <w:pgSz w:w="11906" w:h="16838"/>
      <w:pgMar w:top="1077" w:right="1077" w:bottom="1191" w:left="130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三人行" w:date="2026-04-17T09:05:33Z" w:initials="">
    <w:p w14:paraId="75BB6397">
      <w:pPr>
        <w:pStyle w:val="7"/>
        <w:rPr>
          <w:rFonts w:hint="eastAsia" w:eastAsia="宋体"/>
          <w:lang w:eastAsia="zh-CN"/>
        </w:rPr>
      </w:pPr>
      <w:r>
        <w:rPr>
          <w:rFonts w:hint="eastAsia"/>
          <w:lang w:eastAsia="zh-CN"/>
        </w:rPr>
        <w:t>这个不改吗？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BB63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黑简体">
    <w:panose1 w:val="02010601030101010101"/>
    <w:charset w:val="86"/>
    <w:family w:val="auto"/>
    <w:pitch w:val="default"/>
    <w:sig w:usb0="00000001" w:usb1="080E0000" w:usb2="00000000" w:usb3="00000000" w:csb0="00040000" w:csb1="00000000"/>
  </w:font>
  <w:font w:name="汉仪粗黑简">
    <w:altName w:val="宋体"/>
    <w:panose1 w:val="00000000000000000000"/>
    <w:charset w:val="86"/>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EFA7">
    <w:pPr>
      <w:jc w:val="center"/>
      <w:rPr>
        <w:b/>
        <w:szCs w:val="21"/>
      </w:rPr>
    </w:pPr>
    <w:r>
      <w:rPr>
        <w:rFonts w:hint="eastAsia" w:ascii="宋体" w:hAnsi="宋体"/>
        <w:b/>
        <w:szCs w:val="21"/>
      </w:rPr>
      <w:t>盐城市携手阳光集中采购代理有限公司</w:t>
    </w:r>
    <w:r>
      <w:rPr>
        <w:rFonts w:hint="eastAsia"/>
        <w:b/>
        <w:color w:val="000000"/>
        <w:szCs w:val="21"/>
      </w:rPr>
      <w:t>（</w:t>
    </w:r>
    <w:r>
      <w:rPr>
        <w:rFonts w:ascii="宋体" w:hAnsi="宋体"/>
        <w:b/>
        <w:color w:val="000000"/>
        <w:szCs w:val="21"/>
      </w:rPr>
      <w:t>第</w:t>
    </w:r>
    <w:r>
      <w:rPr>
        <w:rFonts w:ascii="宋体" w:hAnsi="宋体"/>
        <w:b/>
        <w:color w:val="000000"/>
        <w:szCs w:val="21"/>
      </w:rPr>
      <w:fldChar w:fldCharType="begin"/>
    </w:r>
    <w:r>
      <w:rPr>
        <w:rFonts w:ascii="宋体" w:hAnsi="宋体"/>
        <w:b/>
        <w:color w:val="000000"/>
        <w:szCs w:val="21"/>
      </w:rPr>
      <w:instrText xml:space="preserve"> PAGE   \* MERGEFORMAT </w:instrText>
    </w:r>
    <w:r>
      <w:rPr>
        <w:rFonts w:ascii="宋体" w:hAnsi="宋体"/>
        <w:b/>
        <w:color w:val="000000"/>
        <w:szCs w:val="21"/>
      </w:rPr>
      <w:fldChar w:fldCharType="separate"/>
    </w:r>
    <w:r>
      <w:t>2</w:t>
    </w:r>
    <w:r>
      <w:rPr>
        <w:rFonts w:ascii="宋体" w:hAnsi="宋体"/>
        <w:b/>
        <w:color w:val="000000"/>
        <w:szCs w:val="21"/>
      </w:rPr>
      <w:fldChar w:fldCharType="end"/>
    </w:r>
    <w:r>
      <w:rPr>
        <w:rFonts w:ascii="宋体" w:hAnsi="宋体"/>
        <w:b/>
        <w:color w:val="000000"/>
        <w:szCs w:val="21"/>
      </w:rPr>
      <w:t>页</w:t>
    </w:r>
    <w:r>
      <w:rPr>
        <w:rFonts w:hint="eastAsia" w:ascii="宋体" w:hAnsi="宋体"/>
        <w:b/>
        <w:color w:val="000000"/>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BBE">
    <w:pPr>
      <w:ind w:firstLine="271" w:firstLineChars="150"/>
      <w:jc w:val="center"/>
      <w:rPr>
        <w:rFonts w:ascii="宋体" w:hAnsi="宋体"/>
        <w:b/>
        <w:color w:val="FF0000"/>
        <w:sz w:val="18"/>
        <w:szCs w:val="18"/>
      </w:rPr>
    </w:pPr>
    <w:r>
      <w:rPr>
        <w:rFonts w:hint="eastAsia" w:ascii="宋体" w:hAnsi="宋体"/>
        <w:b/>
        <w:sz w:val="18"/>
        <w:szCs w:val="18"/>
      </w:rPr>
      <w:t>盐城市携手阳光集中采购代理有限公司</w:t>
    </w:r>
    <w:r>
      <w:rPr>
        <w:rFonts w:hint="eastAsia" w:ascii="宋体" w:hAnsi="宋体"/>
        <w:b/>
        <w:color w:val="000000"/>
        <w:sz w:val="18"/>
        <w:szCs w:val="18"/>
      </w:rPr>
      <w:t>（第</w:t>
    </w:r>
    <w:r>
      <w:rPr>
        <w:rFonts w:ascii="宋体" w:hAnsi="宋体"/>
        <w:b/>
        <w:color w:val="000000"/>
        <w:sz w:val="18"/>
        <w:szCs w:val="18"/>
      </w:rPr>
      <w:fldChar w:fldCharType="begin"/>
    </w:r>
    <w:r>
      <w:rPr>
        <w:rFonts w:ascii="宋体" w:hAnsi="宋体"/>
        <w:b/>
        <w:color w:val="000000"/>
        <w:sz w:val="18"/>
        <w:szCs w:val="18"/>
      </w:rPr>
      <w:instrText xml:space="preserve"> PAGE </w:instrText>
    </w:r>
    <w:r>
      <w:rPr>
        <w:rFonts w:ascii="宋体" w:hAnsi="宋体"/>
        <w:b/>
        <w:color w:val="000000"/>
        <w:sz w:val="18"/>
        <w:szCs w:val="18"/>
      </w:rPr>
      <w:fldChar w:fldCharType="separate"/>
    </w:r>
    <w:r>
      <w:rPr>
        <w:rFonts w:ascii="宋体" w:hAnsi="宋体"/>
        <w:b/>
        <w:color w:val="000000"/>
        <w:sz w:val="18"/>
        <w:szCs w:val="18"/>
      </w:rPr>
      <w:t>38</w:t>
    </w:r>
    <w:r>
      <w:rPr>
        <w:rFonts w:ascii="宋体" w:hAnsi="宋体"/>
        <w:b/>
        <w:color w:val="000000"/>
        <w:sz w:val="18"/>
        <w:szCs w:val="18"/>
      </w:rPr>
      <w:fldChar w:fldCharType="end"/>
    </w:r>
    <w:r>
      <w:rPr>
        <w:rFonts w:hint="eastAsia" w:ascii="宋体" w:hAnsi="宋体"/>
        <w:b/>
        <w:color w:val="000000"/>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7397">
    <w:pPr>
      <w:pStyle w:val="15"/>
      <w:framePr w:wrap="around" w:vAnchor="text" w:hAnchor="margin" w:xAlign="right" w:y="1"/>
      <w:rPr>
        <w:rStyle w:val="31"/>
      </w:rPr>
    </w:pPr>
    <w:r>
      <w:fldChar w:fldCharType="begin"/>
    </w:r>
    <w:r>
      <w:rPr>
        <w:rStyle w:val="31"/>
      </w:rPr>
      <w:instrText xml:space="preserve">PAGE  </w:instrText>
    </w:r>
    <w:r>
      <w:fldChar w:fldCharType="separate"/>
    </w:r>
    <w:r>
      <w:rPr>
        <w:rStyle w:val="31"/>
      </w:rPr>
      <w:t>13</w:t>
    </w:r>
    <w:r>
      <w:fldChar w:fldCharType="end"/>
    </w:r>
  </w:p>
  <w:p w14:paraId="409D9AD1">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59FE">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A178">
    <w:pPr>
      <w:jc w:val="center"/>
      <w:rPr>
        <w:b/>
        <w:szCs w:val="21"/>
      </w:rPr>
    </w:pPr>
    <w:r>
      <w:rPr>
        <w:b/>
      </w:rPr>
      <w:pict>
        <v:shape id="PowerPlusWaterMarkObject" o:spid="_x0000_s2049" o:spt="136" type="#_x0000_t136" style="position:absolute;left:0pt;height:25.4pt;width:661.4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text="f"/>
          <v:textpath on="t" fitshape="t" fitpath="t" trim="t" xscale="f" string="盐城市携手阳光集中采购代理有限公司版权所有、严禁摘抄" style="font-family:宋体;font-size:8pt;v-text-align:center;"/>
        </v:shape>
      </w:pict>
    </w:r>
    <w:r>
      <w:rPr>
        <w:rFonts w:hint="eastAsia"/>
        <w:b/>
        <w:szCs w:val="21"/>
      </w:rPr>
      <w:t>术业有专攻、政采有阳光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2D39">
    <w:pPr>
      <w:jc w:val="center"/>
      <w:rPr>
        <w:b/>
        <w:szCs w:val="21"/>
      </w:rPr>
    </w:pPr>
    <w:r>
      <w:pict>
        <v:shape id="PowerPlusWaterMarkObject1007653222" o:spid="_x0000_s2051" o:spt="136" type="#_x0000_t136" style="position:absolute;left:0pt;height:31.95pt;width:639.35pt;mso-position-horizontal:center;mso-position-horizontal-relative:margin;mso-position-vertical:center;mso-position-vertical-relative:margin;rotation:20643840f;z-index:-251637760;mso-width-relative:page;mso-height-relative:page;" fillcolor="#C0C0C0" filled="t" stroked="f" coordsize="21600,21600" o:allowincell="f">
          <v:path/>
          <v:fill on="t" opacity="32768f" focussize="0,0"/>
          <v:stroke on="f"/>
          <v:imagedata o:title=""/>
          <o:lock v:ext="edit" text="f"/>
          <v:textpath on="t" fitshape="t" fitpath="t" trim="t" xscale="f" string="仅限本项目使用。未经书面许可，严禁摘抄。" style="font-family:宋体;font-size:8pt;v-text-align:center;"/>
        </v:shape>
      </w:pict>
    </w:r>
    <w:r>
      <w:rPr>
        <w:rFonts w:hint="eastAsia"/>
        <w:b/>
        <w:szCs w:val="21"/>
      </w:rPr>
      <w:t>术业有专攻、政采有阳光</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AE5B">
    <w:pPr>
      <w:pStyle w:val="17"/>
    </w:pPr>
    <w:r>
      <w:pict>
        <v:shape id="PowerPlusWaterMarkObject1007653221" o:spid="_x0000_s2052" o:spt="136" type="#_x0000_t136" style="position:absolute;left:0pt;height:31.95pt;width:639.35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text="f"/>
          <v:textpath on="t" fitshape="t" fitpath="t" trim="t" xscale="f" string="仅限本项目使用。未经书面许可，严禁摘抄。" style="font-family:宋体;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3668">
    <w:pPr>
      <w:pStyle w:val="17"/>
    </w:pPr>
    <w:r>
      <w:pict>
        <v:shape id="PowerPlusWaterMarkObject1007653220" o:spid="_x0000_s2050" o:spt="136" type="#_x0000_t136" style="position:absolute;left:0pt;height:31.95pt;width:639.35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text="f"/>
          <v:textpath on="t" fitshape="t" fitpath="t" trim="t" xscale="f" string="仅限本项目使用。未经书面许可，严禁摘抄。"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31CA1"/>
    <w:multiLevelType w:val="singleLevel"/>
    <w:tmpl w:val="02631CA1"/>
    <w:lvl w:ilvl="0" w:tentative="0">
      <w:start w:val="6"/>
      <w:numFmt w:val="chineseCounting"/>
      <w:pStyle w:val="67"/>
      <w:suff w:val="nothing"/>
      <w:lvlText w:val="%1、"/>
      <w:lvlJc w:val="left"/>
      <w:rPr>
        <w:rFonts w:hint="eastAsia"/>
        <w:b/>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三人行">
    <w15:presenceInfo w15:providerId="WPS Office" w15:userId="12423299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revisionView w:markup="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OTBlYTA2NTg3OWVlNTBkZjk2NzYwNGYyZDJjYjUifQ=="/>
  </w:docVars>
  <w:rsids>
    <w:rsidRoot w:val="362A1B67"/>
    <w:rsid w:val="000016F8"/>
    <w:rsid w:val="00001C8E"/>
    <w:rsid w:val="00005FDA"/>
    <w:rsid w:val="00023AE2"/>
    <w:rsid w:val="000275B9"/>
    <w:rsid w:val="000316B8"/>
    <w:rsid w:val="00034000"/>
    <w:rsid w:val="00036B07"/>
    <w:rsid w:val="00041E63"/>
    <w:rsid w:val="000439E7"/>
    <w:rsid w:val="00046A2D"/>
    <w:rsid w:val="00071B8E"/>
    <w:rsid w:val="00081B72"/>
    <w:rsid w:val="00082625"/>
    <w:rsid w:val="000851B2"/>
    <w:rsid w:val="00085646"/>
    <w:rsid w:val="0008597E"/>
    <w:rsid w:val="00091652"/>
    <w:rsid w:val="00091C88"/>
    <w:rsid w:val="000A2297"/>
    <w:rsid w:val="000A2513"/>
    <w:rsid w:val="000A53C7"/>
    <w:rsid w:val="000B4817"/>
    <w:rsid w:val="000B4A7A"/>
    <w:rsid w:val="000C53F2"/>
    <w:rsid w:val="000C625F"/>
    <w:rsid w:val="000D0124"/>
    <w:rsid w:val="000D31A9"/>
    <w:rsid w:val="000D51E0"/>
    <w:rsid w:val="000F1064"/>
    <w:rsid w:val="000F19FC"/>
    <w:rsid w:val="001000F5"/>
    <w:rsid w:val="00116683"/>
    <w:rsid w:val="00116AA0"/>
    <w:rsid w:val="00143410"/>
    <w:rsid w:val="001467EC"/>
    <w:rsid w:val="00150AD5"/>
    <w:rsid w:val="00154AAC"/>
    <w:rsid w:val="00172A18"/>
    <w:rsid w:val="001756B4"/>
    <w:rsid w:val="001814E7"/>
    <w:rsid w:val="00184034"/>
    <w:rsid w:val="001979B0"/>
    <w:rsid w:val="001A69B1"/>
    <w:rsid w:val="001A6E3C"/>
    <w:rsid w:val="001C0BC5"/>
    <w:rsid w:val="001C0E56"/>
    <w:rsid w:val="001E500B"/>
    <w:rsid w:val="001F31CE"/>
    <w:rsid w:val="001F64AD"/>
    <w:rsid w:val="001F720C"/>
    <w:rsid w:val="0020613E"/>
    <w:rsid w:val="00224128"/>
    <w:rsid w:val="002269D4"/>
    <w:rsid w:val="00234A27"/>
    <w:rsid w:val="00246233"/>
    <w:rsid w:val="00247964"/>
    <w:rsid w:val="00274219"/>
    <w:rsid w:val="00274234"/>
    <w:rsid w:val="002852DA"/>
    <w:rsid w:val="00285E01"/>
    <w:rsid w:val="002951E1"/>
    <w:rsid w:val="002A05CA"/>
    <w:rsid w:val="002A377A"/>
    <w:rsid w:val="002A3AD8"/>
    <w:rsid w:val="002A3F4A"/>
    <w:rsid w:val="002B41DE"/>
    <w:rsid w:val="002C2589"/>
    <w:rsid w:val="002D3B43"/>
    <w:rsid w:val="002E39CB"/>
    <w:rsid w:val="002E66A7"/>
    <w:rsid w:val="002F4571"/>
    <w:rsid w:val="002F5311"/>
    <w:rsid w:val="003002D2"/>
    <w:rsid w:val="00304E10"/>
    <w:rsid w:val="00305FBD"/>
    <w:rsid w:val="00311CCD"/>
    <w:rsid w:val="00312AE1"/>
    <w:rsid w:val="00327376"/>
    <w:rsid w:val="003303DC"/>
    <w:rsid w:val="003305FA"/>
    <w:rsid w:val="00341ED6"/>
    <w:rsid w:val="0034696A"/>
    <w:rsid w:val="003535F8"/>
    <w:rsid w:val="003550AC"/>
    <w:rsid w:val="003563FD"/>
    <w:rsid w:val="00364D57"/>
    <w:rsid w:val="00365845"/>
    <w:rsid w:val="00376AAD"/>
    <w:rsid w:val="00396429"/>
    <w:rsid w:val="00396D0E"/>
    <w:rsid w:val="00396DEE"/>
    <w:rsid w:val="003A2FD2"/>
    <w:rsid w:val="003A51C4"/>
    <w:rsid w:val="003B022D"/>
    <w:rsid w:val="003B44A6"/>
    <w:rsid w:val="003B6F35"/>
    <w:rsid w:val="003D670D"/>
    <w:rsid w:val="003D7E60"/>
    <w:rsid w:val="003E36A4"/>
    <w:rsid w:val="003E4A1B"/>
    <w:rsid w:val="003F2C20"/>
    <w:rsid w:val="003F3DFB"/>
    <w:rsid w:val="0040150C"/>
    <w:rsid w:val="0040274E"/>
    <w:rsid w:val="0040589F"/>
    <w:rsid w:val="004110F2"/>
    <w:rsid w:val="00414698"/>
    <w:rsid w:val="00423C6D"/>
    <w:rsid w:val="004266DA"/>
    <w:rsid w:val="00426ADE"/>
    <w:rsid w:val="00427431"/>
    <w:rsid w:val="004313ED"/>
    <w:rsid w:val="00434E6A"/>
    <w:rsid w:val="00435474"/>
    <w:rsid w:val="00436FD0"/>
    <w:rsid w:val="00440672"/>
    <w:rsid w:val="004479E5"/>
    <w:rsid w:val="0045397C"/>
    <w:rsid w:val="00453B69"/>
    <w:rsid w:val="00460AB1"/>
    <w:rsid w:val="004616BE"/>
    <w:rsid w:val="00465099"/>
    <w:rsid w:val="00473F8D"/>
    <w:rsid w:val="00483122"/>
    <w:rsid w:val="00493900"/>
    <w:rsid w:val="00495481"/>
    <w:rsid w:val="004B60F9"/>
    <w:rsid w:val="004B6EBB"/>
    <w:rsid w:val="004C5A40"/>
    <w:rsid w:val="004C7B41"/>
    <w:rsid w:val="004D068A"/>
    <w:rsid w:val="004E03CD"/>
    <w:rsid w:val="004E616D"/>
    <w:rsid w:val="004F3F79"/>
    <w:rsid w:val="004F69A5"/>
    <w:rsid w:val="0051278D"/>
    <w:rsid w:val="00521363"/>
    <w:rsid w:val="0052445A"/>
    <w:rsid w:val="00527906"/>
    <w:rsid w:val="00530752"/>
    <w:rsid w:val="00541A85"/>
    <w:rsid w:val="0054217F"/>
    <w:rsid w:val="00542988"/>
    <w:rsid w:val="005433AB"/>
    <w:rsid w:val="00545461"/>
    <w:rsid w:val="00546EDC"/>
    <w:rsid w:val="00555137"/>
    <w:rsid w:val="0055637C"/>
    <w:rsid w:val="00557262"/>
    <w:rsid w:val="00563A6B"/>
    <w:rsid w:val="00565C8E"/>
    <w:rsid w:val="00567379"/>
    <w:rsid w:val="00574BA8"/>
    <w:rsid w:val="00586ACD"/>
    <w:rsid w:val="0059165B"/>
    <w:rsid w:val="005A19CE"/>
    <w:rsid w:val="005A3F05"/>
    <w:rsid w:val="005A5813"/>
    <w:rsid w:val="005A77F1"/>
    <w:rsid w:val="005B0EC8"/>
    <w:rsid w:val="005C3538"/>
    <w:rsid w:val="005C779F"/>
    <w:rsid w:val="005E7397"/>
    <w:rsid w:val="005F09CF"/>
    <w:rsid w:val="005F25FC"/>
    <w:rsid w:val="0061633E"/>
    <w:rsid w:val="00616591"/>
    <w:rsid w:val="0062008D"/>
    <w:rsid w:val="006208A0"/>
    <w:rsid w:val="006259B3"/>
    <w:rsid w:val="00627D76"/>
    <w:rsid w:val="00627E6B"/>
    <w:rsid w:val="006432CA"/>
    <w:rsid w:val="00646C7C"/>
    <w:rsid w:val="006475C4"/>
    <w:rsid w:val="00647D65"/>
    <w:rsid w:val="006540DA"/>
    <w:rsid w:val="00654AFE"/>
    <w:rsid w:val="006558A6"/>
    <w:rsid w:val="0066593D"/>
    <w:rsid w:val="006718B2"/>
    <w:rsid w:val="00675CC3"/>
    <w:rsid w:val="006768C1"/>
    <w:rsid w:val="00694131"/>
    <w:rsid w:val="006A1B37"/>
    <w:rsid w:val="006A73E4"/>
    <w:rsid w:val="006A7A8F"/>
    <w:rsid w:val="006B3EBE"/>
    <w:rsid w:val="006C4E28"/>
    <w:rsid w:val="006C72BC"/>
    <w:rsid w:val="006D58EC"/>
    <w:rsid w:val="006D6351"/>
    <w:rsid w:val="006E10CB"/>
    <w:rsid w:val="006E56E0"/>
    <w:rsid w:val="006F0A27"/>
    <w:rsid w:val="00701372"/>
    <w:rsid w:val="00705FF9"/>
    <w:rsid w:val="00712758"/>
    <w:rsid w:val="0072221F"/>
    <w:rsid w:val="00727F5B"/>
    <w:rsid w:val="00735312"/>
    <w:rsid w:val="00752306"/>
    <w:rsid w:val="00754D1B"/>
    <w:rsid w:val="0076073D"/>
    <w:rsid w:val="00761733"/>
    <w:rsid w:val="007720C1"/>
    <w:rsid w:val="0077332A"/>
    <w:rsid w:val="00775CD2"/>
    <w:rsid w:val="00776047"/>
    <w:rsid w:val="00776058"/>
    <w:rsid w:val="007770DD"/>
    <w:rsid w:val="00780493"/>
    <w:rsid w:val="007805D8"/>
    <w:rsid w:val="0078070D"/>
    <w:rsid w:val="00781373"/>
    <w:rsid w:val="00782992"/>
    <w:rsid w:val="00784788"/>
    <w:rsid w:val="00784EA9"/>
    <w:rsid w:val="007862F6"/>
    <w:rsid w:val="00790537"/>
    <w:rsid w:val="00792F91"/>
    <w:rsid w:val="007959C2"/>
    <w:rsid w:val="00797F83"/>
    <w:rsid w:val="007A0403"/>
    <w:rsid w:val="007A07A7"/>
    <w:rsid w:val="007A2FE6"/>
    <w:rsid w:val="007B6903"/>
    <w:rsid w:val="007C5601"/>
    <w:rsid w:val="007D011C"/>
    <w:rsid w:val="007D116B"/>
    <w:rsid w:val="007D3802"/>
    <w:rsid w:val="007D75C3"/>
    <w:rsid w:val="007E0903"/>
    <w:rsid w:val="007E4B02"/>
    <w:rsid w:val="007E5501"/>
    <w:rsid w:val="007E790B"/>
    <w:rsid w:val="007F2B41"/>
    <w:rsid w:val="007F7916"/>
    <w:rsid w:val="0080783C"/>
    <w:rsid w:val="00807E4E"/>
    <w:rsid w:val="00811B26"/>
    <w:rsid w:val="008156D0"/>
    <w:rsid w:val="00817BC0"/>
    <w:rsid w:val="008208C7"/>
    <w:rsid w:val="00831D9A"/>
    <w:rsid w:val="00832BDC"/>
    <w:rsid w:val="008368D9"/>
    <w:rsid w:val="00845B0D"/>
    <w:rsid w:val="00847DE1"/>
    <w:rsid w:val="00856FAF"/>
    <w:rsid w:val="00863463"/>
    <w:rsid w:val="00881355"/>
    <w:rsid w:val="00884FF9"/>
    <w:rsid w:val="00890EE5"/>
    <w:rsid w:val="008911D9"/>
    <w:rsid w:val="008932D8"/>
    <w:rsid w:val="00895E46"/>
    <w:rsid w:val="008967CE"/>
    <w:rsid w:val="008A1149"/>
    <w:rsid w:val="008B3E6D"/>
    <w:rsid w:val="008C08A6"/>
    <w:rsid w:val="008D55FE"/>
    <w:rsid w:val="008D5CB7"/>
    <w:rsid w:val="008E0FC7"/>
    <w:rsid w:val="008E1482"/>
    <w:rsid w:val="008E1D7B"/>
    <w:rsid w:val="008E30FB"/>
    <w:rsid w:val="008F0B95"/>
    <w:rsid w:val="008F1806"/>
    <w:rsid w:val="008F7CB4"/>
    <w:rsid w:val="00906222"/>
    <w:rsid w:val="009070D7"/>
    <w:rsid w:val="0091066F"/>
    <w:rsid w:val="00914C32"/>
    <w:rsid w:val="00925CA5"/>
    <w:rsid w:val="00940AA8"/>
    <w:rsid w:val="00942D36"/>
    <w:rsid w:val="00952109"/>
    <w:rsid w:val="00957081"/>
    <w:rsid w:val="00970147"/>
    <w:rsid w:val="009777FB"/>
    <w:rsid w:val="0098087D"/>
    <w:rsid w:val="00997605"/>
    <w:rsid w:val="009C7CD4"/>
    <w:rsid w:val="009D16B6"/>
    <w:rsid w:val="009D226B"/>
    <w:rsid w:val="009D7531"/>
    <w:rsid w:val="009E0EBD"/>
    <w:rsid w:val="009E54DF"/>
    <w:rsid w:val="009E60FA"/>
    <w:rsid w:val="009F06B2"/>
    <w:rsid w:val="00A028AE"/>
    <w:rsid w:val="00A27E1A"/>
    <w:rsid w:val="00A33257"/>
    <w:rsid w:val="00A438CF"/>
    <w:rsid w:val="00A45F9D"/>
    <w:rsid w:val="00A566D5"/>
    <w:rsid w:val="00A603D0"/>
    <w:rsid w:val="00A645CB"/>
    <w:rsid w:val="00A67F48"/>
    <w:rsid w:val="00A7744D"/>
    <w:rsid w:val="00A81A6E"/>
    <w:rsid w:val="00A84C4D"/>
    <w:rsid w:val="00A914AD"/>
    <w:rsid w:val="00A962E3"/>
    <w:rsid w:val="00AA1A86"/>
    <w:rsid w:val="00AA2EF4"/>
    <w:rsid w:val="00AA536A"/>
    <w:rsid w:val="00AA60B4"/>
    <w:rsid w:val="00AA7D21"/>
    <w:rsid w:val="00AB35EA"/>
    <w:rsid w:val="00AD309C"/>
    <w:rsid w:val="00AD7CF5"/>
    <w:rsid w:val="00AE4605"/>
    <w:rsid w:val="00AE660F"/>
    <w:rsid w:val="00AF28C5"/>
    <w:rsid w:val="00AF6A22"/>
    <w:rsid w:val="00B1375E"/>
    <w:rsid w:val="00B21298"/>
    <w:rsid w:val="00B2195F"/>
    <w:rsid w:val="00B36A4F"/>
    <w:rsid w:val="00B5460E"/>
    <w:rsid w:val="00B63F3A"/>
    <w:rsid w:val="00B655B7"/>
    <w:rsid w:val="00B7130A"/>
    <w:rsid w:val="00B80BC0"/>
    <w:rsid w:val="00B84AA7"/>
    <w:rsid w:val="00B87A8B"/>
    <w:rsid w:val="00B87F32"/>
    <w:rsid w:val="00B96F49"/>
    <w:rsid w:val="00BA1C5D"/>
    <w:rsid w:val="00BA2A2B"/>
    <w:rsid w:val="00BB2EE9"/>
    <w:rsid w:val="00BB43FE"/>
    <w:rsid w:val="00BC23E8"/>
    <w:rsid w:val="00BC2B21"/>
    <w:rsid w:val="00BE3458"/>
    <w:rsid w:val="00BE6EF2"/>
    <w:rsid w:val="00BF6C3A"/>
    <w:rsid w:val="00BF7932"/>
    <w:rsid w:val="00C027DF"/>
    <w:rsid w:val="00C03A49"/>
    <w:rsid w:val="00C13CBE"/>
    <w:rsid w:val="00C15F71"/>
    <w:rsid w:val="00C22B0E"/>
    <w:rsid w:val="00C26819"/>
    <w:rsid w:val="00C27489"/>
    <w:rsid w:val="00C42980"/>
    <w:rsid w:val="00C44AB2"/>
    <w:rsid w:val="00C536EE"/>
    <w:rsid w:val="00C55603"/>
    <w:rsid w:val="00C579A4"/>
    <w:rsid w:val="00C613FB"/>
    <w:rsid w:val="00C64C19"/>
    <w:rsid w:val="00C71DDA"/>
    <w:rsid w:val="00C7527B"/>
    <w:rsid w:val="00C763AC"/>
    <w:rsid w:val="00C9002B"/>
    <w:rsid w:val="00C94652"/>
    <w:rsid w:val="00C9625E"/>
    <w:rsid w:val="00CA0A5D"/>
    <w:rsid w:val="00CA1F46"/>
    <w:rsid w:val="00CA5DEE"/>
    <w:rsid w:val="00CB4723"/>
    <w:rsid w:val="00CB74BC"/>
    <w:rsid w:val="00CC57D5"/>
    <w:rsid w:val="00CD4CF7"/>
    <w:rsid w:val="00CF6BF6"/>
    <w:rsid w:val="00CF6C8C"/>
    <w:rsid w:val="00D02170"/>
    <w:rsid w:val="00D02320"/>
    <w:rsid w:val="00D02FD2"/>
    <w:rsid w:val="00D032A1"/>
    <w:rsid w:val="00D15007"/>
    <w:rsid w:val="00D169E3"/>
    <w:rsid w:val="00D22DDA"/>
    <w:rsid w:val="00D31AD7"/>
    <w:rsid w:val="00D415E4"/>
    <w:rsid w:val="00D46AA8"/>
    <w:rsid w:val="00D5688F"/>
    <w:rsid w:val="00D56F13"/>
    <w:rsid w:val="00D62393"/>
    <w:rsid w:val="00D67D98"/>
    <w:rsid w:val="00D71EB5"/>
    <w:rsid w:val="00D7446B"/>
    <w:rsid w:val="00D75EE6"/>
    <w:rsid w:val="00D81569"/>
    <w:rsid w:val="00DA1A24"/>
    <w:rsid w:val="00DA2290"/>
    <w:rsid w:val="00DA2629"/>
    <w:rsid w:val="00DA33D5"/>
    <w:rsid w:val="00DA787D"/>
    <w:rsid w:val="00DB74EE"/>
    <w:rsid w:val="00DC22D6"/>
    <w:rsid w:val="00DD1A8A"/>
    <w:rsid w:val="00DD4BCB"/>
    <w:rsid w:val="00DF2CF7"/>
    <w:rsid w:val="00E00E73"/>
    <w:rsid w:val="00E02E27"/>
    <w:rsid w:val="00E02EFD"/>
    <w:rsid w:val="00E15216"/>
    <w:rsid w:val="00E17E64"/>
    <w:rsid w:val="00E231A7"/>
    <w:rsid w:val="00E308CC"/>
    <w:rsid w:val="00E31848"/>
    <w:rsid w:val="00E322FB"/>
    <w:rsid w:val="00E32886"/>
    <w:rsid w:val="00E348C1"/>
    <w:rsid w:val="00E37F75"/>
    <w:rsid w:val="00E40880"/>
    <w:rsid w:val="00E425DE"/>
    <w:rsid w:val="00E50204"/>
    <w:rsid w:val="00E51046"/>
    <w:rsid w:val="00E53934"/>
    <w:rsid w:val="00E54D24"/>
    <w:rsid w:val="00E55E42"/>
    <w:rsid w:val="00E63694"/>
    <w:rsid w:val="00E67CC9"/>
    <w:rsid w:val="00E67E8E"/>
    <w:rsid w:val="00E72C5D"/>
    <w:rsid w:val="00E81CD8"/>
    <w:rsid w:val="00E82ECF"/>
    <w:rsid w:val="00E83862"/>
    <w:rsid w:val="00E8449F"/>
    <w:rsid w:val="00E93FBB"/>
    <w:rsid w:val="00EA1037"/>
    <w:rsid w:val="00EA2F2F"/>
    <w:rsid w:val="00EB00E5"/>
    <w:rsid w:val="00EB2252"/>
    <w:rsid w:val="00EB4F05"/>
    <w:rsid w:val="00EB560A"/>
    <w:rsid w:val="00EB5FF9"/>
    <w:rsid w:val="00EC0008"/>
    <w:rsid w:val="00EC40FB"/>
    <w:rsid w:val="00EC4AAC"/>
    <w:rsid w:val="00EC4C50"/>
    <w:rsid w:val="00EE0D76"/>
    <w:rsid w:val="00EE276B"/>
    <w:rsid w:val="00EE47F7"/>
    <w:rsid w:val="00EE48D4"/>
    <w:rsid w:val="00EE4E92"/>
    <w:rsid w:val="00EF3994"/>
    <w:rsid w:val="00EF3F0B"/>
    <w:rsid w:val="00F0096F"/>
    <w:rsid w:val="00F014CC"/>
    <w:rsid w:val="00F146D4"/>
    <w:rsid w:val="00F17454"/>
    <w:rsid w:val="00F174AF"/>
    <w:rsid w:val="00F1791D"/>
    <w:rsid w:val="00F21AAB"/>
    <w:rsid w:val="00F22FF2"/>
    <w:rsid w:val="00F27856"/>
    <w:rsid w:val="00F36BA7"/>
    <w:rsid w:val="00F36C45"/>
    <w:rsid w:val="00F47C77"/>
    <w:rsid w:val="00F53038"/>
    <w:rsid w:val="00F530CC"/>
    <w:rsid w:val="00F61750"/>
    <w:rsid w:val="00F63BB1"/>
    <w:rsid w:val="00F64770"/>
    <w:rsid w:val="00F71289"/>
    <w:rsid w:val="00F7210C"/>
    <w:rsid w:val="00F738A0"/>
    <w:rsid w:val="00F74729"/>
    <w:rsid w:val="00F771DD"/>
    <w:rsid w:val="00F8158C"/>
    <w:rsid w:val="00F913D4"/>
    <w:rsid w:val="00F93584"/>
    <w:rsid w:val="00F95EA2"/>
    <w:rsid w:val="00F973C7"/>
    <w:rsid w:val="00FA0028"/>
    <w:rsid w:val="00FA3D79"/>
    <w:rsid w:val="00FB2763"/>
    <w:rsid w:val="00FB4D48"/>
    <w:rsid w:val="00FB7B0A"/>
    <w:rsid w:val="00FC0D61"/>
    <w:rsid w:val="00FD2CBB"/>
    <w:rsid w:val="00FE1D87"/>
    <w:rsid w:val="00FF6605"/>
    <w:rsid w:val="00FF708A"/>
    <w:rsid w:val="01141165"/>
    <w:rsid w:val="01227B80"/>
    <w:rsid w:val="01255120"/>
    <w:rsid w:val="015679D0"/>
    <w:rsid w:val="016A347B"/>
    <w:rsid w:val="01973B44"/>
    <w:rsid w:val="01B110AA"/>
    <w:rsid w:val="01C34939"/>
    <w:rsid w:val="01F36FCC"/>
    <w:rsid w:val="01FB40D3"/>
    <w:rsid w:val="020250AD"/>
    <w:rsid w:val="022278B2"/>
    <w:rsid w:val="02251150"/>
    <w:rsid w:val="0242356F"/>
    <w:rsid w:val="025A704C"/>
    <w:rsid w:val="026B1746"/>
    <w:rsid w:val="02705A59"/>
    <w:rsid w:val="02765728"/>
    <w:rsid w:val="027D0F8C"/>
    <w:rsid w:val="027F4D04"/>
    <w:rsid w:val="02837B03"/>
    <w:rsid w:val="02883D22"/>
    <w:rsid w:val="02EE1086"/>
    <w:rsid w:val="02FB6CDA"/>
    <w:rsid w:val="03012D45"/>
    <w:rsid w:val="03057289"/>
    <w:rsid w:val="031F2ECC"/>
    <w:rsid w:val="03675EC4"/>
    <w:rsid w:val="037F55BF"/>
    <w:rsid w:val="03A51506"/>
    <w:rsid w:val="03CF2906"/>
    <w:rsid w:val="03EC0177"/>
    <w:rsid w:val="03F079D9"/>
    <w:rsid w:val="03FB660C"/>
    <w:rsid w:val="040500AF"/>
    <w:rsid w:val="040C0819"/>
    <w:rsid w:val="04193896"/>
    <w:rsid w:val="041B280B"/>
    <w:rsid w:val="044262F7"/>
    <w:rsid w:val="044E1D39"/>
    <w:rsid w:val="0454692A"/>
    <w:rsid w:val="046046C1"/>
    <w:rsid w:val="04610B65"/>
    <w:rsid w:val="04670C6B"/>
    <w:rsid w:val="046930FC"/>
    <w:rsid w:val="0499464F"/>
    <w:rsid w:val="04B0389B"/>
    <w:rsid w:val="04B8274F"/>
    <w:rsid w:val="04B944C7"/>
    <w:rsid w:val="04C335CE"/>
    <w:rsid w:val="04C54360"/>
    <w:rsid w:val="052120A3"/>
    <w:rsid w:val="052676B9"/>
    <w:rsid w:val="05300538"/>
    <w:rsid w:val="053E4A03"/>
    <w:rsid w:val="054115C5"/>
    <w:rsid w:val="054933A7"/>
    <w:rsid w:val="05753047"/>
    <w:rsid w:val="05832D5D"/>
    <w:rsid w:val="059C656F"/>
    <w:rsid w:val="05A76A4C"/>
    <w:rsid w:val="05AA02EA"/>
    <w:rsid w:val="05DF2F6E"/>
    <w:rsid w:val="05EC3CFE"/>
    <w:rsid w:val="05F72E03"/>
    <w:rsid w:val="062365AE"/>
    <w:rsid w:val="06336531"/>
    <w:rsid w:val="06383B48"/>
    <w:rsid w:val="06417EB4"/>
    <w:rsid w:val="06450013"/>
    <w:rsid w:val="065A6526"/>
    <w:rsid w:val="06695AAF"/>
    <w:rsid w:val="066B5CCB"/>
    <w:rsid w:val="068E5516"/>
    <w:rsid w:val="069A210C"/>
    <w:rsid w:val="06A37B17"/>
    <w:rsid w:val="06A66D03"/>
    <w:rsid w:val="06B93983"/>
    <w:rsid w:val="06C947A0"/>
    <w:rsid w:val="06D01BEE"/>
    <w:rsid w:val="06D43123"/>
    <w:rsid w:val="06D66EBD"/>
    <w:rsid w:val="06DC2725"/>
    <w:rsid w:val="06F061D0"/>
    <w:rsid w:val="070C4535"/>
    <w:rsid w:val="071719AF"/>
    <w:rsid w:val="07181283"/>
    <w:rsid w:val="07267138"/>
    <w:rsid w:val="07293490"/>
    <w:rsid w:val="073E518E"/>
    <w:rsid w:val="07512D0C"/>
    <w:rsid w:val="07571DAC"/>
    <w:rsid w:val="077D2FDF"/>
    <w:rsid w:val="079B25E0"/>
    <w:rsid w:val="07BC2556"/>
    <w:rsid w:val="07C40E9D"/>
    <w:rsid w:val="07D77390"/>
    <w:rsid w:val="07E163D5"/>
    <w:rsid w:val="07E212EE"/>
    <w:rsid w:val="07F46FEF"/>
    <w:rsid w:val="08070A00"/>
    <w:rsid w:val="083B791F"/>
    <w:rsid w:val="08422F06"/>
    <w:rsid w:val="084847E4"/>
    <w:rsid w:val="084B0776"/>
    <w:rsid w:val="0865674A"/>
    <w:rsid w:val="08940143"/>
    <w:rsid w:val="08971C0E"/>
    <w:rsid w:val="089F7EAE"/>
    <w:rsid w:val="08AD3BAB"/>
    <w:rsid w:val="08B64722"/>
    <w:rsid w:val="08BA0844"/>
    <w:rsid w:val="08BA5C89"/>
    <w:rsid w:val="08CA0902"/>
    <w:rsid w:val="08CF4683"/>
    <w:rsid w:val="08D262A8"/>
    <w:rsid w:val="08EA41E4"/>
    <w:rsid w:val="08FF35C4"/>
    <w:rsid w:val="090976D7"/>
    <w:rsid w:val="092C1016"/>
    <w:rsid w:val="093D2F14"/>
    <w:rsid w:val="094D16B8"/>
    <w:rsid w:val="094E3682"/>
    <w:rsid w:val="0962481E"/>
    <w:rsid w:val="097D7547"/>
    <w:rsid w:val="097D7E05"/>
    <w:rsid w:val="097E3AE5"/>
    <w:rsid w:val="0994055C"/>
    <w:rsid w:val="099472E7"/>
    <w:rsid w:val="0995137D"/>
    <w:rsid w:val="09A651D4"/>
    <w:rsid w:val="09A677DE"/>
    <w:rsid w:val="09CF2342"/>
    <w:rsid w:val="09D83256"/>
    <w:rsid w:val="09DA6CC4"/>
    <w:rsid w:val="09DE4A06"/>
    <w:rsid w:val="09E6794E"/>
    <w:rsid w:val="09FE4D70"/>
    <w:rsid w:val="0A2A11AD"/>
    <w:rsid w:val="0A595E3B"/>
    <w:rsid w:val="0A5B632D"/>
    <w:rsid w:val="0A6C019B"/>
    <w:rsid w:val="0A6D18E6"/>
    <w:rsid w:val="0A79472F"/>
    <w:rsid w:val="0A7E07AB"/>
    <w:rsid w:val="0A825C26"/>
    <w:rsid w:val="0A924098"/>
    <w:rsid w:val="0AA03A6A"/>
    <w:rsid w:val="0AC27AB4"/>
    <w:rsid w:val="0AE04712"/>
    <w:rsid w:val="0AFF4C34"/>
    <w:rsid w:val="0B1F2196"/>
    <w:rsid w:val="0B2428ED"/>
    <w:rsid w:val="0B3568A8"/>
    <w:rsid w:val="0B425F77"/>
    <w:rsid w:val="0B6161A3"/>
    <w:rsid w:val="0B776EC0"/>
    <w:rsid w:val="0B897DCB"/>
    <w:rsid w:val="0B980BE5"/>
    <w:rsid w:val="0BA31874"/>
    <w:rsid w:val="0BB717D7"/>
    <w:rsid w:val="0BC30111"/>
    <w:rsid w:val="0BC47C2C"/>
    <w:rsid w:val="0BE12940"/>
    <w:rsid w:val="0C1B5A9E"/>
    <w:rsid w:val="0C236700"/>
    <w:rsid w:val="0C25673D"/>
    <w:rsid w:val="0C291044"/>
    <w:rsid w:val="0C2A7A8F"/>
    <w:rsid w:val="0C2C7CAB"/>
    <w:rsid w:val="0C3923C8"/>
    <w:rsid w:val="0C3C259B"/>
    <w:rsid w:val="0C403DDB"/>
    <w:rsid w:val="0C41302A"/>
    <w:rsid w:val="0C4F1BEB"/>
    <w:rsid w:val="0C516F71"/>
    <w:rsid w:val="0C6F1945"/>
    <w:rsid w:val="0C782EF0"/>
    <w:rsid w:val="0CA05FA3"/>
    <w:rsid w:val="0CB136E8"/>
    <w:rsid w:val="0CB13789"/>
    <w:rsid w:val="0CC53C5B"/>
    <w:rsid w:val="0CCC4FEA"/>
    <w:rsid w:val="0CD90540"/>
    <w:rsid w:val="0D1129FD"/>
    <w:rsid w:val="0D183D8B"/>
    <w:rsid w:val="0D2564A8"/>
    <w:rsid w:val="0D335069"/>
    <w:rsid w:val="0D3F57BC"/>
    <w:rsid w:val="0D4C1C87"/>
    <w:rsid w:val="0D5C45C0"/>
    <w:rsid w:val="0D5D44B5"/>
    <w:rsid w:val="0D774F56"/>
    <w:rsid w:val="0D9A669A"/>
    <w:rsid w:val="0D9D0734"/>
    <w:rsid w:val="0DBD756F"/>
    <w:rsid w:val="0DC95E8B"/>
    <w:rsid w:val="0DD26630"/>
    <w:rsid w:val="0DE66142"/>
    <w:rsid w:val="0DE7680D"/>
    <w:rsid w:val="0DEB5944"/>
    <w:rsid w:val="0DED346A"/>
    <w:rsid w:val="0E010E09"/>
    <w:rsid w:val="0E03489D"/>
    <w:rsid w:val="0E0B7D94"/>
    <w:rsid w:val="0E146F9D"/>
    <w:rsid w:val="0E19425F"/>
    <w:rsid w:val="0E286250"/>
    <w:rsid w:val="0E39045D"/>
    <w:rsid w:val="0E3C3018"/>
    <w:rsid w:val="0E46051D"/>
    <w:rsid w:val="0E62296F"/>
    <w:rsid w:val="0E71409B"/>
    <w:rsid w:val="0E985859"/>
    <w:rsid w:val="0ED20405"/>
    <w:rsid w:val="0ED4462A"/>
    <w:rsid w:val="0EDA2FEF"/>
    <w:rsid w:val="0EE228A3"/>
    <w:rsid w:val="0F083F8A"/>
    <w:rsid w:val="0F15222C"/>
    <w:rsid w:val="0F18046C"/>
    <w:rsid w:val="0F410148"/>
    <w:rsid w:val="0F475A3E"/>
    <w:rsid w:val="0F5B4403"/>
    <w:rsid w:val="0F7D306C"/>
    <w:rsid w:val="0F7F21A6"/>
    <w:rsid w:val="0F882BE7"/>
    <w:rsid w:val="0F8B1A2C"/>
    <w:rsid w:val="0F9A4F2B"/>
    <w:rsid w:val="0FAE09D7"/>
    <w:rsid w:val="0FB12275"/>
    <w:rsid w:val="0FB57FB7"/>
    <w:rsid w:val="0FC65D20"/>
    <w:rsid w:val="0FC72505"/>
    <w:rsid w:val="0FD04DF1"/>
    <w:rsid w:val="0FDC7F8A"/>
    <w:rsid w:val="10141182"/>
    <w:rsid w:val="10273790"/>
    <w:rsid w:val="10476E1D"/>
    <w:rsid w:val="104A6951"/>
    <w:rsid w:val="105D5D5A"/>
    <w:rsid w:val="107240FA"/>
    <w:rsid w:val="10795489"/>
    <w:rsid w:val="107C6D27"/>
    <w:rsid w:val="10AF4A06"/>
    <w:rsid w:val="10C167E4"/>
    <w:rsid w:val="10C763EA"/>
    <w:rsid w:val="10E87F18"/>
    <w:rsid w:val="10FD1C16"/>
    <w:rsid w:val="11116391"/>
    <w:rsid w:val="11164A85"/>
    <w:rsid w:val="111D5E14"/>
    <w:rsid w:val="11262D69"/>
    <w:rsid w:val="11271AB8"/>
    <w:rsid w:val="113849FC"/>
    <w:rsid w:val="114F61E9"/>
    <w:rsid w:val="11984976"/>
    <w:rsid w:val="11A007F3"/>
    <w:rsid w:val="11A46535"/>
    <w:rsid w:val="11AC0F46"/>
    <w:rsid w:val="11AE540E"/>
    <w:rsid w:val="11C73FD2"/>
    <w:rsid w:val="11CA48D8"/>
    <w:rsid w:val="11D21AE6"/>
    <w:rsid w:val="11D706B9"/>
    <w:rsid w:val="11F50CE9"/>
    <w:rsid w:val="11F823DD"/>
    <w:rsid w:val="12080872"/>
    <w:rsid w:val="12107727"/>
    <w:rsid w:val="12117DB8"/>
    <w:rsid w:val="121C02BE"/>
    <w:rsid w:val="121C431D"/>
    <w:rsid w:val="123C49C0"/>
    <w:rsid w:val="12423F8B"/>
    <w:rsid w:val="125D34BF"/>
    <w:rsid w:val="125E7D6E"/>
    <w:rsid w:val="12687563"/>
    <w:rsid w:val="12754004"/>
    <w:rsid w:val="128B2877"/>
    <w:rsid w:val="12975631"/>
    <w:rsid w:val="1299771C"/>
    <w:rsid w:val="129C4AFB"/>
    <w:rsid w:val="12C16C73"/>
    <w:rsid w:val="12D06EB6"/>
    <w:rsid w:val="12E3308D"/>
    <w:rsid w:val="12F7648C"/>
    <w:rsid w:val="131E6243"/>
    <w:rsid w:val="133B4C77"/>
    <w:rsid w:val="13426191"/>
    <w:rsid w:val="1347361C"/>
    <w:rsid w:val="134E49AB"/>
    <w:rsid w:val="13660293"/>
    <w:rsid w:val="1368169B"/>
    <w:rsid w:val="136E6DFB"/>
    <w:rsid w:val="13710699"/>
    <w:rsid w:val="137B5074"/>
    <w:rsid w:val="13A445CA"/>
    <w:rsid w:val="13B47B12"/>
    <w:rsid w:val="13D44784"/>
    <w:rsid w:val="13E53DDF"/>
    <w:rsid w:val="13EB3FA7"/>
    <w:rsid w:val="13F3192F"/>
    <w:rsid w:val="14076907"/>
    <w:rsid w:val="140F5871"/>
    <w:rsid w:val="14293706"/>
    <w:rsid w:val="144A5C2E"/>
    <w:rsid w:val="144B713C"/>
    <w:rsid w:val="145E2AD3"/>
    <w:rsid w:val="1466786F"/>
    <w:rsid w:val="14717E92"/>
    <w:rsid w:val="14724AB6"/>
    <w:rsid w:val="14810A3E"/>
    <w:rsid w:val="148B7538"/>
    <w:rsid w:val="148E3042"/>
    <w:rsid w:val="14997EA7"/>
    <w:rsid w:val="149F41D0"/>
    <w:rsid w:val="14C55CE2"/>
    <w:rsid w:val="14CA0061"/>
    <w:rsid w:val="14DA49C1"/>
    <w:rsid w:val="14ED2408"/>
    <w:rsid w:val="14F03EE3"/>
    <w:rsid w:val="151439D2"/>
    <w:rsid w:val="15211C4B"/>
    <w:rsid w:val="15324B8E"/>
    <w:rsid w:val="153320AA"/>
    <w:rsid w:val="153B5B4F"/>
    <w:rsid w:val="15443765"/>
    <w:rsid w:val="157D650A"/>
    <w:rsid w:val="157F578C"/>
    <w:rsid w:val="15866F2A"/>
    <w:rsid w:val="158E5868"/>
    <w:rsid w:val="15945E76"/>
    <w:rsid w:val="15A9411A"/>
    <w:rsid w:val="15C6392F"/>
    <w:rsid w:val="160A4F1B"/>
    <w:rsid w:val="160B6B83"/>
    <w:rsid w:val="160C6659"/>
    <w:rsid w:val="162A33A1"/>
    <w:rsid w:val="16341CFD"/>
    <w:rsid w:val="16393D39"/>
    <w:rsid w:val="167744DB"/>
    <w:rsid w:val="16826719"/>
    <w:rsid w:val="1683496B"/>
    <w:rsid w:val="16886814"/>
    <w:rsid w:val="16975463"/>
    <w:rsid w:val="169E79F7"/>
    <w:rsid w:val="16C84A74"/>
    <w:rsid w:val="16D27BE2"/>
    <w:rsid w:val="16D771C7"/>
    <w:rsid w:val="16E01DBD"/>
    <w:rsid w:val="171B0984"/>
    <w:rsid w:val="17261D73"/>
    <w:rsid w:val="17397720"/>
    <w:rsid w:val="17465999"/>
    <w:rsid w:val="17485BB5"/>
    <w:rsid w:val="174F7450"/>
    <w:rsid w:val="175F3493"/>
    <w:rsid w:val="177B16DD"/>
    <w:rsid w:val="179B1662"/>
    <w:rsid w:val="17AF1790"/>
    <w:rsid w:val="17B80644"/>
    <w:rsid w:val="17D01916"/>
    <w:rsid w:val="17DE3E23"/>
    <w:rsid w:val="17F35B20"/>
    <w:rsid w:val="17F77241"/>
    <w:rsid w:val="18021CD6"/>
    <w:rsid w:val="181B72DB"/>
    <w:rsid w:val="18203A26"/>
    <w:rsid w:val="184019AC"/>
    <w:rsid w:val="18407B66"/>
    <w:rsid w:val="18437C28"/>
    <w:rsid w:val="186662F2"/>
    <w:rsid w:val="188104BD"/>
    <w:rsid w:val="18860743"/>
    <w:rsid w:val="18965ABA"/>
    <w:rsid w:val="18B03A11"/>
    <w:rsid w:val="18C106AC"/>
    <w:rsid w:val="18C43019"/>
    <w:rsid w:val="18CC6CC2"/>
    <w:rsid w:val="18CE20EA"/>
    <w:rsid w:val="18CE7660"/>
    <w:rsid w:val="18E919B2"/>
    <w:rsid w:val="18F712F7"/>
    <w:rsid w:val="190E0811"/>
    <w:rsid w:val="191775ED"/>
    <w:rsid w:val="1926420A"/>
    <w:rsid w:val="19287A4C"/>
    <w:rsid w:val="193006AE"/>
    <w:rsid w:val="19422C35"/>
    <w:rsid w:val="19476AB2"/>
    <w:rsid w:val="19486114"/>
    <w:rsid w:val="196A2073"/>
    <w:rsid w:val="197A603E"/>
    <w:rsid w:val="198F3627"/>
    <w:rsid w:val="199B1FCC"/>
    <w:rsid w:val="19A90B8D"/>
    <w:rsid w:val="19AA66B3"/>
    <w:rsid w:val="19AC7DD1"/>
    <w:rsid w:val="19B25567"/>
    <w:rsid w:val="19EB3229"/>
    <w:rsid w:val="19FA7E71"/>
    <w:rsid w:val="19FD67E3"/>
    <w:rsid w:val="1A02204B"/>
    <w:rsid w:val="1A03691A"/>
    <w:rsid w:val="1A07140F"/>
    <w:rsid w:val="1A154DA1"/>
    <w:rsid w:val="1A2056A9"/>
    <w:rsid w:val="1A347B93"/>
    <w:rsid w:val="1A497C7A"/>
    <w:rsid w:val="1A4C59BC"/>
    <w:rsid w:val="1A55652A"/>
    <w:rsid w:val="1A562397"/>
    <w:rsid w:val="1A6F38CC"/>
    <w:rsid w:val="1A864B29"/>
    <w:rsid w:val="1A9223BA"/>
    <w:rsid w:val="1A9A04D5"/>
    <w:rsid w:val="1AAB623F"/>
    <w:rsid w:val="1ABD41C4"/>
    <w:rsid w:val="1ACB068F"/>
    <w:rsid w:val="1ACD62A6"/>
    <w:rsid w:val="1B157B5C"/>
    <w:rsid w:val="1B1B17E0"/>
    <w:rsid w:val="1B2349D2"/>
    <w:rsid w:val="1B326960"/>
    <w:rsid w:val="1B373F76"/>
    <w:rsid w:val="1B59213E"/>
    <w:rsid w:val="1B6A4FBB"/>
    <w:rsid w:val="1B7C2C5F"/>
    <w:rsid w:val="1BA55384"/>
    <w:rsid w:val="1BAF1D5E"/>
    <w:rsid w:val="1BCC4A05"/>
    <w:rsid w:val="1BDB0DA5"/>
    <w:rsid w:val="1BDB2B53"/>
    <w:rsid w:val="1BE063BC"/>
    <w:rsid w:val="1C0E117B"/>
    <w:rsid w:val="1C2645E3"/>
    <w:rsid w:val="1C321E98"/>
    <w:rsid w:val="1C3E7811"/>
    <w:rsid w:val="1C784846"/>
    <w:rsid w:val="1C7C14FF"/>
    <w:rsid w:val="1C821221"/>
    <w:rsid w:val="1C881132"/>
    <w:rsid w:val="1C99525B"/>
    <w:rsid w:val="1CAB4C1C"/>
    <w:rsid w:val="1CB11952"/>
    <w:rsid w:val="1CCB1FF0"/>
    <w:rsid w:val="1CE1575A"/>
    <w:rsid w:val="1CEC6434"/>
    <w:rsid w:val="1CF2284B"/>
    <w:rsid w:val="1D130FDA"/>
    <w:rsid w:val="1D1A3B4F"/>
    <w:rsid w:val="1D2F75FB"/>
    <w:rsid w:val="1D3725B5"/>
    <w:rsid w:val="1D506B65"/>
    <w:rsid w:val="1D5147B4"/>
    <w:rsid w:val="1D516351"/>
    <w:rsid w:val="1D5337BB"/>
    <w:rsid w:val="1D550375"/>
    <w:rsid w:val="1D570900"/>
    <w:rsid w:val="1D61352C"/>
    <w:rsid w:val="1D6A233A"/>
    <w:rsid w:val="1D8D4321"/>
    <w:rsid w:val="1D976F4E"/>
    <w:rsid w:val="1DCA1E79"/>
    <w:rsid w:val="1DCB2DDC"/>
    <w:rsid w:val="1DDE4890"/>
    <w:rsid w:val="1DE33CD0"/>
    <w:rsid w:val="1DF223D6"/>
    <w:rsid w:val="1DFE701D"/>
    <w:rsid w:val="1E0C0F88"/>
    <w:rsid w:val="1E14059F"/>
    <w:rsid w:val="1E1B192D"/>
    <w:rsid w:val="1E205195"/>
    <w:rsid w:val="1E226631"/>
    <w:rsid w:val="1E262080"/>
    <w:rsid w:val="1E313FB3"/>
    <w:rsid w:val="1E4075E6"/>
    <w:rsid w:val="1E5B7F7C"/>
    <w:rsid w:val="1E6F6EC6"/>
    <w:rsid w:val="1E7B061E"/>
    <w:rsid w:val="1E8066E5"/>
    <w:rsid w:val="1E8219AC"/>
    <w:rsid w:val="1E854FF8"/>
    <w:rsid w:val="1E94348E"/>
    <w:rsid w:val="1EB3600A"/>
    <w:rsid w:val="1EB81632"/>
    <w:rsid w:val="1EC336C9"/>
    <w:rsid w:val="1ED470A1"/>
    <w:rsid w:val="1EDE6ADB"/>
    <w:rsid w:val="1EF64B18"/>
    <w:rsid w:val="1F01504A"/>
    <w:rsid w:val="1F1162C7"/>
    <w:rsid w:val="1F157FEC"/>
    <w:rsid w:val="1F244811"/>
    <w:rsid w:val="1F3543D1"/>
    <w:rsid w:val="1F386FFD"/>
    <w:rsid w:val="1F501341"/>
    <w:rsid w:val="1F552C1D"/>
    <w:rsid w:val="1F58358F"/>
    <w:rsid w:val="1F6F0CDC"/>
    <w:rsid w:val="1F721A21"/>
    <w:rsid w:val="1F852AAF"/>
    <w:rsid w:val="1F853F49"/>
    <w:rsid w:val="1FBA579B"/>
    <w:rsid w:val="1FCF29CF"/>
    <w:rsid w:val="1FFD287D"/>
    <w:rsid w:val="2000702C"/>
    <w:rsid w:val="20317AB3"/>
    <w:rsid w:val="20362A4E"/>
    <w:rsid w:val="206A094A"/>
    <w:rsid w:val="20763E47"/>
    <w:rsid w:val="2091237A"/>
    <w:rsid w:val="20A563AA"/>
    <w:rsid w:val="20AB655B"/>
    <w:rsid w:val="20BF0710"/>
    <w:rsid w:val="20C74A2E"/>
    <w:rsid w:val="20CC33B3"/>
    <w:rsid w:val="20CE2C87"/>
    <w:rsid w:val="20D66D3A"/>
    <w:rsid w:val="20DD55C0"/>
    <w:rsid w:val="20E029BA"/>
    <w:rsid w:val="2120725A"/>
    <w:rsid w:val="21256543"/>
    <w:rsid w:val="21286B8A"/>
    <w:rsid w:val="21290D39"/>
    <w:rsid w:val="2149055F"/>
    <w:rsid w:val="214C004F"/>
    <w:rsid w:val="215C0EAE"/>
    <w:rsid w:val="21670C2F"/>
    <w:rsid w:val="2178128D"/>
    <w:rsid w:val="21815F4B"/>
    <w:rsid w:val="21823A71"/>
    <w:rsid w:val="21863561"/>
    <w:rsid w:val="219E6AFD"/>
    <w:rsid w:val="21C108CE"/>
    <w:rsid w:val="21CB18BC"/>
    <w:rsid w:val="21D5726B"/>
    <w:rsid w:val="21F030D1"/>
    <w:rsid w:val="21F36C22"/>
    <w:rsid w:val="2202224A"/>
    <w:rsid w:val="22156F08"/>
    <w:rsid w:val="222114DC"/>
    <w:rsid w:val="2221328A"/>
    <w:rsid w:val="2230727D"/>
    <w:rsid w:val="224C4B12"/>
    <w:rsid w:val="224D3AFB"/>
    <w:rsid w:val="227B299A"/>
    <w:rsid w:val="228D0920"/>
    <w:rsid w:val="22921111"/>
    <w:rsid w:val="22934188"/>
    <w:rsid w:val="22A46395"/>
    <w:rsid w:val="22AE0FC2"/>
    <w:rsid w:val="22B32A8D"/>
    <w:rsid w:val="22B45EAC"/>
    <w:rsid w:val="22B8599C"/>
    <w:rsid w:val="22C6199A"/>
    <w:rsid w:val="22C92FCC"/>
    <w:rsid w:val="22CC31F6"/>
    <w:rsid w:val="22CD7F3B"/>
    <w:rsid w:val="22D30A28"/>
    <w:rsid w:val="22DB48C8"/>
    <w:rsid w:val="22F340D5"/>
    <w:rsid w:val="22F62969"/>
    <w:rsid w:val="22F97D63"/>
    <w:rsid w:val="22FA160E"/>
    <w:rsid w:val="234C277D"/>
    <w:rsid w:val="23712C4B"/>
    <w:rsid w:val="238E2BA1"/>
    <w:rsid w:val="2393640A"/>
    <w:rsid w:val="23A71402"/>
    <w:rsid w:val="23AE66CF"/>
    <w:rsid w:val="23B855B4"/>
    <w:rsid w:val="23C10881"/>
    <w:rsid w:val="23DC7061"/>
    <w:rsid w:val="23F52C20"/>
    <w:rsid w:val="23FA0237"/>
    <w:rsid w:val="24084702"/>
    <w:rsid w:val="240D7F6A"/>
    <w:rsid w:val="24305BD0"/>
    <w:rsid w:val="244252F2"/>
    <w:rsid w:val="246456B0"/>
    <w:rsid w:val="2466617A"/>
    <w:rsid w:val="247022A7"/>
    <w:rsid w:val="249C309C"/>
    <w:rsid w:val="24A95308"/>
    <w:rsid w:val="24B672B1"/>
    <w:rsid w:val="24C6497E"/>
    <w:rsid w:val="24E85F25"/>
    <w:rsid w:val="24E862E1"/>
    <w:rsid w:val="24F26274"/>
    <w:rsid w:val="24F86524"/>
    <w:rsid w:val="250E4D5D"/>
    <w:rsid w:val="252A7D7C"/>
    <w:rsid w:val="253C1F85"/>
    <w:rsid w:val="254479BB"/>
    <w:rsid w:val="2556149D"/>
    <w:rsid w:val="255617B4"/>
    <w:rsid w:val="256E2CA0"/>
    <w:rsid w:val="25714529"/>
    <w:rsid w:val="25764776"/>
    <w:rsid w:val="257A620F"/>
    <w:rsid w:val="259F7FE3"/>
    <w:rsid w:val="25A8619C"/>
    <w:rsid w:val="25D564AB"/>
    <w:rsid w:val="25E20F82"/>
    <w:rsid w:val="25E47AF0"/>
    <w:rsid w:val="25E71733"/>
    <w:rsid w:val="25F34F3E"/>
    <w:rsid w:val="26040EF9"/>
    <w:rsid w:val="2604714B"/>
    <w:rsid w:val="26121868"/>
    <w:rsid w:val="262449BF"/>
    <w:rsid w:val="262D176D"/>
    <w:rsid w:val="262F5BC1"/>
    <w:rsid w:val="2634595C"/>
    <w:rsid w:val="26346C43"/>
    <w:rsid w:val="263F16B0"/>
    <w:rsid w:val="265C0D35"/>
    <w:rsid w:val="26606A77"/>
    <w:rsid w:val="2669103C"/>
    <w:rsid w:val="26763BCF"/>
    <w:rsid w:val="26793695"/>
    <w:rsid w:val="268409FF"/>
    <w:rsid w:val="269009DE"/>
    <w:rsid w:val="269F0C21"/>
    <w:rsid w:val="26B836F3"/>
    <w:rsid w:val="26BE5AD4"/>
    <w:rsid w:val="26CB02AF"/>
    <w:rsid w:val="26DD5EB5"/>
    <w:rsid w:val="26E44C79"/>
    <w:rsid w:val="26F31699"/>
    <w:rsid w:val="27007912"/>
    <w:rsid w:val="270A69E3"/>
    <w:rsid w:val="27117B86"/>
    <w:rsid w:val="27165388"/>
    <w:rsid w:val="271F3D3B"/>
    <w:rsid w:val="272445CF"/>
    <w:rsid w:val="272730F1"/>
    <w:rsid w:val="27291DCA"/>
    <w:rsid w:val="273C6CCC"/>
    <w:rsid w:val="273E043A"/>
    <w:rsid w:val="27430C56"/>
    <w:rsid w:val="27617631"/>
    <w:rsid w:val="276F1A45"/>
    <w:rsid w:val="279562D2"/>
    <w:rsid w:val="27D56FF1"/>
    <w:rsid w:val="27DD5EA5"/>
    <w:rsid w:val="27EF5E2F"/>
    <w:rsid w:val="2828082C"/>
    <w:rsid w:val="28387B79"/>
    <w:rsid w:val="284C442A"/>
    <w:rsid w:val="28727A72"/>
    <w:rsid w:val="28901037"/>
    <w:rsid w:val="289651BD"/>
    <w:rsid w:val="28AA5A71"/>
    <w:rsid w:val="28B577B6"/>
    <w:rsid w:val="28D81409"/>
    <w:rsid w:val="28E051EA"/>
    <w:rsid w:val="28E141FE"/>
    <w:rsid w:val="28E55011"/>
    <w:rsid w:val="28F107FE"/>
    <w:rsid w:val="2907142C"/>
    <w:rsid w:val="2912392D"/>
    <w:rsid w:val="29296022"/>
    <w:rsid w:val="294C5FAE"/>
    <w:rsid w:val="295959FF"/>
    <w:rsid w:val="297F5EFD"/>
    <w:rsid w:val="29802F8C"/>
    <w:rsid w:val="298514FB"/>
    <w:rsid w:val="29A50C45"/>
    <w:rsid w:val="29AC1FD3"/>
    <w:rsid w:val="29BD1AEA"/>
    <w:rsid w:val="29CA4B8D"/>
    <w:rsid w:val="29CE019B"/>
    <w:rsid w:val="29EC0622"/>
    <w:rsid w:val="2A043BBD"/>
    <w:rsid w:val="2A047719"/>
    <w:rsid w:val="2A0E0598"/>
    <w:rsid w:val="2A100EEF"/>
    <w:rsid w:val="2A151926"/>
    <w:rsid w:val="2A28561B"/>
    <w:rsid w:val="2A44045E"/>
    <w:rsid w:val="2A486993"/>
    <w:rsid w:val="2A513ACE"/>
    <w:rsid w:val="2A5341FD"/>
    <w:rsid w:val="2A5F4D16"/>
    <w:rsid w:val="2A745D44"/>
    <w:rsid w:val="2A8D3BB3"/>
    <w:rsid w:val="2A9071FF"/>
    <w:rsid w:val="2A9133E6"/>
    <w:rsid w:val="2AA44A22"/>
    <w:rsid w:val="2AAA2063"/>
    <w:rsid w:val="2AAB5086"/>
    <w:rsid w:val="2ABC4498"/>
    <w:rsid w:val="2AC80521"/>
    <w:rsid w:val="2AC8468D"/>
    <w:rsid w:val="2ACA2711"/>
    <w:rsid w:val="2AD215C5"/>
    <w:rsid w:val="2AD43590"/>
    <w:rsid w:val="2AEE7399"/>
    <w:rsid w:val="2AF21C68"/>
    <w:rsid w:val="2B00796F"/>
    <w:rsid w:val="2B031B1F"/>
    <w:rsid w:val="2B03342D"/>
    <w:rsid w:val="2B1D5EB2"/>
    <w:rsid w:val="2B585F6F"/>
    <w:rsid w:val="2B591CE7"/>
    <w:rsid w:val="2B771B53"/>
    <w:rsid w:val="2B772B27"/>
    <w:rsid w:val="2B7C6D8D"/>
    <w:rsid w:val="2B8723B0"/>
    <w:rsid w:val="2B8A48CA"/>
    <w:rsid w:val="2B8C5BD2"/>
    <w:rsid w:val="2BA9515B"/>
    <w:rsid w:val="2BB331A5"/>
    <w:rsid w:val="2BB72C49"/>
    <w:rsid w:val="2BC2163A"/>
    <w:rsid w:val="2BCF3D57"/>
    <w:rsid w:val="2BE041B6"/>
    <w:rsid w:val="2BEE68D3"/>
    <w:rsid w:val="2BFA5278"/>
    <w:rsid w:val="2C043A01"/>
    <w:rsid w:val="2C0C0B07"/>
    <w:rsid w:val="2C22032B"/>
    <w:rsid w:val="2C2B5431"/>
    <w:rsid w:val="2C2E4F21"/>
    <w:rsid w:val="2C5B55EB"/>
    <w:rsid w:val="2C672FBC"/>
    <w:rsid w:val="2C773DF0"/>
    <w:rsid w:val="2C7C3EDF"/>
    <w:rsid w:val="2C86549C"/>
    <w:rsid w:val="2C8B3FEE"/>
    <w:rsid w:val="2C8B5ED0"/>
    <w:rsid w:val="2C9354E6"/>
    <w:rsid w:val="2C9638AE"/>
    <w:rsid w:val="2CA647B0"/>
    <w:rsid w:val="2CAD6FBD"/>
    <w:rsid w:val="2CC338BC"/>
    <w:rsid w:val="2CEA2E1D"/>
    <w:rsid w:val="2CEA52EC"/>
    <w:rsid w:val="2CED6B8B"/>
    <w:rsid w:val="2CFB12A7"/>
    <w:rsid w:val="2D00170E"/>
    <w:rsid w:val="2D0D0FDB"/>
    <w:rsid w:val="2D12214D"/>
    <w:rsid w:val="2D2D342B"/>
    <w:rsid w:val="2D3C71CA"/>
    <w:rsid w:val="2D4453D3"/>
    <w:rsid w:val="2D4C1B03"/>
    <w:rsid w:val="2D517119"/>
    <w:rsid w:val="2D68635B"/>
    <w:rsid w:val="2D6C5D01"/>
    <w:rsid w:val="2D7E3C87"/>
    <w:rsid w:val="2D855015"/>
    <w:rsid w:val="2D9E60D7"/>
    <w:rsid w:val="2DA3549B"/>
    <w:rsid w:val="2DFB239F"/>
    <w:rsid w:val="2DFD4010"/>
    <w:rsid w:val="2E0F48DF"/>
    <w:rsid w:val="2E1B5A55"/>
    <w:rsid w:val="2E2465DC"/>
    <w:rsid w:val="2E2C3D21"/>
    <w:rsid w:val="2E2D4A25"/>
    <w:rsid w:val="2E355A57"/>
    <w:rsid w:val="2E381630"/>
    <w:rsid w:val="2E3F3416"/>
    <w:rsid w:val="2E5F1A8F"/>
    <w:rsid w:val="2E6C3ADF"/>
    <w:rsid w:val="2E7A61FC"/>
    <w:rsid w:val="2E7C01C6"/>
    <w:rsid w:val="2E8535A2"/>
    <w:rsid w:val="2E890E4A"/>
    <w:rsid w:val="2E963931"/>
    <w:rsid w:val="2E9C43C4"/>
    <w:rsid w:val="2EAA7A1E"/>
    <w:rsid w:val="2EC92CDF"/>
    <w:rsid w:val="2ECF4A9C"/>
    <w:rsid w:val="2ED246EE"/>
    <w:rsid w:val="2ED51684"/>
    <w:rsid w:val="2EDA313F"/>
    <w:rsid w:val="2EFC4E63"/>
    <w:rsid w:val="2F300FB0"/>
    <w:rsid w:val="2F336EC0"/>
    <w:rsid w:val="2F3C7955"/>
    <w:rsid w:val="2F634EE2"/>
    <w:rsid w:val="2F740E9D"/>
    <w:rsid w:val="2F8636C9"/>
    <w:rsid w:val="2F8B61E7"/>
    <w:rsid w:val="2FA15A0A"/>
    <w:rsid w:val="2FA93C74"/>
    <w:rsid w:val="2FAA7FCD"/>
    <w:rsid w:val="2FC67DE1"/>
    <w:rsid w:val="2FD268A1"/>
    <w:rsid w:val="2FDE4077"/>
    <w:rsid w:val="2FE04785"/>
    <w:rsid w:val="2FE75B13"/>
    <w:rsid w:val="2FED0C50"/>
    <w:rsid w:val="2FEE7D26"/>
    <w:rsid w:val="2FF76305"/>
    <w:rsid w:val="2FF81ACE"/>
    <w:rsid w:val="30032221"/>
    <w:rsid w:val="300466C5"/>
    <w:rsid w:val="300E150D"/>
    <w:rsid w:val="300E30A0"/>
    <w:rsid w:val="30110DE2"/>
    <w:rsid w:val="30123FFF"/>
    <w:rsid w:val="30180806"/>
    <w:rsid w:val="3034062C"/>
    <w:rsid w:val="305D7845"/>
    <w:rsid w:val="306F163B"/>
    <w:rsid w:val="30777DC4"/>
    <w:rsid w:val="30E107B4"/>
    <w:rsid w:val="30E738F1"/>
    <w:rsid w:val="31175F84"/>
    <w:rsid w:val="3126266B"/>
    <w:rsid w:val="312B2284"/>
    <w:rsid w:val="31556AAC"/>
    <w:rsid w:val="315A2315"/>
    <w:rsid w:val="31774904"/>
    <w:rsid w:val="31790FDA"/>
    <w:rsid w:val="31807FCD"/>
    <w:rsid w:val="31815AF3"/>
    <w:rsid w:val="31983647"/>
    <w:rsid w:val="319D3AE7"/>
    <w:rsid w:val="31AF440F"/>
    <w:rsid w:val="31B400AF"/>
    <w:rsid w:val="31B50B0C"/>
    <w:rsid w:val="31B8508B"/>
    <w:rsid w:val="31BA4166"/>
    <w:rsid w:val="31CD0D39"/>
    <w:rsid w:val="31D67BED"/>
    <w:rsid w:val="31D810C6"/>
    <w:rsid w:val="31E130B4"/>
    <w:rsid w:val="31E83DC4"/>
    <w:rsid w:val="31F55998"/>
    <w:rsid w:val="31FE0EF2"/>
    <w:rsid w:val="31FE335B"/>
    <w:rsid w:val="3202782C"/>
    <w:rsid w:val="321B36E9"/>
    <w:rsid w:val="3229511D"/>
    <w:rsid w:val="322975DE"/>
    <w:rsid w:val="323D2338"/>
    <w:rsid w:val="32425283"/>
    <w:rsid w:val="326351F9"/>
    <w:rsid w:val="32666042"/>
    <w:rsid w:val="326E42CA"/>
    <w:rsid w:val="32725B2C"/>
    <w:rsid w:val="32773D06"/>
    <w:rsid w:val="327D275F"/>
    <w:rsid w:val="32821B23"/>
    <w:rsid w:val="329B4D38"/>
    <w:rsid w:val="329F4D04"/>
    <w:rsid w:val="32A7158A"/>
    <w:rsid w:val="32B10AC5"/>
    <w:rsid w:val="32B5388A"/>
    <w:rsid w:val="32E14A9C"/>
    <w:rsid w:val="32E225C2"/>
    <w:rsid w:val="330C5891"/>
    <w:rsid w:val="33311883"/>
    <w:rsid w:val="334119DE"/>
    <w:rsid w:val="33574D5E"/>
    <w:rsid w:val="33672BF5"/>
    <w:rsid w:val="33712D71"/>
    <w:rsid w:val="33801D40"/>
    <w:rsid w:val="338F3C47"/>
    <w:rsid w:val="33951EF8"/>
    <w:rsid w:val="33A063C1"/>
    <w:rsid w:val="33A71511"/>
    <w:rsid w:val="33B57CD6"/>
    <w:rsid w:val="33F829BD"/>
    <w:rsid w:val="341F6F52"/>
    <w:rsid w:val="3421711A"/>
    <w:rsid w:val="34325348"/>
    <w:rsid w:val="34346E4D"/>
    <w:rsid w:val="34357EA6"/>
    <w:rsid w:val="34473024"/>
    <w:rsid w:val="34480949"/>
    <w:rsid w:val="344A041F"/>
    <w:rsid w:val="345C0152"/>
    <w:rsid w:val="34884182"/>
    <w:rsid w:val="34930017"/>
    <w:rsid w:val="349B3370"/>
    <w:rsid w:val="34AE4E51"/>
    <w:rsid w:val="34B901C8"/>
    <w:rsid w:val="34D348B8"/>
    <w:rsid w:val="34D91EBE"/>
    <w:rsid w:val="34E22D4D"/>
    <w:rsid w:val="34E24A8D"/>
    <w:rsid w:val="3502033E"/>
    <w:rsid w:val="35026026"/>
    <w:rsid w:val="3502780C"/>
    <w:rsid w:val="350667E1"/>
    <w:rsid w:val="350F3ED7"/>
    <w:rsid w:val="35241A74"/>
    <w:rsid w:val="352B0250"/>
    <w:rsid w:val="35335357"/>
    <w:rsid w:val="353C06AF"/>
    <w:rsid w:val="35462B94"/>
    <w:rsid w:val="3550415A"/>
    <w:rsid w:val="355F7EFA"/>
    <w:rsid w:val="35603F38"/>
    <w:rsid w:val="35727C2D"/>
    <w:rsid w:val="35753BC1"/>
    <w:rsid w:val="35777939"/>
    <w:rsid w:val="359535BE"/>
    <w:rsid w:val="35971C6B"/>
    <w:rsid w:val="35A85D44"/>
    <w:rsid w:val="35B04BF9"/>
    <w:rsid w:val="35B20971"/>
    <w:rsid w:val="35C3186D"/>
    <w:rsid w:val="35E1035F"/>
    <w:rsid w:val="35F7332A"/>
    <w:rsid w:val="35F965A0"/>
    <w:rsid w:val="361E7DB5"/>
    <w:rsid w:val="362A1B67"/>
    <w:rsid w:val="364C4922"/>
    <w:rsid w:val="36590DED"/>
    <w:rsid w:val="365B24AB"/>
    <w:rsid w:val="36B6623F"/>
    <w:rsid w:val="36C175C6"/>
    <w:rsid w:val="36EA0D42"/>
    <w:rsid w:val="370E7E29"/>
    <w:rsid w:val="3710594F"/>
    <w:rsid w:val="371600E9"/>
    <w:rsid w:val="372B50A7"/>
    <w:rsid w:val="373158C6"/>
    <w:rsid w:val="3736112E"/>
    <w:rsid w:val="37513B77"/>
    <w:rsid w:val="375A2988"/>
    <w:rsid w:val="375D1D0F"/>
    <w:rsid w:val="379C0A32"/>
    <w:rsid w:val="37A10C9D"/>
    <w:rsid w:val="37A20571"/>
    <w:rsid w:val="37CD674B"/>
    <w:rsid w:val="37DE5A4E"/>
    <w:rsid w:val="37F039D3"/>
    <w:rsid w:val="380B55F3"/>
    <w:rsid w:val="38251764"/>
    <w:rsid w:val="382A45EF"/>
    <w:rsid w:val="3864178A"/>
    <w:rsid w:val="38685317"/>
    <w:rsid w:val="388F4F9A"/>
    <w:rsid w:val="38991974"/>
    <w:rsid w:val="38A65E3F"/>
    <w:rsid w:val="38BE22E2"/>
    <w:rsid w:val="38D15CEB"/>
    <w:rsid w:val="38DD5D05"/>
    <w:rsid w:val="38E93E8B"/>
    <w:rsid w:val="39130EE6"/>
    <w:rsid w:val="3914724D"/>
    <w:rsid w:val="39251DC5"/>
    <w:rsid w:val="393755D6"/>
    <w:rsid w:val="393C0F67"/>
    <w:rsid w:val="39424D13"/>
    <w:rsid w:val="394D193A"/>
    <w:rsid w:val="395B4E7C"/>
    <w:rsid w:val="397D1296"/>
    <w:rsid w:val="397F6DBC"/>
    <w:rsid w:val="399402E8"/>
    <w:rsid w:val="399E0E42"/>
    <w:rsid w:val="39C63F2C"/>
    <w:rsid w:val="39CA4F29"/>
    <w:rsid w:val="39D4668B"/>
    <w:rsid w:val="39D52E79"/>
    <w:rsid w:val="39E210F9"/>
    <w:rsid w:val="39EC3D26"/>
    <w:rsid w:val="3A165DBB"/>
    <w:rsid w:val="3A485400"/>
    <w:rsid w:val="3A4A561C"/>
    <w:rsid w:val="3A4A73CA"/>
    <w:rsid w:val="3A5913BB"/>
    <w:rsid w:val="3A601248"/>
    <w:rsid w:val="3A704957"/>
    <w:rsid w:val="3A762824"/>
    <w:rsid w:val="3A873793"/>
    <w:rsid w:val="3A95616C"/>
    <w:rsid w:val="3AA54031"/>
    <w:rsid w:val="3ABB3E24"/>
    <w:rsid w:val="3AD90A06"/>
    <w:rsid w:val="3AE80991"/>
    <w:rsid w:val="3AF31810"/>
    <w:rsid w:val="3AF923D7"/>
    <w:rsid w:val="3AFD55BB"/>
    <w:rsid w:val="3AFF613D"/>
    <w:rsid w:val="3B007A89"/>
    <w:rsid w:val="3B023801"/>
    <w:rsid w:val="3B033680"/>
    <w:rsid w:val="3B084C2D"/>
    <w:rsid w:val="3B20012B"/>
    <w:rsid w:val="3B4F1D9F"/>
    <w:rsid w:val="3B5129DA"/>
    <w:rsid w:val="3B5B3212"/>
    <w:rsid w:val="3B6348DA"/>
    <w:rsid w:val="3B7A5A8D"/>
    <w:rsid w:val="3B8406BA"/>
    <w:rsid w:val="3B882551"/>
    <w:rsid w:val="3B8B1A48"/>
    <w:rsid w:val="3B8C1490"/>
    <w:rsid w:val="3B9603ED"/>
    <w:rsid w:val="3BB32D4D"/>
    <w:rsid w:val="3BBA7C64"/>
    <w:rsid w:val="3BC13445"/>
    <w:rsid w:val="3BD00198"/>
    <w:rsid w:val="3BD2044D"/>
    <w:rsid w:val="3BD5458B"/>
    <w:rsid w:val="3BD72EE0"/>
    <w:rsid w:val="3BDC6748"/>
    <w:rsid w:val="3C023A99"/>
    <w:rsid w:val="3C0E2679"/>
    <w:rsid w:val="3C3F2833"/>
    <w:rsid w:val="3C4D13F4"/>
    <w:rsid w:val="3C516CC1"/>
    <w:rsid w:val="3C5A58BF"/>
    <w:rsid w:val="3C5F1072"/>
    <w:rsid w:val="3C7076A7"/>
    <w:rsid w:val="3C9106F7"/>
    <w:rsid w:val="3C942B7F"/>
    <w:rsid w:val="3CD76F0F"/>
    <w:rsid w:val="3D000214"/>
    <w:rsid w:val="3D485717"/>
    <w:rsid w:val="3D582E2A"/>
    <w:rsid w:val="3D624A2B"/>
    <w:rsid w:val="3D6C098B"/>
    <w:rsid w:val="3D7117EB"/>
    <w:rsid w:val="3D887584"/>
    <w:rsid w:val="3D941E11"/>
    <w:rsid w:val="3D9F17DB"/>
    <w:rsid w:val="3DB73753"/>
    <w:rsid w:val="3DD7038D"/>
    <w:rsid w:val="3DED69EA"/>
    <w:rsid w:val="3DEE2870"/>
    <w:rsid w:val="3DF00DF6"/>
    <w:rsid w:val="3E032ABD"/>
    <w:rsid w:val="3E1A6821"/>
    <w:rsid w:val="3E2B7513"/>
    <w:rsid w:val="3E3D2DA2"/>
    <w:rsid w:val="3E5F0F6A"/>
    <w:rsid w:val="3E642A25"/>
    <w:rsid w:val="3E6A0E6E"/>
    <w:rsid w:val="3E6D3687"/>
    <w:rsid w:val="3E7341AD"/>
    <w:rsid w:val="3E854E75"/>
    <w:rsid w:val="3EA10BF2"/>
    <w:rsid w:val="3ED701A7"/>
    <w:rsid w:val="3EEB275F"/>
    <w:rsid w:val="3EFC2A5E"/>
    <w:rsid w:val="3F0062A9"/>
    <w:rsid w:val="3F110BCB"/>
    <w:rsid w:val="3F125FDD"/>
    <w:rsid w:val="3F1D32FF"/>
    <w:rsid w:val="3F312A4E"/>
    <w:rsid w:val="3F3C78B5"/>
    <w:rsid w:val="3F484CFB"/>
    <w:rsid w:val="3F487C50"/>
    <w:rsid w:val="3F4E170B"/>
    <w:rsid w:val="3F52465F"/>
    <w:rsid w:val="3F582DB4"/>
    <w:rsid w:val="3F5B4E1A"/>
    <w:rsid w:val="3F5C79A7"/>
    <w:rsid w:val="3F7D5B4C"/>
    <w:rsid w:val="3F7D78FA"/>
    <w:rsid w:val="3F7E275E"/>
    <w:rsid w:val="3FC574F3"/>
    <w:rsid w:val="3FD37851"/>
    <w:rsid w:val="3FDC5A97"/>
    <w:rsid w:val="3FEC4A80"/>
    <w:rsid w:val="3FFE510E"/>
    <w:rsid w:val="40026051"/>
    <w:rsid w:val="4010515C"/>
    <w:rsid w:val="401907F3"/>
    <w:rsid w:val="401E25EE"/>
    <w:rsid w:val="40272501"/>
    <w:rsid w:val="403E60B6"/>
    <w:rsid w:val="40416B7A"/>
    <w:rsid w:val="404C70FC"/>
    <w:rsid w:val="40503261"/>
    <w:rsid w:val="40752AFC"/>
    <w:rsid w:val="40755B94"/>
    <w:rsid w:val="40756BD0"/>
    <w:rsid w:val="408D1DBF"/>
    <w:rsid w:val="4093153B"/>
    <w:rsid w:val="40970E8F"/>
    <w:rsid w:val="40BE4471"/>
    <w:rsid w:val="40E45794"/>
    <w:rsid w:val="410B7187"/>
    <w:rsid w:val="41156AC3"/>
    <w:rsid w:val="412C5C81"/>
    <w:rsid w:val="41432F6C"/>
    <w:rsid w:val="414A5F02"/>
    <w:rsid w:val="41644DF5"/>
    <w:rsid w:val="41717932"/>
    <w:rsid w:val="41931657"/>
    <w:rsid w:val="419378A9"/>
    <w:rsid w:val="4197500C"/>
    <w:rsid w:val="41C10754"/>
    <w:rsid w:val="41C72FB2"/>
    <w:rsid w:val="41D061CE"/>
    <w:rsid w:val="41DD3D70"/>
    <w:rsid w:val="41EF4A6B"/>
    <w:rsid w:val="41F33FC2"/>
    <w:rsid w:val="41FD11C6"/>
    <w:rsid w:val="420460B1"/>
    <w:rsid w:val="42100EF9"/>
    <w:rsid w:val="421B4715"/>
    <w:rsid w:val="42201E72"/>
    <w:rsid w:val="42332E3A"/>
    <w:rsid w:val="423B584A"/>
    <w:rsid w:val="425C4AE5"/>
    <w:rsid w:val="42743CAE"/>
    <w:rsid w:val="42925DB2"/>
    <w:rsid w:val="42985594"/>
    <w:rsid w:val="42A15FF5"/>
    <w:rsid w:val="42C46549"/>
    <w:rsid w:val="42F02AD9"/>
    <w:rsid w:val="42F02E93"/>
    <w:rsid w:val="42FA5706"/>
    <w:rsid w:val="43087A30"/>
    <w:rsid w:val="43322CF2"/>
    <w:rsid w:val="436C6603"/>
    <w:rsid w:val="436D6668"/>
    <w:rsid w:val="437F22A3"/>
    <w:rsid w:val="438020AF"/>
    <w:rsid w:val="438C22CB"/>
    <w:rsid w:val="43B4601F"/>
    <w:rsid w:val="43B8019F"/>
    <w:rsid w:val="43C755E8"/>
    <w:rsid w:val="43CA332A"/>
    <w:rsid w:val="43D23F8D"/>
    <w:rsid w:val="43E42222"/>
    <w:rsid w:val="43E97E7C"/>
    <w:rsid w:val="43F32881"/>
    <w:rsid w:val="44242A3A"/>
    <w:rsid w:val="443133A9"/>
    <w:rsid w:val="44406DAA"/>
    <w:rsid w:val="445D368E"/>
    <w:rsid w:val="446C4D53"/>
    <w:rsid w:val="4473751E"/>
    <w:rsid w:val="44DB21F3"/>
    <w:rsid w:val="44F1580E"/>
    <w:rsid w:val="44F468B0"/>
    <w:rsid w:val="450E26B8"/>
    <w:rsid w:val="450F36EA"/>
    <w:rsid w:val="45123BD8"/>
    <w:rsid w:val="45207905"/>
    <w:rsid w:val="452D47A4"/>
    <w:rsid w:val="45317FC9"/>
    <w:rsid w:val="453E5BDD"/>
    <w:rsid w:val="453F2418"/>
    <w:rsid w:val="454D612E"/>
    <w:rsid w:val="456652D4"/>
    <w:rsid w:val="4581664C"/>
    <w:rsid w:val="45837C34"/>
    <w:rsid w:val="458B5D94"/>
    <w:rsid w:val="458C7E36"/>
    <w:rsid w:val="459D4C65"/>
    <w:rsid w:val="45C344D5"/>
    <w:rsid w:val="46004DE1"/>
    <w:rsid w:val="460D0F18"/>
    <w:rsid w:val="462D0E5D"/>
    <w:rsid w:val="462F0DEF"/>
    <w:rsid w:val="466808A0"/>
    <w:rsid w:val="467852BF"/>
    <w:rsid w:val="469F0A9E"/>
    <w:rsid w:val="46A56BA1"/>
    <w:rsid w:val="46B522AF"/>
    <w:rsid w:val="46E666CD"/>
    <w:rsid w:val="46FD57C4"/>
    <w:rsid w:val="47002980"/>
    <w:rsid w:val="470B69A7"/>
    <w:rsid w:val="47262F6D"/>
    <w:rsid w:val="47332F94"/>
    <w:rsid w:val="4743767B"/>
    <w:rsid w:val="476D1B91"/>
    <w:rsid w:val="478B1022"/>
    <w:rsid w:val="478B3D72"/>
    <w:rsid w:val="478F28C0"/>
    <w:rsid w:val="47941C85"/>
    <w:rsid w:val="47961EA1"/>
    <w:rsid w:val="47A04ACD"/>
    <w:rsid w:val="47A83982"/>
    <w:rsid w:val="47B40579"/>
    <w:rsid w:val="47CB380C"/>
    <w:rsid w:val="47DB3D58"/>
    <w:rsid w:val="47FD6C65"/>
    <w:rsid w:val="48020765"/>
    <w:rsid w:val="48141018"/>
    <w:rsid w:val="482C45B3"/>
    <w:rsid w:val="487537DE"/>
    <w:rsid w:val="487D096B"/>
    <w:rsid w:val="48914416"/>
    <w:rsid w:val="48E36096"/>
    <w:rsid w:val="48F350D1"/>
    <w:rsid w:val="48FC3F85"/>
    <w:rsid w:val="490177EE"/>
    <w:rsid w:val="490337A2"/>
    <w:rsid w:val="4910358D"/>
    <w:rsid w:val="49170DBF"/>
    <w:rsid w:val="491A440C"/>
    <w:rsid w:val="491F394F"/>
    <w:rsid w:val="49300BE1"/>
    <w:rsid w:val="493642ED"/>
    <w:rsid w:val="49463453"/>
    <w:rsid w:val="494E2307"/>
    <w:rsid w:val="49564E45"/>
    <w:rsid w:val="4970308C"/>
    <w:rsid w:val="49746212"/>
    <w:rsid w:val="49755AE6"/>
    <w:rsid w:val="49940662"/>
    <w:rsid w:val="49BE123B"/>
    <w:rsid w:val="49C5556E"/>
    <w:rsid w:val="49D97E23"/>
    <w:rsid w:val="49F654D9"/>
    <w:rsid w:val="4A1B1292"/>
    <w:rsid w:val="4A2B43F6"/>
    <w:rsid w:val="4A3C3C0B"/>
    <w:rsid w:val="4A413C1A"/>
    <w:rsid w:val="4A4E5B36"/>
    <w:rsid w:val="4A5A33C8"/>
    <w:rsid w:val="4A7144FF"/>
    <w:rsid w:val="4A8330FE"/>
    <w:rsid w:val="4A873469"/>
    <w:rsid w:val="4A8913ED"/>
    <w:rsid w:val="4AAA5C63"/>
    <w:rsid w:val="4AB417BD"/>
    <w:rsid w:val="4ACF06BE"/>
    <w:rsid w:val="4AD90EB1"/>
    <w:rsid w:val="4ADD4937"/>
    <w:rsid w:val="4AEB582E"/>
    <w:rsid w:val="4AEC627C"/>
    <w:rsid w:val="4B045373"/>
    <w:rsid w:val="4B1D43D5"/>
    <w:rsid w:val="4B1E616B"/>
    <w:rsid w:val="4B241572"/>
    <w:rsid w:val="4B38501D"/>
    <w:rsid w:val="4B3E2818"/>
    <w:rsid w:val="4B5D7EA8"/>
    <w:rsid w:val="4B7A193D"/>
    <w:rsid w:val="4B7C23F1"/>
    <w:rsid w:val="4B7F0E9E"/>
    <w:rsid w:val="4B810772"/>
    <w:rsid w:val="4B976928"/>
    <w:rsid w:val="4BA10E14"/>
    <w:rsid w:val="4BAF2DEC"/>
    <w:rsid w:val="4BB050FB"/>
    <w:rsid w:val="4BB70638"/>
    <w:rsid w:val="4BBE0F3C"/>
    <w:rsid w:val="4BF278C5"/>
    <w:rsid w:val="4C1D4C9C"/>
    <w:rsid w:val="4C213D03"/>
    <w:rsid w:val="4C215AB1"/>
    <w:rsid w:val="4C2E4820"/>
    <w:rsid w:val="4C2E5100"/>
    <w:rsid w:val="4C371778"/>
    <w:rsid w:val="4C37194B"/>
    <w:rsid w:val="4C51283A"/>
    <w:rsid w:val="4C60482B"/>
    <w:rsid w:val="4C6A4B20"/>
    <w:rsid w:val="4C72455F"/>
    <w:rsid w:val="4C7D362F"/>
    <w:rsid w:val="4C7F267A"/>
    <w:rsid w:val="4C894D6F"/>
    <w:rsid w:val="4C8F3363"/>
    <w:rsid w:val="4C96179F"/>
    <w:rsid w:val="4C9B3AB5"/>
    <w:rsid w:val="4C9E7102"/>
    <w:rsid w:val="4CBE5242"/>
    <w:rsid w:val="4CC74B51"/>
    <w:rsid w:val="4CC76658"/>
    <w:rsid w:val="4CD34FFD"/>
    <w:rsid w:val="4CE0596C"/>
    <w:rsid w:val="4CE924D7"/>
    <w:rsid w:val="4CF60CEC"/>
    <w:rsid w:val="4CF803E4"/>
    <w:rsid w:val="4D0D5601"/>
    <w:rsid w:val="4D0F5E59"/>
    <w:rsid w:val="4D153B69"/>
    <w:rsid w:val="4D227A97"/>
    <w:rsid w:val="4D2515D1"/>
    <w:rsid w:val="4D3C6078"/>
    <w:rsid w:val="4D423F31"/>
    <w:rsid w:val="4D60180E"/>
    <w:rsid w:val="4D6F79FF"/>
    <w:rsid w:val="4D7100D7"/>
    <w:rsid w:val="4D9D0319"/>
    <w:rsid w:val="4DA129EE"/>
    <w:rsid w:val="4DD0587C"/>
    <w:rsid w:val="4DE65204"/>
    <w:rsid w:val="4DEB45C9"/>
    <w:rsid w:val="4DF80E20"/>
    <w:rsid w:val="4DFB5952"/>
    <w:rsid w:val="4E0256F8"/>
    <w:rsid w:val="4E044182"/>
    <w:rsid w:val="4E164E84"/>
    <w:rsid w:val="4E1F24C4"/>
    <w:rsid w:val="4E6846F8"/>
    <w:rsid w:val="4EA215B1"/>
    <w:rsid w:val="4EAA6232"/>
    <w:rsid w:val="4EC310A1"/>
    <w:rsid w:val="4EE11CA2"/>
    <w:rsid w:val="4F126A45"/>
    <w:rsid w:val="4F165675"/>
    <w:rsid w:val="4F22402A"/>
    <w:rsid w:val="4F5902F9"/>
    <w:rsid w:val="4F661CD0"/>
    <w:rsid w:val="4F754A92"/>
    <w:rsid w:val="4F842ED4"/>
    <w:rsid w:val="4F952A3E"/>
    <w:rsid w:val="4F9C2DEA"/>
    <w:rsid w:val="4FB31116"/>
    <w:rsid w:val="4FBC0B08"/>
    <w:rsid w:val="4FC450D1"/>
    <w:rsid w:val="4FDD43E5"/>
    <w:rsid w:val="4FE961BD"/>
    <w:rsid w:val="4FEB1908"/>
    <w:rsid w:val="4FF20B5F"/>
    <w:rsid w:val="50081462"/>
    <w:rsid w:val="501F1CC8"/>
    <w:rsid w:val="50396D0A"/>
    <w:rsid w:val="503E30D6"/>
    <w:rsid w:val="507765E7"/>
    <w:rsid w:val="507A08A8"/>
    <w:rsid w:val="50872924"/>
    <w:rsid w:val="508D557C"/>
    <w:rsid w:val="50A15412"/>
    <w:rsid w:val="50AC6291"/>
    <w:rsid w:val="50B213CE"/>
    <w:rsid w:val="50C07DA5"/>
    <w:rsid w:val="50C730CB"/>
    <w:rsid w:val="51022355"/>
    <w:rsid w:val="512C5E58"/>
    <w:rsid w:val="51361FFF"/>
    <w:rsid w:val="514F30C0"/>
    <w:rsid w:val="5153495F"/>
    <w:rsid w:val="5159179E"/>
    <w:rsid w:val="51630116"/>
    <w:rsid w:val="5167040A"/>
    <w:rsid w:val="517B5C63"/>
    <w:rsid w:val="5184221D"/>
    <w:rsid w:val="51B23E9C"/>
    <w:rsid w:val="51BD44CE"/>
    <w:rsid w:val="51C4585C"/>
    <w:rsid w:val="51D13AD5"/>
    <w:rsid w:val="51DC2BA6"/>
    <w:rsid w:val="51E77C7B"/>
    <w:rsid w:val="51F31C9E"/>
    <w:rsid w:val="520378E4"/>
    <w:rsid w:val="52151C14"/>
    <w:rsid w:val="521C0134"/>
    <w:rsid w:val="52257A67"/>
    <w:rsid w:val="523C1897"/>
    <w:rsid w:val="52446A42"/>
    <w:rsid w:val="524F6CA8"/>
    <w:rsid w:val="5253273C"/>
    <w:rsid w:val="52650DED"/>
    <w:rsid w:val="526B217C"/>
    <w:rsid w:val="52707792"/>
    <w:rsid w:val="527C7EE5"/>
    <w:rsid w:val="52844092"/>
    <w:rsid w:val="52A0149C"/>
    <w:rsid w:val="52A9540C"/>
    <w:rsid w:val="52B13FA8"/>
    <w:rsid w:val="52C10884"/>
    <w:rsid w:val="52C2246A"/>
    <w:rsid w:val="52C8137C"/>
    <w:rsid w:val="52D049DF"/>
    <w:rsid w:val="52D15A59"/>
    <w:rsid w:val="52E31D12"/>
    <w:rsid w:val="52EE4D3F"/>
    <w:rsid w:val="52F554A8"/>
    <w:rsid w:val="52F7756C"/>
    <w:rsid w:val="52FE08FA"/>
    <w:rsid w:val="531047F5"/>
    <w:rsid w:val="531A3230"/>
    <w:rsid w:val="5334431C"/>
    <w:rsid w:val="53373E0C"/>
    <w:rsid w:val="53446C55"/>
    <w:rsid w:val="536C1D08"/>
    <w:rsid w:val="536C1ECE"/>
    <w:rsid w:val="537F5EDF"/>
    <w:rsid w:val="538A2BC1"/>
    <w:rsid w:val="53946ACA"/>
    <w:rsid w:val="5399227B"/>
    <w:rsid w:val="539F032F"/>
    <w:rsid w:val="53B4545D"/>
    <w:rsid w:val="53BD36C9"/>
    <w:rsid w:val="53C5766A"/>
    <w:rsid w:val="53CB7B14"/>
    <w:rsid w:val="53CE29C2"/>
    <w:rsid w:val="53D8114B"/>
    <w:rsid w:val="53D9073D"/>
    <w:rsid w:val="53F9144F"/>
    <w:rsid w:val="53FF492A"/>
    <w:rsid w:val="540957A8"/>
    <w:rsid w:val="54113C3E"/>
    <w:rsid w:val="541505F1"/>
    <w:rsid w:val="54183C3E"/>
    <w:rsid w:val="541B530F"/>
    <w:rsid w:val="541B5F0D"/>
    <w:rsid w:val="542B3971"/>
    <w:rsid w:val="542C1497"/>
    <w:rsid w:val="54352A41"/>
    <w:rsid w:val="543D5452"/>
    <w:rsid w:val="543F741C"/>
    <w:rsid w:val="54452097"/>
    <w:rsid w:val="54703817"/>
    <w:rsid w:val="54762769"/>
    <w:rsid w:val="5486504B"/>
    <w:rsid w:val="54A56C35"/>
    <w:rsid w:val="54AD25D8"/>
    <w:rsid w:val="54BB2F47"/>
    <w:rsid w:val="54C8174B"/>
    <w:rsid w:val="54CC1486"/>
    <w:rsid w:val="54E61B86"/>
    <w:rsid w:val="54F14BBA"/>
    <w:rsid w:val="55050666"/>
    <w:rsid w:val="550D3076"/>
    <w:rsid w:val="552D346E"/>
    <w:rsid w:val="552F11B7"/>
    <w:rsid w:val="554051FA"/>
    <w:rsid w:val="5553717F"/>
    <w:rsid w:val="555733D8"/>
    <w:rsid w:val="5567079D"/>
    <w:rsid w:val="556B6251"/>
    <w:rsid w:val="55741FDF"/>
    <w:rsid w:val="5583536A"/>
    <w:rsid w:val="55915A56"/>
    <w:rsid w:val="559F5298"/>
    <w:rsid w:val="55A01340"/>
    <w:rsid w:val="56083D5B"/>
    <w:rsid w:val="56266DAF"/>
    <w:rsid w:val="562E599A"/>
    <w:rsid w:val="56336B0D"/>
    <w:rsid w:val="56356D29"/>
    <w:rsid w:val="56582A17"/>
    <w:rsid w:val="565F7902"/>
    <w:rsid w:val="56B27079"/>
    <w:rsid w:val="56CB571F"/>
    <w:rsid w:val="56E60023"/>
    <w:rsid w:val="572834C6"/>
    <w:rsid w:val="57560D05"/>
    <w:rsid w:val="576355D3"/>
    <w:rsid w:val="57640FA0"/>
    <w:rsid w:val="57664CC0"/>
    <w:rsid w:val="57904E7E"/>
    <w:rsid w:val="57921934"/>
    <w:rsid w:val="57A66520"/>
    <w:rsid w:val="57BC080B"/>
    <w:rsid w:val="57BD0D84"/>
    <w:rsid w:val="57BE68AA"/>
    <w:rsid w:val="57D40281"/>
    <w:rsid w:val="57E75E01"/>
    <w:rsid w:val="580E6203"/>
    <w:rsid w:val="581F1A3E"/>
    <w:rsid w:val="58704048"/>
    <w:rsid w:val="587F6039"/>
    <w:rsid w:val="58A65CBC"/>
    <w:rsid w:val="58B63628"/>
    <w:rsid w:val="58C24114"/>
    <w:rsid w:val="58C24893"/>
    <w:rsid w:val="58C779E0"/>
    <w:rsid w:val="58C83E84"/>
    <w:rsid w:val="58CA7BFC"/>
    <w:rsid w:val="58D11042"/>
    <w:rsid w:val="58E30119"/>
    <w:rsid w:val="59376914"/>
    <w:rsid w:val="593C100D"/>
    <w:rsid w:val="593F3A1A"/>
    <w:rsid w:val="594159E5"/>
    <w:rsid w:val="594B0611"/>
    <w:rsid w:val="5952374E"/>
    <w:rsid w:val="595E20F3"/>
    <w:rsid w:val="597F3864"/>
    <w:rsid w:val="59A10231"/>
    <w:rsid w:val="59B30690"/>
    <w:rsid w:val="59B61F2F"/>
    <w:rsid w:val="59B9557B"/>
    <w:rsid w:val="59DA5CBA"/>
    <w:rsid w:val="5A02222C"/>
    <w:rsid w:val="5A074538"/>
    <w:rsid w:val="5A1B5605"/>
    <w:rsid w:val="5A53777D"/>
    <w:rsid w:val="5A6C4CE3"/>
    <w:rsid w:val="5A7476F4"/>
    <w:rsid w:val="5A7B7B51"/>
    <w:rsid w:val="5A9F6E67"/>
    <w:rsid w:val="5AA719E3"/>
    <w:rsid w:val="5AA955EF"/>
    <w:rsid w:val="5ADA7E9F"/>
    <w:rsid w:val="5AE85AFD"/>
    <w:rsid w:val="5B060C94"/>
    <w:rsid w:val="5B0B44FC"/>
    <w:rsid w:val="5B2347E5"/>
    <w:rsid w:val="5B3A26EB"/>
    <w:rsid w:val="5B3E042E"/>
    <w:rsid w:val="5B417F1E"/>
    <w:rsid w:val="5B5437AD"/>
    <w:rsid w:val="5B5F72E5"/>
    <w:rsid w:val="5B871DD5"/>
    <w:rsid w:val="5B922527"/>
    <w:rsid w:val="5BA457BF"/>
    <w:rsid w:val="5BA83942"/>
    <w:rsid w:val="5BAD110F"/>
    <w:rsid w:val="5BBC0880"/>
    <w:rsid w:val="5BD70E12"/>
    <w:rsid w:val="5BD82630"/>
    <w:rsid w:val="5BEF34D6"/>
    <w:rsid w:val="5BEF4C00"/>
    <w:rsid w:val="5C063701"/>
    <w:rsid w:val="5C204225"/>
    <w:rsid w:val="5C2855D3"/>
    <w:rsid w:val="5C34538D"/>
    <w:rsid w:val="5C3655A9"/>
    <w:rsid w:val="5C3929A3"/>
    <w:rsid w:val="5C43411E"/>
    <w:rsid w:val="5C6304E0"/>
    <w:rsid w:val="5C7B7A02"/>
    <w:rsid w:val="5C910A31"/>
    <w:rsid w:val="5CA73351"/>
    <w:rsid w:val="5CAA564F"/>
    <w:rsid w:val="5CB84210"/>
    <w:rsid w:val="5CBF48D8"/>
    <w:rsid w:val="5CBF614D"/>
    <w:rsid w:val="5CC26737"/>
    <w:rsid w:val="5CDF179C"/>
    <w:rsid w:val="5D02548B"/>
    <w:rsid w:val="5D1A7C60"/>
    <w:rsid w:val="5D221689"/>
    <w:rsid w:val="5D261179"/>
    <w:rsid w:val="5D600B2F"/>
    <w:rsid w:val="5D6F0D72"/>
    <w:rsid w:val="5D787D8E"/>
    <w:rsid w:val="5D7F0DE6"/>
    <w:rsid w:val="5D852344"/>
    <w:rsid w:val="5D8D11F8"/>
    <w:rsid w:val="5D8D5264"/>
    <w:rsid w:val="5D9205BD"/>
    <w:rsid w:val="5DD0462F"/>
    <w:rsid w:val="5DEF5A0F"/>
    <w:rsid w:val="5DF26102"/>
    <w:rsid w:val="5E03770C"/>
    <w:rsid w:val="5E61439A"/>
    <w:rsid w:val="5E6847CD"/>
    <w:rsid w:val="5E7303EE"/>
    <w:rsid w:val="5E7A5C21"/>
    <w:rsid w:val="5E8555FA"/>
    <w:rsid w:val="5E9228D4"/>
    <w:rsid w:val="5EAA7B88"/>
    <w:rsid w:val="5EB033F0"/>
    <w:rsid w:val="5EB31E59"/>
    <w:rsid w:val="5EB839EA"/>
    <w:rsid w:val="5ED115B9"/>
    <w:rsid w:val="5F0279C4"/>
    <w:rsid w:val="5F1A4D0E"/>
    <w:rsid w:val="5F28567D"/>
    <w:rsid w:val="5F2931A3"/>
    <w:rsid w:val="5F313E05"/>
    <w:rsid w:val="5F367B26"/>
    <w:rsid w:val="5F4D6E91"/>
    <w:rsid w:val="5F6661A5"/>
    <w:rsid w:val="5F7F1015"/>
    <w:rsid w:val="5FA64E91"/>
    <w:rsid w:val="5FB62BC7"/>
    <w:rsid w:val="5FBF1411"/>
    <w:rsid w:val="5FC66C44"/>
    <w:rsid w:val="5FD17AC2"/>
    <w:rsid w:val="5FDA04EC"/>
    <w:rsid w:val="5FF217E7"/>
    <w:rsid w:val="5FF34A8E"/>
    <w:rsid w:val="600808F0"/>
    <w:rsid w:val="60286248"/>
    <w:rsid w:val="602C46E8"/>
    <w:rsid w:val="60367925"/>
    <w:rsid w:val="603E2C7E"/>
    <w:rsid w:val="604324C2"/>
    <w:rsid w:val="60483AFC"/>
    <w:rsid w:val="606326F5"/>
    <w:rsid w:val="60681B1C"/>
    <w:rsid w:val="60730B79"/>
    <w:rsid w:val="60874625"/>
    <w:rsid w:val="608D150F"/>
    <w:rsid w:val="60934D78"/>
    <w:rsid w:val="60995CEB"/>
    <w:rsid w:val="60AC10A4"/>
    <w:rsid w:val="60B62814"/>
    <w:rsid w:val="60C457EE"/>
    <w:rsid w:val="60D45F50"/>
    <w:rsid w:val="60E20A32"/>
    <w:rsid w:val="60FB3360"/>
    <w:rsid w:val="610F160F"/>
    <w:rsid w:val="611C2337"/>
    <w:rsid w:val="612861BC"/>
    <w:rsid w:val="612B2820"/>
    <w:rsid w:val="612D7B77"/>
    <w:rsid w:val="61326FFC"/>
    <w:rsid w:val="613876CD"/>
    <w:rsid w:val="614A3380"/>
    <w:rsid w:val="61671FBA"/>
    <w:rsid w:val="616C52DB"/>
    <w:rsid w:val="616C7377"/>
    <w:rsid w:val="61702784"/>
    <w:rsid w:val="61753621"/>
    <w:rsid w:val="617565F6"/>
    <w:rsid w:val="618943CD"/>
    <w:rsid w:val="61986DEC"/>
    <w:rsid w:val="619E1C26"/>
    <w:rsid w:val="61B82265"/>
    <w:rsid w:val="61C158B1"/>
    <w:rsid w:val="61CB6793"/>
    <w:rsid w:val="61E23389"/>
    <w:rsid w:val="61EF2482"/>
    <w:rsid w:val="61EF54AA"/>
    <w:rsid w:val="61FE4473"/>
    <w:rsid w:val="620677CB"/>
    <w:rsid w:val="621D6D4D"/>
    <w:rsid w:val="622639C9"/>
    <w:rsid w:val="62353789"/>
    <w:rsid w:val="624B7144"/>
    <w:rsid w:val="62562501"/>
    <w:rsid w:val="62602AAB"/>
    <w:rsid w:val="62642590"/>
    <w:rsid w:val="628E2720"/>
    <w:rsid w:val="629C0520"/>
    <w:rsid w:val="62AD7971"/>
    <w:rsid w:val="62CE02E9"/>
    <w:rsid w:val="62D058DC"/>
    <w:rsid w:val="62DB2A06"/>
    <w:rsid w:val="62E32B18"/>
    <w:rsid w:val="62ED4B6E"/>
    <w:rsid w:val="63133F4E"/>
    <w:rsid w:val="631D301E"/>
    <w:rsid w:val="631E3B7C"/>
    <w:rsid w:val="631F28F3"/>
    <w:rsid w:val="63324681"/>
    <w:rsid w:val="63352116"/>
    <w:rsid w:val="633B5253"/>
    <w:rsid w:val="634603C6"/>
    <w:rsid w:val="63650337"/>
    <w:rsid w:val="6367429A"/>
    <w:rsid w:val="636C71C1"/>
    <w:rsid w:val="636D46E3"/>
    <w:rsid w:val="638C4074"/>
    <w:rsid w:val="63A728E8"/>
    <w:rsid w:val="63B8046B"/>
    <w:rsid w:val="63D27965"/>
    <w:rsid w:val="64002A47"/>
    <w:rsid w:val="640502D6"/>
    <w:rsid w:val="64066FDC"/>
    <w:rsid w:val="640779B7"/>
    <w:rsid w:val="640B731B"/>
    <w:rsid w:val="642F3009"/>
    <w:rsid w:val="64446389"/>
    <w:rsid w:val="644840CB"/>
    <w:rsid w:val="64813139"/>
    <w:rsid w:val="648151B4"/>
    <w:rsid w:val="64855C0F"/>
    <w:rsid w:val="649015CE"/>
    <w:rsid w:val="64A5151D"/>
    <w:rsid w:val="64C5571C"/>
    <w:rsid w:val="650325A3"/>
    <w:rsid w:val="65066F2E"/>
    <w:rsid w:val="653325E9"/>
    <w:rsid w:val="653528A1"/>
    <w:rsid w:val="653C401F"/>
    <w:rsid w:val="656B2FE5"/>
    <w:rsid w:val="65796B36"/>
    <w:rsid w:val="65817895"/>
    <w:rsid w:val="659C2113"/>
    <w:rsid w:val="65A215B9"/>
    <w:rsid w:val="65A90EBC"/>
    <w:rsid w:val="65C81A4F"/>
    <w:rsid w:val="65D73958"/>
    <w:rsid w:val="65DF45BB"/>
    <w:rsid w:val="65EA3499"/>
    <w:rsid w:val="661A3845"/>
    <w:rsid w:val="66231048"/>
    <w:rsid w:val="662621EA"/>
    <w:rsid w:val="66575D7D"/>
    <w:rsid w:val="665A00E6"/>
    <w:rsid w:val="667B0788"/>
    <w:rsid w:val="66954F1E"/>
    <w:rsid w:val="669F0930"/>
    <w:rsid w:val="66AB50FE"/>
    <w:rsid w:val="66AE2ECB"/>
    <w:rsid w:val="66B45A48"/>
    <w:rsid w:val="66EA2B70"/>
    <w:rsid w:val="66F13DA0"/>
    <w:rsid w:val="66F916AD"/>
    <w:rsid w:val="67193AFD"/>
    <w:rsid w:val="6727446C"/>
    <w:rsid w:val="6732696D"/>
    <w:rsid w:val="674C3ED2"/>
    <w:rsid w:val="674F751F"/>
    <w:rsid w:val="675759A0"/>
    <w:rsid w:val="67633AB0"/>
    <w:rsid w:val="67760F4F"/>
    <w:rsid w:val="678C2521"/>
    <w:rsid w:val="679933E7"/>
    <w:rsid w:val="67AB0BF9"/>
    <w:rsid w:val="67B61761"/>
    <w:rsid w:val="67BD6639"/>
    <w:rsid w:val="67F7371C"/>
    <w:rsid w:val="680D3662"/>
    <w:rsid w:val="685E5CDD"/>
    <w:rsid w:val="6870599E"/>
    <w:rsid w:val="68706417"/>
    <w:rsid w:val="68784853"/>
    <w:rsid w:val="687B6CB9"/>
    <w:rsid w:val="689005C2"/>
    <w:rsid w:val="68A11FFC"/>
    <w:rsid w:val="68AC6398"/>
    <w:rsid w:val="68B01E03"/>
    <w:rsid w:val="68B61D88"/>
    <w:rsid w:val="68B65AF9"/>
    <w:rsid w:val="68D4417F"/>
    <w:rsid w:val="68EF55BF"/>
    <w:rsid w:val="68F23CD8"/>
    <w:rsid w:val="68F40B39"/>
    <w:rsid w:val="68FC0779"/>
    <w:rsid w:val="68FD6917"/>
    <w:rsid w:val="69020CEC"/>
    <w:rsid w:val="690D143F"/>
    <w:rsid w:val="69246AA9"/>
    <w:rsid w:val="69261E17"/>
    <w:rsid w:val="693764BC"/>
    <w:rsid w:val="694D5CE0"/>
    <w:rsid w:val="6954706E"/>
    <w:rsid w:val="69643755"/>
    <w:rsid w:val="69664ACC"/>
    <w:rsid w:val="69825989"/>
    <w:rsid w:val="698E560F"/>
    <w:rsid w:val="69922853"/>
    <w:rsid w:val="69A71894"/>
    <w:rsid w:val="69B30239"/>
    <w:rsid w:val="69D0066A"/>
    <w:rsid w:val="69D14C3F"/>
    <w:rsid w:val="69DC05B3"/>
    <w:rsid w:val="6A0E546F"/>
    <w:rsid w:val="6A244992"/>
    <w:rsid w:val="6A261FD4"/>
    <w:rsid w:val="6A3D1BFD"/>
    <w:rsid w:val="6A5070DE"/>
    <w:rsid w:val="6A6B0B13"/>
    <w:rsid w:val="6A77650A"/>
    <w:rsid w:val="6A7A6FA8"/>
    <w:rsid w:val="6AA656A7"/>
    <w:rsid w:val="6AAB3FEE"/>
    <w:rsid w:val="6AB97AD1"/>
    <w:rsid w:val="6ADC77CB"/>
    <w:rsid w:val="6AE83F12"/>
    <w:rsid w:val="6AF162E4"/>
    <w:rsid w:val="6AFD68E0"/>
    <w:rsid w:val="6B2108C9"/>
    <w:rsid w:val="6B2313EE"/>
    <w:rsid w:val="6B316C7D"/>
    <w:rsid w:val="6B5127AE"/>
    <w:rsid w:val="6B695F28"/>
    <w:rsid w:val="6B700A62"/>
    <w:rsid w:val="6B7610BB"/>
    <w:rsid w:val="6B87197D"/>
    <w:rsid w:val="6BA30330"/>
    <w:rsid w:val="6BA92EEC"/>
    <w:rsid w:val="6BAB0F22"/>
    <w:rsid w:val="6BB40298"/>
    <w:rsid w:val="6BBF1117"/>
    <w:rsid w:val="6BCB1861"/>
    <w:rsid w:val="6BCB18F0"/>
    <w:rsid w:val="6BD46244"/>
    <w:rsid w:val="6BE76250"/>
    <w:rsid w:val="6C0C3C30"/>
    <w:rsid w:val="6C1A00FB"/>
    <w:rsid w:val="6C1E0459"/>
    <w:rsid w:val="6C224BFB"/>
    <w:rsid w:val="6C3C1A66"/>
    <w:rsid w:val="6C4A6222"/>
    <w:rsid w:val="6C5B1825"/>
    <w:rsid w:val="6C7517D5"/>
    <w:rsid w:val="6C8D4FD3"/>
    <w:rsid w:val="6C9C4FB4"/>
    <w:rsid w:val="6CA67BE1"/>
    <w:rsid w:val="6CC16DF8"/>
    <w:rsid w:val="6CC25503"/>
    <w:rsid w:val="6CCD33BF"/>
    <w:rsid w:val="6CDC482D"/>
    <w:rsid w:val="6CF46CB8"/>
    <w:rsid w:val="6CFA617E"/>
    <w:rsid w:val="6D1A60D0"/>
    <w:rsid w:val="6D221B3E"/>
    <w:rsid w:val="6D3A657B"/>
    <w:rsid w:val="6D3A78E6"/>
    <w:rsid w:val="6D3E250F"/>
    <w:rsid w:val="6D505D9E"/>
    <w:rsid w:val="6D6D4BA2"/>
    <w:rsid w:val="6D7777CF"/>
    <w:rsid w:val="6D9D5488"/>
    <w:rsid w:val="6DAE1443"/>
    <w:rsid w:val="6DB30807"/>
    <w:rsid w:val="6DC36570"/>
    <w:rsid w:val="6DC70686"/>
    <w:rsid w:val="6DC747D0"/>
    <w:rsid w:val="6DD30EA9"/>
    <w:rsid w:val="6DE54739"/>
    <w:rsid w:val="6DE85BCB"/>
    <w:rsid w:val="6DFA6436"/>
    <w:rsid w:val="6DFB21AE"/>
    <w:rsid w:val="6DFD1A82"/>
    <w:rsid w:val="6E0E3C8F"/>
    <w:rsid w:val="6E2E74DD"/>
    <w:rsid w:val="6E331948"/>
    <w:rsid w:val="6E497A61"/>
    <w:rsid w:val="6E4A0A40"/>
    <w:rsid w:val="6E4E22DE"/>
    <w:rsid w:val="6E567D69"/>
    <w:rsid w:val="6E6876E0"/>
    <w:rsid w:val="6E6B2E90"/>
    <w:rsid w:val="6E71421E"/>
    <w:rsid w:val="6E731D44"/>
    <w:rsid w:val="6E8B0E4A"/>
    <w:rsid w:val="6E937F29"/>
    <w:rsid w:val="6EB760D5"/>
    <w:rsid w:val="6EC407F2"/>
    <w:rsid w:val="6F003164"/>
    <w:rsid w:val="6F046E40"/>
    <w:rsid w:val="6F0A2187"/>
    <w:rsid w:val="6F0D4FF3"/>
    <w:rsid w:val="6F165703"/>
    <w:rsid w:val="6F173018"/>
    <w:rsid w:val="6F255735"/>
    <w:rsid w:val="6F4E709D"/>
    <w:rsid w:val="6F525B32"/>
    <w:rsid w:val="6F632D80"/>
    <w:rsid w:val="6F63625D"/>
    <w:rsid w:val="6F660ADE"/>
    <w:rsid w:val="6F683873"/>
    <w:rsid w:val="6F7A0DAE"/>
    <w:rsid w:val="6F836B0B"/>
    <w:rsid w:val="6FA04DBB"/>
    <w:rsid w:val="6FC41797"/>
    <w:rsid w:val="6FCA12D5"/>
    <w:rsid w:val="6FF957E3"/>
    <w:rsid w:val="6FFA10C7"/>
    <w:rsid w:val="6FFB6495"/>
    <w:rsid w:val="70117A67"/>
    <w:rsid w:val="701D465E"/>
    <w:rsid w:val="702308F0"/>
    <w:rsid w:val="702F7EED"/>
    <w:rsid w:val="7036127C"/>
    <w:rsid w:val="70495453"/>
    <w:rsid w:val="704C075F"/>
    <w:rsid w:val="706933FF"/>
    <w:rsid w:val="706C685F"/>
    <w:rsid w:val="706D73FE"/>
    <w:rsid w:val="707433B6"/>
    <w:rsid w:val="70765B1C"/>
    <w:rsid w:val="708E1B55"/>
    <w:rsid w:val="70C73094"/>
    <w:rsid w:val="70D016D0"/>
    <w:rsid w:val="71031AA6"/>
    <w:rsid w:val="711B176D"/>
    <w:rsid w:val="712864E8"/>
    <w:rsid w:val="713F0604"/>
    <w:rsid w:val="71566079"/>
    <w:rsid w:val="717D3CD5"/>
    <w:rsid w:val="71926986"/>
    <w:rsid w:val="71931673"/>
    <w:rsid w:val="71931C0B"/>
    <w:rsid w:val="719E532A"/>
    <w:rsid w:val="71A373EB"/>
    <w:rsid w:val="71A6519E"/>
    <w:rsid w:val="71C17073"/>
    <w:rsid w:val="71C70D7B"/>
    <w:rsid w:val="71CF3736"/>
    <w:rsid w:val="71D058CF"/>
    <w:rsid w:val="72013BF9"/>
    <w:rsid w:val="720A0BFF"/>
    <w:rsid w:val="7222121A"/>
    <w:rsid w:val="72264D1E"/>
    <w:rsid w:val="72336CE6"/>
    <w:rsid w:val="723B701D"/>
    <w:rsid w:val="723F34BB"/>
    <w:rsid w:val="724F0D1A"/>
    <w:rsid w:val="726A345E"/>
    <w:rsid w:val="728C01CB"/>
    <w:rsid w:val="728C5ACB"/>
    <w:rsid w:val="72A526E9"/>
    <w:rsid w:val="72A52CC7"/>
    <w:rsid w:val="72AB7BB5"/>
    <w:rsid w:val="72BA082F"/>
    <w:rsid w:val="72BF415D"/>
    <w:rsid w:val="72E06587"/>
    <w:rsid w:val="72E471B3"/>
    <w:rsid w:val="72F77CB0"/>
    <w:rsid w:val="72FB430F"/>
    <w:rsid w:val="73281C56"/>
    <w:rsid w:val="7343262D"/>
    <w:rsid w:val="7350457E"/>
    <w:rsid w:val="735859AD"/>
    <w:rsid w:val="73612AB3"/>
    <w:rsid w:val="73624258"/>
    <w:rsid w:val="73695125"/>
    <w:rsid w:val="736D1458"/>
    <w:rsid w:val="73791D2E"/>
    <w:rsid w:val="7384715C"/>
    <w:rsid w:val="73867F6D"/>
    <w:rsid w:val="73B01345"/>
    <w:rsid w:val="73BA5622"/>
    <w:rsid w:val="73BE3C54"/>
    <w:rsid w:val="73C60A25"/>
    <w:rsid w:val="73C67785"/>
    <w:rsid w:val="73D72D76"/>
    <w:rsid w:val="73E41BF3"/>
    <w:rsid w:val="73FB6A64"/>
    <w:rsid w:val="740F62AB"/>
    <w:rsid w:val="741510DC"/>
    <w:rsid w:val="7416389E"/>
    <w:rsid w:val="74171171"/>
    <w:rsid w:val="74192A57"/>
    <w:rsid w:val="74406B6D"/>
    <w:rsid w:val="744120B0"/>
    <w:rsid w:val="74515D0F"/>
    <w:rsid w:val="745919DD"/>
    <w:rsid w:val="74732A9E"/>
    <w:rsid w:val="748E5B2A"/>
    <w:rsid w:val="74983962"/>
    <w:rsid w:val="74A50BEC"/>
    <w:rsid w:val="74AA1CA9"/>
    <w:rsid w:val="74B65081"/>
    <w:rsid w:val="74B9551A"/>
    <w:rsid w:val="74C725A2"/>
    <w:rsid w:val="74D575BA"/>
    <w:rsid w:val="74D774D1"/>
    <w:rsid w:val="74E8308A"/>
    <w:rsid w:val="74ED4817"/>
    <w:rsid w:val="75303664"/>
    <w:rsid w:val="7544443B"/>
    <w:rsid w:val="75472470"/>
    <w:rsid w:val="754D1541"/>
    <w:rsid w:val="754E6641"/>
    <w:rsid w:val="755723C0"/>
    <w:rsid w:val="7578482D"/>
    <w:rsid w:val="759622C6"/>
    <w:rsid w:val="75A44ED9"/>
    <w:rsid w:val="75BC2223"/>
    <w:rsid w:val="75BF1D13"/>
    <w:rsid w:val="75D524F2"/>
    <w:rsid w:val="75E66D42"/>
    <w:rsid w:val="75E672A0"/>
    <w:rsid w:val="760F67F7"/>
    <w:rsid w:val="76355EFA"/>
    <w:rsid w:val="765661D4"/>
    <w:rsid w:val="76642C4E"/>
    <w:rsid w:val="766C59F7"/>
    <w:rsid w:val="7675235D"/>
    <w:rsid w:val="76760624"/>
    <w:rsid w:val="767A40FC"/>
    <w:rsid w:val="769B54C8"/>
    <w:rsid w:val="76D313AC"/>
    <w:rsid w:val="76D773C6"/>
    <w:rsid w:val="76DA66C0"/>
    <w:rsid w:val="76DF08BF"/>
    <w:rsid w:val="76DF26F2"/>
    <w:rsid w:val="76F105F2"/>
    <w:rsid w:val="76FD6F97"/>
    <w:rsid w:val="771D4F43"/>
    <w:rsid w:val="772937FE"/>
    <w:rsid w:val="776F54FE"/>
    <w:rsid w:val="777F5BFE"/>
    <w:rsid w:val="77B070F5"/>
    <w:rsid w:val="77B37656"/>
    <w:rsid w:val="77B51620"/>
    <w:rsid w:val="77C23F98"/>
    <w:rsid w:val="77F53699"/>
    <w:rsid w:val="784976AB"/>
    <w:rsid w:val="78580F26"/>
    <w:rsid w:val="78585CB2"/>
    <w:rsid w:val="786170B2"/>
    <w:rsid w:val="7883380E"/>
    <w:rsid w:val="78886D34"/>
    <w:rsid w:val="788E2390"/>
    <w:rsid w:val="789711D5"/>
    <w:rsid w:val="78AC5F5A"/>
    <w:rsid w:val="78B22DD4"/>
    <w:rsid w:val="78D45AD6"/>
    <w:rsid w:val="78F9378E"/>
    <w:rsid w:val="79053EE1"/>
    <w:rsid w:val="790A7749"/>
    <w:rsid w:val="79142376"/>
    <w:rsid w:val="79152036"/>
    <w:rsid w:val="791B3704"/>
    <w:rsid w:val="793A6280"/>
    <w:rsid w:val="793B3DA7"/>
    <w:rsid w:val="79542F67"/>
    <w:rsid w:val="795804B5"/>
    <w:rsid w:val="795F1843"/>
    <w:rsid w:val="796F0971"/>
    <w:rsid w:val="798D4602"/>
    <w:rsid w:val="799040F2"/>
    <w:rsid w:val="79975481"/>
    <w:rsid w:val="799A528E"/>
    <w:rsid w:val="79AC7312"/>
    <w:rsid w:val="79BD2A0E"/>
    <w:rsid w:val="79CA35C3"/>
    <w:rsid w:val="79CC239E"/>
    <w:rsid w:val="79F67C69"/>
    <w:rsid w:val="7A0B5527"/>
    <w:rsid w:val="7A305A3A"/>
    <w:rsid w:val="7A3B22B0"/>
    <w:rsid w:val="7A3C1B84"/>
    <w:rsid w:val="7A405098"/>
    <w:rsid w:val="7A5F5873"/>
    <w:rsid w:val="7A9279F6"/>
    <w:rsid w:val="7AA5597C"/>
    <w:rsid w:val="7AC83418"/>
    <w:rsid w:val="7ACB4CB6"/>
    <w:rsid w:val="7AE30252"/>
    <w:rsid w:val="7AE53FCA"/>
    <w:rsid w:val="7B187EFC"/>
    <w:rsid w:val="7B191EC6"/>
    <w:rsid w:val="7B5B0730"/>
    <w:rsid w:val="7B7B66DC"/>
    <w:rsid w:val="7B876E2F"/>
    <w:rsid w:val="7B8A691F"/>
    <w:rsid w:val="7B911AAE"/>
    <w:rsid w:val="7B95779E"/>
    <w:rsid w:val="7BB816DF"/>
    <w:rsid w:val="7BD06A28"/>
    <w:rsid w:val="7BD36518"/>
    <w:rsid w:val="7BDC34AC"/>
    <w:rsid w:val="7BFA03E0"/>
    <w:rsid w:val="7C014E34"/>
    <w:rsid w:val="7C0F6C70"/>
    <w:rsid w:val="7C280612"/>
    <w:rsid w:val="7C350F81"/>
    <w:rsid w:val="7C58336E"/>
    <w:rsid w:val="7C6B0496"/>
    <w:rsid w:val="7C7A6994"/>
    <w:rsid w:val="7C914C70"/>
    <w:rsid w:val="7CAB1B33"/>
    <w:rsid w:val="7CAD0B17"/>
    <w:rsid w:val="7CCE35F1"/>
    <w:rsid w:val="7CE959A6"/>
    <w:rsid w:val="7CF1204D"/>
    <w:rsid w:val="7CF67CAA"/>
    <w:rsid w:val="7D01709E"/>
    <w:rsid w:val="7D11248E"/>
    <w:rsid w:val="7D1B1F25"/>
    <w:rsid w:val="7D4944D0"/>
    <w:rsid w:val="7D586CD5"/>
    <w:rsid w:val="7D6027A4"/>
    <w:rsid w:val="7D781125"/>
    <w:rsid w:val="7D7F0706"/>
    <w:rsid w:val="7D8400C5"/>
    <w:rsid w:val="7D877976"/>
    <w:rsid w:val="7D8C5DEA"/>
    <w:rsid w:val="7D8E7AB2"/>
    <w:rsid w:val="7DB163E5"/>
    <w:rsid w:val="7DF86D46"/>
    <w:rsid w:val="7DFB1059"/>
    <w:rsid w:val="7DFC3B04"/>
    <w:rsid w:val="7DFC4599"/>
    <w:rsid w:val="7E933D3D"/>
    <w:rsid w:val="7EA83C8C"/>
    <w:rsid w:val="7EC565EC"/>
    <w:rsid w:val="7EDF5174"/>
    <w:rsid w:val="7EE36A72"/>
    <w:rsid w:val="7EEA1BAF"/>
    <w:rsid w:val="7EF46ED2"/>
    <w:rsid w:val="7F29299F"/>
    <w:rsid w:val="7F4D213E"/>
    <w:rsid w:val="7F594F87"/>
    <w:rsid w:val="7F612A25"/>
    <w:rsid w:val="7F62204B"/>
    <w:rsid w:val="7F647934"/>
    <w:rsid w:val="7F6C1FFF"/>
    <w:rsid w:val="7F767AB1"/>
    <w:rsid w:val="7FA75CF2"/>
    <w:rsid w:val="7FB1091F"/>
    <w:rsid w:val="7FB27487"/>
    <w:rsid w:val="7FC566AD"/>
    <w:rsid w:val="7FCD0635"/>
    <w:rsid w:val="7FD12D6F"/>
    <w:rsid w:val="7FD60E21"/>
    <w:rsid w:val="7FE16674"/>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9" w:semiHidden="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90" w:line="578" w:lineRule="auto"/>
      <w:outlineLvl w:val="0"/>
    </w:pPr>
    <w:rPr>
      <w:rFonts w:eastAsia="华文细黑"/>
      <w:b/>
      <w:bCs/>
      <w:kern w:val="44"/>
      <w:sz w:val="30"/>
      <w:szCs w:val="44"/>
    </w:rPr>
  </w:style>
  <w:style w:type="paragraph" w:styleId="3">
    <w:name w:val="heading 2"/>
    <w:basedOn w:val="1"/>
    <w:next w:val="4"/>
    <w:qFormat/>
    <w:uiPriority w:val="9"/>
    <w:pPr>
      <w:keepNext/>
      <w:keepLines/>
      <w:spacing w:before="260" w:after="260" w:line="416" w:lineRule="auto"/>
      <w:jc w:val="center"/>
      <w:outlineLvl w:val="1"/>
    </w:pPr>
    <w:rPr>
      <w:rFonts w:ascii="Arial" w:hAnsi="Arial" w:eastAsia="幼圆"/>
      <w:b/>
      <w:kern w:val="0"/>
      <w:sz w:val="44"/>
      <w:szCs w:val="20"/>
    </w:rPr>
  </w:style>
  <w:style w:type="paragraph" w:styleId="5">
    <w:name w:val="heading 3"/>
    <w:basedOn w:val="1"/>
    <w:next w:val="1"/>
    <w:link w:val="49"/>
    <w:qFormat/>
    <w:uiPriority w:val="0"/>
    <w:pPr>
      <w:keepNext/>
      <w:keepLines/>
      <w:spacing w:line="416" w:lineRule="auto"/>
      <w:outlineLvl w:val="2"/>
    </w:pPr>
    <w:rPr>
      <w:b/>
      <w:kern w:val="0"/>
      <w:sz w:val="32"/>
      <w:szCs w:val="20"/>
    </w:rPr>
  </w:style>
  <w:style w:type="paragraph" w:styleId="6">
    <w:name w:val="heading 7"/>
    <w:basedOn w:val="1"/>
    <w:next w:val="1"/>
    <w:qFormat/>
    <w:uiPriority w:val="9"/>
    <w:pPr>
      <w:keepNext/>
      <w:keepLines/>
      <w:spacing w:before="240" w:after="64" w:line="320" w:lineRule="auto"/>
      <w:outlineLvl w:val="6"/>
    </w:pPr>
    <w:rPr>
      <w:b/>
      <w:bCs/>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kern w:val="0"/>
      <w:sz w:val="20"/>
      <w:szCs w:val="20"/>
    </w:rPr>
  </w:style>
  <w:style w:type="paragraph" w:styleId="7">
    <w:name w:val="annotation text"/>
    <w:basedOn w:val="1"/>
    <w:link w:val="52"/>
    <w:qFormat/>
    <w:uiPriority w:val="99"/>
    <w:pPr>
      <w:jc w:val="left"/>
    </w:pPr>
    <w:rPr>
      <w:kern w:val="0"/>
      <w:sz w:val="20"/>
    </w:rPr>
  </w:style>
  <w:style w:type="paragraph" w:styleId="8">
    <w:name w:val="Body Text"/>
    <w:basedOn w:val="1"/>
    <w:qFormat/>
    <w:uiPriority w:val="99"/>
    <w:rPr>
      <w:rFonts w:ascii="楷体_GB2312" w:hAnsi="Arial" w:eastAsia="楷体_GB2312"/>
      <w:kern w:val="0"/>
      <w:sz w:val="28"/>
      <w:szCs w:val="20"/>
    </w:rPr>
  </w:style>
  <w:style w:type="paragraph" w:styleId="9">
    <w:name w:val="Body Text Indent"/>
    <w:basedOn w:val="1"/>
    <w:qFormat/>
    <w:uiPriority w:val="0"/>
    <w:pPr>
      <w:ind w:firstLine="645"/>
    </w:pPr>
    <w:rPr>
      <w:rFonts w:ascii="楷体_GB2312" w:eastAsia="楷体_GB2312"/>
      <w:kern w:val="0"/>
      <w:sz w:val="32"/>
      <w:szCs w:val="20"/>
    </w:rPr>
  </w:style>
  <w:style w:type="paragraph" w:styleId="10">
    <w:name w:val="index 4"/>
    <w:basedOn w:val="1"/>
    <w:next w:val="1"/>
    <w:unhideWhenUsed/>
    <w:qFormat/>
    <w:uiPriority w:val="99"/>
    <w:pPr>
      <w:ind w:firstLine="420" w:firstLineChars="200"/>
      <w:jc w:val="left"/>
    </w:pPr>
    <w:rPr>
      <w:rFonts w:ascii="宋体" w:hAnsi="宋体"/>
      <w:color w:val="FF0000"/>
      <w:szCs w:val="21"/>
    </w:rPr>
  </w:style>
  <w:style w:type="paragraph" w:styleId="11">
    <w:name w:val="toc 3"/>
    <w:basedOn w:val="1"/>
    <w:next w:val="1"/>
    <w:unhideWhenUsed/>
    <w:qFormat/>
    <w:uiPriority w:val="39"/>
    <w:pPr>
      <w:ind w:left="840" w:leftChars="400"/>
    </w:pPr>
  </w:style>
  <w:style w:type="paragraph" w:styleId="12">
    <w:name w:val="Plain Text"/>
    <w:basedOn w:val="1"/>
    <w:link w:val="50"/>
    <w:qFormat/>
    <w:uiPriority w:val="0"/>
    <w:rPr>
      <w:rFonts w:ascii="宋体" w:hAnsi="Courier New"/>
      <w:kern w:val="0"/>
      <w:sz w:val="20"/>
      <w:szCs w:val="20"/>
    </w:rPr>
  </w:style>
  <w:style w:type="paragraph" w:styleId="13">
    <w:name w:val="Body Text Indent 2"/>
    <w:basedOn w:val="1"/>
    <w:qFormat/>
    <w:uiPriority w:val="0"/>
    <w:pPr>
      <w:widowControl/>
      <w:spacing w:before="100" w:beforeAutospacing="1" w:after="100" w:afterAutospacing="1"/>
      <w:jc w:val="left"/>
    </w:pPr>
    <w:rPr>
      <w:rFonts w:ascii="宋体" w:hAnsi="宋体"/>
      <w:kern w:val="0"/>
      <w:sz w:val="24"/>
    </w:rPr>
  </w:style>
  <w:style w:type="paragraph" w:styleId="14">
    <w:name w:val="Balloon Text"/>
    <w:basedOn w:val="1"/>
    <w:link w:val="40"/>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envelope return"/>
    <w:basedOn w:val="1"/>
    <w:unhideWhenUsed/>
    <w:qFormat/>
    <w:uiPriority w:val="0"/>
    <w:pPr>
      <w:snapToGrid w:val="0"/>
    </w:pPr>
    <w:rPr>
      <w:rFonts w:ascii="Arial" w:hAnsi="Arial"/>
    </w:rPr>
  </w:style>
  <w:style w:type="paragraph" w:styleId="17">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line="360" w:lineRule="auto"/>
    </w:pPr>
    <w:rPr>
      <w:rFonts w:asciiTheme="minorHAnsi" w:hAnsiTheme="minorHAnsi" w:cstheme="minorBidi"/>
      <w:sz w:val="24"/>
    </w:rPr>
  </w:style>
  <w:style w:type="paragraph" w:styleId="19">
    <w:name w:val="index 9"/>
    <w:basedOn w:val="1"/>
    <w:next w:val="1"/>
    <w:unhideWhenUsed/>
    <w:qFormat/>
    <w:uiPriority w:val="99"/>
    <w:pPr>
      <w:ind w:left="1600" w:leftChars="1600"/>
    </w:pPr>
  </w:style>
  <w:style w:type="paragraph" w:styleId="20">
    <w:name w:val="toc 2"/>
    <w:basedOn w:val="1"/>
    <w:next w:val="1"/>
    <w:autoRedefine/>
    <w:qFormat/>
    <w:uiPriority w:val="39"/>
    <w:pPr>
      <w:spacing w:line="360" w:lineRule="auto"/>
      <w:ind w:left="420" w:leftChars="200"/>
    </w:pPr>
    <w:rPr>
      <w:rFonts w:asciiTheme="minorHAnsi" w:hAnsiTheme="minorHAnsi" w:cstheme="minorBidi"/>
      <w:sz w:val="24"/>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2">
    <w:name w:val="Normal (Web)"/>
    <w:basedOn w:val="1"/>
    <w:autoRedefine/>
    <w:qFormat/>
    <w:uiPriority w:val="99"/>
    <w:pPr>
      <w:widowControl/>
      <w:spacing w:before="100" w:beforeAutospacing="1" w:after="100" w:afterAutospacing="1"/>
    </w:pPr>
    <w:rPr>
      <w:rFonts w:ascii="宋体" w:hAnsi="宋体"/>
      <w:kern w:val="0"/>
      <w:sz w:val="24"/>
      <w:szCs w:val="20"/>
    </w:rPr>
  </w:style>
  <w:style w:type="paragraph" w:styleId="23">
    <w:name w:val="Title"/>
    <w:basedOn w:val="1"/>
    <w:next w:val="1"/>
    <w:link w:val="51"/>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7"/>
    <w:next w:val="7"/>
    <w:link w:val="53"/>
    <w:autoRedefine/>
    <w:semiHidden/>
    <w:unhideWhenUsed/>
    <w:qFormat/>
    <w:uiPriority w:val="0"/>
    <w:rPr>
      <w:b/>
      <w:bCs/>
      <w:kern w:val="2"/>
      <w:sz w:val="21"/>
    </w:rPr>
  </w:style>
  <w:style w:type="paragraph" w:styleId="25">
    <w:name w:val="Body Text First Indent"/>
    <w:basedOn w:val="1"/>
    <w:next w:val="1"/>
    <w:unhideWhenUsed/>
    <w:qFormat/>
    <w:uiPriority w:val="99"/>
    <w:pPr>
      <w:spacing w:after="120"/>
      <w:ind w:firstLine="420" w:firstLineChars="100"/>
    </w:pPr>
    <w:rPr>
      <w:rFonts w:ascii="Times New Roman"/>
      <w:sz w:val="21"/>
    </w:rPr>
  </w:style>
  <w:style w:type="paragraph" w:styleId="26">
    <w:name w:val="Body Text First Indent 2"/>
    <w:basedOn w:val="9"/>
    <w:next w:val="1"/>
    <w:qFormat/>
    <w:uiPriority w:val="0"/>
    <w:pPr>
      <w:spacing w:line="360" w:lineRule="auto"/>
      <w:ind w:firstLine="420" w:firstLineChars="200"/>
    </w:pPr>
    <w:rPr>
      <w:rFonts w:ascii="宋体" w:hAnsi="宋体"/>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paragraph" w:customStyle="1" w:styleId="34">
    <w:name w:val="一级条标题"/>
    <w:basedOn w:val="35"/>
    <w:next w:val="36"/>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35">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36">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7">
    <w:name w:val="Heading1"/>
    <w:basedOn w:val="1"/>
    <w:next w:val="1"/>
    <w:qFormat/>
    <w:uiPriority w:val="0"/>
    <w:pPr>
      <w:keepNext/>
      <w:textAlignment w:val="baseline"/>
    </w:pPr>
    <w:rPr>
      <w:rFonts w:ascii="等线 Light" w:eastAsia="等线 Light"/>
      <w:sz w:val="28"/>
      <w:szCs w:val="20"/>
    </w:rPr>
  </w:style>
  <w:style w:type="paragraph" w:customStyle="1" w:styleId="38">
    <w:name w:val="首行缩进"/>
    <w:basedOn w:val="1"/>
    <w:qFormat/>
    <w:uiPriority w:val="0"/>
    <w:pPr>
      <w:ind w:firstLine="480" w:firstLineChars="200"/>
    </w:pPr>
    <w:rPr>
      <w:szCs w:val="20"/>
      <w:lang w:val="zh-CN"/>
    </w:rPr>
  </w:style>
  <w:style w:type="character" w:customStyle="1" w:styleId="39">
    <w:name w:val="页眉 Char"/>
    <w:link w:val="17"/>
    <w:qFormat/>
    <w:uiPriority w:val="0"/>
    <w:rPr>
      <w:rFonts w:ascii="Times New Roman" w:hAnsi="Times New Roman" w:eastAsia="宋体" w:cs="Times New Roman"/>
      <w:kern w:val="2"/>
      <w:sz w:val="18"/>
      <w:szCs w:val="18"/>
    </w:rPr>
  </w:style>
  <w:style w:type="character" w:customStyle="1" w:styleId="40">
    <w:name w:val="批注框文本 Char"/>
    <w:link w:val="14"/>
    <w:qFormat/>
    <w:uiPriority w:val="0"/>
    <w:rPr>
      <w:rFonts w:ascii="Times New Roman" w:hAnsi="Times New Roman" w:eastAsia="宋体" w:cs="Times New Roman"/>
      <w:kern w:val="2"/>
      <w:sz w:val="18"/>
      <w:szCs w:val="18"/>
    </w:rPr>
  </w:style>
  <w:style w:type="character" w:customStyle="1" w:styleId="41">
    <w:name w:val="页脚 Char"/>
    <w:link w:val="15"/>
    <w:qFormat/>
    <w:uiPriority w:val="0"/>
    <w:rPr>
      <w:rFonts w:ascii="Times New Roman" w:hAnsi="Times New Roman" w:eastAsia="宋体" w:cs="Times New Roman"/>
      <w:kern w:val="2"/>
      <w:sz w:val="18"/>
      <w:szCs w:val="18"/>
    </w:rPr>
  </w:style>
  <w:style w:type="paragraph" w:styleId="42">
    <w:name w:val="List Paragraph"/>
    <w:basedOn w:val="1"/>
    <w:qFormat/>
    <w:uiPriority w:val="34"/>
    <w:pPr>
      <w:ind w:firstLine="420" w:firstLineChars="200"/>
    </w:pPr>
    <w:rPr>
      <w:rFonts w:ascii="Calibri" w:hAnsi="Calibri"/>
      <w:kern w:val="0"/>
      <w:sz w:val="20"/>
      <w:szCs w:val="20"/>
    </w:rPr>
  </w:style>
  <w:style w:type="paragraph" w:customStyle="1" w:styleId="43">
    <w:name w:val="正文缩进1"/>
    <w:basedOn w:val="1"/>
    <w:next w:val="1"/>
    <w:qFormat/>
    <w:uiPriority w:val="0"/>
    <w:pPr>
      <w:autoSpaceDE w:val="0"/>
      <w:autoSpaceDN w:val="0"/>
      <w:adjustRightInd w:val="0"/>
      <w:ind w:firstLine="420"/>
      <w:jc w:val="left"/>
    </w:pPr>
    <w:rPr>
      <w:rFonts w:ascii="宋体"/>
      <w:kern w:val="0"/>
      <w:sz w:val="24"/>
      <w:szCs w:val="20"/>
    </w:rPr>
  </w:style>
  <w:style w:type="paragraph" w:customStyle="1" w:styleId="4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45">
    <w:name w:val="纯文本1"/>
    <w:basedOn w:val="1"/>
    <w:qFormat/>
    <w:uiPriority w:val="0"/>
    <w:pPr>
      <w:adjustRightInd w:val="0"/>
    </w:pPr>
    <w:rPr>
      <w:rFonts w:ascii="宋体" w:hAnsi="Courier New" w:eastAsia="楷体_GB2312"/>
      <w:sz w:val="28"/>
      <w:szCs w:val="20"/>
    </w:rPr>
  </w:style>
  <w:style w:type="table" w:customStyle="1" w:styleId="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4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正文1"/>
    <w:next w:val="1"/>
    <w:qFormat/>
    <w:uiPriority w:val="0"/>
    <w:pPr>
      <w:widowControl w:val="0"/>
      <w:jc w:val="both"/>
    </w:pPr>
    <w:rPr>
      <w:rFonts w:ascii="Calibri" w:hAnsi="Calibri" w:eastAsia="宋体" w:cs="Times New Roman"/>
      <w:kern w:val="2"/>
      <w:sz w:val="21"/>
      <w:szCs w:val="21"/>
      <w:lang w:val="en-US" w:eastAsia="zh-CN" w:bidi="ar-SA"/>
    </w:rPr>
  </w:style>
  <w:style w:type="character" w:customStyle="1" w:styleId="49">
    <w:name w:val="标题 3 Char"/>
    <w:link w:val="5"/>
    <w:qFormat/>
    <w:uiPriority w:val="0"/>
    <w:rPr>
      <w:b/>
      <w:sz w:val="32"/>
    </w:rPr>
  </w:style>
  <w:style w:type="character" w:customStyle="1" w:styleId="50">
    <w:name w:val="纯文本 Char"/>
    <w:link w:val="12"/>
    <w:qFormat/>
    <w:locked/>
    <w:uiPriority w:val="0"/>
    <w:rPr>
      <w:rFonts w:ascii="宋体" w:hAnsi="Courier New"/>
    </w:rPr>
  </w:style>
  <w:style w:type="character" w:customStyle="1" w:styleId="51">
    <w:name w:val="标题 Char"/>
    <w:basedOn w:val="29"/>
    <w:link w:val="23"/>
    <w:qFormat/>
    <w:uiPriority w:val="0"/>
    <w:rPr>
      <w:rFonts w:asciiTheme="majorHAnsi" w:hAnsiTheme="majorHAnsi" w:eastAsiaTheme="majorEastAsia" w:cstheme="majorBidi"/>
      <w:b/>
      <w:bCs/>
      <w:kern w:val="2"/>
      <w:sz w:val="32"/>
      <w:szCs w:val="32"/>
    </w:rPr>
  </w:style>
  <w:style w:type="character" w:customStyle="1" w:styleId="52">
    <w:name w:val="批注文字 Char"/>
    <w:basedOn w:val="29"/>
    <w:link w:val="7"/>
    <w:qFormat/>
    <w:uiPriority w:val="99"/>
    <w:rPr>
      <w:szCs w:val="24"/>
    </w:rPr>
  </w:style>
  <w:style w:type="character" w:customStyle="1" w:styleId="53">
    <w:name w:val="批注主题 Char"/>
    <w:basedOn w:val="52"/>
    <w:link w:val="24"/>
    <w:semiHidden/>
    <w:qFormat/>
    <w:uiPriority w:val="0"/>
    <w:rPr>
      <w:b/>
      <w:bCs/>
      <w:kern w:val="2"/>
      <w:sz w:val="21"/>
      <w:szCs w:val="24"/>
    </w:rPr>
  </w:style>
  <w:style w:type="paragraph" w:customStyle="1" w:styleId="5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5">
    <w:name w:val="一、（二级标题）"/>
    <w:qFormat/>
    <w:uiPriority w:val="0"/>
    <w:pPr>
      <w:widowControl w:val="0"/>
      <w:tabs>
        <w:tab w:val="left" w:pos="993"/>
        <w:tab w:val="left" w:pos="1276"/>
      </w:tabs>
      <w:wordWrap w:val="0"/>
      <w:ind w:firstLine="200" w:firstLineChars="200"/>
      <w:outlineLvl w:val="1"/>
    </w:pPr>
    <w:rPr>
      <w:rFonts w:ascii="Arial" w:hAnsi="Arial" w:eastAsia="黑体" w:cs="Times New Roman"/>
      <w:bCs/>
      <w:kern w:val="2"/>
      <w:sz w:val="28"/>
      <w:szCs w:val="32"/>
      <w:lang w:val="en-US" w:eastAsia="zh-CN" w:bidi="ar-SA"/>
    </w:rPr>
  </w:style>
  <w:style w:type="paragraph" w:customStyle="1" w:styleId="56">
    <w:name w:val="（一）正文标题"/>
    <w:basedOn w:val="5"/>
    <w:qFormat/>
    <w:uiPriority w:val="0"/>
    <w:pPr>
      <w:keepNext w:val="0"/>
      <w:keepLines w:val="0"/>
      <w:tabs>
        <w:tab w:val="left" w:pos="993"/>
        <w:tab w:val="left" w:pos="1134"/>
        <w:tab w:val="left" w:pos="1276"/>
        <w:tab w:val="left" w:pos="1418"/>
      </w:tabs>
      <w:wordWrap w:val="0"/>
      <w:ind w:firstLine="200" w:firstLineChars="200"/>
    </w:pPr>
    <w:rPr>
      <w:rFonts w:ascii="仿宋_GB2312" w:hAnsi="仿宋_GB2312" w:eastAsia="楷体"/>
      <w:szCs w:val="28"/>
    </w:rPr>
  </w:style>
  <w:style w:type="paragraph" w:customStyle="1" w:styleId="57">
    <w:name w:val="文本"/>
    <w:qFormat/>
    <w:uiPriority w:val="0"/>
    <w:pPr>
      <w:widowControl w:val="0"/>
      <w:wordWrap w:val="0"/>
      <w:spacing w:line="360" w:lineRule="auto"/>
      <w:ind w:firstLine="200" w:firstLineChars="200"/>
    </w:pPr>
    <w:rPr>
      <w:rFonts w:ascii="仿宋_GB2312" w:hAnsi="Times New Roman" w:eastAsia="仿宋_GB2312" w:cs="Times New Roman"/>
      <w:kern w:val="2"/>
      <w:sz w:val="28"/>
      <w:szCs w:val="24"/>
      <w:lang w:val="en-US" w:eastAsia="zh-CN" w:bidi="ar-SA"/>
    </w:rPr>
  </w:style>
  <w:style w:type="paragraph" w:customStyle="1" w:styleId="58">
    <w:name w:val="1."/>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 w:type="paragraph" w:customStyle="1" w:styleId="59">
    <w:name w:val="Table Text"/>
    <w:basedOn w:val="1"/>
    <w:semiHidden/>
    <w:qFormat/>
    <w:uiPriority w:val="0"/>
    <w:rPr>
      <w:rFonts w:ascii="宋体" w:hAnsi="宋体" w:cs="宋体"/>
      <w:sz w:val="20"/>
      <w:szCs w:val="20"/>
      <w:lang w:eastAsia="en-US"/>
    </w:rPr>
  </w:style>
  <w:style w:type="paragraph" w:customStyle="1" w:styleId="60">
    <w:name w:val="Table Paragraph"/>
    <w:basedOn w:val="1"/>
    <w:qFormat/>
    <w:uiPriority w:val="1"/>
    <w:rPr>
      <w:rFonts w:ascii="仿宋" w:hAnsi="仿宋" w:eastAsia="仿宋" w:cs="仿宋"/>
    </w:rPr>
  </w:style>
  <w:style w:type="paragraph" w:customStyle="1" w:styleId="61">
    <w:name w:val="列出段落1"/>
    <w:basedOn w:val="1"/>
    <w:qFormat/>
    <w:uiPriority w:val="0"/>
    <w:pPr>
      <w:widowControl/>
      <w:ind w:left="720"/>
      <w:contextualSpacing/>
      <w:jc w:val="left"/>
    </w:pPr>
    <w:rPr>
      <w:rFonts w:ascii="Calibri" w:hAnsi="Calibri"/>
      <w:kern w:val="0"/>
      <w:sz w:val="24"/>
      <w:lang w:eastAsia="en-US" w:bidi="en-US"/>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5">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66">
    <w:name w:val="Placeholder Text"/>
    <w:basedOn w:val="29"/>
    <w:unhideWhenUsed/>
    <w:qFormat/>
    <w:uiPriority w:val="99"/>
    <w:rPr>
      <w:color w:val="808080"/>
    </w:rPr>
  </w:style>
  <w:style w:type="paragraph" w:customStyle="1" w:styleId="67">
    <w:name w:val="附录1"/>
    <w:qFormat/>
    <w:uiPriority w:val="99"/>
    <w:pPr>
      <w:numPr>
        <w:ilvl w:val="0"/>
        <w:numId w:val="1"/>
      </w:numPr>
      <w:tabs>
        <w:tab w:val="left" w:pos="907"/>
      </w:tabs>
      <w:snapToGrid w:val="0"/>
      <w:spacing w:before="240" w:line="600" w:lineRule="atLeast"/>
    </w:pPr>
    <w:rPr>
      <w:rFonts w:ascii="Times New Roman" w:hAnsi="Times New Roman" w:eastAsia="宋体" w:cs="Times New Roman"/>
      <w:b/>
      <w:i/>
      <w:sz w:val="28"/>
      <w:lang w:val="en-US" w:eastAsia="zh-CN" w:bidi="ar-SA"/>
    </w:rPr>
  </w:style>
  <w:style w:type="paragraph" w:customStyle="1" w:styleId="6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9">
    <w:name w:val="正文文本1"/>
    <w:basedOn w:val="1"/>
    <w:next w:val="43"/>
    <w:qFormat/>
    <w:uiPriority w:val="0"/>
    <w:rPr>
      <w:rFonts w:ascii="楷体_GB2312" w:hAnsi="Arial" w:eastAsia="楷体_GB2312"/>
      <w:sz w:val="28"/>
      <w:szCs w:val="28"/>
    </w:rPr>
  </w:style>
  <w:style w:type="paragraph" w:customStyle="1" w:styleId="70">
    <w:name w:val="Blockquote"/>
    <w:basedOn w:val="1"/>
    <w:qFormat/>
    <w:uiPriority w:val="0"/>
    <w:pPr>
      <w:spacing w:before="100" w:after="100"/>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2052"/>
    <customShpInfo spid="_x0000_s205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A5FC8-CF19-4DDD-849E-AFDDFB1E20A2}">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44</Pages>
  <Words>8072</Words>
  <Characters>8546</Characters>
  <Lines>246</Lines>
  <Paragraphs>69</Paragraphs>
  <TotalTime>7</TotalTime>
  <ScaleCrop>false</ScaleCrop>
  <LinksUpToDate>false</LinksUpToDate>
  <CharactersWithSpaces>8652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2024-09-04T01:44:00Z</dcterms:created>
  <dc:creator>ASUS</dc:creator>
  <cp:lastModifiedBy>刘伟</cp:lastModifiedBy>
  <cp:lastPrinted>2023-06-20T00:18:00Z</cp:lastPrinted>
  <dcterms:modified xsi:type="dcterms:W3CDTF">2026-04-17T09:14:26Z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EFBE38E03CC143CB96D3B30072133ACC_13</vt:lpwstr>
  </property>
  <property fmtid="{D5CDD505-2E9C-101B-9397-08002B2CF9AE}" pid="4" name="KSOTemplateDocerSaveRecord">
    <vt:lpwstr>eyJoZGlkIjoiYTlkYTA5ZWExZWNjNzE4ODNmZTIwZDVmMWU5OTJjYjYiLCJ1c2VySWQiOiIxNTY2MDA5Mjc3In0=</vt:lpwstr>
  </property>
</Properties>
</file>