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B8C605">
      <w:pPr>
        <w:spacing w:line="360" w:lineRule="auto"/>
        <w:jc w:val="center"/>
        <w:rPr>
          <w:rFonts w:hint="default" w:ascii="宋体" w:hAnsi="宋体" w:eastAsiaTheme="minorEastAsia"/>
          <w:b/>
          <w:sz w:val="36"/>
          <w:szCs w:val="36"/>
          <w:lang w:val="en-US" w:eastAsia="zh-CN"/>
        </w:rPr>
      </w:pPr>
      <w:r>
        <w:rPr>
          <w:rFonts w:hint="eastAsia" w:ascii="宋体" w:hAnsi="宋体"/>
          <w:b/>
          <w:sz w:val="36"/>
          <w:szCs w:val="36"/>
          <w:lang w:val="en-US" w:eastAsia="zh-CN"/>
        </w:rPr>
        <w:t>项目需求</w:t>
      </w:r>
    </w:p>
    <w:p w14:paraId="30319153">
      <w:pPr>
        <w:spacing w:line="360" w:lineRule="auto"/>
        <w:ind w:firstLine="482" w:firstLineChars="200"/>
        <w:rPr>
          <w:rFonts w:hint="eastAsia" w:ascii="宋体" w:hAnsi="宋体"/>
          <w:b/>
          <w:sz w:val="24"/>
          <w:szCs w:val="24"/>
        </w:rPr>
      </w:pPr>
    </w:p>
    <w:p w14:paraId="00C53EB1">
      <w:pPr>
        <w:spacing w:line="360" w:lineRule="auto"/>
        <w:ind w:firstLine="482" w:firstLineChars="200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一、项目概况</w:t>
      </w:r>
    </w:p>
    <w:p w14:paraId="78867988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 在药品生产过程中，洁净区（室）人员的更衣与防护服穿脱是控制污染、保障药品质量与人员安全的关键环节。GMP 明确规定，进入洁净区的人员必须按照规定的净化程序完成更衣，防护服穿戴是否正确、脱卸是否规范，直接影响生产环境的洁净度与产品质量。</w:t>
      </w:r>
    </w:p>
    <w:p w14:paraId="1E44AC5A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本项目拟基于VR一体机，开发一套高仿真度的"</w:t>
      </w:r>
      <w:r>
        <w:rPr>
          <w:rFonts w:hint="eastAsia" w:ascii="宋体" w:hAnsi="宋体"/>
          <w:sz w:val="24"/>
          <w:szCs w:val="24"/>
          <w:lang w:val="en-US" w:eastAsia="zh-CN"/>
        </w:rPr>
        <w:t>换衣</w:t>
      </w:r>
      <w:r>
        <w:rPr>
          <w:rFonts w:hint="eastAsia" w:ascii="宋体" w:hAnsi="宋体"/>
          <w:sz w:val="24"/>
          <w:szCs w:val="24"/>
        </w:rPr>
        <w:t>虚拟仿真软件"，使学员在虚拟洁净环境中沉浸式完成防护服穿脱训练，系统自动识别操作步骤与动作规范性并即时反馈，从而显著提升实训教学的效率、效果与安全性。</w:t>
      </w:r>
    </w:p>
    <w:p w14:paraId="41C48B73">
      <w:pPr>
        <w:pStyle w:val="2"/>
        <w:ind w:left="0" w:leftChars="0" w:firstLine="420" w:firstLineChars="0"/>
        <w:rPr>
          <w:rFonts w:hint="default" w:ascii="宋体" w:hAnsi="宋体" w:eastAsiaTheme="minorEastAsia" w:cstheme="minorBidi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Theme="minorEastAsia" w:cstheme="minorBidi"/>
          <w:kern w:val="2"/>
          <w:sz w:val="24"/>
          <w:szCs w:val="24"/>
          <w:lang w:val="en-US" w:eastAsia="zh-CN" w:bidi="ar-SA"/>
        </w:rPr>
        <w:t>VR一体机设备需支持现有VR软件，配合</w:t>
      </w:r>
      <w:r>
        <w:rPr>
          <w:rFonts w:hint="eastAsia" w:ascii="宋体" w:hAnsi="宋体" w:cstheme="minorBidi"/>
          <w:kern w:val="2"/>
          <w:sz w:val="24"/>
          <w:szCs w:val="24"/>
          <w:lang w:val="en-US" w:eastAsia="zh-CN" w:bidi="ar-SA"/>
        </w:rPr>
        <w:t>项目负责人</w:t>
      </w:r>
      <w:r>
        <w:rPr>
          <w:rFonts w:hint="eastAsia" w:ascii="宋体" w:hAnsi="宋体" w:eastAsiaTheme="minorEastAsia" w:cstheme="minorBidi"/>
          <w:kern w:val="2"/>
          <w:sz w:val="24"/>
          <w:szCs w:val="24"/>
          <w:lang w:val="en-US" w:eastAsia="zh-CN" w:bidi="ar-SA"/>
        </w:rPr>
        <w:t>完成软件部署及相关数据迁移。</w:t>
      </w:r>
    </w:p>
    <w:p w14:paraId="7A78738E">
      <w:pPr>
        <w:spacing w:line="360" w:lineRule="auto"/>
        <w:ind w:firstLine="482" w:firstLineChars="200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二、技术要求</w:t>
      </w:r>
    </w:p>
    <w:p w14:paraId="100F2BFD">
      <w:pPr>
        <w:spacing w:line="360" w:lineRule="auto"/>
        <w:ind w:firstLine="482" w:firstLineChars="200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1、</w:t>
      </w:r>
      <w:r>
        <w:rPr>
          <w:rFonts w:hint="eastAsia" w:ascii="宋体" w:hAnsi="宋体"/>
          <w:b/>
          <w:sz w:val="24"/>
          <w:szCs w:val="24"/>
          <w:lang w:val="en-US" w:eastAsia="zh-CN"/>
        </w:rPr>
        <w:t>软件架构</w:t>
      </w:r>
      <w:r>
        <w:rPr>
          <w:rFonts w:hint="eastAsia" w:ascii="宋体" w:hAnsi="宋体"/>
          <w:b/>
          <w:sz w:val="24"/>
          <w:szCs w:val="24"/>
        </w:rPr>
        <w:t>：</w:t>
      </w:r>
    </w:p>
    <w:p w14:paraId="1C9E0DEE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引擎选型：采用 Unity 3D（Unity 2022 LTS 及以上稳定版本）作为核心开发引擎，进行三维场景搭建、交互逻辑开发与实时渲染。</w:t>
      </w:r>
    </w:p>
    <w:p w14:paraId="54E0DF9C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设备接入：基于 </w:t>
      </w:r>
      <w:r>
        <w:rPr>
          <w:rFonts w:hint="eastAsia" w:ascii="宋体" w:hAnsi="宋体"/>
          <w:sz w:val="24"/>
          <w:szCs w:val="24"/>
          <w:lang w:val="en-US" w:eastAsia="zh-CN"/>
        </w:rPr>
        <w:t>VR一体机</w:t>
      </w:r>
      <w:r>
        <w:rPr>
          <w:rFonts w:hint="eastAsia" w:ascii="宋体" w:hAnsi="宋体"/>
          <w:sz w:val="24"/>
          <w:szCs w:val="24"/>
        </w:rPr>
        <w:t>设备，支持空间定位、手柄追踪、震动反馈及手势识别。</w:t>
      </w:r>
    </w:p>
    <w:p w14:paraId="5DBAA86C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3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模型制作：使用 3ds Max、Maya 等专业建模软件完成场景、人物与防护服道具模型制作，材质采用 PBR（基于物理的渲染）流程。</w:t>
      </w:r>
    </w:p>
    <w:p w14:paraId="5684D3F2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4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渲染优化：采用单通道实例化立体渲染、Lightmap 光照烘焙、遮挡剔除、动态渲染缩放与固定注视点渲染（FFR）等策略，保证帧率与画质平衡。</w:t>
      </w:r>
    </w:p>
    <w:p w14:paraId="44872140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5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数据存储：训练与考核数据本地化存储，支持 SQLite/MySQL 双模式部署，数据不出校即可完成教学管理闭环。</w:t>
      </w:r>
    </w:p>
    <w:p w14:paraId="5F2C2804">
      <w:pPr>
        <w:numPr>
          <w:ilvl w:val="0"/>
          <w:numId w:val="0"/>
        </w:numPr>
        <w:spacing w:line="360" w:lineRule="auto"/>
        <w:ind w:firstLine="482" w:firstLineChars="200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 w:cstheme="minorBidi"/>
          <w:b/>
          <w:kern w:val="2"/>
          <w:sz w:val="24"/>
          <w:szCs w:val="24"/>
          <w:lang w:val="en-US" w:eastAsia="zh-CN" w:bidi="ar-SA"/>
        </w:rPr>
        <w:t>2</w:t>
      </w:r>
      <w:r>
        <w:rPr>
          <w:rFonts w:hint="eastAsia" w:ascii="宋体" w:hAnsi="宋体" w:eastAsiaTheme="minorEastAsia" w:cstheme="minorBidi"/>
          <w:b/>
          <w:kern w:val="2"/>
          <w:sz w:val="24"/>
          <w:szCs w:val="24"/>
          <w:lang w:val="en-US" w:eastAsia="zh-CN" w:bidi="ar-SA"/>
        </w:rPr>
        <w:t>、</w:t>
      </w:r>
      <w:r>
        <w:rPr>
          <w:rFonts w:hint="eastAsia" w:ascii="宋体" w:hAnsi="宋体" w:cstheme="minorBidi"/>
          <w:b/>
          <w:kern w:val="2"/>
          <w:sz w:val="24"/>
          <w:szCs w:val="24"/>
          <w:lang w:val="en-US" w:eastAsia="zh-CN" w:bidi="ar-SA"/>
        </w:rPr>
        <w:t>场景模型</w:t>
      </w:r>
      <w:r>
        <w:rPr>
          <w:rFonts w:hint="eastAsia" w:ascii="宋体" w:hAnsi="宋体"/>
          <w:b/>
          <w:sz w:val="24"/>
          <w:szCs w:val="24"/>
          <w:lang w:val="en-US" w:eastAsia="zh-CN"/>
        </w:rPr>
        <w:t>需求</w:t>
      </w:r>
      <w:r>
        <w:rPr>
          <w:rFonts w:hint="eastAsia" w:ascii="宋体" w:hAnsi="宋体"/>
          <w:b/>
          <w:sz w:val="24"/>
          <w:szCs w:val="24"/>
        </w:rPr>
        <w:t>：</w:t>
      </w:r>
    </w:p>
    <w:p w14:paraId="6D9BC6E5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1.场景内容：按真实制药洁净区更衣环境 1:1 还原，场景空间比例、光照氛围与工业调性贴合真实生产实训环境。</w:t>
      </w:r>
    </w:p>
    <w:p w14:paraId="470B24AA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2.人物模型：人体模型比例协调，支持 6DoF 头手追踪下的第一人称视角呈现；教学模式下呈现完整的虚拟讲师形象，动作自然流畅。</w:t>
      </w:r>
    </w:p>
    <w:p w14:paraId="72AF05A3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3.道具模型：防护服（洁净服/连体防护服）、洁净帽、防护口罩、手套、鞋套、护目镜、洗手与消毒设备等均按真实尺寸 1:1 建模，材质还原真实质感与光泽，包括其材质效果与细节特征。</w:t>
      </w:r>
    </w:p>
    <w:p w14:paraId="0E3E29E9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4.模型精度：高精度建模，几何结构、纹理、多边形密度、UV 坐标符合规范，细节加工与材质着色精细，静态仿真还原度不低于 95%，单张贴图不低于 512×512 像素。</w:t>
      </w:r>
    </w:p>
    <w:p w14:paraId="264E273E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5.场景融合：所有模型与场景空间深度融合，无穿模、悬浮、错位、比例失调等问题，场景适配度 100%。</w:t>
      </w:r>
    </w:p>
    <w:p w14:paraId="77C4A457">
      <w:pPr>
        <w:numPr>
          <w:ilvl w:val="0"/>
          <w:numId w:val="0"/>
        </w:numPr>
        <w:spacing w:line="360" w:lineRule="auto"/>
        <w:ind w:left="0" w:leftChars="0" w:firstLine="482" w:firstLineChars="200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 w:cstheme="minorBidi"/>
          <w:b/>
          <w:kern w:val="2"/>
          <w:sz w:val="24"/>
          <w:szCs w:val="24"/>
          <w:lang w:val="en-US" w:eastAsia="zh-CN" w:bidi="ar-SA"/>
        </w:rPr>
        <w:t>3</w:t>
      </w:r>
      <w:r>
        <w:rPr>
          <w:rFonts w:hint="eastAsia" w:ascii="宋体" w:hAnsi="宋体" w:eastAsiaTheme="minorEastAsia" w:cstheme="minorBidi"/>
          <w:b/>
          <w:kern w:val="2"/>
          <w:sz w:val="24"/>
          <w:szCs w:val="24"/>
          <w:lang w:val="en-US" w:eastAsia="zh-CN" w:bidi="ar-SA"/>
        </w:rPr>
        <w:t>、</w:t>
      </w:r>
      <w:r>
        <w:rPr>
          <w:rFonts w:hint="eastAsia" w:ascii="宋体" w:hAnsi="宋体"/>
          <w:b/>
          <w:sz w:val="24"/>
          <w:szCs w:val="24"/>
          <w:lang w:val="en-US" w:eastAsia="zh-CN"/>
        </w:rPr>
        <w:t>渲染技术要求</w:t>
      </w:r>
      <w:r>
        <w:rPr>
          <w:rFonts w:hint="eastAsia" w:ascii="宋体" w:hAnsi="宋体"/>
          <w:b/>
          <w:sz w:val="24"/>
          <w:szCs w:val="24"/>
        </w:rPr>
        <w:t>：</w:t>
      </w:r>
    </w:p>
    <w:p w14:paraId="1F2CA490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 xml:space="preserve"> 1.引擎：采用</w:t>
      </w:r>
      <w:r>
        <w:rPr>
          <w:rFonts w:hint="default" w:ascii="宋体" w:hAnsi="宋体"/>
          <w:sz w:val="24"/>
          <w:szCs w:val="24"/>
          <w:lang w:val="en-US" w:eastAsia="zh-CN"/>
        </w:rPr>
        <w:t xml:space="preserve"> Unity 3D 实时渲染，画面清晰度、光影饱和度等指标按高清水准要求执行。</w:t>
      </w:r>
    </w:p>
    <w:p w14:paraId="5F2D8C45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 xml:space="preserve"> 2.</w:t>
      </w:r>
      <w:r>
        <w:rPr>
          <w:rFonts w:hint="default" w:ascii="宋体" w:hAnsi="宋体"/>
          <w:sz w:val="24"/>
          <w:szCs w:val="24"/>
          <w:lang w:val="en-US" w:eastAsia="zh-CN"/>
        </w:rPr>
        <w:t>立体渲染：采用单通道实例化（Single Pass Instanced）立体渲染模式，降低渲染开销，保证双目画面一致性与流畅度。</w:t>
      </w:r>
    </w:p>
    <w:p w14:paraId="0946B7C9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 xml:space="preserve"> 3.</w:t>
      </w:r>
      <w:r>
        <w:rPr>
          <w:rFonts w:hint="default" w:ascii="宋体" w:hAnsi="宋体"/>
          <w:sz w:val="24"/>
          <w:szCs w:val="24"/>
          <w:lang w:val="en-US" w:eastAsia="zh-CN"/>
        </w:rPr>
        <w:t>分辨率：基于</w:t>
      </w:r>
      <w:r>
        <w:rPr>
          <w:rFonts w:hint="eastAsia" w:ascii="宋体" w:hAnsi="宋体"/>
          <w:sz w:val="24"/>
          <w:szCs w:val="24"/>
          <w:lang w:val="en-US" w:eastAsia="zh-CN"/>
        </w:rPr>
        <w:t>VR一体机</w:t>
      </w:r>
      <w:r>
        <w:rPr>
          <w:rFonts w:hint="default" w:ascii="宋体" w:hAnsi="宋体"/>
          <w:sz w:val="24"/>
          <w:szCs w:val="24"/>
          <w:lang w:val="en-US" w:eastAsia="zh-CN"/>
        </w:rPr>
        <w:t>单眼 2160×2160 屏幕分辨率，单眼渲染分辨率不低于 1836×1836（渲染缩放不低于 0.85），并支持运行期动态渲染缩放与固定注视点渲染（FFR），在画面质量与帧率间动态平衡。</w:t>
      </w:r>
    </w:p>
    <w:p w14:paraId="2EB153B0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 xml:space="preserve"> 4.</w:t>
      </w:r>
      <w:r>
        <w:rPr>
          <w:rFonts w:hint="default" w:ascii="宋体" w:hAnsi="宋体"/>
          <w:sz w:val="24"/>
          <w:szCs w:val="24"/>
          <w:lang w:val="en-US" w:eastAsia="zh-CN"/>
        </w:rPr>
        <w:t>抗锯齿：采用 4x MSAA 抗锯齿，保证画面边缘平滑无锯齿。</w:t>
      </w:r>
    </w:p>
    <w:p w14:paraId="34246751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 xml:space="preserve"> 5.</w:t>
      </w:r>
      <w:r>
        <w:rPr>
          <w:rFonts w:hint="default" w:ascii="宋体" w:hAnsi="宋体"/>
          <w:sz w:val="24"/>
          <w:szCs w:val="24"/>
          <w:lang w:val="en-US" w:eastAsia="zh-CN"/>
        </w:rPr>
        <w:t>光照：场景光照采用引擎 Lightmap 烘焙方案，烘焙时贴图通道与物体 UV 坐标通道保持一致，确保良好的分辨率、色彩标准、抗锯齿与光线反射效果；运行时实时光源数量控制在 1 盏以内。</w:t>
      </w:r>
    </w:p>
    <w:p w14:paraId="691FB9A3">
      <w:pPr>
        <w:spacing w:line="360" w:lineRule="auto"/>
        <w:ind w:firstLine="480" w:firstLineChars="200"/>
        <w:rPr>
          <w:rFonts w:hint="default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 xml:space="preserve"> 6.</w:t>
      </w:r>
      <w:r>
        <w:rPr>
          <w:rFonts w:hint="default" w:ascii="宋体" w:hAnsi="宋体"/>
          <w:sz w:val="24"/>
          <w:szCs w:val="24"/>
          <w:lang w:val="en-US" w:eastAsia="zh-CN"/>
        </w:rPr>
        <w:t>帧率控制：90Hz 刷新率下单帧渲染预算控制在 11.1 毫秒以内，通过遮挡剔除、静态合批、LOD 等技术手段保障帧率稳定。</w:t>
      </w:r>
    </w:p>
    <w:p w14:paraId="66D2BBA2">
      <w:pPr>
        <w:numPr>
          <w:ilvl w:val="0"/>
          <w:numId w:val="0"/>
        </w:numPr>
        <w:spacing w:line="360" w:lineRule="auto"/>
        <w:ind w:left="0" w:leftChars="0" w:firstLine="482" w:firstLineChars="200"/>
        <w:rPr>
          <w:rFonts w:hint="eastAsia" w:ascii="宋体" w:hAnsi="宋体" w:cstheme="minorBidi"/>
          <w:b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cstheme="minorBidi"/>
          <w:b/>
          <w:kern w:val="2"/>
          <w:sz w:val="24"/>
          <w:szCs w:val="24"/>
          <w:lang w:val="en-US" w:eastAsia="zh-CN" w:bidi="ar-SA"/>
        </w:rPr>
        <w:t>4、智能考核需求：</w:t>
      </w:r>
    </w:p>
    <w:p w14:paraId="12E2D29D">
      <w:pPr>
        <w:spacing w:line="360" w:lineRule="auto"/>
        <w:ind w:firstLine="480" w:firstLineChars="200"/>
        <w:rPr>
          <w:rFonts w:hint="default" w:ascii="宋体" w:hAnsi="宋体"/>
          <w:sz w:val="24"/>
          <w:szCs w:val="24"/>
          <w:lang w:val="en-US" w:eastAsia="zh-CN"/>
        </w:rPr>
      </w:pPr>
      <w:r>
        <w:rPr>
          <w:rFonts w:hint="default" w:ascii="宋体" w:hAnsi="宋体"/>
          <w:sz w:val="24"/>
          <w:szCs w:val="24"/>
          <w:lang w:val="en-US" w:eastAsia="zh-CN"/>
        </w:rPr>
        <w:t>1.考核模式：学员在无任何提示与引导的条件下独立完成</w:t>
      </w:r>
      <w:r>
        <w:rPr>
          <w:rFonts w:hint="eastAsia" w:ascii="宋体" w:hAnsi="宋体"/>
          <w:sz w:val="24"/>
          <w:szCs w:val="24"/>
          <w:lang w:val="en-US" w:eastAsia="zh-CN"/>
        </w:rPr>
        <w:t>换衣虚拟仿真</w:t>
      </w:r>
      <w:r>
        <w:rPr>
          <w:rFonts w:hint="default" w:ascii="宋体" w:hAnsi="宋体"/>
          <w:sz w:val="24"/>
          <w:szCs w:val="24"/>
          <w:lang w:val="en-US" w:eastAsia="zh-CN"/>
        </w:rPr>
        <w:t>全流程。</w:t>
      </w:r>
    </w:p>
    <w:p w14:paraId="0BE6F8D5">
      <w:pPr>
        <w:spacing w:line="360" w:lineRule="auto"/>
        <w:ind w:firstLine="480" w:firstLineChars="200"/>
        <w:rPr>
          <w:rFonts w:hint="default" w:ascii="宋体" w:hAnsi="宋体"/>
          <w:sz w:val="24"/>
          <w:szCs w:val="24"/>
          <w:lang w:val="en-US" w:eastAsia="zh-CN"/>
        </w:rPr>
      </w:pPr>
      <w:r>
        <w:rPr>
          <w:rFonts w:hint="default" w:ascii="宋体" w:hAnsi="宋体"/>
          <w:sz w:val="24"/>
          <w:szCs w:val="24"/>
          <w:lang w:val="en-US" w:eastAsia="zh-CN"/>
        </w:rPr>
        <w:t>2.评分体系：按步骤计分，涵盖"</w:t>
      </w:r>
      <w:r>
        <w:rPr>
          <w:rFonts w:hint="eastAsia" w:ascii="宋体" w:hAnsi="宋体"/>
          <w:sz w:val="24"/>
          <w:szCs w:val="24"/>
          <w:lang w:val="en-US" w:eastAsia="zh-CN"/>
        </w:rPr>
        <w:t>理论正确率、</w:t>
      </w:r>
      <w:r>
        <w:rPr>
          <w:rFonts w:hint="default" w:ascii="宋体" w:hAnsi="宋体"/>
          <w:sz w:val="24"/>
          <w:szCs w:val="24"/>
          <w:lang w:val="en-US" w:eastAsia="zh-CN"/>
        </w:rPr>
        <w:t>步骤完整性</w:t>
      </w:r>
      <w:r>
        <w:rPr>
          <w:rFonts w:hint="eastAsia" w:ascii="宋体" w:hAnsi="宋体"/>
          <w:sz w:val="24"/>
          <w:szCs w:val="24"/>
          <w:lang w:val="en-US" w:eastAsia="zh-CN"/>
        </w:rPr>
        <w:t>、真题考核率</w:t>
      </w:r>
      <w:r>
        <w:rPr>
          <w:rFonts w:hint="default" w:ascii="宋体" w:hAnsi="宋体"/>
          <w:sz w:val="24"/>
          <w:szCs w:val="24"/>
          <w:lang w:val="en-US" w:eastAsia="zh-CN"/>
        </w:rPr>
        <w:t>"</w:t>
      </w:r>
      <w:r>
        <w:rPr>
          <w:rFonts w:hint="eastAsia" w:ascii="宋体" w:hAnsi="宋体"/>
          <w:sz w:val="24"/>
          <w:szCs w:val="24"/>
          <w:lang w:val="en-US" w:eastAsia="zh-CN"/>
        </w:rPr>
        <w:t>三</w:t>
      </w:r>
      <w:r>
        <w:rPr>
          <w:rFonts w:hint="default" w:ascii="宋体" w:hAnsi="宋体"/>
          <w:sz w:val="24"/>
          <w:szCs w:val="24"/>
          <w:lang w:val="en-US" w:eastAsia="zh-CN"/>
        </w:rPr>
        <w:t>个维度。</w:t>
      </w:r>
    </w:p>
    <w:p w14:paraId="03FF56F0">
      <w:pPr>
        <w:spacing w:line="360" w:lineRule="auto"/>
        <w:ind w:firstLine="480" w:firstLineChars="200"/>
        <w:rPr>
          <w:rFonts w:hint="default" w:ascii="宋体" w:hAnsi="宋体"/>
          <w:sz w:val="24"/>
          <w:szCs w:val="24"/>
          <w:lang w:val="en-US" w:eastAsia="zh-CN"/>
        </w:rPr>
      </w:pPr>
      <w:r>
        <w:rPr>
          <w:rFonts w:hint="default" w:ascii="宋体" w:hAnsi="宋体"/>
          <w:sz w:val="24"/>
          <w:szCs w:val="24"/>
          <w:lang w:val="en-US" w:eastAsia="zh-CN"/>
        </w:rPr>
        <w:t>3.过程记录：全程记录操作时间、每步判定结果、违规次数与错误类型，考核结束后自动生成包含总分、分项得分与错误明细的个人考核报告。</w:t>
      </w:r>
    </w:p>
    <w:p w14:paraId="05AA01B0">
      <w:pPr>
        <w:numPr>
          <w:ilvl w:val="0"/>
          <w:numId w:val="0"/>
        </w:numPr>
        <w:spacing w:line="360" w:lineRule="auto"/>
        <w:ind w:left="0" w:leftChars="0" w:firstLine="482" w:firstLineChars="200"/>
        <w:rPr>
          <w:rFonts w:hint="eastAsia" w:ascii="宋体" w:hAnsi="宋体" w:cstheme="minorBidi"/>
          <w:b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cstheme="minorBidi"/>
          <w:b/>
          <w:kern w:val="2"/>
          <w:sz w:val="24"/>
          <w:szCs w:val="24"/>
          <w:lang w:val="en-US" w:eastAsia="zh-CN" w:bidi="ar-SA"/>
        </w:rPr>
        <w:t>5、VR一体机硬件核心技术参数：</w:t>
      </w:r>
    </w:p>
    <w:tbl>
      <w:tblPr>
        <w:tblStyle w:val="4"/>
        <w:tblW w:w="0" w:type="auto"/>
        <w:tblInd w:w="5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39"/>
        <w:gridCol w:w="7354"/>
      </w:tblGrid>
      <w:tr w14:paraId="3E643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1739" w:type="dxa"/>
            <w:tcBorders>
              <w:top w:val="single" w:color="E0E0E0" w:sz="8" w:space="0"/>
              <w:left w:val="single" w:color="E0E0E0" w:sz="8" w:space="0"/>
              <w:bottom w:val="single" w:color="E0E0E0" w:sz="8" w:space="0"/>
              <w:right w:val="single" w:color="E0E0E0" w:sz="8" w:space="0"/>
            </w:tcBorders>
            <w:shd w:val="clear" w:color="auto" w:fill="F5F7FA"/>
            <w:tcMar>
              <w:top w:w="108" w:type="dxa"/>
              <w:left w:w="144" w:type="dxa"/>
              <w:bottom w:w="108" w:type="dxa"/>
              <w:right w:w="144" w:type="dxa"/>
            </w:tcMar>
            <w:vAlign w:val="center"/>
          </w:tcPr>
          <w:p w14:paraId="2BD3F5E0">
            <w:pPr>
              <w:pStyle w:val="3"/>
              <w:keepNext w:val="0"/>
              <w:keepLines w:val="0"/>
              <w:widowControl/>
              <w:suppressLineNumbers w:val="0"/>
              <w:spacing w:before="15" w:beforeAutospacing="0" w:after="15" w:afterAutospacing="0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1A237E"/>
                <w:spacing w:val="0"/>
                <w:w w:val="100"/>
                <w:sz w:val="24"/>
                <w:szCs w:val="24"/>
                <w:vertAlign w:val="baseline"/>
              </w:rPr>
              <w:t>项目</w:t>
            </w:r>
          </w:p>
        </w:tc>
        <w:tc>
          <w:tcPr>
            <w:tcW w:w="7354" w:type="dxa"/>
            <w:tcBorders>
              <w:top w:val="single" w:color="E0E0E0" w:sz="8" w:space="0"/>
              <w:left w:val="single" w:color="E0E0E0" w:sz="8" w:space="0"/>
              <w:bottom w:val="single" w:color="E0E0E0" w:sz="8" w:space="0"/>
              <w:right w:val="single" w:color="E0E0E0" w:sz="8" w:space="0"/>
            </w:tcBorders>
            <w:shd w:val="clear" w:color="auto" w:fill="F5F7FA"/>
            <w:tcMar>
              <w:top w:w="108" w:type="dxa"/>
              <w:left w:w="144" w:type="dxa"/>
              <w:bottom w:w="108" w:type="dxa"/>
              <w:right w:w="144" w:type="dxa"/>
            </w:tcMar>
            <w:vAlign w:val="center"/>
          </w:tcPr>
          <w:p w14:paraId="721E5C19">
            <w:pPr>
              <w:pStyle w:val="3"/>
              <w:keepNext w:val="0"/>
              <w:keepLines w:val="0"/>
              <w:widowControl/>
              <w:suppressLineNumbers w:val="0"/>
              <w:spacing w:before="15" w:beforeAutospacing="0" w:after="15" w:afterAutospacing="0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1A237E"/>
                <w:spacing w:val="0"/>
                <w:w w:val="100"/>
                <w:sz w:val="24"/>
                <w:szCs w:val="24"/>
                <w:vertAlign w:val="baseline"/>
              </w:rPr>
              <w:t>规格</w:t>
            </w:r>
          </w:p>
        </w:tc>
      </w:tr>
      <w:tr w14:paraId="1655E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1739" w:type="dxa"/>
            <w:tcBorders>
              <w:top w:val="single" w:color="E0E0E0" w:sz="8" w:space="0"/>
              <w:left w:val="single" w:color="E0E0E0" w:sz="8" w:space="0"/>
              <w:bottom w:val="single" w:color="E0E0E0" w:sz="8" w:space="0"/>
              <w:right w:val="single" w:color="E0E0E0" w:sz="8" w:space="0"/>
            </w:tcBorders>
            <w:shd w:val="clear" w:color="auto" w:fill="auto"/>
            <w:tcMar>
              <w:top w:w="108" w:type="dxa"/>
              <w:left w:w="144" w:type="dxa"/>
              <w:bottom w:w="108" w:type="dxa"/>
              <w:right w:w="144" w:type="dxa"/>
            </w:tcMar>
            <w:vAlign w:val="center"/>
          </w:tcPr>
          <w:p w14:paraId="27618069">
            <w:pPr>
              <w:pStyle w:val="3"/>
              <w:keepNext w:val="0"/>
              <w:keepLines w:val="0"/>
              <w:widowControl/>
              <w:suppressLineNumbers w:val="0"/>
              <w:spacing w:before="15" w:beforeAutospacing="0" w:after="15" w:afterAutospacing="0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212121"/>
                <w:spacing w:val="0"/>
                <w:w w:val="100"/>
                <w:sz w:val="24"/>
                <w:szCs w:val="24"/>
                <w:vertAlign w:val="baseline"/>
              </w:rPr>
              <w:t>处理器</w:t>
            </w:r>
          </w:p>
        </w:tc>
        <w:tc>
          <w:tcPr>
            <w:tcW w:w="7354" w:type="dxa"/>
            <w:tcBorders>
              <w:top w:val="single" w:color="E0E0E0" w:sz="8" w:space="0"/>
              <w:left w:val="single" w:color="E0E0E0" w:sz="8" w:space="0"/>
              <w:bottom w:val="single" w:color="E0E0E0" w:sz="8" w:space="0"/>
              <w:right w:val="single" w:color="E0E0E0" w:sz="8" w:space="0"/>
            </w:tcBorders>
            <w:shd w:val="clear" w:color="auto" w:fill="auto"/>
            <w:tcMar>
              <w:top w:w="108" w:type="dxa"/>
              <w:left w:w="144" w:type="dxa"/>
              <w:bottom w:w="108" w:type="dxa"/>
              <w:right w:w="144" w:type="dxa"/>
            </w:tcMar>
            <w:vAlign w:val="center"/>
          </w:tcPr>
          <w:p w14:paraId="2FD0AA87">
            <w:pPr>
              <w:pStyle w:val="3"/>
              <w:keepNext w:val="0"/>
              <w:keepLines w:val="0"/>
              <w:widowControl/>
              <w:suppressLineNumbers w:val="0"/>
              <w:spacing w:before="15" w:beforeAutospacing="0" w:after="15" w:afterAutospacing="0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212121"/>
                <w:spacing w:val="0"/>
                <w:w w:val="100"/>
                <w:sz w:val="24"/>
                <w:szCs w:val="24"/>
                <w:vertAlign w:val="baseline"/>
              </w:rPr>
              <w:t>高通骁龙 XR2 Gen 1 ，最高主频 2.84GHz</w:t>
            </w:r>
          </w:p>
        </w:tc>
      </w:tr>
      <w:tr w14:paraId="54E14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1739" w:type="dxa"/>
            <w:tcBorders>
              <w:top w:val="single" w:color="E0E0E0" w:sz="8" w:space="0"/>
              <w:left w:val="single" w:color="E0E0E0" w:sz="8" w:space="0"/>
              <w:bottom w:val="single" w:color="E0E0E0" w:sz="8" w:space="0"/>
              <w:right w:val="single" w:color="E0E0E0" w:sz="8" w:space="0"/>
            </w:tcBorders>
            <w:shd w:val="clear" w:color="auto" w:fill="auto"/>
            <w:tcMar>
              <w:top w:w="108" w:type="dxa"/>
              <w:left w:w="144" w:type="dxa"/>
              <w:bottom w:w="108" w:type="dxa"/>
              <w:right w:w="144" w:type="dxa"/>
            </w:tcMar>
            <w:vAlign w:val="center"/>
          </w:tcPr>
          <w:p w14:paraId="10610DEC">
            <w:pPr>
              <w:pStyle w:val="3"/>
              <w:keepNext w:val="0"/>
              <w:keepLines w:val="0"/>
              <w:widowControl/>
              <w:suppressLineNumbers w:val="0"/>
              <w:spacing w:before="15" w:beforeAutospacing="0" w:after="15" w:afterAutospacing="0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212121"/>
                <w:spacing w:val="0"/>
                <w:w w:val="100"/>
                <w:sz w:val="24"/>
                <w:szCs w:val="24"/>
                <w:vertAlign w:val="baseline"/>
              </w:rPr>
              <w:t>内存 / 存储</w:t>
            </w:r>
          </w:p>
        </w:tc>
        <w:tc>
          <w:tcPr>
            <w:tcW w:w="7354" w:type="dxa"/>
            <w:tcBorders>
              <w:top w:val="single" w:color="E0E0E0" w:sz="8" w:space="0"/>
              <w:left w:val="single" w:color="E0E0E0" w:sz="8" w:space="0"/>
              <w:bottom w:val="single" w:color="E0E0E0" w:sz="8" w:space="0"/>
              <w:right w:val="single" w:color="E0E0E0" w:sz="8" w:space="0"/>
            </w:tcBorders>
            <w:shd w:val="clear" w:color="auto" w:fill="auto"/>
            <w:tcMar>
              <w:top w:w="108" w:type="dxa"/>
              <w:left w:w="144" w:type="dxa"/>
              <w:bottom w:w="108" w:type="dxa"/>
              <w:right w:w="144" w:type="dxa"/>
            </w:tcMar>
            <w:vAlign w:val="center"/>
          </w:tcPr>
          <w:p w14:paraId="3A3F6B72">
            <w:pPr>
              <w:pStyle w:val="3"/>
              <w:keepNext w:val="0"/>
              <w:keepLines w:val="0"/>
              <w:widowControl/>
              <w:suppressLineNumbers w:val="0"/>
              <w:spacing w:before="15" w:beforeAutospacing="0" w:after="15" w:afterAutospacing="0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212121"/>
                <w:spacing w:val="0"/>
                <w:w w:val="100"/>
                <w:sz w:val="24"/>
                <w:szCs w:val="24"/>
                <w:vertAlign w:val="baseline"/>
              </w:rPr>
              <w:t>8GB RAM + 128GB ROM</w:t>
            </w:r>
          </w:p>
        </w:tc>
      </w:tr>
      <w:tr w14:paraId="07686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1739" w:type="dxa"/>
            <w:tcBorders>
              <w:top w:val="single" w:color="E0E0E0" w:sz="8" w:space="0"/>
              <w:left w:val="single" w:color="E0E0E0" w:sz="8" w:space="0"/>
              <w:bottom w:val="single" w:color="E0E0E0" w:sz="8" w:space="0"/>
              <w:right w:val="single" w:color="E0E0E0" w:sz="8" w:space="0"/>
            </w:tcBorders>
            <w:shd w:val="clear" w:color="auto" w:fill="auto"/>
            <w:tcMar>
              <w:top w:w="108" w:type="dxa"/>
              <w:left w:w="144" w:type="dxa"/>
              <w:bottom w:w="108" w:type="dxa"/>
              <w:right w:w="144" w:type="dxa"/>
            </w:tcMar>
            <w:vAlign w:val="center"/>
          </w:tcPr>
          <w:p w14:paraId="39C7066C">
            <w:pPr>
              <w:pStyle w:val="3"/>
              <w:keepNext w:val="0"/>
              <w:keepLines w:val="0"/>
              <w:widowControl/>
              <w:suppressLineNumbers w:val="0"/>
              <w:spacing w:before="15" w:beforeAutospacing="0" w:after="15" w:afterAutospacing="0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212121"/>
                <w:spacing w:val="0"/>
                <w:w w:val="100"/>
                <w:sz w:val="24"/>
                <w:szCs w:val="24"/>
                <w:vertAlign w:val="baseline"/>
              </w:rPr>
              <w:t>屏幕</w:t>
            </w:r>
          </w:p>
        </w:tc>
        <w:tc>
          <w:tcPr>
            <w:tcW w:w="7354" w:type="dxa"/>
            <w:tcBorders>
              <w:top w:val="single" w:color="E0E0E0" w:sz="8" w:space="0"/>
              <w:left w:val="single" w:color="E0E0E0" w:sz="8" w:space="0"/>
              <w:bottom w:val="single" w:color="E0E0E0" w:sz="8" w:space="0"/>
              <w:right w:val="single" w:color="E0E0E0" w:sz="8" w:space="0"/>
            </w:tcBorders>
            <w:shd w:val="clear" w:color="auto" w:fill="auto"/>
            <w:tcMar>
              <w:top w:w="108" w:type="dxa"/>
              <w:left w:w="144" w:type="dxa"/>
              <w:bottom w:w="108" w:type="dxa"/>
              <w:right w:w="144" w:type="dxa"/>
            </w:tcMar>
            <w:vAlign w:val="center"/>
          </w:tcPr>
          <w:p w14:paraId="37118CC5">
            <w:pPr>
              <w:pStyle w:val="3"/>
              <w:keepNext w:val="0"/>
              <w:keepLines w:val="0"/>
              <w:widowControl/>
              <w:suppressLineNumbers w:val="0"/>
              <w:spacing w:before="15" w:beforeAutospacing="0" w:after="15" w:afterAutospacing="0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212121"/>
                <w:spacing w:val="0"/>
                <w:w w:val="100"/>
                <w:sz w:val="24"/>
                <w:szCs w:val="24"/>
                <w:vertAlign w:val="baseline"/>
              </w:rPr>
              <w:t>2.56  英寸 ×2 ，总分辨率 4320×2160 （单眼 2160×2160 ）， 1200PPI</w:t>
            </w:r>
          </w:p>
        </w:tc>
      </w:tr>
      <w:tr w14:paraId="5F5FE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1739" w:type="dxa"/>
            <w:tcBorders>
              <w:top w:val="single" w:color="E0E0E0" w:sz="8" w:space="0"/>
              <w:left w:val="single" w:color="E0E0E0" w:sz="8" w:space="0"/>
              <w:bottom w:val="single" w:color="E0E0E0" w:sz="8" w:space="0"/>
              <w:right w:val="single" w:color="E0E0E0" w:sz="8" w:space="0"/>
            </w:tcBorders>
            <w:shd w:val="clear" w:color="auto" w:fill="auto"/>
            <w:tcMar>
              <w:top w:w="108" w:type="dxa"/>
              <w:left w:w="144" w:type="dxa"/>
              <w:bottom w:w="108" w:type="dxa"/>
              <w:right w:w="144" w:type="dxa"/>
            </w:tcMar>
            <w:vAlign w:val="center"/>
          </w:tcPr>
          <w:p w14:paraId="0C9C0810">
            <w:pPr>
              <w:pStyle w:val="3"/>
              <w:keepNext w:val="0"/>
              <w:keepLines w:val="0"/>
              <w:widowControl/>
              <w:suppressLineNumbers w:val="0"/>
              <w:spacing w:before="15" w:beforeAutospacing="0" w:after="15" w:afterAutospacing="0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212121"/>
                <w:spacing w:val="0"/>
                <w:w w:val="100"/>
                <w:sz w:val="24"/>
                <w:szCs w:val="24"/>
                <w:vertAlign w:val="baseline"/>
              </w:rPr>
              <w:t>刷新率</w:t>
            </w:r>
          </w:p>
        </w:tc>
        <w:tc>
          <w:tcPr>
            <w:tcW w:w="7354" w:type="dxa"/>
            <w:tcBorders>
              <w:top w:val="single" w:color="E0E0E0" w:sz="8" w:space="0"/>
              <w:left w:val="single" w:color="E0E0E0" w:sz="8" w:space="0"/>
              <w:bottom w:val="single" w:color="E0E0E0" w:sz="8" w:space="0"/>
              <w:right w:val="single" w:color="E0E0E0" w:sz="8" w:space="0"/>
            </w:tcBorders>
            <w:shd w:val="clear" w:color="auto" w:fill="auto"/>
            <w:tcMar>
              <w:top w:w="108" w:type="dxa"/>
              <w:left w:w="144" w:type="dxa"/>
              <w:bottom w:w="108" w:type="dxa"/>
              <w:right w:w="144" w:type="dxa"/>
            </w:tcMar>
            <w:vAlign w:val="center"/>
          </w:tcPr>
          <w:p w14:paraId="278258A6">
            <w:pPr>
              <w:pStyle w:val="3"/>
              <w:keepNext w:val="0"/>
              <w:keepLines w:val="0"/>
              <w:widowControl/>
              <w:suppressLineNumbers w:val="0"/>
              <w:spacing w:before="15" w:beforeAutospacing="0" w:after="15" w:afterAutospacing="0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212121"/>
                <w:spacing w:val="0"/>
                <w:w w:val="100"/>
                <w:sz w:val="24"/>
                <w:szCs w:val="24"/>
                <w:vertAlign w:val="baseline"/>
              </w:rPr>
              <w:t>72Hz / 90Hz</w:t>
            </w:r>
          </w:p>
        </w:tc>
      </w:tr>
      <w:tr w14:paraId="37058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1739" w:type="dxa"/>
            <w:tcBorders>
              <w:top w:val="single" w:color="E0E0E0" w:sz="8" w:space="0"/>
              <w:left w:val="single" w:color="E0E0E0" w:sz="8" w:space="0"/>
              <w:bottom w:val="single" w:color="E0E0E0" w:sz="8" w:space="0"/>
              <w:right w:val="single" w:color="E0E0E0" w:sz="8" w:space="0"/>
            </w:tcBorders>
            <w:shd w:val="clear" w:color="auto" w:fill="auto"/>
            <w:tcMar>
              <w:top w:w="108" w:type="dxa"/>
              <w:left w:w="144" w:type="dxa"/>
              <w:bottom w:w="108" w:type="dxa"/>
              <w:right w:w="144" w:type="dxa"/>
            </w:tcMar>
            <w:vAlign w:val="center"/>
          </w:tcPr>
          <w:p w14:paraId="661E94A4">
            <w:pPr>
              <w:pStyle w:val="3"/>
              <w:keepNext w:val="0"/>
              <w:keepLines w:val="0"/>
              <w:widowControl/>
              <w:suppressLineNumbers w:val="0"/>
              <w:spacing w:before="15" w:beforeAutospacing="0" w:after="15" w:afterAutospacing="0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212121"/>
                <w:spacing w:val="0"/>
                <w:w w:val="100"/>
                <w:sz w:val="24"/>
                <w:szCs w:val="24"/>
                <w:vertAlign w:val="baseline"/>
              </w:rPr>
              <w:t>光学</w:t>
            </w:r>
          </w:p>
        </w:tc>
        <w:tc>
          <w:tcPr>
            <w:tcW w:w="7354" w:type="dxa"/>
            <w:tcBorders>
              <w:top w:val="single" w:color="E0E0E0" w:sz="8" w:space="0"/>
              <w:left w:val="single" w:color="E0E0E0" w:sz="8" w:space="0"/>
              <w:bottom w:val="single" w:color="E0E0E0" w:sz="8" w:space="0"/>
              <w:right w:val="single" w:color="E0E0E0" w:sz="8" w:space="0"/>
            </w:tcBorders>
            <w:shd w:val="clear" w:color="auto" w:fill="auto"/>
            <w:tcMar>
              <w:top w:w="108" w:type="dxa"/>
              <w:left w:w="144" w:type="dxa"/>
              <w:bottom w:w="108" w:type="dxa"/>
              <w:right w:w="144" w:type="dxa"/>
            </w:tcMar>
            <w:vAlign w:val="center"/>
          </w:tcPr>
          <w:p w14:paraId="26B9B689">
            <w:pPr>
              <w:pStyle w:val="3"/>
              <w:keepNext w:val="0"/>
              <w:keepLines w:val="0"/>
              <w:widowControl/>
              <w:suppressLineNumbers w:val="0"/>
              <w:spacing w:before="15" w:beforeAutospacing="0" w:after="15" w:afterAutospacing="0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212121"/>
                <w:spacing w:val="0"/>
                <w:w w:val="100"/>
                <w:sz w:val="24"/>
                <w:szCs w:val="24"/>
                <w:vertAlign w:val="baseline"/>
              </w:rPr>
              <w:t>Pancake  透镜， 105°  视场角， 62–72mm  电动瞳距调节</w:t>
            </w:r>
          </w:p>
        </w:tc>
      </w:tr>
      <w:tr w14:paraId="42AAA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1739" w:type="dxa"/>
            <w:tcBorders>
              <w:top w:val="single" w:color="E0E0E0" w:sz="8" w:space="0"/>
              <w:left w:val="single" w:color="E0E0E0" w:sz="8" w:space="0"/>
              <w:bottom w:val="single" w:color="E0E0E0" w:sz="8" w:space="0"/>
              <w:right w:val="single" w:color="E0E0E0" w:sz="8" w:space="0"/>
            </w:tcBorders>
            <w:shd w:val="clear" w:color="auto" w:fill="auto"/>
            <w:tcMar>
              <w:top w:w="108" w:type="dxa"/>
              <w:left w:w="144" w:type="dxa"/>
              <w:bottom w:w="108" w:type="dxa"/>
              <w:right w:w="144" w:type="dxa"/>
            </w:tcMar>
            <w:vAlign w:val="center"/>
          </w:tcPr>
          <w:p w14:paraId="3236B63C">
            <w:pPr>
              <w:pStyle w:val="3"/>
              <w:keepNext w:val="0"/>
              <w:keepLines w:val="0"/>
              <w:widowControl/>
              <w:suppressLineNumbers w:val="0"/>
              <w:spacing w:before="15" w:beforeAutospacing="0" w:after="15" w:afterAutospacing="0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212121"/>
                <w:spacing w:val="0"/>
                <w:w w:val="100"/>
                <w:sz w:val="24"/>
                <w:szCs w:val="24"/>
                <w:vertAlign w:val="baseline"/>
              </w:rPr>
              <w:t>空间定位</w:t>
            </w:r>
          </w:p>
        </w:tc>
        <w:tc>
          <w:tcPr>
            <w:tcW w:w="7354" w:type="dxa"/>
            <w:tcBorders>
              <w:top w:val="single" w:color="E0E0E0" w:sz="8" w:space="0"/>
              <w:left w:val="single" w:color="E0E0E0" w:sz="8" w:space="0"/>
              <w:bottom w:val="single" w:color="E0E0E0" w:sz="8" w:space="0"/>
              <w:right w:val="single" w:color="E0E0E0" w:sz="8" w:space="0"/>
            </w:tcBorders>
            <w:shd w:val="clear" w:color="auto" w:fill="auto"/>
            <w:tcMar>
              <w:top w:w="108" w:type="dxa"/>
              <w:left w:w="144" w:type="dxa"/>
              <w:bottom w:w="108" w:type="dxa"/>
              <w:right w:w="144" w:type="dxa"/>
            </w:tcMar>
            <w:vAlign w:val="center"/>
          </w:tcPr>
          <w:p w14:paraId="3AF8D924">
            <w:pPr>
              <w:pStyle w:val="3"/>
              <w:keepNext w:val="0"/>
              <w:keepLines w:val="0"/>
              <w:widowControl/>
              <w:suppressLineNumbers w:val="0"/>
              <w:spacing w:before="15" w:beforeAutospacing="0" w:after="15" w:afterAutospacing="0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212121"/>
                <w:spacing w:val="0"/>
                <w:w w:val="100"/>
                <w:sz w:val="24"/>
                <w:szCs w:val="24"/>
                <w:vertAlign w:val="baseline"/>
              </w:rPr>
              <w:t>自研 6DoF  空间定位（四颗鱼眼摄像头）</w:t>
            </w:r>
          </w:p>
        </w:tc>
      </w:tr>
      <w:tr w14:paraId="76002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1739" w:type="dxa"/>
            <w:tcBorders>
              <w:top w:val="single" w:color="E0E0E0" w:sz="8" w:space="0"/>
              <w:left w:val="single" w:color="E0E0E0" w:sz="8" w:space="0"/>
              <w:bottom w:val="single" w:color="E0E0E0" w:sz="8" w:space="0"/>
              <w:right w:val="single" w:color="E0E0E0" w:sz="8" w:space="0"/>
            </w:tcBorders>
            <w:shd w:val="clear" w:color="auto" w:fill="auto"/>
            <w:tcMar>
              <w:top w:w="108" w:type="dxa"/>
              <w:left w:w="144" w:type="dxa"/>
              <w:bottom w:w="108" w:type="dxa"/>
              <w:right w:w="144" w:type="dxa"/>
            </w:tcMar>
            <w:vAlign w:val="center"/>
          </w:tcPr>
          <w:p w14:paraId="51DDDBB2">
            <w:pPr>
              <w:pStyle w:val="3"/>
              <w:keepNext w:val="0"/>
              <w:keepLines w:val="0"/>
              <w:widowControl/>
              <w:suppressLineNumbers w:val="0"/>
              <w:spacing w:before="15" w:beforeAutospacing="0" w:after="15" w:afterAutospacing="0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212121"/>
                <w:spacing w:val="0"/>
                <w:w w:val="100"/>
                <w:sz w:val="24"/>
                <w:szCs w:val="24"/>
                <w:vertAlign w:val="baseline"/>
              </w:rPr>
              <w:t>交互</w:t>
            </w:r>
          </w:p>
        </w:tc>
        <w:tc>
          <w:tcPr>
            <w:tcW w:w="7354" w:type="dxa"/>
            <w:tcBorders>
              <w:top w:val="single" w:color="E0E0E0" w:sz="8" w:space="0"/>
              <w:left w:val="single" w:color="E0E0E0" w:sz="8" w:space="0"/>
              <w:bottom w:val="single" w:color="E0E0E0" w:sz="8" w:space="0"/>
              <w:right w:val="single" w:color="E0E0E0" w:sz="8" w:space="0"/>
            </w:tcBorders>
            <w:shd w:val="clear" w:color="auto" w:fill="auto"/>
            <w:tcMar>
              <w:top w:w="108" w:type="dxa"/>
              <w:left w:w="144" w:type="dxa"/>
              <w:bottom w:w="108" w:type="dxa"/>
              <w:right w:w="144" w:type="dxa"/>
            </w:tcMar>
            <w:vAlign w:val="center"/>
          </w:tcPr>
          <w:p w14:paraId="0A150D27">
            <w:pPr>
              <w:pStyle w:val="3"/>
              <w:keepNext w:val="0"/>
              <w:keepLines w:val="0"/>
              <w:widowControl/>
              <w:suppressLineNumbers w:val="0"/>
              <w:spacing w:before="15" w:beforeAutospacing="0" w:after="15" w:afterAutospacing="0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212121"/>
                <w:spacing w:val="0"/>
                <w:w w:val="100"/>
                <w:sz w:val="24"/>
                <w:szCs w:val="24"/>
                <w:vertAlign w:val="baseline"/>
              </w:rPr>
              <w:t>两只 6DoF  红外光学追踪手柄（宽频触感震动），支持手势追踪</w:t>
            </w:r>
          </w:p>
        </w:tc>
      </w:tr>
      <w:tr w14:paraId="012B9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1739" w:type="dxa"/>
            <w:tcBorders>
              <w:top w:val="single" w:color="E0E0E0" w:sz="8" w:space="0"/>
              <w:left w:val="single" w:color="E0E0E0" w:sz="8" w:space="0"/>
              <w:bottom w:val="single" w:color="E0E0E0" w:sz="8" w:space="0"/>
              <w:right w:val="single" w:color="E0E0E0" w:sz="8" w:space="0"/>
            </w:tcBorders>
            <w:shd w:val="clear" w:color="auto" w:fill="auto"/>
            <w:tcMar>
              <w:top w:w="108" w:type="dxa"/>
              <w:left w:w="144" w:type="dxa"/>
              <w:bottom w:w="108" w:type="dxa"/>
              <w:right w:w="144" w:type="dxa"/>
            </w:tcMar>
            <w:vAlign w:val="center"/>
          </w:tcPr>
          <w:p w14:paraId="71A17DA8">
            <w:pPr>
              <w:pStyle w:val="3"/>
              <w:keepNext w:val="0"/>
              <w:keepLines w:val="0"/>
              <w:widowControl/>
              <w:suppressLineNumbers w:val="0"/>
              <w:spacing w:before="15" w:beforeAutospacing="0" w:after="15" w:afterAutospacing="0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212121"/>
                <w:spacing w:val="0"/>
                <w:w w:val="100"/>
                <w:sz w:val="24"/>
                <w:szCs w:val="24"/>
                <w:vertAlign w:val="baseline"/>
              </w:rPr>
              <w:t>连接</w:t>
            </w:r>
          </w:p>
        </w:tc>
        <w:tc>
          <w:tcPr>
            <w:tcW w:w="7354" w:type="dxa"/>
            <w:tcBorders>
              <w:top w:val="single" w:color="E0E0E0" w:sz="8" w:space="0"/>
              <w:left w:val="single" w:color="E0E0E0" w:sz="8" w:space="0"/>
              <w:bottom w:val="single" w:color="E0E0E0" w:sz="8" w:space="0"/>
              <w:right w:val="single" w:color="E0E0E0" w:sz="8" w:space="0"/>
            </w:tcBorders>
            <w:shd w:val="clear" w:color="auto" w:fill="auto"/>
            <w:tcMar>
              <w:top w:w="108" w:type="dxa"/>
              <w:left w:w="144" w:type="dxa"/>
              <w:bottom w:w="108" w:type="dxa"/>
              <w:right w:w="144" w:type="dxa"/>
            </w:tcMar>
            <w:vAlign w:val="center"/>
          </w:tcPr>
          <w:p w14:paraId="2AE03709">
            <w:pPr>
              <w:pStyle w:val="3"/>
              <w:keepNext w:val="0"/>
              <w:keepLines w:val="0"/>
              <w:widowControl/>
              <w:suppressLineNumbers w:val="0"/>
              <w:spacing w:before="15" w:beforeAutospacing="0" w:after="15" w:afterAutospacing="0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212121"/>
                <w:spacing w:val="0"/>
                <w:w w:val="100"/>
                <w:sz w:val="24"/>
                <w:szCs w:val="24"/>
                <w:vertAlign w:val="baseline"/>
              </w:rPr>
              <w:t>Wi-Fi 6 、蓝牙 5.1 、 USB-C</w:t>
            </w:r>
          </w:p>
        </w:tc>
      </w:tr>
    </w:tbl>
    <w:p w14:paraId="33E2DBF0">
      <w:pPr>
        <w:pStyle w:val="2"/>
        <w:ind w:left="0" w:leftChars="0" w:firstLine="420" w:firstLineChars="0"/>
        <w:rPr>
          <w:rFonts w:hint="default"/>
          <w:lang w:val="en-US" w:eastAsia="zh-CN"/>
        </w:rPr>
      </w:pPr>
    </w:p>
    <w:p w14:paraId="1132986A">
      <w:pPr>
        <w:spacing w:line="400" w:lineRule="exact"/>
        <w:ind w:firstLine="482" w:firstLineChars="200"/>
        <w:rPr>
          <w:rFonts w:cs="仿宋" w:asciiTheme="minorEastAsia" w:hAnsiTheme="minorEastAsia"/>
          <w:color w:val="000000"/>
          <w:kern w:val="0"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三、质量和服务要求</w:t>
      </w:r>
    </w:p>
    <w:p w14:paraId="7593BE25">
      <w:pPr>
        <w:numPr>
          <w:ilvl w:val="0"/>
          <w:numId w:val="0"/>
        </w:numPr>
        <w:spacing w:line="360" w:lineRule="auto"/>
        <w:ind w:left="420" w:leftChars="200" w:firstLine="420" w:firstLineChars="0"/>
        <w:rPr>
          <w:rFonts w:hint="default" w:ascii="宋体" w:hAnsi="宋体"/>
          <w:b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sz w:val="24"/>
          <w:szCs w:val="24"/>
          <w:lang w:val="en-US" w:eastAsia="zh-CN"/>
        </w:rPr>
        <w:t>1、质量要求</w:t>
      </w:r>
    </w:p>
    <w:p w14:paraId="444CCBF7">
      <w:pPr>
        <w:numPr>
          <w:ilvl w:val="0"/>
          <w:numId w:val="0"/>
        </w:numPr>
        <w:spacing w:line="360" w:lineRule="auto"/>
        <w:ind w:left="420" w:leftChars="200" w:firstLine="42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1.基于真实制药洁净区更衣环境与实训教学场景，定制化设计三维场景与人物形象，人物模型比例协调、外观贴合实训教学定位，形象简洁专业、辨识度高。</w:t>
      </w:r>
    </w:p>
    <w:p w14:paraId="314369E0">
      <w:pPr>
        <w:numPr>
          <w:ilvl w:val="0"/>
          <w:numId w:val="0"/>
        </w:numPr>
        <w:spacing w:line="360" w:lineRule="auto"/>
        <w:ind w:left="420" w:leftChars="200" w:firstLine="42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2.场景、模型与交互全部按真实 1:1 比例制作，仿真还原度不低于 95%；防护服等道具按真实材质制作，带真实反射与织物质感效果。</w:t>
      </w:r>
    </w:p>
    <w:p w14:paraId="6CB865B6">
      <w:pPr>
        <w:numPr>
          <w:ilvl w:val="0"/>
          <w:numId w:val="0"/>
        </w:numPr>
        <w:spacing w:line="360" w:lineRule="auto"/>
        <w:ind w:left="420" w:leftChars="200" w:firstLine="42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3.讲师肢体动作自然流畅，行走、指引、示范、手势讲解等动作贴合实训场景，动态效果稳定无卡顿；教学全程画面无穿模、悬浮、错位等问题。</w:t>
      </w:r>
    </w:p>
    <w:p w14:paraId="7D048226">
      <w:pPr>
        <w:numPr>
          <w:ilvl w:val="0"/>
          <w:numId w:val="0"/>
        </w:numPr>
        <w:spacing w:line="360" w:lineRule="auto"/>
        <w:ind w:left="420" w:leftChars="200" w:firstLine="42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4.整套系统运行稳定可靠，兼容VR一体机所有运行模式，连续实训运行（单次不少于 2 小时）无闪退、崩溃、卡死、画面异常等故障。</w:t>
      </w:r>
    </w:p>
    <w:p w14:paraId="4D038E01">
      <w:pPr>
        <w:numPr>
          <w:ilvl w:val="0"/>
          <w:numId w:val="0"/>
        </w:numPr>
        <w:spacing w:line="360" w:lineRule="auto"/>
        <w:ind w:left="420" w:leftChars="200" w:firstLine="42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5.人机交互、指令响应、场景切换与动作触发延迟不大于 0.1 秒；VR 沉浸式运行帧率稳定不低于 72 帧/秒（目标 90 帧/秒），画面清晰无卡顿、撕裂、延迟，无诱发眩晕的画面抖动。</w:t>
      </w:r>
    </w:p>
    <w:p w14:paraId="19899AC7">
      <w:pPr>
        <w:numPr>
          <w:ilvl w:val="0"/>
          <w:numId w:val="0"/>
        </w:numPr>
        <w:spacing w:line="360" w:lineRule="auto"/>
        <w:ind w:leftChars="200"/>
        <w:rPr>
          <w:rFonts w:hint="eastAsia" w:ascii="宋体" w:hAnsi="宋体"/>
          <w:b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sz w:val="24"/>
          <w:szCs w:val="24"/>
          <w:lang w:val="en-US" w:eastAsia="zh-CN"/>
        </w:rPr>
        <w:t>2、售后技术服务要求</w:t>
      </w:r>
    </w:p>
    <w:p w14:paraId="0650A0FB">
      <w:pPr>
        <w:keepNext w:val="0"/>
        <w:keepLines w:val="0"/>
        <w:widowControl/>
        <w:suppressLineNumbers w:val="0"/>
        <w:spacing w:line="360" w:lineRule="auto"/>
        <w:ind w:firstLine="420" w:firstLineChars="0"/>
        <w:jc w:val="left"/>
        <w:rPr>
          <w:sz w:val="24"/>
          <w:szCs w:val="24"/>
        </w:rPr>
      </w:pPr>
      <w:r>
        <w:rPr>
          <w:rStyle w:val="6"/>
          <w:rFonts w:ascii="宋体" w:hAnsi="宋体" w:eastAsia="宋体" w:cs="宋体"/>
          <w:kern w:val="0"/>
          <w:sz w:val="24"/>
          <w:szCs w:val="24"/>
          <w:lang w:val="en-US" w:eastAsia="zh-CN" w:bidi="ar"/>
        </w:rPr>
        <w:t>（1）质保运维服务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：项目交付后提供不少于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2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年免费质保服务，质保期内针对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软、硬件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功能异常、场景适配故障、交互延迟、算法识别偏差等问题，</w:t>
      </w:r>
      <w:r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2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小时内响应，</w:t>
      </w:r>
      <w:r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24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小时内远程修复，校园现场故障</w:t>
      </w:r>
      <w:r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48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小时内上门处理，终身提供免费系统运维优化服务。</w:t>
      </w:r>
    </w:p>
    <w:p w14:paraId="7CEB249D">
      <w:pPr>
        <w:keepNext w:val="0"/>
        <w:keepLines w:val="0"/>
        <w:widowControl/>
        <w:suppressLineNumbers w:val="0"/>
        <w:spacing w:line="360" w:lineRule="auto"/>
        <w:ind w:firstLine="420" w:firstLineChars="0"/>
        <w:jc w:val="left"/>
        <w:rPr>
          <w:sz w:val="24"/>
          <w:szCs w:val="24"/>
        </w:rPr>
      </w:pPr>
      <w:r>
        <w:rPr>
          <w:rStyle w:val="6"/>
          <w:rFonts w:ascii="宋体" w:hAnsi="宋体" w:eastAsia="宋体" w:cs="宋体"/>
          <w:kern w:val="0"/>
          <w:sz w:val="24"/>
          <w:szCs w:val="24"/>
          <w:lang w:val="en-US" w:eastAsia="zh-CN" w:bidi="ar"/>
        </w:rPr>
        <w:t>（2）免费升级服务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：质保期内免费提供形象优化、教学知识点更新、工艺适配升级服务，同步适配教学大纲及行业规范更新，保障智能教学功能的专业性、先进性。</w:t>
      </w:r>
    </w:p>
    <w:p w14:paraId="45D99BAE">
      <w:pPr>
        <w:keepNext w:val="0"/>
        <w:keepLines w:val="0"/>
        <w:widowControl/>
        <w:suppressLineNumbers w:val="0"/>
        <w:spacing w:line="360" w:lineRule="auto"/>
        <w:ind w:firstLine="420" w:firstLineChars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Style w:val="6"/>
          <w:rFonts w:ascii="宋体" w:hAnsi="宋体" w:eastAsia="宋体" w:cs="宋体"/>
          <w:kern w:val="0"/>
          <w:sz w:val="24"/>
          <w:szCs w:val="24"/>
          <w:lang w:val="en-US" w:eastAsia="zh-CN" w:bidi="ar"/>
        </w:rPr>
        <w:t>（3）专项培训服务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：交付后提供免费上门专项培训，针对教师、管理员开展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软件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功能使用、智能实训教学、后台数据查看、系统升级维护等培训，保障教学人员熟练运用新增智能功能。</w:t>
      </w:r>
    </w:p>
    <w:p w14:paraId="32FBBD18">
      <w:pPr>
        <w:numPr>
          <w:ilvl w:val="0"/>
          <w:numId w:val="0"/>
        </w:numPr>
        <w:spacing w:line="360" w:lineRule="auto"/>
        <w:ind w:leftChars="200"/>
        <w:rPr>
          <w:rFonts w:hint="eastAsia" w:ascii="宋体" w:hAnsi="宋体"/>
          <w:b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sz w:val="24"/>
          <w:szCs w:val="24"/>
          <w:lang w:val="en-US" w:eastAsia="zh-CN"/>
        </w:rPr>
        <w:t>3、交付与验收服务</w:t>
      </w:r>
    </w:p>
    <w:p w14:paraId="133B990A">
      <w:pPr>
        <w:pStyle w:val="2"/>
        <w:spacing w:line="360" w:lineRule="auto"/>
        <w:ind w:left="0" w:leftChars="0" w:firstLine="42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严格围绕“全流程指引、</w:t>
      </w:r>
      <w:r>
        <w:rPr>
          <w:rFonts w:hint="eastAsia"/>
          <w:sz w:val="24"/>
          <w:szCs w:val="24"/>
          <w:lang w:val="en-US" w:eastAsia="zh-CN"/>
        </w:rPr>
        <w:t>考核评分</w:t>
      </w:r>
      <w:r>
        <w:rPr>
          <w:rFonts w:hint="eastAsia"/>
          <w:sz w:val="24"/>
          <w:szCs w:val="24"/>
        </w:rPr>
        <w:t>”等核心需求逐项验收，出具完整升级测试报告。针对验收问题无条件免费整改优化，确保升级后的系统完全适配日常实训教学工作。</w:t>
      </w:r>
    </w:p>
    <w:p w14:paraId="1D433695">
      <w:pPr>
        <w:numPr>
          <w:ilvl w:val="0"/>
          <w:numId w:val="0"/>
        </w:numPr>
        <w:spacing w:line="360" w:lineRule="auto"/>
        <w:ind w:leftChars="200"/>
        <w:rPr>
          <w:rFonts w:hint="eastAsia" w:ascii="宋体" w:hAnsi="宋体"/>
          <w:b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sz w:val="24"/>
          <w:szCs w:val="24"/>
          <w:lang w:val="en-US" w:eastAsia="zh-CN"/>
        </w:rPr>
        <w:t>4、应急保障服务</w:t>
      </w:r>
    </w:p>
    <w:p w14:paraId="2F74E53A">
      <w:pPr>
        <w:spacing w:line="360" w:lineRule="auto"/>
        <w:ind w:firstLine="42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建立</w:t>
      </w:r>
      <w:r>
        <w:rPr>
          <w:rFonts w:hint="eastAsia"/>
          <w:b/>
          <w:bCs/>
          <w:sz w:val="24"/>
          <w:szCs w:val="24"/>
        </w:rPr>
        <w:t>7×24</w:t>
      </w:r>
      <w:r>
        <w:rPr>
          <w:rFonts w:hint="eastAsia"/>
          <w:sz w:val="24"/>
          <w:szCs w:val="24"/>
        </w:rPr>
        <w:t>小时技术响应机制，保障教学期间系统稳定运行，针对</w:t>
      </w:r>
      <w:r>
        <w:rPr>
          <w:rFonts w:hint="eastAsia"/>
          <w:sz w:val="24"/>
          <w:szCs w:val="24"/>
          <w:lang w:val="en-US" w:eastAsia="zh-CN"/>
        </w:rPr>
        <w:t>软、硬件</w:t>
      </w:r>
      <w:r>
        <w:rPr>
          <w:rFonts w:hint="eastAsia"/>
          <w:sz w:val="24"/>
          <w:szCs w:val="24"/>
        </w:rPr>
        <w:t>功能突发故障、场景适配异常等问题，快速提供应急解决方案，不影响正常实训教学进度。</w:t>
      </w:r>
    </w:p>
    <w:p w14:paraId="7B93373C">
      <w:pPr>
        <w:pStyle w:val="3"/>
        <w:widowControl/>
        <w:spacing w:line="360" w:lineRule="auto"/>
        <w:ind w:right="1680"/>
        <w:jc w:val="both"/>
      </w:pPr>
      <w:bookmarkStart w:id="0" w:name="_GoBack"/>
      <w:bookmarkEnd w:id="0"/>
    </w:p>
    <w:p w14:paraId="416A00FC"/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7D15A5"/>
    <w:rsid w:val="7A0E3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iPriority="99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9"/>
    <w:basedOn w:val="1"/>
    <w:next w:val="1"/>
    <w:unhideWhenUsed/>
    <w:qFormat/>
    <w:uiPriority w:val="99"/>
    <w:pPr>
      <w:ind w:left="1600" w:leftChars="1600"/>
    </w:p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character" w:styleId="6">
    <w:name w:val="Strong"/>
    <w:basedOn w:val="5"/>
    <w:qFormat/>
    <w:uiPriority w:val="22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1689</Words>
  <Characters>1782</Characters>
  <Lines>0</Lines>
  <Paragraphs>0</Paragraphs>
  <TotalTime>0</TotalTime>
  <ScaleCrop>false</ScaleCrop>
  <LinksUpToDate>false</LinksUpToDate>
  <CharactersWithSpaces>1783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2026-08-11T07:32:00Z</dcterms:created>
  <dc:creator>1</dc:creator>
  <cp:lastModifiedBy>刘伟</cp:lastModifiedBy>
  <dcterms:modified xsi:type="dcterms:W3CDTF">2026-09-18T07:41:07Z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eyJoZGlkIjoiYTlkYTA5ZWExZWNjNzE4ODNmZTIwZDVmMWU5OTJjYjYiLCJ1c2VySWQiOiIxNTY2MDA5Mjc3In0=</vt:lpwstr>
  </property>
  <property fmtid="{D5CDD505-2E9C-101B-9397-08002B2CF9AE}" pid="4" name="ICV">
    <vt:lpwstr>467965E3FFEA44A984A444ABE3818A0D_12</vt:lpwstr>
  </property>
</Properties>
</file>