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36EA3">
      <w:pPr>
        <w:snapToGrid w:val="0"/>
        <w:spacing w:before="120" w:after="120" w:line="300" w:lineRule="auto"/>
        <w:ind w:firstLine="420"/>
        <w:jc w:val="center"/>
        <w:rPr>
          <w:rFonts w:asciiTheme="minorEastAsia" w:hAnsiTheme="minorEastAsia" w:eastAsiaTheme="minorEastAsia"/>
          <w:color w:val="auto"/>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431800</wp:posOffset>
            </wp:positionH>
            <wp:positionV relativeFrom="paragraph">
              <wp:posOffset>28575</wp:posOffset>
            </wp:positionV>
            <wp:extent cx="4695825" cy="970280"/>
            <wp:effectExtent l="0" t="0" r="9525" b="1270"/>
            <wp:wrapTight wrapText="bothSides">
              <wp:wrapPolygon>
                <wp:start x="0" y="0"/>
                <wp:lineTo x="0" y="21204"/>
                <wp:lineTo x="21556" y="21204"/>
                <wp:lineTo x="2155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695825" cy="970280"/>
                    </a:xfrm>
                    <a:prstGeom prst="rect">
                      <a:avLst/>
                    </a:prstGeom>
                  </pic:spPr>
                </pic:pic>
              </a:graphicData>
            </a:graphic>
          </wp:anchor>
        </w:drawing>
      </w:r>
      <w:r>
        <w:rPr>
          <w:rFonts w:hint="eastAsia" w:asciiTheme="minorEastAsia" w:hAnsiTheme="minorEastAsia" w:eastAsiaTheme="minorEastAsia"/>
          <w:color w:val="auto"/>
          <w:sz w:val="72"/>
          <w:szCs w:val="72"/>
          <w:highlight w:val="none"/>
        </w:rPr>
        <w:t xml:space="preserve"> </w:t>
      </w:r>
    </w:p>
    <w:p w14:paraId="20682E5F">
      <w:pPr>
        <w:snapToGrid w:val="0"/>
        <w:spacing w:before="120" w:after="120" w:line="300" w:lineRule="auto"/>
        <w:jc w:val="center"/>
        <w:rPr>
          <w:rFonts w:asciiTheme="minorEastAsia" w:hAnsiTheme="minorEastAsia" w:eastAsiaTheme="minorEastAsia"/>
          <w:color w:val="auto"/>
          <w:sz w:val="72"/>
          <w:szCs w:val="72"/>
          <w:highlight w:val="none"/>
        </w:rPr>
      </w:pPr>
    </w:p>
    <w:p w14:paraId="57C7C41C">
      <w:pPr>
        <w:snapToGrid w:val="0"/>
        <w:spacing w:before="120" w:after="120" w:line="300" w:lineRule="auto"/>
        <w:jc w:val="center"/>
        <w:rPr>
          <w:rFonts w:ascii="黑体" w:hAnsi="黑体" w:eastAsia="黑体"/>
          <w:b/>
          <w:color w:val="auto"/>
          <w:sz w:val="72"/>
          <w:szCs w:val="72"/>
          <w:highlight w:val="none"/>
        </w:rPr>
      </w:pPr>
      <w:r>
        <w:rPr>
          <w:rFonts w:hint="eastAsia" w:ascii="黑体" w:hAnsi="黑体" w:eastAsia="黑体"/>
          <w:b/>
          <w:color w:val="auto"/>
          <w:sz w:val="72"/>
          <w:szCs w:val="72"/>
          <w:highlight w:val="none"/>
        </w:rPr>
        <w:t>询价文件</w:t>
      </w:r>
    </w:p>
    <w:p w14:paraId="25BB3898">
      <w:pPr>
        <w:tabs>
          <w:tab w:val="left" w:pos="8610"/>
        </w:tabs>
        <w:snapToGrid w:val="0"/>
        <w:spacing w:line="300" w:lineRule="auto"/>
        <w:jc w:val="left"/>
        <w:rPr>
          <w:rFonts w:asciiTheme="minorEastAsia" w:hAnsiTheme="minorEastAsia" w:eastAsiaTheme="minorEastAsia"/>
          <w:b/>
          <w:bCs/>
          <w:color w:val="auto"/>
          <w:sz w:val="28"/>
          <w:highlight w:val="none"/>
        </w:rPr>
      </w:pPr>
      <w:r>
        <w:rPr>
          <w:rFonts w:asciiTheme="minorEastAsia" w:hAnsiTheme="minorEastAsia" w:eastAsiaTheme="minorEastAsia"/>
          <w:b/>
          <w:bCs/>
          <w:color w:val="auto"/>
          <w:sz w:val="28"/>
          <w:highlight w:val="none"/>
        </w:rPr>
        <w:tab/>
      </w:r>
    </w:p>
    <w:p w14:paraId="1A76F191">
      <w:pPr>
        <w:snapToGrid w:val="0"/>
        <w:spacing w:line="300" w:lineRule="auto"/>
        <w:jc w:val="center"/>
        <w:rPr>
          <w:rFonts w:asciiTheme="minorEastAsia" w:hAnsiTheme="minorEastAsia" w:eastAsiaTheme="minorEastAsia"/>
          <w:b/>
          <w:bCs/>
          <w:color w:val="auto"/>
          <w:sz w:val="28"/>
          <w:highlight w:val="none"/>
        </w:rPr>
      </w:pPr>
    </w:p>
    <w:p w14:paraId="601E130D">
      <w:pPr>
        <w:snapToGrid w:val="0"/>
        <w:spacing w:line="300" w:lineRule="auto"/>
        <w:jc w:val="center"/>
        <w:rPr>
          <w:rFonts w:asciiTheme="minorEastAsia" w:hAnsiTheme="minorEastAsia" w:eastAsiaTheme="minorEastAsia"/>
          <w:b/>
          <w:bCs/>
          <w:color w:val="auto"/>
          <w:sz w:val="28"/>
          <w:highlight w:val="none"/>
        </w:rPr>
      </w:pPr>
    </w:p>
    <w:p w14:paraId="7CCDCF95">
      <w:pPr>
        <w:snapToGrid w:val="0"/>
        <w:spacing w:line="300" w:lineRule="auto"/>
        <w:jc w:val="center"/>
        <w:rPr>
          <w:rFonts w:asciiTheme="minorEastAsia" w:hAnsiTheme="minorEastAsia" w:eastAsiaTheme="minorEastAsia"/>
          <w:b/>
          <w:bCs/>
          <w:color w:val="auto"/>
          <w:sz w:val="28"/>
          <w:highlight w:val="none"/>
        </w:rPr>
      </w:pPr>
    </w:p>
    <w:p w14:paraId="7EA17C9D">
      <w:pPr>
        <w:snapToGrid w:val="0"/>
        <w:spacing w:line="300" w:lineRule="auto"/>
        <w:jc w:val="center"/>
        <w:rPr>
          <w:rFonts w:asciiTheme="minorEastAsia" w:hAnsiTheme="minorEastAsia" w:eastAsiaTheme="minorEastAsia"/>
          <w:b/>
          <w:bCs/>
          <w:color w:val="auto"/>
          <w:sz w:val="28"/>
          <w:highlight w:val="none"/>
        </w:rPr>
      </w:pPr>
    </w:p>
    <w:p w14:paraId="14368C0C">
      <w:pPr>
        <w:snapToGrid w:val="0"/>
        <w:spacing w:line="300" w:lineRule="auto"/>
        <w:rPr>
          <w:rFonts w:asciiTheme="minorEastAsia" w:hAnsiTheme="minorEastAsia" w:eastAsiaTheme="minorEastAsia"/>
          <w:b/>
          <w:bCs/>
          <w:color w:val="auto"/>
          <w:sz w:val="36"/>
          <w:szCs w:val="36"/>
          <w:highlight w:val="none"/>
        </w:rPr>
      </w:pPr>
    </w:p>
    <w:p w14:paraId="0BA76953">
      <w:pPr>
        <w:snapToGrid w:val="0"/>
        <w:spacing w:line="300" w:lineRule="auto"/>
        <w:ind w:firstLine="1102" w:firstLineChars="343"/>
        <w:rPr>
          <w:rFonts w:asciiTheme="majorEastAsia" w:hAnsiTheme="majorEastAsia" w:eastAsiaTheme="majorEastAsia"/>
          <w:b/>
          <w:bCs/>
          <w:color w:val="auto"/>
          <w:sz w:val="32"/>
          <w:szCs w:val="32"/>
          <w:highlight w:val="none"/>
        </w:rPr>
      </w:pPr>
      <w:r>
        <w:rPr>
          <w:rFonts w:hint="eastAsia" w:asciiTheme="majorEastAsia" w:hAnsiTheme="majorEastAsia" w:eastAsiaTheme="majorEastAsia"/>
          <w:b/>
          <w:bCs/>
          <w:color w:val="auto"/>
          <w:sz w:val="32"/>
          <w:szCs w:val="32"/>
          <w:highlight w:val="none"/>
        </w:rPr>
        <w:t>项目名称</w:t>
      </w:r>
      <w:r>
        <w:rPr>
          <w:rFonts w:asciiTheme="majorEastAsia" w:hAnsiTheme="majorEastAsia" w:eastAsiaTheme="majorEastAsia"/>
          <w:b/>
          <w:bCs/>
          <w:color w:val="auto"/>
          <w:sz w:val="32"/>
          <w:szCs w:val="32"/>
          <w:highlight w:val="none"/>
        </w:rPr>
        <w:t>:</w:t>
      </w:r>
      <w:r>
        <w:rPr>
          <w:rFonts w:hint="eastAsia" w:asciiTheme="majorEastAsia" w:hAnsiTheme="majorEastAsia" w:eastAsiaTheme="majorEastAsia"/>
          <w:b/>
          <w:bCs/>
          <w:color w:val="auto"/>
          <w:sz w:val="32"/>
          <w:szCs w:val="32"/>
          <w:highlight w:val="none"/>
        </w:rPr>
        <w:t xml:space="preserve"> 校内电力设备维护保养及抢修服务 </w:t>
      </w:r>
    </w:p>
    <w:p w14:paraId="30805B23">
      <w:pPr>
        <w:snapToGrid w:val="0"/>
        <w:spacing w:line="300" w:lineRule="auto"/>
        <w:ind w:firstLine="1108" w:firstLineChars="345"/>
        <w:rPr>
          <w:rFonts w:asciiTheme="majorEastAsia" w:hAnsiTheme="majorEastAsia" w:eastAsiaTheme="majorEastAsia"/>
          <w:b/>
          <w:bCs/>
          <w:color w:val="auto"/>
          <w:sz w:val="32"/>
          <w:szCs w:val="32"/>
          <w:highlight w:val="none"/>
        </w:rPr>
      </w:pPr>
      <w:r>
        <w:rPr>
          <w:rFonts w:hint="eastAsia" w:asciiTheme="majorEastAsia" w:hAnsiTheme="majorEastAsia" w:eastAsiaTheme="majorEastAsia"/>
          <w:b/>
          <w:bCs/>
          <w:color w:val="auto"/>
          <w:sz w:val="32"/>
          <w:szCs w:val="32"/>
          <w:highlight w:val="none"/>
        </w:rPr>
        <w:t>项目编号</w:t>
      </w:r>
      <w:r>
        <w:rPr>
          <w:rFonts w:asciiTheme="majorEastAsia" w:hAnsiTheme="majorEastAsia" w:eastAsiaTheme="majorEastAsia"/>
          <w:b/>
          <w:bCs/>
          <w:color w:val="auto"/>
          <w:sz w:val="32"/>
          <w:szCs w:val="32"/>
          <w:highlight w:val="none"/>
        </w:rPr>
        <w:t>:</w:t>
      </w:r>
      <w:r>
        <w:rPr>
          <w:rFonts w:hint="eastAsia" w:asciiTheme="majorEastAsia" w:hAnsiTheme="majorEastAsia" w:eastAsiaTheme="majorEastAsia"/>
          <w:b/>
          <w:bCs/>
          <w:color w:val="auto"/>
          <w:sz w:val="32"/>
          <w:szCs w:val="32"/>
          <w:highlight w:val="none"/>
        </w:rPr>
        <w:t xml:space="preserve"> SY2026—001-FW-XJ</w:t>
      </w:r>
    </w:p>
    <w:p w14:paraId="47351A37">
      <w:pPr>
        <w:snapToGrid w:val="0"/>
        <w:spacing w:before="120" w:after="120" w:line="300" w:lineRule="auto"/>
        <w:rPr>
          <w:rFonts w:asciiTheme="majorEastAsia" w:hAnsiTheme="majorEastAsia" w:eastAsiaTheme="majorEastAsia"/>
          <w:color w:val="auto"/>
          <w:sz w:val="36"/>
          <w:szCs w:val="36"/>
          <w:highlight w:val="none"/>
        </w:rPr>
      </w:pPr>
    </w:p>
    <w:p w14:paraId="5B3B9B47">
      <w:pPr>
        <w:snapToGrid w:val="0"/>
        <w:spacing w:before="120" w:after="120" w:line="300" w:lineRule="auto"/>
        <w:jc w:val="center"/>
        <w:rPr>
          <w:rFonts w:asciiTheme="majorEastAsia" w:hAnsiTheme="majorEastAsia" w:eastAsiaTheme="majorEastAsia"/>
          <w:color w:val="auto"/>
          <w:sz w:val="36"/>
          <w:szCs w:val="36"/>
          <w:highlight w:val="none"/>
        </w:rPr>
      </w:pPr>
    </w:p>
    <w:p w14:paraId="18C0D0D5">
      <w:pPr>
        <w:pStyle w:val="43"/>
        <w:rPr>
          <w:rFonts w:asciiTheme="majorEastAsia" w:hAnsiTheme="majorEastAsia" w:eastAsiaTheme="majorEastAsia"/>
          <w:color w:val="auto"/>
          <w:highlight w:val="none"/>
        </w:rPr>
      </w:pPr>
    </w:p>
    <w:p w14:paraId="38182D48">
      <w:pPr>
        <w:spacing w:line="440" w:lineRule="exact"/>
        <w:ind w:firstLine="1285" w:firstLineChars="400"/>
        <w:rPr>
          <w:rFonts w:asciiTheme="majorEastAsia" w:hAnsiTheme="majorEastAsia" w:eastAsiaTheme="majorEastAsia"/>
          <w:b/>
          <w:bCs/>
          <w:color w:val="auto"/>
          <w:sz w:val="32"/>
          <w:highlight w:val="none"/>
        </w:rPr>
      </w:pPr>
    </w:p>
    <w:p w14:paraId="128DFBF3">
      <w:pPr>
        <w:pStyle w:val="25"/>
        <w:rPr>
          <w:rFonts w:asciiTheme="majorEastAsia" w:hAnsiTheme="majorEastAsia" w:eastAsiaTheme="majorEastAsia"/>
          <w:color w:val="auto"/>
          <w:highlight w:val="none"/>
        </w:rPr>
      </w:pPr>
    </w:p>
    <w:p w14:paraId="6C07561E">
      <w:pPr>
        <w:pStyle w:val="25"/>
        <w:rPr>
          <w:rFonts w:asciiTheme="majorEastAsia" w:hAnsiTheme="majorEastAsia" w:eastAsiaTheme="majorEastAsia"/>
          <w:color w:val="auto"/>
          <w:highlight w:val="none"/>
        </w:rPr>
      </w:pPr>
    </w:p>
    <w:p w14:paraId="707FA99E">
      <w:pPr>
        <w:pStyle w:val="25"/>
        <w:rPr>
          <w:rFonts w:asciiTheme="majorEastAsia" w:hAnsiTheme="majorEastAsia" w:eastAsiaTheme="majorEastAsia"/>
          <w:color w:val="auto"/>
          <w:highlight w:val="none"/>
        </w:rPr>
      </w:pPr>
    </w:p>
    <w:p w14:paraId="6C9B01D0">
      <w:pPr>
        <w:spacing w:line="440" w:lineRule="exact"/>
        <w:jc w:val="center"/>
        <w:rPr>
          <w:rFonts w:ascii="宋体" w:hAnsi="宋体"/>
          <w:b/>
          <w:bCs/>
          <w:color w:val="auto"/>
          <w:sz w:val="32"/>
          <w:highlight w:val="none"/>
        </w:rPr>
      </w:pPr>
    </w:p>
    <w:p w14:paraId="11A18CAA">
      <w:pPr>
        <w:pStyle w:val="25"/>
        <w:rPr>
          <w:color w:val="auto"/>
          <w:highlight w:val="none"/>
        </w:rPr>
      </w:pPr>
    </w:p>
    <w:p w14:paraId="7D9E1239">
      <w:pPr>
        <w:spacing w:line="440" w:lineRule="exact"/>
        <w:jc w:val="center"/>
        <w:rPr>
          <w:rFonts w:ascii="宋体" w:hAnsi="宋体"/>
          <w:color w:val="auto"/>
          <w:kern w:val="0"/>
          <w:sz w:val="28"/>
          <w:highlight w:val="none"/>
        </w:rPr>
      </w:pPr>
      <w:r>
        <w:rPr>
          <w:rFonts w:hint="eastAsia" w:ascii="宋体" w:hAnsi="宋体"/>
          <w:color w:val="auto"/>
          <w:sz w:val="36"/>
          <w:szCs w:val="36"/>
          <w:highlight w:val="none"/>
        </w:rPr>
        <w:t xml:space="preserve"> 2026</w:t>
      </w:r>
      <w:r>
        <w:rPr>
          <w:rFonts w:ascii="宋体" w:hAnsi="宋体"/>
          <w:color w:val="auto"/>
          <w:sz w:val="36"/>
          <w:szCs w:val="36"/>
          <w:highlight w:val="none"/>
        </w:rPr>
        <w:t>年</w:t>
      </w:r>
      <w:r>
        <w:rPr>
          <w:rFonts w:hint="eastAsia" w:ascii="宋体" w:hAnsi="宋体"/>
          <w:color w:val="auto"/>
          <w:sz w:val="36"/>
          <w:szCs w:val="36"/>
          <w:highlight w:val="none"/>
        </w:rPr>
        <w:t>3</w:t>
      </w:r>
      <w:r>
        <w:rPr>
          <w:rFonts w:ascii="宋体" w:hAnsi="宋体"/>
          <w:color w:val="auto"/>
          <w:sz w:val="36"/>
          <w:szCs w:val="36"/>
          <w:highlight w:val="none"/>
        </w:rPr>
        <w:t>月</w:t>
      </w:r>
      <w:r>
        <w:rPr>
          <w:rFonts w:hint="eastAsia" w:ascii="宋体" w:hAnsi="宋体"/>
          <w:color w:val="auto"/>
          <w:sz w:val="36"/>
          <w:szCs w:val="36"/>
          <w:highlight w:val="none"/>
          <w:lang w:val="en-US" w:eastAsia="zh-CN"/>
        </w:rPr>
        <w:t>4</w:t>
      </w:r>
      <w:r>
        <w:rPr>
          <w:rFonts w:ascii="宋体" w:hAnsi="宋体"/>
          <w:color w:val="auto"/>
          <w:sz w:val="36"/>
          <w:szCs w:val="36"/>
          <w:highlight w:val="none"/>
        </w:rPr>
        <w:t>日</w:t>
      </w:r>
    </w:p>
    <w:p w14:paraId="342E04F3">
      <w:pPr>
        <w:pStyle w:val="43"/>
        <w:rPr>
          <w:rFonts w:asciiTheme="minorEastAsia" w:hAnsiTheme="minorEastAsia" w:eastAsiaTheme="minorEastAsia"/>
          <w:color w:val="auto"/>
          <w:highlight w:val="none"/>
        </w:rPr>
      </w:pPr>
    </w:p>
    <w:p w14:paraId="6480BC03">
      <w:pPr>
        <w:pStyle w:val="43"/>
        <w:rPr>
          <w:rFonts w:asciiTheme="minorEastAsia" w:hAnsiTheme="minorEastAsia" w:eastAsiaTheme="minorEastAsia"/>
          <w:color w:val="auto"/>
          <w:highlight w:val="none"/>
        </w:rPr>
      </w:pPr>
    </w:p>
    <w:p w14:paraId="39B9A1D9">
      <w:pPr>
        <w:pStyle w:val="43"/>
        <w:rPr>
          <w:rFonts w:asciiTheme="minorEastAsia" w:hAnsiTheme="minorEastAsia" w:eastAsiaTheme="minorEastAsia"/>
          <w:color w:val="auto"/>
          <w:highlight w:val="none"/>
        </w:rPr>
      </w:pPr>
    </w:p>
    <w:p w14:paraId="2182C4BF">
      <w:pPr>
        <w:pStyle w:val="43"/>
        <w:rPr>
          <w:rFonts w:asciiTheme="minorEastAsia" w:hAnsiTheme="minorEastAsia" w:eastAsiaTheme="minorEastAsia"/>
          <w:color w:val="auto"/>
          <w:highlight w:val="none"/>
        </w:rPr>
      </w:pPr>
    </w:p>
    <w:p w14:paraId="30C28EBB">
      <w:pPr>
        <w:pStyle w:val="43"/>
        <w:rPr>
          <w:rFonts w:asciiTheme="minorEastAsia" w:hAnsiTheme="minorEastAsia" w:eastAsiaTheme="minorEastAsia"/>
          <w:color w:val="auto"/>
          <w:highlight w:val="none"/>
        </w:rPr>
      </w:pPr>
    </w:p>
    <w:p w14:paraId="32EA7061">
      <w:pPr>
        <w:pStyle w:val="43"/>
        <w:rPr>
          <w:rFonts w:asciiTheme="minorEastAsia" w:hAnsiTheme="minorEastAsia" w:eastAsiaTheme="minorEastAsia"/>
          <w:color w:val="auto"/>
          <w:highlight w:val="none"/>
        </w:rPr>
        <w:sectPr>
          <w:headerReference r:id="rId3" w:type="first"/>
          <w:footerReference r:id="rId4" w:type="first"/>
          <w:pgSz w:w="11906" w:h="16838"/>
          <w:pgMar w:top="1134" w:right="1134" w:bottom="1134" w:left="1134" w:header="851" w:footer="992" w:gutter="0"/>
          <w:pgNumType w:start="1"/>
          <w:cols w:space="425" w:num="1"/>
          <w:docGrid w:linePitch="312" w:charSpace="0"/>
        </w:sectPr>
      </w:pPr>
    </w:p>
    <w:p w14:paraId="66E607E9">
      <w:pPr>
        <w:pStyle w:val="43"/>
        <w:rPr>
          <w:rFonts w:asciiTheme="minorEastAsia" w:hAnsiTheme="minorEastAsia" w:eastAsiaTheme="minorEastAsia"/>
          <w:color w:val="auto"/>
          <w:highlight w:val="none"/>
        </w:rPr>
      </w:pPr>
    </w:p>
    <w:p w14:paraId="21CA6B36">
      <w:pPr>
        <w:rPr>
          <w:color w:val="auto"/>
          <w:highlight w:val="none"/>
        </w:rPr>
      </w:pPr>
    </w:p>
    <w:p w14:paraId="6D7FA9DE">
      <w:pPr>
        <w:pStyle w:val="14"/>
        <w:spacing w:line="520" w:lineRule="exact"/>
        <w:ind w:left="0" w:leftChars="0"/>
        <w:jc w:val="center"/>
        <w:rPr>
          <w:rStyle w:val="31"/>
          <w:bCs/>
          <w:color w:val="auto"/>
          <w:sz w:val="48"/>
          <w:highlight w:val="none"/>
          <w:u w:val="none"/>
        </w:rPr>
      </w:pPr>
      <w:r>
        <w:rPr>
          <w:rStyle w:val="31"/>
          <w:rFonts w:hint="eastAsia"/>
          <w:bCs/>
          <w:color w:val="auto"/>
          <w:sz w:val="48"/>
          <w:highlight w:val="none"/>
          <w:u w:val="none"/>
        </w:rPr>
        <w:t>目</w:t>
      </w:r>
      <w:r>
        <w:rPr>
          <w:rStyle w:val="31"/>
          <w:bCs/>
          <w:color w:val="auto"/>
          <w:sz w:val="48"/>
          <w:highlight w:val="none"/>
          <w:u w:val="none"/>
        </w:rPr>
        <w:t xml:space="preserve">  </w:t>
      </w:r>
      <w:r>
        <w:rPr>
          <w:rStyle w:val="31"/>
          <w:rFonts w:hint="eastAsia"/>
          <w:bCs/>
          <w:color w:val="auto"/>
          <w:sz w:val="48"/>
          <w:highlight w:val="none"/>
          <w:u w:val="none"/>
        </w:rPr>
        <w:t>录</w:t>
      </w:r>
    </w:p>
    <w:p w14:paraId="55A48CC7">
      <w:pPr>
        <w:rPr>
          <w:color w:val="auto"/>
          <w:highlight w:val="none"/>
        </w:rPr>
      </w:pPr>
    </w:p>
    <w:p w14:paraId="24B9941F">
      <w:pPr>
        <w:pStyle w:val="21"/>
        <w:ind w:left="3360"/>
        <w:rPr>
          <w:color w:val="auto"/>
          <w:highlight w:val="none"/>
        </w:rPr>
      </w:pPr>
    </w:p>
    <w:p w14:paraId="7E743D54">
      <w:pPr>
        <w:rPr>
          <w:color w:val="auto"/>
          <w:highlight w:val="none"/>
        </w:rPr>
      </w:pPr>
    </w:p>
    <w:p w14:paraId="4C61B813">
      <w:pPr>
        <w:pStyle w:val="19"/>
        <w:tabs>
          <w:tab w:val="right" w:leader="dot" w:pos="9628"/>
        </w:tabs>
        <w:spacing w:line="480" w:lineRule="auto"/>
        <w:ind w:left="426"/>
        <w:jc w:val="left"/>
        <w:rPr>
          <w:rFonts w:asciiTheme="minorHAnsi" w:hAnsiTheme="minorHAnsi" w:eastAsiaTheme="minorEastAsia" w:cstheme="minorBidi"/>
          <w:color w:val="auto"/>
          <w:sz w:val="28"/>
          <w:szCs w:val="22"/>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"_Toc141279351" </w:instrText>
      </w:r>
      <w:r>
        <w:rPr>
          <w:color w:val="auto"/>
          <w:highlight w:val="none"/>
        </w:rPr>
        <w:fldChar w:fldCharType="separate"/>
      </w:r>
      <w:r>
        <w:rPr>
          <w:rStyle w:val="32"/>
          <w:rFonts w:hint="eastAsia"/>
          <w:color w:val="auto"/>
          <w:sz w:val="28"/>
          <w:highlight w:val="none"/>
        </w:rPr>
        <w:t>第一部分</w:t>
      </w:r>
      <w:r>
        <w:rPr>
          <w:rStyle w:val="32"/>
          <w:color w:val="auto"/>
          <w:sz w:val="28"/>
          <w:highlight w:val="none"/>
        </w:rPr>
        <w:t xml:space="preserve"> </w:t>
      </w:r>
      <w:r>
        <w:rPr>
          <w:rStyle w:val="32"/>
          <w:rFonts w:hint="eastAsia"/>
          <w:color w:val="auto"/>
          <w:sz w:val="28"/>
          <w:highlight w:val="none"/>
        </w:rPr>
        <w:t>询价采购公告</w:t>
      </w:r>
      <w:r>
        <w:rPr>
          <w:color w:val="auto"/>
          <w:sz w:val="28"/>
          <w:highlight w:val="none"/>
        </w:rPr>
        <w:tab/>
      </w:r>
      <w:r>
        <w:rPr>
          <w:rFonts w:hint="eastAsia"/>
          <w:color w:val="auto"/>
          <w:sz w:val="28"/>
          <w:highlight w:val="none"/>
        </w:rPr>
        <w:t>2</w:t>
      </w:r>
      <w:r>
        <w:rPr>
          <w:rFonts w:hint="eastAsia"/>
          <w:color w:val="auto"/>
          <w:sz w:val="28"/>
          <w:highlight w:val="none"/>
        </w:rPr>
        <w:fldChar w:fldCharType="end"/>
      </w:r>
    </w:p>
    <w:p w14:paraId="5BDF94C8">
      <w:pPr>
        <w:pStyle w:val="19"/>
        <w:tabs>
          <w:tab w:val="right" w:leader="dot" w:pos="9628"/>
        </w:tabs>
        <w:spacing w:line="480" w:lineRule="auto"/>
        <w:ind w:firstLine="420" w:firstLineChars="200"/>
        <w:jc w:val="left"/>
        <w:rPr>
          <w:rFonts w:asciiTheme="minorHAnsi" w:hAnsiTheme="minorHAnsi" w:eastAsiaTheme="minorEastAsia" w:cstheme="minorBidi"/>
          <w:color w:val="auto"/>
          <w:sz w:val="28"/>
          <w:szCs w:val="22"/>
          <w:highlight w:val="none"/>
        </w:rPr>
      </w:pPr>
      <w:r>
        <w:rPr>
          <w:color w:val="auto"/>
          <w:highlight w:val="none"/>
        </w:rPr>
        <w:fldChar w:fldCharType="begin"/>
      </w:r>
      <w:r>
        <w:rPr>
          <w:color w:val="auto"/>
          <w:highlight w:val="none"/>
        </w:rPr>
        <w:instrText xml:space="preserve"> HYPERLINK \l "_Toc141279352" </w:instrText>
      </w:r>
      <w:r>
        <w:rPr>
          <w:color w:val="auto"/>
          <w:highlight w:val="none"/>
        </w:rPr>
        <w:fldChar w:fldCharType="separate"/>
      </w:r>
      <w:r>
        <w:rPr>
          <w:rStyle w:val="32"/>
          <w:rFonts w:hint="eastAsia"/>
          <w:color w:val="auto"/>
          <w:spacing w:val="4"/>
          <w:sz w:val="28"/>
          <w:highlight w:val="none"/>
        </w:rPr>
        <w:t>第二部分</w:t>
      </w:r>
      <w:r>
        <w:rPr>
          <w:rStyle w:val="32"/>
          <w:color w:val="auto"/>
          <w:spacing w:val="4"/>
          <w:sz w:val="28"/>
          <w:highlight w:val="none"/>
        </w:rPr>
        <w:t xml:space="preserve"> </w:t>
      </w:r>
      <w:r>
        <w:rPr>
          <w:rStyle w:val="32"/>
          <w:rFonts w:hint="eastAsia"/>
          <w:color w:val="auto"/>
          <w:sz w:val="28"/>
          <w:highlight w:val="none"/>
        </w:rPr>
        <w:t>投标人须知</w:t>
      </w:r>
      <w:r>
        <w:rPr>
          <w:color w:val="auto"/>
          <w:sz w:val="28"/>
          <w:highlight w:val="none"/>
        </w:rPr>
        <w:tab/>
      </w:r>
      <w:r>
        <w:rPr>
          <w:rFonts w:hint="eastAsia"/>
          <w:color w:val="auto"/>
          <w:sz w:val="28"/>
          <w:highlight w:val="none"/>
        </w:rPr>
        <w:t>5</w:t>
      </w:r>
      <w:r>
        <w:rPr>
          <w:rFonts w:hint="eastAsia"/>
          <w:color w:val="auto"/>
          <w:sz w:val="28"/>
          <w:highlight w:val="none"/>
        </w:rPr>
        <w:fldChar w:fldCharType="end"/>
      </w:r>
    </w:p>
    <w:p w14:paraId="2B5B9B5E">
      <w:pPr>
        <w:pStyle w:val="22"/>
        <w:tabs>
          <w:tab w:val="right" w:leader="dot" w:pos="9628"/>
        </w:tabs>
        <w:spacing w:line="480" w:lineRule="auto"/>
        <w:jc w:val="left"/>
        <w:rPr>
          <w:rFonts w:asciiTheme="minorHAnsi" w:hAnsiTheme="minorHAnsi" w:eastAsiaTheme="minorEastAsia" w:cstheme="minorBidi"/>
          <w:color w:val="auto"/>
          <w:sz w:val="28"/>
          <w:szCs w:val="22"/>
          <w:highlight w:val="none"/>
        </w:rPr>
      </w:pPr>
      <w:r>
        <w:rPr>
          <w:color w:val="auto"/>
          <w:highlight w:val="none"/>
        </w:rPr>
        <w:fldChar w:fldCharType="begin"/>
      </w:r>
      <w:r>
        <w:rPr>
          <w:color w:val="auto"/>
          <w:highlight w:val="none"/>
        </w:rPr>
        <w:instrText xml:space="preserve"> HYPERLINK \l "_Toc141279360" </w:instrText>
      </w:r>
      <w:r>
        <w:rPr>
          <w:color w:val="auto"/>
          <w:highlight w:val="none"/>
        </w:rPr>
        <w:fldChar w:fldCharType="separate"/>
      </w:r>
      <w:r>
        <w:rPr>
          <w:rStyle w:val="32"/>
          <w:rFonts w:hint="eastAsia"/>
          <w:color w:val="auto"/>
          <w:kern w:val="44"/>
          <w:sz w:val="28"/>
          <w:highlight w:val="none"/>
        </w:rPr>
        <w:t>第三部分</w:t>
      </w:r>
      <w:r>
        <w:rPr>
          <w:rStyle w:val="32"/>
          <w:color w:val="auto"/>
          <w:kern w:val="44"/>
          <w:sz w:val="28"/>
          <w:highlight w:val="none"/>
        </w:rPr>
        <w:t xml:space="preserve"> </w:t>
      </w:r>
      <w:r>
        <w:rPr>
          <w:rStyle w:val="32"/>
          <w:rFonts w:hint="eastAsia"/>
          <w:color w:val="auto"/>
          <w:kern w:val="44"/>
          <w:sz w:val="28"/>
          <w:highlight w:val="none"/>
        </w:rPr>
        <w:t>合同条款及格式</w:t>
      </w:r>
      <w:r>
        <w:rPr>
          <w:color w:val="auto"/>
          <w:sz w:val="28"/>
          <w:highlight w:val="none"/>
        </w:rPr>
        <w:tab/>
      </w:r>
      <w:r>
        <w:rPr>
          <w:rFonts w:hint="eastAsia"/>
          <w:color w:val="auto"/>
          <w:sz w:val="28"/>
          <w:highlight w:val="none"/>
        </w:rPr>
        <w:t>9</w:t>
      </w:r>
      <w:r>
        <w:rPr>
          <w:rFonts w:hint="eastAsia"/>
          <w:color w:val="auto"/>
          <w:sz w:val="28"/>
          <w:highlight w:val="none"/>
        </w:rPr>
        <w:fldChar w:fldCharType="end"/>
      </w:r>
    </w:p>
    <w:p w14:paraId="74642F66">
      <w:pPr>
        <w:pStyle w:val="22"/>
        <w:tabs>
          <w:tab w:val="right" w:leader="dot" w:pos="9628"/>
        </w:tabs>
        <w:spacing w:line="480" w:lineRule="auto"/>
        <w:jc w:val="left"/>
        <w:rPr>
          <w:rFonts w:asciiTheme="minorHAnsi" w:hAnsiTheme="minorHAnsi" w:cstheme="minorBidi"/>
          <w:color w:val="auto"/>
          <w:sz w:val="28"/>
          <w:szCs w:val="22"/>
          <w:highlight w:val="none"/>
        </w:rPr>
      </w:pPr>
      <w:r>
        <w:rPr>
          <w:color w:val="auto"/>
          <w:highlight w:val="none"/>
        </w:rPr>
        <w:fldChar w:fldCharType="begin"/>
      </w:r>
      <w:r>
        <w:rPr>
          <w:color w:val="auto"/>
          <w:highlight w:val="none"/>
        </w:rPr>
        <w:instrText xml:space="preserve"> HYPERLINK \l "_Toc141279399" </w:instrText>
      </w:r>
      <w:r>
        <w:rPr>
          <w:color w:val="auto"/>
          <w:highlight w:val="none"/>
        </w:rPr>
        <w:fldChar w:fldCharType="separate"/>
      </w:r>
      <w:r>
        <w:rPr>
          <w:rStyle w:val="32"/>
          <w:rFonts w:hint="eastAsia"/>
          <w:color w:val="auto"/>
          <w:kern w:val="44"/>
          <w:sz w:val="28"/>
          <w:highlight w:val="none"/>
        </w:rPr>
        <w:t>第四部分</w:t>
      </w:r>
      <w:r>
        <w:rPr>
          <w:rStyle w:val="32"/>
          <w:color w:val="auto"/>
          <w:kern w:val="44"/>
          <w:sz w:val="28"/>
          <w:highlight w:val="none"/>
        </w:rPr>
        <w:t xml:space="preserve"> </w:t>
      </w:r>
      <w:r>
        <w:rPr>
          <w:rStyle w:val="32"/>
          <w:rFonts w:hint="eastAsia"/>
          <w:color w:val="auto"/>
          <w:kern w:val="44"/>
          <w:sz w:val="28"/>
          <w:highlight w:val="none"/>
        </w:rPr>
        <w:t>项目需求</w:t>
      </w:r>
      <w:r>
        <w:rPr>
          <w:color w:val="auto"/>
          <w:sz w:val="28"/>
          <w:highlight w:val="none"/>
        </w:rPr>
        <w:tab/>
      </w:r>
      <w:r>
        <w:rPr>
          <w:rFonts w:hint="eastAsia"/>
          <w:color w:val="auto"/>
          <w:sz w:val="28"/>
          <w:highlight w:val="none"/>
        </w:rPr>
        <w:t>1</w:t>
      </w:r>
      <w:r>
        <w:rPr>
          <w:rFonts w:hint="eastAsia"/>
          <w:color w:val="auto"/>
          <w:sz w:val="28"/>
          <w:highlight w:val="none"/>
        </w:rPr>
        <w:fldChar w:fldCharType="end"/>
      </w:r>
      <w:r>
        <w:rPr>
          <w:rFonts w:hint="eastAsia"/>
          <w:color w:val="auto"/>
          <w:sz w:val="28"/>
          <w:highlight w:val="none"/>
        </w:rPr>
        <w:t>4</w:t>
      </w:r>
    </w:p>
    <w:p w14:paraId="427B5C7B">
      <w:pPr>
        <w:pStyle w:val="19"/>
        <w:tabs>
          <w:tab w:val="right" w:leader="dot" w:pos="9628"/>
        </w:tabs>
        <w:spacing w:line="480" w:lineRule="auto"/>
        <w:ind w:firstLine="420" w:firstLineChars="200"/>
        <w:jc w:val="left"/>
        <w:rPr>
          <w:rFonts w:asciiTheme="minorHAnsi" w:hAnsiTheme="minorHAnsi" w:cstheme="minorBidi"/>
          <w:color w:val="auto"/>
          <w:sz w:val="28"/>
          <w:szCs w:val="22"/>
          <w:highlight w:val="none"/>
        </w:rPr>
      </w:pPr>
      <w:r>
        <w:rPr>
          <w:color w:val="auto"/>
          <w:highlight w:val="none"/>
        </w:rPr>
        <w:fldChar w:fldCharType="begin"/>
      </w:r>
      <w:r>
        <w:rPr>
          <w:color w:val="auto"/>
          <w:highlight w:val="none"/>
        </w:rPr>
        <w:instrText xml:space="preserve"> HYPERLINK \l "_Toc141279400" </w:instrText>
      </w:r>
      <w:r>
        <w:rPr>
          <w:color w:val="auto"/>
          <w:highlight w:val="none"/>
        </w:rPr>
        <w:fldChar w:fldCharType="separate"/>
      </w:r>
      <w:r>
        <w:rPr>
          <w:rStyle w:val="32"/>
          <w:rFonts w:hint="eastAsia"/>
          <w:color w:val="auto"/>
          <w:sz w:val="28"/>
          <w:highlight w:val="none"/>
        </w:rPr>
        <w:t>第五部分</w:t>
      </w:r>
      <w:r>
        <w:rPr>
          <w:rStyle w:val="32"/>
          <w:color w:val="auto"/>
          <w:sz w:val="28"/>
          <w:highlight w:val="none"/>
        </w:rPr>
        <w:t xml:space="preserve"> </w:t>
      </w:r>
      <w:r>
        <w:rPr>
          <w:rStyle w:val="32"/>
          <w:rFonts w:hint="eastAsia"/>
          <w:color w:val="auto"/>
          <w:sz w:val="28"/>
          <w:highlight w:val="none"/>
        </w:rPr>
        <w:t>附</w:t>
      </w:r>
      <w:r>
        <w:rPr>
          <w:rStyle w:val="32"/>
          <w:color w:val="auto"/>
          <w:sz w:val="28"/>
          <w:highlight w:val="none"/>
        </w:rPr>
        <w:t xml:space="preserve">  </w:t>
      </w:r>
      <w:r>
        <w:rPr>
          <w:rStyle w:val="32"/>
          <w:rFonts w:hint="eastAsia"/>
          <w:color w:val="auto"/>
          <w:sz w:val="28"/>
          <w:highlight w:val="none"/>
        </w:rPr>
        <w:t>件</w:t>
      </w:r>
      <w:r>
        <w:rPr>
          <w:color w:val="auto"/>
          <w:sz w:val="28"/>
          <w:highlight w:val="none"/>
        </w:rPr>
        <w:tab/>
      </w:r>
      <w:r>
        <w:rPr>
          <w:rFonts w:hint="eastAsia"/>
          <w:color w:val="auto"/>
          <w:sz w:val="28"/>
          <w:highlight w:val="none"/>
        </w:rPr>
        <w:t>1</w:t>
      </w:r>
      <w:r>
        <w:rPr>
          <w:rFonts w:hint="eastAsia"/>
          <w:color w:val="auto"/>
          <w:sz w:val="28"/>
          <w:highlight w:val="none"/>
        </w:rPr>
        <w:fldChar w:fldCharType="end"/>
      </w:r>
      <w:r>
        <w:rPr>
          <w:rFonts w:hint="eastAsia"/>
          <w:color w:val="auto"/>
          <w:sz w:val="28"/>
          <w:highlight w:val="none"/>
        </w:rPr>
        <w:t>8</w:t>
      </w:r>
    </w:p>
    <w:p w14:paraId="1197C16A">
      <w:pPr>
        <w:pStyle w:val="22"/>
        <w:tabs>
          <w:tab w:val="right" w:leader="dot" w:pos="9628"/>
        </w:tabs>
        <w:spacing w:line="480" w:lineRule="auto"/>
        <w:ind w:left="0" w:leftChars="0" w:firstLine="560" w:firstLineChars="200"/>
        <w:rPr>
          <w:color w:val="auto"/>
          <w:sz w:val="28"/>
          <w:highlight w:val="none"/>
        </w:rPr>
      </w:pPr>
    </w:p>
    <w:p w14:paraId="05E3B41D">
      <w:pPr>
        <w:pStyle w:val="2"/>
        <w:rPr>
          <w:rFonts w:ascii="黑体" w:eastAsia="黑体"/>
          <w:color w:val="auto"/>
          <w:sz w:val="32"/>
          <w:szCs w:val="32"/>
          <w:highlight w:val="none"/>
        </w:rPr>
      </w:pPr>
      <w:r>
        <w:rPr>
          <w:rFonts w:hint="eastAsia" w:asciiTheme="minorEastAsia" w:hAnsiTheme="minorEastAsia" w:eastAsiaTheme="minorEastAsia" w:cstheme="minorEastAsia"/>
          <w:color w:val="auto"/>
          <w:sz w:val="28"/>
          <w:szCs w:val="28"/>
          <w:highlight w:val="none"/>
        </w:rPr>
        <w:fldChar w:fldCharType="end"/>
      </w:r>
      <w:r>
        <w:rPr>
          <w:color w:val="auto"/>
          <w:highlight w:val="none"/>
        </w:rPr>
        <w:br w:type="page"/>
      </w:r>
      <w:bookmarkStart w:id="0" w:name="_Toc141279351"/>
      <w:r>
        <w:rPr>
          <w:rFonts w:hint="eastAsia"/>
          <w:color w:val="auto"/>
          <w:sz w:val="32"/>
          <w:szCs w:val="32"/>
          <w:highlight w:val="none"/>
        </w:rPr>
        <w:t>第一部分</w:t>
      </w:r>
      <w:r>
        <w:rPr>
          <w:color w:val="auto"/>
          <w:sz w:val="32"/>
          <w:szCs w:val="32"/>
          <w:highlight w:val="none"/>
        </w:rPr>
        <w:t xml:space="preserve"> </w:t>
      </w:r>
      <w:r>
        <w:rPr>
          <w:rFonts w:hint="eastAsia"/>
          <w:color w:val="auto"/>
          <w:sz w:val="32"/>
          <w:szCs w:val="32"/>
          <w:highlight w:val="none"/>
        </w:rPr>
        <w:t>询价采购公告</w:t>
      </w:r>
      <w:bookmarkEnd w:id="0"/>
    </w:p>
    <w:p w14:paraId="0B815D48">
      <w:pPr>
        <w:spacing w:line="520" w:lineRule="exact"/>
        <w:ind w:firstLine="496"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sz w:val="24"/>
          <w:highlight w:val="none"/>
        </w:rPr>
        <w:t>江苏医药职业学院拟就校内电力设备维护保养及抢修服务服务进行询价，特邀请符合条件的供应商前来参加。</w:t>
      </w:r>
    </w:p>
    <w:p w14:paraId="7CE45517">
      <w:pPr>
        <w:spacing w:line="520" w:lineRule="exact"/>
        <w:ind w:firstLine="498"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b/>
          <w:color w:val="auto"/>
          <w:spacing w:val="4"/>
          <w:sz w:val="24"/>
          <w:highlight w:val="none"/>
        </w:rPr>
        <w:t>一、项目名称：</w:t>
      </w:r>
      <w:r>
        <w:rPr>
          <w:rFonts w:hint="eastAsia" w:asciiTheme="minorEastAsia" w:hAnsiTheme="minorEastAsia" w:eastAsiaTheme="minorEastAsia" w:cstheme="minorEastAsia"/>
          <w:color w:val="auto"/>
          <w:spacing w:val="4"/>
          <w:sz w:val="24"/>
          <w:highlight w:val="none"/>
        </w:rPr>
        <w:t>校内电力设备维护保养及抢修服务</w:t>
      </w:r>
    </w:p>
    <w:p w14:paraId="5EA14D90">
      <w:pPr>
        <w:spacing w:line="520" w:lineRule="exact"/>
        <w:ind w:firstLine="498" w:firstLineChars="200"/>
        <w:rPr>
          <w:rFonts w:asciiTheme="minorEastAsia" w:hAnsiTheme="minorEastAsia" w:eastAsiaTheme="minorEastAsia" w:cstheme="minorEastAsia"/>
          <w:b/>
          <w:color w:val="auto"/>
          <w:spacing w:val="4"/>
          <w:sz w:val="24"/>
          <w:highlight w:val="none"/>
        </w:rPr>
      </w:pPr>
      <w:r>
        <w:rPr>
          <w:rFonts w:hint="eastAsia" w:asciiTheme="minorEastAsia" w:hAnsiTheme="minorEastAsia" w:eastAsiaTheme="minorEastAsia" w:cstheme="minorEastAsia"/>
          <w:b/>
          <w:color w:val="auto"/>
          <w:spacing w:val="4"/>
          <w:sz w:val="24"/>
          <w:highlight w:val="none"/>
        </w:rPr>
        <w:t>二、项目编号：</w:t>
      </w:r>
      <w:r>
        <w:rPr>
          <w:rFonts w:hint="eastAsia" w:asciiTheme="minorEastAsia" w:hAnsiTheme="minorEastAsia" w:eastAsiaTheme="minorEastAsia" w:cstheme="minorEastAsia"/>
          <w:color w:val="auto"/>
          <w:spacing w:val="4"/>
          <w:sz w:val="24"/>
          <w:highlight w:val="none"/>
        </w:rPr>
        <w:t>SY2026—001-FW-XJ</w:t>
      </w:r>
    </w:p>
    <w:p w14:paraId="6D29710A">
      <w:pPr>
        <w:spacing w:line="520" w:lineRule="exact"/>
        <w:ind w:firstLine="498"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b/>
          <w:color w:val="auto"/>
          <w:spacing w:val="4"/>
          <w:sz w:val="24"/>
          <w:highlight w:val="none"/>
        </w:rPr>
        <w:t>三、采购需求：</w:t>
      </w:r>
      <w:r>
        <w:rPr>
          <w:rFonts w:hint="eastAsia" w:asciiTheme="minorEastAsia" w:hAnsiTheme="minorEastAsia" w:eastAsiaTheme="minorEastAsia" w:cstheme="minorEastAsia"/>
          <w:color w:val="auto"/>
          <w:spacing w:val="4"/>
          <w:sz w:val="24"/>
          <w:highlight w:val="none"/>
        </w:rPr>
        <w:t>江苏医药职业学院有10KV开闭所2座，配电房6间，变压器17台，高压电缆约7千米等高压设备。项目服务内容包括高、低压配电设备、继电保护装置，变压器及附属设备的日常维护保养、应急抢修、预防性试验等。详见询价文件第四部分“项目需求”。</w:t>
      </w:r>
    </w:p>
    <w:p w14:paraId="69E283C4">
      <w:pPr>
        <w:spacing w:line="520" w:lineRule="exact"/>
        <w:ind w:firstLine="498" w:firstLineChars="200"/>
        <w:rPr>
          <w:rFonts w:asciiTheme="minorEastAsia" w:hAnsiTheme="minorEastAsia" w:eastAsiaTheme="minorEastAsia" w:cstheme="minorEastAsia"/>
          <w:b/>
          <w:color w:val="auto"/>
          <w:spacing w:val="4"/>
          <w:sz w:val="24"/>
          <w:highlight w:val="none"/>
        </w:rPr>
      </w:pPr>
      <w:r>
        <w:rPr>
          <w:rFonts w:hint="eastAsia" w:asciiTheme="minorEastAsia" w:hAnsiTheme="minorEastAsia" w:eastAsiaTheme="minorEastAsia" w:cstheme="minorEastAsia"/>
          <w:b/>
          <w:color w:val="auto"/>
          <w:spacing w:val="4"/>
          <w:sz w:val="24"/>
          <w:highlight w:val="none"/>
        </w:rPr>
        <w:t>四、最高限价：</w:t>
      </w:r>
      <w:r>
        <w:rPr>
          <w:rFonts w:hint="eastAsia" w:asciiTheme="minorEastAsia" w:hAnsiTheme="minorEastAsia" w:eastAsiaTheme="minorEastAsia" w:cstheme="minorEastAsia"/>
          <w:color w:val="auto"/>
          <w:spacing w:val="2"/>
          <w:kern w:val="0"/>
          <w:sz w:val="24"/>
          <w:highlight w:val="none"/>
        </w:rPr>
        <w:t>15万元</w:t>
      </w:r>
      <w:r>
        <w:rPr>
          <w:rFonts w:hint="eastAsia" w:asciiTheme="minorEastAsia" w:hAnsiTheme="minorEastAsia" w:eastAsiaTheme="minorEastAsia" w:cstheme="minorEastAsia"/>
          <w:color w:val="auto"/>
          <w:spacing w:val="4"/>
          <w:sz w:val="24"/>
          <w:highlight w:val="none"/>
        </w:rPr>
        <w:t>。</w:t>
      </w:r>
    </w:p>
    <w:p w14:paraId="31E5EF37">
      <w:pPr>
        <w:spacing w:line="520" w:lineRule="exact"/>
        <w:ind w:firstLine="482" w:firstLineChars="200"/>
        <w:rPr>
          <w:rFonts w:asciiTheme="minorEastAsia" w:hAnsiTheme="minorEastAsia" w:eastAsiaTheme="minorEastAsia" w:cstheme="minorEastAsia"/>
          <w:b/>
          <w:color w:val="auto"/>
          <w:spacing w:val="4"/>
          <w:sz w:val="24"/>
          <w:highlight w:val="none"/>
        </w:rPr>
      </w:pPr>
      <w:r>
        <w:rPr>
          <w:rFonts w:hint="eastAsia" w:asciiTheme="minorEastAsia" w:hAnsiTheme="minorEastAsia" w:eastAsiaTheme="minorEastAsia" w:cstheme="minorEastAsia"/>
          <w:b/>
          <w:color w:val="auto"/>
          <w:sz w:val="24"/>
          <w:highlight w:val="none"/>
        </w:rPr>
        <w:t>五、投标人的资格要求</w:t>
      </w:r>
    </w:p>
    <w:p w14:paraId="5D16D1DE">
      <w:pPr>
        <w:spacing w:line="520" w:lineRule="exact"/>
        <w:ind w:firstLine="496" w:firstLineChars="200"/>
        <w:rPr>
          <w:rFonts w:asciiTheme="minorEastAsia" w:hAnsiTheme="minorEastAsia" w:eastAsiaTheme="minorEastAsia" w:cstheme="minorEastAsia"/>
          <w:bCs/>
          <w:color w:val="auto"/>
          <w:spacing w:val="4"/>
          <w:sz w:val="24"/>
          <w:highlight w:val="none"/>
        </w:rPr>
      </w:pPr>
      <w:r>
        <w:rPr>
          <w:rFonts w:hint="eastAsia" w:asciiTheme="minorEastAsia" w:hAnsiTheme="minorEastAsia" w:eastAsiaTheme="minorEastAsia" w:cstheme="minorEastAsia"/>
          <w:bCs/>
          <w:color w:val="auto"/>
          <w:spacing w:val="4"/>
          <w:sz w:val="24"/>
          <w:highlight w:val="none"/>
        </w:rPr>
        <w:t>（一）具备《中华人民共和国政府采购法》第二十二条规定条件。</w:t>
      </w:r>
    </w:p>
    <w:p w14:paraId="4F7E1707">
      <w:pPr>
        <w:spacing w:line="520" w:lineRule="exact"/>
        <w:ind w:firstLine="496" w:firstLineChars="200"/>
        <w:rPr>
          <w:rFonts w:asciiTheme="minorEastAsia" w:hAnsiTheme="minorEastAsia" w:eastAsiaTheme="minorEastAsia" w:cstheme="minorEastAsia"/>
          <w:bCs/>
          <w:color w:val="auto"/>
          <w:spacing w:val="4"/>
          <w:sz w:val="24"/>
          <w:highlight w:val="none"/>
        </w:rPr>
      </w:pPr>
      <w:r>
        <w:rPr>
          <w:rFonts w:hint="eastAsia" w:asciiTheme="minorEastAsia" w:hAnsiTheme="minorEastAsia" w:eastAsiaTheme="minorEastAsia" w:cstheme="minorEastAsia"/>
          <w:bCs/>
          <w:color w:val="auto"/>
          <w:spacing w:val="4"/>
          <w:sz w:val="24"/>
          <w:highlight w:val="none"/>
        </w:rPr>
        <w:t>1.1具有独立承担民事责任的能力； </w:t>
      </w:r>
      <w:r>
        <w:rPr>
          <w:rFonts w:hint="eastAsia" w:asciiTheme="minorEastAsia" w:hAnsiTheme="minorEastAsia" w:eastAsiaTheme="minorEastAsia" w:cstheme="minorEastAsia"/>
          <w:bCs/>
          <w:color w:val="auto"/>
          <w:spacing w:val="4"/>
          <w:sz w:val="24"/>
          <w:highlight w:val="none"/>
        </w:rPr>
        <w:br w:type="textWrapping"/>
      </w:r>
      <w:r>
        <w:rPr>
          <w:rFonts w:hint="eastAsia" w:asciiTheme="minorEastAsia" w:hAnsiTheme="minorEastAsia" w:eastAsiaTheme="minorEastAsia" w:cstheme="minorEastAsia"/>
          <w:bCs/>
          <w:color w:val="auto"/>
          <w:spacing w:val="4"/>
          <w:sz w:val="24"/>
          <w:highlight w:val="none"/>
        </w:rPr>
        <w:t>　　1.2</w:t>
      </w:r>
      <w:r>
        <w:rPr>
          <w:rFonts w:hint="eastAsia" w:ascii="宋体" w:hAnsi="宋体" w:cs="宋体"/>
          <w:color w:val="auto"/>
          <w:sz w:val="24"/>
          <w:highlight w:val="none"/>
        </w:rPr>
        <w:t>上一年度的财务报表（成立不满一年不需提供）</w:t>
      </w:r>
      <w:r>
        <w:rPr>
          <w:rFonts w:hint="eastAsia" w:asciiTheme="minorEastAsia" w:hAnsiTheme="minorEastAsia" w:eastAsiaTheme="minorEastAsia" w:cstheme="minorEastAsia"/>
          <w:bCs/>
          <w:color w:val="auto"/>
          <w:spacing w:val="4"/>
          <w:sz w:val="24"/>
          <w:highlight w:val="none"/>
        </w:rPr>
        <w:t>； </w:t>
      </w:r>
      <w:r>
        <w:rPr>
          <w:rFonts w:hint="eastAsia" w:asciiTheme="minorEastAsia" w:hAnsiTheme="minorEastAsia" w:eastAsiaTheme="minorEastAsia" w:cstheme="minorEastAsia"/>
          <w:bCs/>
          <w:color w:val="auto"/>
          <w:spacing w:val="4"/>
          <w:sz w:val="24"/>
          <w:highlight w:val="none"/>
        </w:rPr>
        <w:br w:type="textWrapping"/>
      </w:r>
      <w:r>
        <w:rPr>
          <w:rFonts w:hint="eastAsia" w:asciiTheme="minorEastAsia" w:hAnsiTheme="minorEastAsia" w:eastAsiaTheme="minorEastAsia" w:cstheme="minorEastAsia"/>
          <w:bCs/>
          <w:color w:val="auto"/>
          <w:spacing w:val="4"/>
          <w:sz w:val="24"/>
          <w:highlight w:val="none"/>
        </w:rPr>
        <w:t>　　1.3具有履行合同所必需的设备和专业技术能力的书面声明； </w:t>
      </w:r>
      <w:r>
        <w:rPr>
          <w:rFonts w:hint="eastAsia" w:asciiTheme="minorEastAsia" w:hAnsiTheme="minorEastAsia" w:eastAsiaTheme="minorEastAsia" w:cstheme="minorEastAsia"/>
          <w:bCs/>
          <w:color w:val="auto"/>
          <w:spacing w:val="4"/>
          <w:sz w:val="24"/>
          <w:highlight w:val="none"/>
        </w:rPr>
        <w:br w:type="textWrapping"/>
      </w:r>
      <w:r>
        <w:rPr>
          <w:rFonts w:hint="eastAsia" w:asciiTheme="minorEastAsia" w:hAnsiTheme="minorEastAsia" w:eastAsiaTheme="minorEastAsia" w:cstheme="minorEastAsia"/>
          <w:bCs/>
          <w:color w:val="auto"/>
          <w:spacing w:val="4"/>
          <w:sz w:val="24"/>
          <w:highlight w:val="none"/>
        </w:rPr>
        <w:t>　　1.4具有依法缴纳税收和社会保障资金的相关材料； </w:t>
      </w:r>
      <w:r>
        <w:rPr>
          <w:rFonts w:hint="eastAsia" w:asciiTheme="minorEastAsia" w:hAnsiTheme="minorEastAsia" w:eastAsiaTheme="minorEastAsia" w:cstheme="minorEastAsia"/>
          <w:bCs/>
          <w:color w:val="auto"/>
          <w:spacing w:val="4"/>
          <w:sz w:val="24"/>
          <w:highlight w:val="none"/>
        </w:rPr>
        <w:br w:type="textWrapping"/>
      </w:r>
      <w:r>
        <w:rPr>
          <w:rFonts w:hint="eastAsia" w:asciiTheme="minorEastAsia" w:hAnsiTheme="minorEastAsia" w:eastAsiaTheme="minorEastAsia" w:cstheme="minorEastAsia"/>
          <w:bCs/>
          <w:color w:val="auto"/>
          <w:spacing w:val="4"/>
          <w:sz w:val="24"/>
          <w:highlight w:val="none"/>
        </w:rPr>
        <w:t>　　1.5参加政府采购活动前三年内，在经营活动中没有重大违法记录； </w:t>
      </w:r>
    </w:p>
    <w:p w14:paraId="3346382B">
      <w:pPr>
        <w:widowControl/>
        <w:spacing w:line="520" w:lineRule="exact"/>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（二）</w:t>
      </w:r>
      <w:r>
        <w:rPr>
          <w:rFonts w:hint="eastAsia" w:asciiTheme="minorEastAsia" w:hAnsiTheme="minorEastAsia" w:eastAsiaTheme="minorEastAsia" w:cstheme="minorEastAsia"/>
          <w:color w:val="auto"/>
          <w:sz w:val="24"/>
          <w:highlight w:val="none"/>
        </w:rPr>
        <w:t>本项目的特定资格要求</w:t>
      </w:r>
      <w:r>
        <w:rPr>
          <w:rFonts w:hint="eastAsia" w:ascii="宋体" w:hAnsi="宋体" w:cs="宋体"/>
          <w:color w:val="auto"/>
          <w:kern w:val="0"/>
          <w:sz w:val="24"/>
          <w:highlight w:val="none"/>
        </w:rPr>
        <w:t>：</w:t>
      </w:r>
    </w:p>
    <w:p w14:paraId="27E58E2F">
      <w:pPr>
        <w:spacing w:line="520" w:lineRule="exact"/>
        <w:ind w:firstLine="496" w:firstLineChars="200"/>
        <w:rPr>
          <w:rFonts w:asciiTheme="minorEastAsia" w:hAnsiTheme="minorEastAsia" w:eastAsiaTheme="minorEastAsia" w:cstheme="minorEastAsia"/>
          <w:bCs/>
          <w:color w:val="auto"/>
          <w:spacing w:val="4"/>
          <w:sz w:val="24"/>
          <w:highlight w:val="none"/>
        </w:rPr>
      </w:pPr>
      <w:r>
        <w:rPr>
          <w:rFonts w:hint="eastAsia" w:asciiTheme="minorEastAsia" w:hAnsiTheme="minorEastAsia" w:eastAsiaTheme="minorEastAsia" w:cstheme="minorEastAsia"/>
          <w:bCs/>
          <w:color w:val="auto"/>
          <w:spacing w:val="4"/>
          <w:sz w:val="24"/>
          <w:highlight w:val="none"/>
        </w:rPr>
        <w:t>1.投标人资质要求：具有建设行政主管部门核发的电力工程施工总承包或输变电工程专业承包三级及以上资质，同时具有国家电力监管部门颁发的承装（修、试）电力设施许可证五级及以上的独立法人，并持有行政主管部门颁发的安全生产许可证。</w:t>
      </w:r>
    </w:p>
    <w:p w14:paraId="2C8C5C45">
      <w:pPr>
        <w:spacing w:line="520" w:lineRule="exact"/>
        <w:ind w:firstLine="496" w:firstLineChars="200"/>
        <w:rPr>
          <w:rFonts w:asciiTheme="minorEastAsia" w:hAnsiTheme="minorEastAsia" w:eastAsiaTheme="minorEastAsia" w:cstheme="minorEastAsia"/>
          <w:bCs/>
          <w:color w:val="auto"/>
          <w:spacing w:val="4"/>
          <w:sz w:val="24"/>
          <w:highlight w:val="none"/>
        </w:rPr>
      </w:pPr>
      <w:r>
        <w:rPr>
          <w:rFonts w:hint="eastAsia" w:asciiTheme="minorEastAsia" w:hAnsiTheme="minorEastAsia" w:eastAsiaTheme="minorEastAsia" w:cstheme="minorEastAsia"/>
          <w:bCs/>
          <w:color w:val="auto"/>
          <w:spacing w:val="4"/>
          <w:sz w:val="24"/>
          <w:highlight w:val="none"/>
        </w:rPr>
        <w:t>2.项目负责人资格要求：项目负责人须为投标人本单位正式职工，具有机电工程专业二级及以上注册建造师资格和持有安全生产考核合格证（B类）。并提供从2025年1月开始至投标截止之日当月至少1个月在本单位缴纳养老保险缴费记录证明。</w:t>
      </w:r>
    </w:p>
    <w:p w14:paraId="1FBC8994">
      <w:pPr>
        <w:spacing w:line="520" w:lineRule="exact"/>
        <w:ind w:firstLine="496" w:firstLineChars="200"/>
        <w:rPr>
          <w:rFonts w:asciiTheme="minorEastAsia" w:hAnsiTheme="minorEastAsia" w:eastAsiaTheme="minorEastAsia" w:cstheme="minorEastAsia"/>
          <w:bCs/>
          <w:color w:val="auto"/>
          <w:spacing w:val="4"/>
          <w:sz w:val="24"/>
          <w:highlight w:val="none"/>
        </w:rPr>
      </w:pPr>
      <w:r>
        <w:rPr>
          <w:rFonts w:hint="eastAsia" w:asciiTheme="minorEastAsia" w:hAnsiTheme="minorEastAsia" w:eastAsiaTheme="minorEastAsia" w:cstheme="minorEastAsia"/>
          <w:bCs/>
          <w:color w:val="auto"/>
          <w:spacing w:val="4"/>
          <w:sz w:val="24"/>
          <w:highlight w:val="none"/>
        </w:rPr>
        <w:t>3.本次招标人一律不接受联合体和挂靠投标。</w:t>
      </w:r>
    </w:p>
    <w:p w14:paraId="1EF6A352">
      <w:pPr>
        <w:spacing w:line="520" w:lineRule="exact"/>
        <w:ind w:firstLine="496" w:firstLineChars="200"/>
        <w:rPr>
          <w:rFonts w:asciiTheme="minorEastAsia" w:hAnsiTheme="minorEastAsia" w:eastAsiaTheme="minorEastAsia" w:cstheme="minorEastAsia"/>
          <w:bCs/>
          <w:color w:val="auto"/>
          <w:spacing w:val="4"/>
          <w:sz w:val="24"/>
          <w:highlight w:val="none"/>
        </w:rPr>
      </w:pPr>
      <w:r>
        <w:rPr>
          <w:rFonts w:hint="eastAsia" w:asciiTheme="minorEastAsia" w:hAnsiTheme="minorEastAsia" w:eastAsiaTheme="minorEastAsia" w:cstheme="minorEastAsia"/>
          <w:bCs/>
          <w:color w:val="auto"/>
          <w:spacing w:val="4"/>
          <w:sz w:val="24"/>
          <w:highlight w:val="none"/>
        </w:rPr>
        <w:t>4.投标单位以不正当手段骗取中标，被建设行政主管部门或司法部门查处的，将被拒绝参与本工程投标。</w:t>
      </w:r>
    </w:p>
    <w:p w14:paraId="76E44F3C">
      <w:pPr>
        <w:spacing w:line="520" w:lineRule="exact"/>
        <w:ind w:firstLine="498" w:firstLineChars="200"/>
        <w:rPr>
          <w:rFonts w:asciiTheme="minorEastAsia" w:hAnsiTheme="minorEastAsia" w:eastAsiaTheme="minorEastAsia" w:cstheme="minorEastAsia"/>
          <w:b/>
          <w:color w:val="auto"/>
          <w:spacing w:val="2"/>
          <w:kern w:val="0"/>
          <w:sz w:val="24"/>
          <w:highlight w:val="none"/>
        </w:rPr>
      </w:pPr>
      <w:r>
        <w:rPr>
          <w:rFonts w:hint="eastAsia" w:asciiTheme="minorEastAsia" w:hAnsiTheme="minorEastAsia" w:eastAsiaTheme="minorEastAsia" w:cstheme="minorEastAsia"/>
          <w:b/>
          <w:color w:val="auto"/>
          <w:spacing w:val="4"/>
          <w:sz w:val="24"/>
          <w:highlight w:val="none"/>
        </w:rPr>
        <w:t>六、投标人资格审查方式：</w:t>
      </w:r>
      <w:r>
        <w:rPr>
          <w:rFonts w:hint="eastAsia" w:asciiTheme="minorEastAsia" w:hAnsiTheme="minorEastAsia" w:eastAsiaTheme="minorEastAsia" w:cstheme="minorEastAsia"/>
          <w:color w:val="auto"/>
          <w:spacing w:val="2"/>
          <w:kern w:val="0"/>
          <w:sz w:val="24"/>
          <w:highlight w:val="none"/>
        </w:rPr>
        <w:t>资格后审。</w:t>
      </w:r>
    </w:p>
    <w:p w14:paraId="2FC0B7D2">
      <w:pPr>
        <w:spacing w:line="520" w:lineRule="exact"/>
        <w:ind w:firstLine="498" w:firstLineChars="200"/>
        <w:jc w:val="left"/>
        <w:rPr>
          <w:rFonts w:asciiTheme="minorEastAsia" w:hAnsiTheme="minorEastAsia" w:eastAsiaTheme="minorEastAsia" w:cstheme="minorEastAsia"/>
          <w:b/>
          <w:color w:val="auto"/>
          <w:spacing w:val="4"/>
          <w:sz w:val="24"/>
          <w:highlight w:val="none"/>
        </w:rPr>
      </w:pPr>
      <w:r>
        <w:rPr>
          <w:rFonts w:hint="eastAsia" w:asciiTheme="minorEastAsia" w:hAnsiTheme="minorEastAsia" w:eastAsiaTheme="minorEastAsia" w:cstheme="minorEastAsia"/>
          <w:b/>
          <w:color w:val="auto"/>
          <w:spacing w:val="4"/>
          <w:sz w:val="24"/>
          <w:highlight w:val="none"/>
        </w:rPr>
        <w:t>七、询价文件获取：</w:t>
      </w:r>
    </w:p>
    <w:p w14:paraId="0F58B30E">
      <w:pPr>
        <w:pStyle w:val="24"/>
        <w:spacing w:before="0" w:beforeAutospacing="0" w:after="0" w:afterAutospacing="0" w:line="520" w:lineRule="exact"/>
        <w:ind w:firstLine="43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询价公告在“江苏医药职业学院网”发布之日3个工作日。本询价文件在“江苏医药职业学院网”上免费下载，有关本次采购的事项若存在变动和修改，敬请及时关注“江苏医药职业学院网”发布的信息更正公告。</w:t>
      </w:r>
    </w:p>
    <w:p w14:paraId="58D9E9AA">
      <w:pPr>
        <w:spacing w:line="520" w:lineRule="exact"/>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八、</w:t>
      </w:r>
      <w:r>
        <w:rPr>
          <w:rFonts w:hint="eastAsia" w:ascii="宋体" w:hAnsi="宋体" w:cs="宋体"/>
          <w:b/>
          <w:color w:val="auto"/>
          <w:sz w:val="24"/>
          <w:highlight w:val="none"/>
        </w:rPr>
        <w:t>提交投标文件截止时间、开标时间和地点</w:t>
      </w:r>
    </w:p>
    <w:p w14:paraId="3AE606D5">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时间：2026年3月</w:t>
      </w:r>
      <w:r>
        <w:rPr>
          <w:rFonts w:hint="eastAsia" w:asciiTheme="minorEastAsia" w:hAnsiTheme="minorEastAsia" w:eastAsiaTheme="minorEastAsia" w:cstheme="minorEastAsia"/>
          <w:bCs/>
          <w:color w:val="auto"/>
          <w:sz w:val="24"/>
          <w:highlight w:val="none"/>
          <w:lang w:val="en-US" w:eastAsia="zh-CN"/>
        </w:rPr>
        <w:t>11</w:t>
      </w:r>
      <w:r>
        <w:rPr>
          <w:rFonts w:hint="eastAsia" w:asciiTheme="minorEastAsia" w:hAnsiTheme="minorEastAsia" w:eastAsiaTheme="minorEastAsia" w:cstheme="minorEastAsia"/>
          <w:bCs/>
          <w:color w:val="auto"/>
          <w:sz w:val="24"/>
          <w:highlight w:val="none"/>
        </w:rPr>
        <w:t>日15点00分（北京时间）</w:t>
      </w:r>
    </w:p>
    <w:p w14:paraId="25A0FEAF">
      <w:pPr>
        <w:spacing w:line="520" w:lineRule="exact"/>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地点：盐城市解放南路283号行政楼二楼210室</w:t>
      </w:r>
    </w:p>
    <w:p w14:paraId="57C4018B">
      <w:pPr>
        <w:spacing w:line="520" w:lineRule="exact"/>
        <w:ind w:firstLine="480" w:firstLineChars="200"/>
        <w:jc w:val="left"/>
        <w:rPr>
          <w:rFonts w:hint="eastAsia" w:asciiTheme="minorEastAsia" w:hAnsiTheme="minorEastAsia" w:eastAsiaTheme="minorEastAsia" w:cstheme="minorEastAsia"/>
          <w:bCs/>
          <w:color w:val="auto"/>
          <w:sz w:val="24"/>
          <w:highlight w:val="none"/>
        </w:rPr>
      </w:pPr>
      <w:r>
        <w:rPr>
          <w:rFonts w:hint="eastAsia" w:ascii="宋体" w:hAnsi="宋体" w:eastAsia="宋体" w:cs="宋体"/>
          <w:color w:val="auto"/>
          <w:sz w:val="24"/>
          <w:szCs w:val="24"/>
          <w:highlight w:val="none"/>
        </w:rPr>
        <w:t>售价：免费</w:t>
      </w:r>
    </w:p>
    <w:p w14:paraId="2C57493B">
      <w:pPr>
        <w:spacing w:line="520" w:lineRule="exact"/>
        <w:ind w:firstLine="482" w:firstLineChars="200"/>
        <w:jc w:val="left"/>
        <w:rPr>
          <w:rFonts w:asciiTheme="minorEastAsia" w:hAnsiTheme="minorEastAsia" w:eastAsiaTheme="minorEastAsia" w:cstheme="minorEastAsia"/>
          <w:b/>
          <w:color w:val="auto"/>
          <w:spacing w:val="2"/>
          <w:kern w:val="0"/>
          <w:sz w:val="24"/>
          <w:highlight w:val="none"/>
        </w:rPr>
      </w:pPr>
      <w:r>
        <w:rPr>
          <w:rFonts w:hint="eastAsia" w:asciiTheme="minorEastAsia" w:hAnsiTheme="minorEastAsia" w:eastAsiaTheme="minorEastAsia" w:cstheme="minorEastAsia"/>
          <w:b/>
          <w:color w:val="auto"/>
          <w:sz w:val="24"/>
          <w:highlight w:val="none"/>
        </w:rPr>
        <w:t>九、</w:t>
      </w:r>
      <w:r>
        <w:rPr>
          <w:rFonts w:hint="eastAsia" w:asciiTheme="minorEastAsia" w:hAnsiTheme="minorEastAsia" w:eastAsiaTheme="minorEastAsia" w:cstheme="minorEastAsia"/>
          <w:b/>
          <w:color w:val="auto"/>
          <w:spacing w:val="2"/>
          <w:kern w:val="0"/>
          <w:sz w:val="24"/>
          <w:highlight w:val="none"/>
        </w:rPr>
        <w:t>对本次招标提出询问，请按以下方式联系</w:t>
      </w:r>
    </w:p>
    <w:p w14:paraId="2BA1251E">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1.项目联系方式：</w:t>
      </w:r>
    </w:p>
    <w:p w14:paraId="6019AAB7">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项目联系人：王老师；电话：18252285399  </w:t>
      </w:r>
    </w:p>
    <w:p w14:paraId="53B71EDF">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2.招标人信息：</w:t>
      </w:r>
    </w:p>
    <w:p w14:paraId="33283C89">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名称：江苏医药职业学院；</w:t>
      </w:r>
    </w:p>
    <w:p w14:paraId="29A72059">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地址：盐城市解放南路283号行政楼208室；</w:t>
      </w:r>
    </w:p>
    <w:p w14:paraId="0B90C23D">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联系方式：刘老师；电话：0515-88550311；</w:t>
      </w:r>
    </w:p>
    <w:p w14:paraId="4B7851B6">
      <w:pPr>
        <w:spacing w:line="52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对项目需求部分的询问、质疑请向项目联系人提出，由项目联系人负责答复；对项目招标文件其它部分的询问、质疑向招标人提出。</w:t>
      </w:r>
    </w:p>
    <w:p w14:paraId="61E38BC1">
      <w:pPr>
        <w:pStyle w:val="2"/>
        <w:spacing w:line="520" w:lineRule="exact"/>
        <w:rPr>
          <w:color w:val="auto"/>
          <w:sz w:val="32"/>
          <w:szCs w:val="32"/>
          <w:highlight w:val="none"/>
        </w:rPr>
      </w:pPr>
      <w:r>
        <w:rPr>
          <w:rFonts w:hint="eastAsia" w:asciiTheme="minorEastAsia" w:hAnsiTheme="minorEastAsia" w:eastAsiaTheme="minorEastAsia" w:cstheme="minorEastAsia"/>
          <w:color w:val="auto"/>
          <w:sz w:val="28"/>
          <w:szCs w:val="28"/>
          <w:highlight w:val="none"/>
          <w:u w:val="single"/>
        </w:rPr>
        <w:br w:type="page"/>
      </w:r>
      <w:bookmarkStart w:id="1" w:name="_Toc141279352"/>
      <w:r>
        <w:rPr>
          <w:rFonts w:hint="eastAsia"/>
          <w:color w:val="auto"/>
          <w:spacing w:val="4"/>
          <w:sz w:val="32"/>
          <w:szCs w:val="32"/>
          <w:highlight w:val="none"/>
        </w:rPr>
        <w:t>第二部分</w:t>
      </w:r>
      <w:r>
        <w:rPr>
          <w:color w:val="auto"/>
          <w:spacing w:val="4"/>
          <w:sz w:val="32"/>
          <w:szCs w:val="32"/>
          <w:highlight w:val="none"/>
        </w:rPr>
        <w:t xml:space="preserve"> </w:t>
      </w:r>
      <w:r>
        <w:rPr>
          <w:rFonts w:hint="eastAsia"/>
          <w:color w:val="auto"/>
          <w:sz w:val="32"/>
          <w:szCs w:val="32"/>
          <w:highlight w:val="none"/>
        </w:rPr>
        <w:t>投标人须知</w:t>
      </w:r>
      <w:bookmarkEnd w:id="1"/>
    </w:p>
    <w:p w14:paraId="717566BE">
      <w:pPr>
        <w:pStyle w:val="3"/>
        <w:spacing w:before="120" w:after="120" w:line="520" w:lineRule="exact"/>
        <w:rPr>
          <w:rFonts w:asciiTheme="minorEastAsia" w:hAnsiTheme="minorEastAsia" w:eastAsiaTheme="minorEastAsia" w:cstheme="minorEastAsia"/>
          <w:color w:val="auto"/>
          <w:szCs w:val="24"/>
          <w:highlight w:val="none"/>
        </w:rPr>
      </w:pPr>
      <w:bookmarkStart w:id="2" w:name="_Toc141279353"/>
      <w:r>
        <w:rPr>
          <w:rFonts w:hint="eastAsia" w:asciiTheme="minorEastAsia" w:hAnsiTheme="minorEastAsia" w:eastAsiaTheme="minorEastAsia" w:cstheme="minorEastAsia"/>
          <w:color w:val="auto"/>
          <w:szCs w:val="24"/>
          <w:highlight w:val="none"/>
        </w:rPr>
        <w:t>一、询价文件</w:t>
      </w:r>
      <w:bookmarkEnd w:id="2"/>
    </w:p>
    <w:p w14:paraId="3FF37BFD">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1.1. </w:t>
      </w:r>
      <w:r>
        <w:rPr>
          <w:rFonts w:hint="eastAsia" w:asciiTheme="minorEastAsia" w:hAnsiTheme="minorEastAsia" w:eastAsiaTheme="minorEastAsia" w:cstheme="minorEastAsia"/>
          <w:color w:val="auto"/>
          <w:sz w:val="24"/>
          <w:highlight w:val="none"/>
        </w:rPr>
        <w:t>名词定义</w:t>
      </w:r>
    </w:p>
    <w:p w14:paraId="7AE86136">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本询价文件中的采购人、投标人、中标人分别指：</w:t>
      </w:r>
    </w:p>
    <w:p w14:paraId="3FE65FAF">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（1）采购人指江苏医药职业学院，亦称买方。</w:t>
      </w:r>
    </w:p>
    <w:p w14:paraId="03F19B36">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（2）中标人指最后中标的投标人，亦称卖方。</w:t>
      </w:r>
    </w:p>
    <w:p w14:paraId="66DC29E7">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1.2. </w:t>
      </w:r>
      <w:r>
        <w:rPr>
          <w:rFonts w:hint="eastAsia" w:asciiTheme="minorEastAsia" w:hAnsiTheme="minorEastAsia" w:eastAsiaTheme="minorEastAsia" w:cstheme="minorEastAsia"/>
          <w:color w:val="auto"/>
          <w:sz w:val="24"/>
          <w:highlight w:val="none"/>
        </w:rPr>
        <w:t>询价文件的组成</w:t>
      </w:r>
    </w:p>
    <w:p w14:paraId="2740611B">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本询价文件由下列部分组成：</w:t>
      </w:r>
    </w:p>
    <w:p w14:paraId="6BDA08A5">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（1）询价采购公告</w:t>
      </w:r>
    </w:p>
    <w:p w14:paraId="268A98DB">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（2）投标人须知</w:t>
      </w:r>
    </w:p>
    <w:p w14:paraId="2E16C73A">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（3）采购货物要求及相关说明</w:t>
      </w:r>
    </w:p>
    <w:p w14:paraId="3AE5C25B">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（4）商务条款</w:t>
      </w:r>
    </w:p>
    <w:p w14:paraId="1B5DDF13">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（5）附件</w:t>
      </w:r>
    </w:p>
    <w:p w14:paraId="7B439059">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1.3. </w:t>
      </w:r>
      <w:r>
        <w:rPr>
          <w:rFonts w:hint="eastAsia" w:asciiTheme="minorEastAsia" w:hAnsiTheme="minorEastAsia" w:eastAsiaTheme="minorEastAsia" w:cstheme="minorEastAsia"/>
          <w:color w:val="auto"/>
          <w:sz w:val="24"/>
          <w:highlight w:val="none"/>
        </w:rPr>
        <w:t>询价文件的澄清</w:t>
      </w:r>
    </w:p>
    <w:p w14:paraId="6A05AC3A">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投标人对询价文件的某些内容有疑问，应在投标截止时间1日前以书面形式传真通知采购人，采购人将予以书面答复。采购人认为有必要时，可将答复内容（包括疑问内容，但不包括疑问来源）在江苏医药职业学院招投标信息网站上公开发布。</w:t>
      </w:r>
    </w:p>
    <w:p w14:paraId="76AD1DAF">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1.4. </w:t>
      </w:r>
      <w:r>
        <w:rPr>
          <w:rFonts w:hint="eastAsia" w:asciiTheme="minorEastAsia" w:hAnsiTheme="minorEastAsia" w:eastAsiaTheme="minorEastAsia" w:cstheme="minorEastAsia"/>
          <w:color w:val="auto"/>
          <w:sz w:val="24"/>
          <w:highlight w:val="none"/>
        </w:rPr>
        <w:t>询价文件的补充和修改</w:t>
      </w:r>
    </w:p>
    <w:p w14:paraId="6A58C300">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（1）采购人有权在投标截止时间1日前对询价文件进行补充和修改，补充和修改的内容在江苏医药职业学院招投标信息网站上公开发布。补充和修改的内容作为询价文件的组成部分，对投标人具有同等约束作用。</w:t>
      </w:r>
    </w:p>
    <w:p w14:paraId="6A3DBDB9">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（2）如询价文件的补充和修改对投标人准备投标的时间有影响，采购人有权决定推迟投标截止时间和开标时间。</w:t>
      </w:r>
    </w:p>
    <w:p w14:paraId="5DA46388">
      <w:pPr>
        <w:pStyle w:val="3"/>
        <w:spacing w:before="120" w:after="120" w:line="520" w:lineRule="exact"/>
        <w:rPr>
          <w:rFonts w:asciiTheme="minorEastAsia" w:hAnsiTheme="minorEastAsia" w:eastAsiaTheme="minorEastAsia" w:cstheme="minorEastAsia"/>
          <w:color w:val="auto"/>
          <w:szCs w:val="24"/>
          <w:highlight w:val="none"/>
        </w:rPr>
      </w:pPr>
      <w:bookmarkStart w:id="3" w:name="_Toc141279354"/>
      <w:r>
        <w:rPr>
          <w:rFonts w:hint="eastAsia" w:asciiTheme="minorEastAsia" w:hAnsiTheme="minorEastAsia" w:eastAsiaTheme="minorEastAsia" w:cstheme="minorEastAsia"/>
          <w:color w:val="auto"/>
          <w:szCs w:val="24"/>
          <w:highlight w:val="none"/>
        </w:rPr>
        <w:t>二、投标文件</w:t>
      </w:r>
      <w:bookmarkEnd w:id="3"/>
    </w:p>
    <w:p w14:paraId="068B45E1">
      <w:pPr>
        <w:spacing w:line="520" w:lineRule="exact"/>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2.1. </w:t>
      </w:r>
      <w:r>
        <w:rPr>
          <w:rFonts w:hint="eastAsia" w:asciiTheme="minorEastAsia" w:hAnsiTheme="minorEastAsia" w:eastAsiaTheme="minorEastAsia" w:cstheme="minorEastAsia"/>
          <w:color w:val="auto"/>
          <w:sz w:val="24"/>
          <w:highlight w:val="none"/>
        </w:rPr>
        <w:t>投标文件的语言</w:t>
      </w:r>
    </w:p>
    <w:p w14:paraId="28048AAD">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投标文件及来往函件均应使用中文。</w:t>
      </w:r>
    </w:p>
    <w:p w14:paraId="5148E2B1">
      <w:pPr>
        <w:spacing w:line="520" w:lineRule="exact"/>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2.2. </w:t>
      </w:r>
      <w:r>
        <w:rPr>
          <w:rFonts w:hint="eastAsia" w:asciiTheme="minorEastAsia" w:hAnsiTheme="minorEastAsia" w:eastAsiaTheme="minorEastAsia" w:cstheme="minorEastAsia"/>
          <w:color w:val="auto"/>
          <w:sz w:val="24"/>
          <w:highlight w:val="none"/>
        </w:rPr>
        <w:t>投标文件的组成</w:t>
      </w:r>
    </w:p>
    <w:p w14:paraId="742D83F4">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投标人编写的投标文件必须包括以下部分：</w:t>
      </w:r>
    </w:p>
    <w:p w14:paraId="112C17D0">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（1）投标函（格式见附件1）</w:t>
      </w:r>
    </w:p>
    <w:p w14:paraId="639A36E4">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（2）投标报价总表（格式见附件2）</w:t>
      </w:r>
    </w:p>
    <w:p w14:paraId="2E38A8BD">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（3）营业执照复印件（复印件盖单位公章）</w:t>
      </w:r>
    </w:p>
    <w:p w14:paraId="4EAE2151">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（4）投标人认为需要陈述的其他内容</w:t>
      </w:r>
    </w:p>
    <w:p w14:paraId="09410548">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投标人所投货物超过其经营范围的，则作为废标处理。</w:t>
      </w:r>
    </w:p>
    <w:p w14:paraId="1E74615E">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2.3. </w:t>
      </w:r>
      <w:r>
        <w:rPr>
          <w:rFonts w:hint="eastAsia" w:asciiTheme="minorEastAsia" w:hAnsiTheme="minorEastAsia" w:eastAsiaTheme="minorEastAsia" w:cstheme="minorEastAsia"/>
          <w:color w:val="auto"/>
          <w:sz w:val="24"/>
          <w:highlight w:val="none"/>
        </w:rPr>
        <w:t>投标文件的形式及签署</w:t>
      </w:r>
    </w:p>
    <w:p w14:paraId="71C80E30">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（1）投标人需提交投标文件正本1份，副本2份。</w:t>
      </w:r>
    </w:p>
    <w:p w14:paraId="22D54CBD">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（2）投标文件应使用A4型纸打印，图表等可按同样规格的倍数扩展，且经授权代表签署。</w:t>
      </w:r>
    </w:p>
    <w:p w14:paraId="6BEDA787">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（3）投标文件不应有涂改、增删之处，但如有错误必须修改时，修改处必须由原授权代表签署。</w:t>
      </w:r>
    </w:p>
    <w:p w14:paraId="1740E114">
      <w:pPr>
        <w:spacing w:line="520" w:lineRule="exact"/>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2.4. </w:t>
      </w:r>
      <w:r>
        <w:rPr>
          <w:rFonts w:hint="eastAsia" w:asciiTheme="minorEastAsia" w:hAnsiTheme="minorEastAsia" w:eastAsiaTheme="minorEastAsia" w:cstheme="minorEastAsia"/>
          <w:color w:val="auto"/>
          <w:sz w:val="24"/>
          <w:highlight w:val="none"/>
        </w:rPr>
        <w:t>投标文件的密封和标记</w:t>
      </w:r>
    </w:p>
    <w:p w14:paraId="2F0779A2">
      <w:pPr>
        <w:spacing w:line="520" w:lineRule="exact"/>
        <w:ind w:firstLine="470"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投标人应将投标文件用封套加以密封，在封口处粘贴密封条，盖骑缝公章，并在封套上标明：</w:t>
      </w:r>
    </w:p>
    <w:p w14:paraId="4CD20CA0">
      <w:pPr>
        <w:spacing w:line="52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（1）收件人：江苏医药职业学院国资处</w:t>
      </w:r>
    </w:p>
    <w:p w14:paraId="313B289F">
      <w:pPr>
        <w:spacing w:line="52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（2）询价项目编号：</w:t>
      </w:r>
      <w:r>
        <w:rPr>
          <w:rFonts w:hint="eastAsia" w:asciiTheme="minorEastAsia" w:hAnsiTheme="minorEastAsia" w:eastAsiaTheme="minorEastAsia" w:cstheme="minorEastAsia"/>
          <w:color w:val="auto"/>
          <w:sz w:val="24"/>
          <w:highlight w:val="none"/>
          <w:u w:val="single"/>
        </w:rPr>
        <w:t xml:space="preserve">                                </w:t>
      </w:r>
    </w:p>
    <w:p w14:paraId="45923514">
      <w:pPr>
        <w:spacing w:line="52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（3）询价项目名称：</w:t>
      </w:r>
      <w:r>
        <w:rPr>
          <w:rFonts w:hint="eastAsia" w:asciiTheme="minorEastAsia" w:hAnsiTheme="minorEastAsia" w:eastAsiaTheme="minorEastAsia" w:cstheme="minorEastAsia"/>
          <w:color w:val="auto"/>
          <w:sz w:val="24"/>
          <w:highlight w:val="none"/>
          <w:u w:val="single"/>
        </w:rPr>
        <w:t xml:space="preserve">                                </w:t>
      </w:r>
    </w:p>
    <w:p w14:paraId="150B0786">
      <w:pPr>
        <w:spacing w:line="52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（4）投标人名称： </w:t>
      </w:r>
      <w:r>
        <w:rPr>
          <w:rFonts w:hint="eastAsia" w:asciiTheme="minorEastAsia" w:hAnsiTheme="minorEastAsia" w:eastAsiaTheme="minorEastAsia" w:cstheme="minorEastAsia"/>
          <w:color w:val="auto"/>
          <w:sz w:val="24"/>
          <w:highlight w:val="none"/>
          <w:u w:val="single"/>
        </w:rPr>
        <w:t xml:space="preserve">                                 </w:t>
      </w:r>
    </w:p>
    <w:p w14:paraId="632C6F8D">
      <w:pPr>
        <w:spacing w:line="52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（5）联系电话（手机）：</w:t>
      </w:r>
      <w:r>
        <w:rPr>
          <w:rFonts w:hint="eastAsia" w:asciiTheme="minorEastAsia" w:hAnsiTheme="minorEastAsia" w:eastAsiaTheme="minorEastAsia" w:cstheme="minorEastAsia"/>
          <w:color w:val="auto"/>
          <w:sz w:val="24"/>
          <w:highlight w:val="none"/>
          <w:u w:val="single"/>
        </w:rPr>
        <w:t xml:space="preserve">                             </w:t>
      </w:r>
    </w:p>
    <w:p w14:paraId="3AC06630">
      <w:pPr>
        <w:spacing w:line="520" w:lineRule="exact"/>
        <w:ind w:firstLine="960" w:firstLineChars="4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（6）开标之前不得启封</w:t>
      </w:r>
    </w:p>
    <w:p w14:paraId="021D23D8">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没有按上述规定密封和标记的投标文件，采购人将不承担投标文件错放或提前开启的责任。</w:t>
      </w:r>
    </w:p>
    <w:p w14:paraId="32F4D83B">
      <w:pPr>
        <w:pStyle w:val="3"/>
        <w:spacing w:before="120" w:after="120" w:line="520" w:lineRule="exact"/>
        <w:rPr>
          <w:rFonts w:asciiTheme="minorEastAsia" w:hAnsiTheme="minorEastAsia" w:eastAsiaTheme="minorEastAsia" w:cstheme="minorEastAsia"/>
          <w:color w:val="auto"/>
          <w:szCs w:val="24"/>
          <w:highlight w:val="none"/>
        </w:rPr>
      </w:pPr>
      <w:bookmarkStart w:id="4" w:name="_Toc141279355"/>
      <w:r>
        <w:rPr>
          <w:rFonts w:hint="eastAsia" w:asciiTheme="minorEastAsia" w:hAnsiTheme="minorEastAsia" w:eastAsiaTheme="minorEastAsia" w:cstheme="minorEastAsia"/>
          <w:color w:val="auto"/>
          <w:szCs w:val="24"/>
          <w:highlight w:val="none"/>
        </w:rPr>
        <w:t>三、投标细则</w:t>
      </w:r>
      <w:bookmarkEnd w:id="4"/>
    </w:p>
    <w:p w14:paraId="76182334">
      <w:pPr>
        <w:spacing w:line="520" w:lineRule="exact"/>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3.1. </w:t>
      </w:r>
      <w:r>
        <w:rPr>
          <w:rFonts w:hint="eastAsia" w:asciiTheme="minorEastAsia" w:hAnsiTheme="minorEastAsia" w:eastAsiaTheme="minorEastAsia" w:cstheme="minorEastAsia"/>
          <w:color w:val="auto"/>
          <w:sz w:val="24"/>
          <w:highlight w:val="none"/>
        </w:rPr>
        <w:t>投标报价</w:t>
      </w:r>
    </w:p>
    <w:p w14:paraId="170B7595">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投标总价应是货物完税后的用户地交货价，其中应包含运输、搬运、安装调试、保修等全部费用，以人民币报价。</w:t>
      </w:r>
    </w:p>
    <w:p w14:paraId="2DAA99FD">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3.2. </w:t>
      </w:r>
      <w:r>
        <w:rPr>
          <w:rFonts w:hint="eastAsia" w:asciiTheme="minorEastAsia" w:hAnsiTheme="minorEastAsia" w:eastAsiaTheme="minorEastAsia" w:cstheme="minorEastAsia"/>
          <w:color w:val="auto"/>
          <w:sz w:val="24"/>
          <w:highlight w:val="none"/>
        </w:rPr>
        <w:t>投标文件的递交</w:t>
      </w:r>
    </w:p>
    <w:p w14:paraId="04E255FB">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（1）投标人应仔细阅读询价文件的所有内容并做出实质性的响应，同时按询价文件规定的要求和格式，提交完整的投标文件。</w:t>
      </w:r>
    </w:p>
    <w:p w14:paraId="7A093434">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（2）投标文件应在投标截止时间前寄至</w:t>
      </w:r>
      <w:r>
        <w:rPr>
          <w:rFonts w:hint="eastAsia" w:asciiTheme="minorEastAsia" w:hAnsiTheme="minorEastAsia" w:eastAsiaTheme="minorEastAsia" w:cstheme="minorEastAsia"/>
          <w:color w:val="auto"/>
          <w:spacing w:val="2"/>
          <w:kern w:val="0"/>
          <w:sz w:val="24"/>
          <w:highlight w:val="none"/>
        </w:rPr>
        <w:t>江苏医药职业学院国资处，</w:t>
      </w:r>
      <w:r>
        <w:rPr>
          <w:rFonts w:hint="eastAsia" w:asciiTheme="minorEastAsia" w:hAnsiTheme="minorEastAsia" w:eastAsiaTheme="minorEastAsia" w:cstheme="minorEastAsia"/>
          <w:b/>
          <w:color w:val="auto"/>
          <w:sz w:val="24"/>
          <w:highlight w:val="none"/>
        </w:rPr>
        <w:t>逾期送达或未送达指定地点以及未按询价文件要求密封的投标文件，潜在投标人须自行承担相应风险。</w:t>
      </w:r>
    </w:p>
    <w:p w14:paraId="4E24ADAB">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（3）采购人不接受电报、电话、传真及电子邮件投标。</w:t>
      </w:r>
    </w:p>
    <w:p w14:paraId="70275FD8">
      <w:pPr>
        <w:spacing w:line="520" w:lineRule="exact"/>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3.3.</w:t>
      </w:r>
      <w:r>
        <w:rPr>
          <w:rFonts w:hint="eastAsia" w:asciiTheme="minorEastAsia" w:hAnsiTheme="minorEastAsia" w:eastAsiaTheme="minorEastAsia" w:cstheme="minorEastAsia"/>
          <w:color w:val="auto"/>
          <w:sz w:val="24"/>
          <w:highlight w:val="none"/>
        </w:rPr>
        <w:t xml:space="preserve"> 投标文件的修改和撤回</w:t>
      </w:r>
    </w:p>
    <w:p w14:paraId="3194E2CC">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（1）投标截止时间后投标文件不得修改。</w:t>
      </w:r>
    </w:p>
    <w:p w14:paraId="37CD735E">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（2）投标截止时间前投标人可以撤标，但在投标截止时间后不允许撤标。</w:t>
      </w:r>
    </w:p>
    <w:p w14:paraId="5FCFAD05">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3.4. </w:t>
      </w:r>
      <w:r>
        <w:rPr>
          <w:rFonts w:hint="eastAsia" w:asciiTheme="minorEastAsia" w:hAnsiTheme="minorEastAsia" w:eastAsiaTheme="minorEastAsia" w:cstheme="minorEastAsia"/>
          <w:color w:val="auto"/>
          <w:sz w:val="24"/>
          <w:highlight w:val="none"/>
        </w:rPr>
        <w:t>投标有效期</w:t>
      </w:r>
    </w:p>
    <w:p w14:paraId="3D2D8AC8">
      <w:pPr>
        <w:spacing w:line="520" w:lineRule="exact"/>
        <w:ind w:firstLine="470"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从投标截止时间起，投标有效期为90天。</w:t>
      </w:r>
    </w:p>
    <w:p w14:paraId="1731FF10">
      <w:pPr>
        <w:spacing w:line="520" w:lineRule="exact"/>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3.5. </w:t>
      </w:r>
      <w:r>
        <w:rPr>
          <w:rFonts w:hint="eastAsia" w:asciiTheme="minorEastAsia" w:hAnsiTheme="minorEastAsia" w:eastAsiaTheme="minorEastAsia" w:cstheme="minorEastAsia"/>
          <w:color w:val="auto"/>
          <w:sz w:val="24"/>
          <w:highlight w:val="none"/>
        </w:rPr>
        <w:t>询价终止</w:t>
      </w:r>
    </w:p>
    <w:p w14:paraId="7412CB92">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投标截止后，如投标人少于3个，采购人有权选择其他采购方式或终止本次询价。</w:t>
      </w:r>
    </w:p>
    <w:p w14:paraId="10189A2D">
      <w:pPr>
        <w:pStyle w:val="3"/>
        <w:spacing w:before="120" w:after="120" w:line="520" w:lineRule="exact"/>
        <w:rPr>
          <w:rFonts w:asciiTheme="minorEastAsia" w:hAnsiTheme="minorEastAsia" w:eastAsiaTheme="minorEastAsia" w:cstheme="minorEastAsia"/>
          <w:color w:val="auto"/>
          <w:szCs w:val="24"/>
          <w:highlight w:val="none"/>
        </w:rPr>
      </w:pPr>
      <w:bookmarkStart w:id="5" w:name="_Toc141279356"/>
      <w:r>
        <w:rPr>
          <w:rFonts w:hint="eastAsia" w:asciiTheme="minorEastAsia" w:hAnsiTheme="minorEastAsia" w:eastAsiaTheme="minorEastAsia" w:cstheme="minorEastAsia"/>
          <w:color w:val="auto"/>
          <w:szCs w:val="24"/>
          <w:highlight w:val="none"/>
        </w:rPr>
        <w:t>四、</w:t>
      </w:r>
      <w:bookmarkEnd w:id="5"/>
      <w:r>
        <w:rPr>
          <w:rFonts w:hint="eastAsia" w:asciiTheme="minorEastAsia" w:hAnsiTheme="minorEastAsia" w:eastAsiaTheme="minorEastAsia" w:cstheme="minorEastAsia"/>
          <w:color w:val="auto"/>
          <w:szCs w:val="24"/>
          <w:highlight w:val="none"/>
        </w:rPr>
        <w:t>成交原则</w:t>
      </w:r>
    </w:p>
    <w:p w14:paraId="1ADF66D3">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本次询价采用最低评标价法评标，即在报价文件满足询价文件全部实质性要求，且符合采购需求、质量和服务相等报价最低的由对应的投标人中标。</w:t>
      </w:r>
    </w:p>
    <w:p w14:paraId="07786228">
      <w:pPr>
        <w:pStyle w:val="3"/>
        <w:spacing w:before="120" w:after="120" w:line="520" w:lineRule="exact"/>
        <w:rPr>
          <w:rFonts w:asciiTheme="minorEastAsia" w:hAnsiTheme="minorEastAsia" w:eastAsiaTheme="minorEastAsia" w:cstheme="minorEastAsia"/>
          <w:color w:val="auto"/>
          <w:szCs w:val="24"/>
          <w:highlight w:val="none"/>
        </w:rPr>
      </w:pPr>
      <w:bookmarkStart w:id="6" w:name="_Toc141279357"/>
      <w:r>
        <w:rPr>
          <w:rFonts w:hint="eastAsia" w:asciiTheme="minorEastAsia" w:hAnsiTheme="minorEastAsia" w:eastAsiaTheme="minorEastAsia" w:cstheme="minorEastAsia"/>
          <w:color w:val="auto"/>
          <w:szCs w:val="24"/>
          <w:highlight w:val="none"/>
        </w:rPr>
        <w:t>五、定标</w:t>
      </w:r>
      <w:bookmarkEnd w:id="6"/>
      <w:bookmarkStart w:id="19" w:name="_GoBack"/>
      <w:bookmarkEnd w:id="19"/>
    </w:p>
    <w:p w14:paraId="305A402B">
      <w:pPr>
        <w:spacing w:line="52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5.1. </w:t>
      </w:r>
      <w:r>
        <w:rPr>
          <w:rFonts w:hint="eastAsia" w:asciiTheme="minorEastAsia" w:hAnsiTheme="minorEastAsia" w:eastAsiaTheme="minorEastAsia" w:cstheme="minorEastAsia"/>
          <w:color w:val="auto"/>
          <w:sz w:val="24"/>
          <w:highlight w:val="none"/>
        </w:rPr>
        <w:t>询价小组根据符合采购需求、质量和服务相等且报价最低的原则确定成交投标人，并将结果通知中标的投标人。</w:t>
      </w:r>
    </w:p>
    <w:p w14:paraId="115C8ED6">
      <w:pPr>
        <w:spacing w:line="520" w:lineRule="exact"/>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5.2. </w:t>
      </w:r>
      <w:r>
        <w:rPr>
          <w:rFonts w:hint="eastAsia" w:asciiTheme="minorEastAsia" w:hAnsiTheme="minorEastAsia" w:eastAsiaTheme="minorEastAsia" w:cstheme="minorEastAsia"/>
          <w:color w:val="auto"/>
          <w:sz w:val="24"/>
          <w:highlight w:val="none"/>
        </w:rPr>
        <w:t>询价小组认为所有投标报价均不合理或所有投标方案均不能满足采购人要求时，有权否决所有投标。</w:t>
      </w:r>
    </w:p>
    <w:p w14:paraId="26E059B9">
      <w:pPr>
        <w:spacing w:line="520" w:lineRule="exact"/>
        <w:ind w:firstLine="472"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5.3. </w:t>
      </w:r>
      <w:r>
        <w:rPr>
          <w:rFonts w:hint="eastAsia" w:asciiTheme="minorEastAsia" w:hAnsiTheme="minorEastAsia" w:eastAsiaTheme="minorEastAsia" w:cstheme="minorEastAsia"/>
          <w:color w:val="auto"/>
          <w:sz w:val="24"/>
          <w:highlight w:val="none"/>
        </w:rPr>
        <w:t>出现下列情形之一的，采购人有权决定本次询价作废标处理：</w:t>
      </w:r>
    </w:p>
    <w:p w14:paraId="07DEC79B">
      <w:pPr>
        <w:spacing w:line="520" w:lineRule="exact"/>
        <w:ind w:firstLine="56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（1）发生影响询价公平、公正的违法、违规行为的；</w:t>
      </w:r>
    </w:p>
    <w:p w14:paraId="089C3E08">
      <w:pPr>
        <w:spacing w:line="520" w:lineRule="exact"/>
        <w:ind w:firstLine="56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（2）投标人的投标报价均超过了采购预算，学校不能支付的；</w:t>
      </w:r>
    </w:p>
    <w:p w14:paraId="6D047FA3">
      <w:pPr>
        <w:spacing w:line="520" w:lineRule="exact"/>
        <w:ind w:firstLine="56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（3）因重大变故，采购任务取消的。</w:t>
      </w:r>
    </w:p>
    <w:p w14:paraId="60A17C09">
      <w:pPr>
        <w:spacing w:line="520" w:lineRule="exact"/>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5.4. </w:t>
      </w:r>
      <w:r>
        <w:rPr>
          <w:rFonts w:hint="eastAsia" w:asciiTheme="minorEastAsia" w:hAnsiTheme="minorEastAsia" w:eastAsiaTheme="minorEastAsia" w:cstheme="minorEastAsia"/>
          <w:color w:val="auto"/>
          <w:sz w:val="24"/>
          <w:highlight w:val="none"/>
        </w:rPr>
        <w:t>对未中标的投标人，采购人不作未中标解释。</w:t>
      </w:r>
    </w:p>
    <w:p w14:paraId="2E204DCC">
      <w:pPr>
        <w:pStyle w:val="3"/>
        <w:spacing w:before="120" w:after="120" w:line="520" w:lineRule="exact"/>
        <w:rPr>
          <w:rFonts w:asciiTheme="minorEastAsia" w:hAnsiTheme="minorEastAsia" w:eastAsiaTheme="minorEastAsia" w:cstheme="minorEastAsia"/>
          <w:color w:val="auto"/>
          <w:szCs w:val="24"/>
          <w:highlight w:val="none"/>
        </w:rPr>
      </w:pPr>
      <w:bookmarkStart w:id="7" w:name="_Toc141279358"/>
      <w:r>
        <w:rPr>
          <w:rFonts w:hint="eastAsia" w:asciiTheme="minorEastAsia" w:hAnsiTheme="minorEastAsia" w:eastAsiaTheme="minorEastAsia" w:cstheme="minorEastAsia"/>
          <w:color w:val="auto"/>
          <w:szCs w:val="24"/>
          <w:highlight w:val="none"/>
        </w:rPr>
        <w:t>六、合同的签订</w:t>
      </w:r>
      <w:bookmarkEnd w:id="7"/>
    </w:p>
    <w:p w14:paraId="28554D7F">
      <w:pPr>
        <w:spacing w:line="360" w:lineRule="auto"/>
        <w:ind w:right="-4" w:rightChars="-2" w:firstLine="475" w:firstLineChars="197"/>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6.1. </w:t>
      </w:r>
      <w:r>
        <w:rPr>
          <w:rFonts w:hint="eastAsia" w:asciiTheme="minorEastAsia" w:hAnsiTheme="minorEastAsia" w:eastAsiaTheme="minorEastAsia" w:cstheme="minorEastAsia"/>
          <w:color w:val="auto"/>
          <w:kern w:val="0"/>
          <w:sz w:val="24"/>
          <w:highlight w:val="none"/>
        </w:rPr>
        <w:t>中标人确定后，采购人将通过学校招标网公示3天，公示期满无异议，中标人应在15日内与采购人签订采购合同，过期视为放弃中标。</w:t>
      </w:r>
    </w:p>
    <w:p w14:paraId="6B8AD86D">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6.2. </w:t>
      </w:r>
      <w:r>
        <w:rPr>
          <w:rFonts w:hint="eastAsia" w:asciiTheme="minorEastAsia" w:hAnsiTheme="minorEastAsia" w:eastAsiaTheme="minorEastAsia" w:cstheme="minorEastAsia"/>
          <w:color w:val="auto"/>
          <w:kern w:val="0"/>
          <w:sz w:val="24"/>
          <w:highlight w:val="none"/>
        </w:rPr>
        <w:t>本询价文件、中标人的投标文件以及中标人所做出的各种书面承诺将作为采购人与中标人双方签订合同的依据，并作为合同的附件与合同具有同等法律效力。</w:t>
      </w:r>
    </w:p>
    <w:p w14:paraId="489DBEE4">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6.3. </w:t>
      </w:r>
      <w:r>
        <w:rPr>
          <w:rFonts w:hint="eastAsia" w:asciiTheme="minorEastAsia" w:hAnsiTheme="minorEastAsia" w:eastAsiaTheme="minorEastAsia" w:cstheme="minorEastAsia"/>
          <w:color w:val="auto"/>
          <w:sz w:val="24"/>
          <w:highlight w:val="none"/>
        </w:rPr>
        <w:t>如投标人中标后悔标，采购人将取消该投标人本次中标资格及今后两年内的投标资格。</w:t>
      </w:r>
    </w:p>
    <w:p w14:paraId="66B0FCE1">
      <w:pPr>
        <w:pStyle w:val="3"/>
        <w:spacing w:before="120" w:after="120" w:line="520" w:lineRule="exact"/>
        <w:rPr>
          <w:rFonts w:asciiTheme="minorEastAsia" w:hAnsiTheme="minorEastAsia" w:eastAsiaTheme="minorEastAsia" w:cstheme="minorEastAsia"/>
          <w:color w:val="auto"/>
          <w:szCs w:val="24"/>
          <w:highlight w:val="none"/>
        </w:rPr>
      </w:pPr>
      <w:bookmarkStart w:id="8" w:name="_Toc141279359"/>
      <w:r>
        <w:rPr>
          <w:rFonts w:hint="eastAsia" w:asciiTheme="minorEastAsia" w:hAnsiTheme="minorEastAsia" w:eastAsiaTheme="minorEastAsia" w:cstheme="minorEastAsia"/>
          <w:color w:val="auto"/>
          <w:szCs w:val="24"/>
          <w:highlight w:val="none"/>
        </w:rPr>
        <w:t>七、其他</w:t>
      </w:r>
      <w:bookmarkEnd w:id="8"/>
    </w:p>
    <w:p w14:paraId="2EE22B97">
      <w:pPr>
        <w:spacing w:line="520" w:lineRule="exact"/>
        <w:ind w:firstLine="482" w:firstLineChars="200"/>
        <w:rPr>
          <w:rFonts w:asciiTheme="minorEastAsia" w:hAnsiTheme="minorEastAsia" w:eastAsiaTheme="minorEastAsia" w:cstheme="minorEastAsia"/>
          <w:b/>
          <w:color w:val="auto"/>
          <w:spacing w:val="4"/>
          <w:sz w:val="24"/>
          <w:highlight w:val="none"/>
        </w:rPr>
      </w:pPr>
      <w:r>
        <w:rPr>
          <w:rFonts w:hint="eastAsia" w:asciiTheme="minorEastAsia" w:hAnsiTheme="minorEastAsia" w:eastAsiaTheme="minorEastAsia" w:cstheme="minorEastAsia"/>
          <w:b/>
          <w:color w:val="auto"/>
          <w:sz w:val="24"/>
          <w:highlight w:val="none"/>
        </w:rPr>
        <w:t>7.1. 投标人无论中标与否，采购人不承担投标人参加投标的任何费用。</w:t>
      </w:r>
    </w:p>
    <w:p w14:paraId="35AF1041">
      <w:pPr>
        <w:spacing w:line="520" w:lineRule="exact"/>
        <w:jc w:val="center"/>
        <w:rPr>
          <w:rFonts w:asciiTheme="minorEastAsia" w:hAnsiTheme="minorEastAsia" w:eastAsiaTheme="minorEastAsia" w:cstheme="minorEastAsia"/>
          <w:b/>
          <w:color w:val="auto"/>
          <w:spacing w:val="4"/>
          <w:sz w:val="24"/>
          <w:highlight w:val="none"/>
        </w:rPr>
      </w:pPr>
    </w:p>
    <w:p w14:paraId="180F63A2">
      <w:pPr>
        <w:pStyle w:val="21"/>
        <w:ind w:left="3360"/>
        <w:rPr>
          <w:rFonts w:asciiTheme="minorEastAsia" w:hAnsiTheme="minorEastAsia" w:eastAsiaTheme="minorEastAsia" w:cstheme="minorEastAsia"/>
          <w:b/>
          <w:color w:val="auto"/>
          <w:spacing w:val="4"/>
          <w:sz w:val="28"/>
          <w:szCs w:val="28"/>
          <w:highlight w:val="none"/>
        </w:rPr>
      </w:pPr>
    </w:p>
    <w:p w14:paraId="216E0569">
      <w:pPr>
        <w:pStyle w:val="21"/>
        <w:ind w:left="3360"/>
        <w:rPr>
          <w:rFonts w:asciiTheme="minorEastAsia" w:hAnsiTheme="minorEastAsia" w:eastAsiaTheme="minorEastAsia" w:cstheme="minorEastAsia"/>
          <w:b/>
          <w:color w:val="auto"/>
          <w:spacing w:val="4"/>
          <w:sz w:val="28"/>
          <w:szCs w:val="28"/>
          <w:highlight w:val="none"/>
        </w:rPr>
      </w:pPr>
    </w:p>
    <w:p w14:paraId="14D25288">
      <w:pPr>
        <w:rPr>
          <w:color w:val="auto"/>
          <w:highlight w:val="none"/>
        </w:rPr>
      </w:pPr>
    </w:p>
    <w:p w14:paraId="63B4E686">
      <w:pPr>
        <w:rPr>
          <w:color w:val="auto"/>
          <w:highlight w:val="none"/>
        </w:rPr>
      </w:pPr>
    </w:p>
    <w:p w14:paraId="2DFC8895">
      <w:pPr>
        <w:rPr>
          <w:color w:val="auto"/>
          <w:highlight w:val="none"/>
        </w:rPr>
      </w:pPr>
    </w:p>
    <w:p w14:paraId="4C10972B">
      <w:pPr>
        <w:rPr>
          <w:color w:val="auto"/>
          <w:highlight w:val="none"/>
        </w:rPr>
      </w:pPr>
    </w:p>
    <w:p w14:paraId="33841AB3">
      <w:pPr>
        <w:rPr>
          <w:color w:val="auto"/>
          <w:highlight w:val="none"/>
        </w:rPr>
      </w:pPr>
    </w:p>
    <w:p w14:paraId="6E0102D7">
      <w:pPr>
        <w:rPr>
          <w:color w:val="auto"/>
          <w:highlight w:val="none"/>
        </w:rPr>
      </w:pPr>
    </w:p>
    <w:p w14:paraId="37D6ECB0">
      <w:pPr>
        <w:rPr>
          <w:color w:val="auto"/>
          <w:highlight w:val="none"/>
        </w:rPr>
      </w:pPr>
    </w:p>
    <w:p w14:paraId="4B42FC12">
      <w:pPr>
        <w:rPr>
          <w:color w:val="auto"/>
          <w:highlight w:val="none"/>
        </w:rPr>
      </w:pPr>
    </w:p>
    <w:p w14:paraId="63CD1A19">
      <w:pPr>
        <w:rPr>
          <w:color w:val="auto"/>
          <w:highlight w:val="none"/>
        </w:rPr>
      </w:pPr>
    </w:p>
    <w:p w14:paraId="4E6F2FEF">
      <w:pPr>
        <w:rPr>
          <w:color w:val="auto"/>
          <w:highlight w:val="none"/>
        </w:rPr>
      </w:pPr>
    </w:p>
    <w:p w14:paraId="1A8ED186">
      <w:pPr>
        <w:rPr>
          <w:color w:val="auto"/>
          <w:highlight w:val="none"/>
        </w:rPr>
      </w:pPr>
    </w:p>
    <w:p w14:paraId="7408B228">
      <w:pPr>
        <w:rPr>
          <w:color w:val="auto"/>
          <w:highlight w:val="none"/>
        </w:rPr>
      </w:pPr>
    </w:p>
    <w:p w14:paraId="0CA79661">
      <w:pPr>
        <w:pStyle w:val="25"/>
        <w:rPr>
          <w:color w:val="auto"/>
          <w:highlight w:val="none"/>
        </w:rPr>
      </w:pPr>
    </w:p>
    <w:p w14:paraId="1440C5CE">
      <w:pPr>
        <w:rPr>
          <w:color w:val="auto"/>
          <w:highlight w:val="none"/>
        </w:rPr>
      </w:pPr>
    </w:p>
    <w:p w14:paraId="13F13D04">
      <w:pPr>
        <w:pStyle w:val="25"/>
        <w:rPr>
          <w:color w:val="auto"/>
          <w:highlight w:val="none"/>
        </w:rPr>
      </w:pPr>
    </w:p>
    <w:p w14:paraId="28BE7961">
      <w:pPr>
        <w:rPr>
          <w:color w:val="auto"/>
          <w:highlight w:val="none"/>
        </w:rPr>
      </w:pPr>
    </w:p>
    <w:p w14:paraId="2E43372F">
      <w:pPr>
        <w:pStyle w:val="25"/>
        <w:rPr>
          <w:color w:val="auto"/>
          <w:highlight w:val="none"/>
        </w:rPr>
      </w:pPr>
    </w:p>
    <w:p w14:paraId="63A8E1B6">
      <w:pPr>
        <w:rPr>
          <w:color w:val="auto"/>
          <w:highlight w:val="none"/>
        </w:rPr>
      </w:pPr>
    </w:p>
    <w:p w14:paraId="60E7E293">
      <w:pPr>
        <w:pStyle w:val="25"/>
        <w:rPr>
          <w:color w:val="auto"/>
          <w:highlight w:val="none"/>
        </w:rPr>
      </w:pPr>
    </w:p>
    <w:p w14:paraId="3AEC0AFA">
      <w:pPr>
        <w:rPr>
          <w:color w:val="auto"/>
          <w:highlight w:val="none"/>
        </w:rPr>
      </w:pPr>
    </w:p>
    <w:p w14:paraId="0C6DF00A">
      <w:pPr>
        <w:pStyle w:val="25"/>
        <w:rPr>
          <w:color w:val="auto"/>
          <w:highlight w:val="none"/>
        </w:rPr>
      </w:pPr>
    </w:p>
    <w:p w14:paraId="709E7397">
      <w:pPr>
        <w:rPr>
          <w:color w:val="auto"/>
          <w:highlight w:val="none"/>
        </w:rPr>
      </w:pPr>
    </w:p>
    <w:p w14:paraId="09C55E65">
      <w:pPr>
        <w:pStyle w:val="25"/>
        <w:rPr>
          <w:color w:val="auto"/>
          <w:highlight w:val="none"/>
        </w:rPr>
      </w:pPr>
    </w:p>
    <w:p w14:paraId="73C309F3">
      <w:pPr>
        <w:rPr>
          <w:color w:val="auto"/>
          <w:highlight w:val="none"/>
        </w:rPr>
      </w:pPr>
    </w:p>
    <w:p w14:paraId="1C61B780">
      <w:pPr>
        <w:rPr>
          <w:color w:val="auto"/>
          <w:highlight w:val="none"/>
        </w:rPr>
      </w:pPr>
    </w:p>
    <w:p w14:paraId="6BC965AA">
      <w:pPr>
        <w:rPr>
          <w:color w:val="auto"/>
          <w:highlight w:val="none"/>
        </w:rPr>
      </w:pPr>
    </w:p>
    <w:p w14:paraId="284E257E">
      <w:pPr>
        <w:rPr>
          <w:color w:val="auto"/>
          <w:highlight w:val="none"/>
        </w:rPr>
      </w:pPr>
    </w:p>
    <w:p w14:paraId="59011AA1">
      <w:pPr>
        <w:rPr>
          <w:color w:val="auto"/>
          <w:highlight w:val="none"/>
        </w:rPr>
      </w:pPr>
    </w:p>
    <w:p w14:paraId="460C6E41">
      <w:pPr>
        <w:rPr>
          <w:color w:val="auto"/>
          <w:highlight w:val="none"/>
        </w:rPr>
      </w:pPr>
    </w:p>
    <w:p w14:paraId="1A6773BF">
      <w:pPr>
        <w:pStyle w:val="20"/>
        <w:outlineLvl w:val="0"/>
        <w:rPr>
          <w:color w:val="auto"/>
          <w:highlight w:val="none"/>
        </w:rPr>
      </w:pPr>
      <w:bookmarkStart w:id="9" w:name="_Toc141279360"/>
      <w:r>
        <w:rPr>
          <w:rFonts w:hint="eastAsia" w:ascii="Times New Roman" w:hAnsi="Times New Roman" w:cs="Times New Roman"/>
          <w:color w:val="auto"/>
          <w:kern w:val="44"/>
          <w:highlight w:val="none"/>
        </w:rPr>
        <w:t>第三部分 合同条款及格式</w:t>
      </w:r>
      <w:bookmarkEnd w:id="9"/>
    </w:p>
    <w:p w14:paraId="0DD03763">
      <w:pPr>
        <w:spacing w:line="440" w:lineRule="exact"/>
        <w:ind w:firstLine="480" w:firstLineChars="200"/>
        <w:rPr>
          <w:rFonts w:ascii="宋体"/>
          <w:bCs/>
          <w:color w:val="auto"/>
          <w:sz w:val="24"/>
          <w:highlight w:val="none"/>
        </w:rPr>
      </w:pPr>
      <w:bookmarkStart w:id="10" w:name="_Toc20823315"/>
      <w:bookmarkStart w:id="11" w:name="_Toc16938559"/>
      <w:bookmarkStart w:id="12" w:name="_Toc513029243"/>
      <w:r>
        <w:rPr>
          <w:rFonts w:hint="eastAsia" w:ascii="宋体" w:hAnsi="宋体" w:cs="宋体"/>
          <w:bCs/>
          <w:color w:val="auto"/>
          <w:sz w:val="24"/>
          <w:highlight w:val="none"/>
        </w:rPr>
        <w:t>本合同文本仅作为购买服务参考文本，双方签订合同时应结合项目特点和具体要求修订相关内容。</w:t>
      </w:r>
    </w:p>
    <w:bookmarkEnd w:id="10"/>
    <w:bookmarkEnd w:id="11"/>
    <w:bookmarkEnd w:id="12"/>
    <w:p w14:paraId="07E99202">
      <w:pPr>
        <w:spacing w:line="400" w:lineRule="exact"/>
        <w:jc w:val="center"/>
        <w:outlineLvl w:val="1"/>
        <w:rPr>
          <w:rFonts w:ascii="黑体" w:hAnsi="黑体" w:eastAsia="黑体" w:cs="Arial Unicode MS"/>
          <w:color w:val="auto"/>
          <w:sz w:val="32"/>
          <w:szCs w:val="32"/>
          <w:highlight w:val="none"/>
        </w:rPr>
      </w:pPr>
      <w:r>
        <w:rPr>
          <w:rFonts w:hint="eastAsia" w:ascii="黑体" w:hAnsi="黑体" w:eastAsia="黑体" w:cs="Arial Unicode MS"/>
          <w:color w:val="auto"/>
          <w:sz w:val="32"/>
          <w:szCs w:val="32"/>
          <w:highlight w:val="none"/>
        </w:rPr>
        <w:t>服务采购合同</w:t>
      </w:r>
    </w:p>
    <w:p w14:paraId="2692FD51">
      <w:pPr>
        <w:spacing w:line="400" w:lineRule="exact"/>
        <w:ind w:firstLine="4196" w:firstLineChars="1900"/>
        <w:rPr>
          <w:rFonts w:ascii="仿宋" w:hAnsi="仿宋" w:eastAsia="仿宋" w:cs="仿宋"/>
          <w:b/>
          <w:color w:val="auto"/>
          <w:sz w:val="22"/>
          <w:highlight w:val="none"/>
          <w:lang w:val="zh-CN"/>
        </w:rPr>
      </w:pPr>
    </w:p>
    <w:p w14:paraId="700CD4CE">
      <w:pPr>
        <w:spacing w:line="430" w:lineRule="exact"/>
        <w:ind w:firstLine="6505" w:firstLineChars="2700"/>
        <w:rPr>
          <w:rFonts w:ascii="宋体" w:hAnsi="宋体" w:cs="宋体"/>
          <w:color w:val="auto"/>
          <w:sz w:val="24"/>
          <w:highlight w:val="none"/>
          <w:lang w:val="zh-CN"/>
        </w:rPr>
      </w:pPr>
      <w:r>
        <w:rPr>
          <w:rFonts w:hint="eastAsia" w:ascii="宋体" w:hAnsi="宋体" w:cs="宋体"/>
          <w:b/>
          <w:color w:val="auto"/>
          <w:sz w:val="24"/>
          <w:highlight w:val="none"/>
          <w:lang w:val="zh-CN"/>
        </w:rPr>
        <w:t>合同编号：</w:t>
      </w:r>
      <w:r>
        <w:rPr>
          <w:rFonts w:hint="eastAsia" w:ascii="宋体" w:hAnsi="宋体" w:cs="宋体"/>
          <w:color w:val="auto"/>
          <w:sz w:val="24"/>
          <w:highlight w:val="none"/>
          <w:lang w:val="zh-CN"/>
        </w:rPr>
        <w:t>（采购编号）</w:t>
      </w:r>
    </w:p>
    <w:p w14:paraId="374CCE82">
      <w:pPr>
        <w:spacing w:line="430" w:lineRule="exact"/>
        <w:ind w:firstLine="6505" w:firstLineChars="2700"/>
        <w:rPr>
          <w:rFonts w:ascii="宋体" w:hAnsi="宋体" w:cs="宋体"/>
          <w:color w:val="auto"/>
          <w:sz w:val="24"/>
          <w:highlight w:val="none"/>
          <w:lang w:val="zh-CN"/>
        </w:rPr>
      </w:pPr>
      <w:r>
        <w:rPr>
          <w:rFonts w:hint="eastAsia" w:ascii="宋体" w:hAnsi="宋体" w:cs="宋体"/>
          <w:b/>
          <w:color w:val="auto"/>
          <w:sz w:val="24"/>
          <w:highlight w:val="none"/>
          <w:lang w:val="zh-CN"/>
        </w:rPr>
        <w:t>签署地点：</w:t>
      </w:r>
      <w:r>
        <w:rPr>
          <w:rFonts w:hint="eastAsia" w:ascii="宋体" w:hAnsi="宋体" w:cs="宋体"/>
          <w:color w:val="auto"/>
          <w:sz w:val="24"/>
          <w:highlight w:val="none"/>
          <w:lang w:val="zh-CN"/>
        </w:rPr>
        <w:t>江苏医药职业学院</w:t>
      </w:r>
    </w:p>
    <w:p w14:paraId="189B2BD1">
      <w:pPr>
        <w:spacing w:line="430" w:lineRule="exact"/>
        <w:rPr>
          <w:rFonts w:ascii="宋体" w:hAnsi="宋体" w:cs="宋体"/>
          <w:color w:val="auto"/>
          <w:sz w:val="24"/>
          <w:highlight w:val="none"/>
          <w:lang w:val="zh-CN"/>
        </w:rPr>
      </w:pPr>
    </w:p>
    <w:p w14:paraId="13ECBB8F">
      <w:pPr>
        <w:widowControl/>
        <w:snapToGrid w:val="0"/>
        <w:spacing w:line="500" w:lineRule="exact"/>
        <w:ind w:firstLine="420" w:firstLineChars="200"/>
        <w:rPr>
          <w:color w:val="auto"/>
          <w:highlight w:val="none"/>
          <w:u w:val="single"/>
        </w:rPr>
      </w:pPr>
      <w:r>
        <w:rPr>
          <w:rFonts w:hint="eastAsia"/>
          <w:color w:val="auto"/>
          <w:highlight w:val="none"/>
        </w:rPr>
        <w:t>甲方：</w:t>
      </w:r>
      <w:r>
        <w:rPr>
          <w:rFonts w:hint="eastAsia"/>
          <w:color w:val="auto"/>
          <w:highlight w:val="none"/>
          <w:u w:val="single"/>
        </w:rPr>
        <w:t>江苏医药职业学院</w:t>
      </w:r>
    </w:p>
    <w:p w14:paraId="7BE40D20">
      <w:pPr>
        <w:pStyle w:val="13"/>
        <w:widowControl/>
        <w:snapToGrid w:val="0"/>
        <w:spacing w:line="500" w:lineRule="exact"/>
        <w:ind w:firstLine="480" w:firstLineChars="200"/>
        <w:rPr>
          <w:rFonts w:hAnsi="宋体" w:cs="宋体"/>
          <w:color w:val="auto"/>
          <w:sz w:val="24"/>
          <w:szCs w:val="24"/>
          <w:highlight w:val="none"/>
          <w:u w:val="single"/>
        </w:rPr>
      </w:pPr>
      <w:r>
        <w:rPr>
          <w:rFonts w:hint="eastAsia" w:hAnsi="宋体" w:cs="宋体"/>
          <w:color w:val="auto"/>
          <w:sz w:val="24"/>
          <w:szCs w:val="24"/>
          <w:highlight w:val="none"/>
        </w:rPr>
        <w:t>乙方：</w:t>
      </w:r>
      <w:r>
        <w:rPr>
          <w:rFonts w:hint="eastAsia" w:hAnsi="宋体" w:cs="宋体"/>
          <w:color w:val="auto"/>
          <w:sz w:val="24"/>
          <w:szCs w:val="24"/>
          <w:highlight w:val="none"/>
          <w:u w:val="single"/>
        </w:rPr>
        <w:t xml:space="preserve">            </w:t>
      </w:r>
    </w:p>
    <w:p w14:paraId="76D87CF5">
      <w:pPr>
        <w:widowControl/>
        <w:spacing w:line="500" w:lineRule="exact"/>
        <w:ind w:firstLine="480"/>
        <w:rPr>
          <w:rFonts w:ascii="宋体" w:hAnsi="宋体"/>
          <w:color w:val="auto"/>
          <w:sz w:val="24"/>
          <w:highlight w:val="none"/>
        </w:rPr>
      </w:pPr>
      <w:r>
        <w:rPr>
          <w:rFonts w:hint="eastAsia" w:ascii="宋体" w:hAnsi="宋体" w:cs="宋体"/>
          <w:color w:val="auto"/>
          <w:sz w:val="24"/>
          <w:highlight w:val="none"/>
        </w:rPr>
        <w:t>为确保甲方变、配电设备安全运行，依照《中华人民共和国</w:t>
      </w:r>
      <w:r>
        <w:rPr>
          <w:rFonts w:hint="eastAsia" w:ascii="宋体" w:hAnsi="宋体"/>
          <w:color w:val="auto"/>
          <w:sz w:val="24"/>
          <w:highlight w:val="none"/>
        </w:rPr>
        <w:t>政府采购法》、《中华人民共和国民法典》及其他相关法律法规，遵循平等、自愿、公平和诚实信用原则，双方</w:t>
      </w:r>
      <w:r>
        <w:rPr>
          <w:rFonts w:hint="eastAsia"/>
          <w:color w:val="auto"/>
          <w:sz w:val="24"/>
          <w:highlight w:val="none"/>
        </w:rPr>
        <w:t>依据公开招标结果，</w:t>
      </w:r>
      <w:r>
        <w:rPr>
          <w:rFonts w:hint="eastAsia" w:ascii="宋体" w:hAnsi="宋体"/>
          <w:color w:val="auto"/>
          <w:sz w:val="24"/>
          <w:highlight w:val="none"/>
        </w:rPr>
        <w:t>就</w:t>
      </w:r>
      <w:r>
        <w:rPr>
          <w:rFonts w:hint="eastAsia" w:ascii="宋体" w:hAnsi="宋体"/>
          <w:color w:val="auto"/>
          <w:sz w:val="24"/>
          <w:highlight w:val="none"/>
          <w:u w:val="single"/>
        </w:rPr>
        <w:t>校内电力设备维护保养及抢修服务</w:t>
      </w:r>
      <w:r>
        <w:rPr>
          <w:rFonts w:hint="eastAsia" w:ascii="宋体" w:hAnsi="宋体"/>
          <w:color w:val="auto"/>
          <w:sz w:val="24"/>
          <w:highlight w:val="none"/>
        </w:rPr>
        <w:t>项目相关事项协商一致，达成如下合同条款：</w:t>
      </w:r>
    </w:p>
    <w:p w14:paraId="6A3EB86A">
      <w:pPr>
        <w:pStyle w:val="13"/>
        <w:widowControl/>
        <w:tabs>
          <w:tab w:val="left" w:pos="6383"/>
        </w:tabs>
        <w:snapToGrid w:val="0"/>
        <w:spacing w:line="500" w:lineRule="exact"/>
        <w:ind w:firstLine="422" w:firstLineChars="200"/>
        <w:rPr>
          <w:rFonts w:hAnsi="宋体" w:cs="宋体"/>
          <w:bCs/>
          <w:color w:val="auto"/>
          <w:highlight w:val="none"/>
        </w:rPr>
      </w:pPr>
      <w:r>
        <w:rPr>
          <w:rFonts w:hint="eastAsia" w:hAnsi="宋体" w:cs="宋体"/>
          <w:b/>
          <w:color w:val="auto"/>
          <w:highlight w:val="none"/>
        </w:rPr>
        <w:t>一、合同概况</w:t>
      </w:r>
    </w:p>
    <w:p w14:paraId="0335ACA1">
      <w:pPr>
        <w:pStyle w:val="13"/>
        <w:widowControl/>
        <w:snapToGrid w:val="0"/>
        <w:spacing w:line="500" w:lineRule="exact"/>
        <w:ind w:firstLine="420" w:firstLineChars="200"/>
        <w:rPr>
          <w:rFonts w:ascii="Times New Roman" w:hAnsi="Times New Roman" w:eastAsia="Times New Roman"/>
          <w:color w:val="auto"/>
          <w:spacing w:val="-2"/>
          <w:highlight w:val="none"/>
        </w:rPr>
      </w:pPr>
      <w:r>
        <w:rPr>
          <w:rFonts w:hint="eastAsia" w:hAnsi="宋体" w:cs="宋体"/>
          <w:bCs/>
          <w:color w:val="auto"/>
          <w:highlight w:val="none"/>
        </w:rPr>
        <w:t>1、</w:t>
      </w:r>
      <w:r>
        <w:rPr>
          <w:color w:val="auto"/>
          <w:spacing w:val="-2"/>
          <w:highlight w:val="none"/>
        </w:rPr>
        <w:t>运检范围：</w:t>
      </w:r>
      <w:r>
        <w:rPr>
          <w:rFonts w:hint="eastAsia"/>
          <w:color w:val="auto"/>
          <w:spacing w:val="-2"/>
          <w:highlight w:val="none"/>
        </w:rPr>
        <w:t>10KV开闭所2座，配电房6间，变压器17台，高压电缆约7千米等高压设备。</w:t>
      </w:r>
    </w:p>
    <w:p w14:paraId="3D2C421A">
      <w:pPr>
        <w:pStyle w:val="13"/>
        <w:widowControl/>
        <w:snapToGrid w:val="0"/>
        <w:spacing w:line="500" w:lineRule="exact"/>
        <w:ind w:firstLine="412" w:firstLineChars="200"/>
        <w:rPr>
          <w:rFonts w:ascii="Times New Roman" w:hAnsi="Times New Roman" w:eastAsia="Times New Roman"/>
          <w:color w:val="auto"/>
          <w:spacing w:val="-2"/>
          <w:highlight w:val="none"/>
        </w:rPr>
      </w:pPr>
      <w:r>
        <w:rPr>
          <w:rFonts w:hint="eastAsia" w:ascii="Times New Roman" w:hAnsi="Times New Roman" w:eastAsia="Times New Roman"/>
          <w:color w:val="auto"/>
          <w:spacing w:val="-2"/>
          <w:highlight w:val="none"/>
        </w:rPr>
        <w:t>2、运检内容：对高压设备预防性试验及运检维护必须定期进行，主要包括设备运行状态检查、耐压试验及日常故障排除等。</w:t>
      </w:r>
    </w:p>
    <w:p w14:paraId="65F0C054">
      <w:pPr>
        <w:pStyle w:val="13"/>
        <w:widowControl/>
        <w:snapToGrid w:val="0"/>
        <w:spacing w:line="500" w:lineRule="exact"/>
        <w:ind w:firstLine="412" w:firstLineChars="200"/>
        <w:rPr>
          <w:rFonts w:ascii="Times New Roman" w:hAnsi="Times New Roman" w:eastAsia="Times New Roman"/>
          <w:color w:val="auto"/>
          <w:spacing w:val="-2"/>
          <w:highlight w:val="none"/>
        </w:rPr>
      </w:pPr>
      <w:r>
        <w:rPr>
          <w:rFonts w:hint="eastAsia" w:ascii="Times New Roman" w:hAnsi="Times New Roman" w:eastAsia="Times New Roman"/>
          <w:color w:val="auto"/>
          <w:spacing w:val="-2"/>
          <w:highlight w:val="none"/>
        </w:rPr>
        <w:t>3、运检地点：东、西两个校区。</w:t>
      </w:r>
    </w:p>
    <w:p w14:paraId="600F4209">
      <w:pPr>
        <w:pStyle w:val="13"/>
        <w:widowControl/>
        <w:snapToGrid w:val="0"/>
        <w:spacing w:line="500" w:lineRule="exact"/>
        <w:ind w:firstLine="412" w:firstLineChars="200"/>
        <w:rPr>
          <w:rFonts w:ascii="Times New Roman" w:hAnsi="Times New Roman" w:eastAsia="Times New Roman"/>
          <w:color w:val="auto"/>
          <w:spacing w:val="-2"/>
          <w:highlight w:val="none"/>
        </w:rPr>
      </w:pPr>
      <w:r>
        <w:rPr>
          <w:rFonts w:hint="eastAsia" w:ascii="Times New Roman" w:hAnsi="Times New Roman" w:eastAsia="Times New Roman"/>
          <w:color w:val="auto"/>
          <w:spacing w:val="-2"/>
          <w:highlight w:val="none"/>
        </w:rPr>
        <w:t>4、服务期：</w:t>
      </w:r>
      <w:r>
        <w:rPr>
          <w:rFonts w:hint="eastAsia" w:ascii="Times New Roman" w:hAnsi="Times New Roman"/>
          <w:color w:val="auto"/>
          <w:spacing w:val="-2"/>
          <w:highlight w:val="none"/>
          <w:lang w:val="en-US" w:eastAsia="zh-CN"/>
        </w:rPr>
        <w:t>1</w:t>
      </w:r>
      <w:r>
        <w:rPr>
          <w:rFonts w:hint="eastAsia" w:ascii="Times New Roman" w:hAnsi="Times New Roman" w:eastAsia="Times New Roman"/>
          <w:color w:val="auto"/>
          <w:spacing w:val="-2"/>
          <w:highlight w:val="none"/>
        </w:rPr>
        <w:t>年，即</w:t>
      </w:r>
      <w:r>
        <w:rPr>
          <w:rFonts w:hint="eastAsia" w:ascii="Times New Roman" w:hAnsi="Times New Roman"/>
          <w:color w:val="auto"/>
          <w:spacing w:val="-2"/>
          <w:highlight w:val="none"/>
          <w:u w:val="single"/>
          <w:lang w:val="en-US" w:eastAsia="zh-CN"/>
        </w:rPr>
        <w:t xml:space="preserve">      </w:t>
      </w:r>
      <w:r>
        <w:rPr>
          <w:rFonts w:hint="eastAsia" w:ascii="Times New Roman" w:hAnsi="Times New Roman" w:eastAsia="Times New Roman"/>
          <w:color w:val="auto"/>
          <w:spacing w:val="-2"/>
          <w:highlight w:val="none"/>
        </w:rPr>
        <w:t>年</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年</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月</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日至</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年</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年</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月</w:t>
      </w:r>
      <w:r>
        <w:rPr>
          <w:rFonts w:hint="eastAsia" w:ascii="Times New Roman" w:hAnsi="Times New Roman" w:eastAsia="Times New Roman"/>
          <w:color w:val="auto"/>
          <w:spacing w:val="-2"/>
          <w:highlight w:val="none"/>
          <w:u w:val="single"/>
        </w:rPr>
        <w:t xml:space="preserve">   </w:t>
      </w:r>
      <w:r>
        <w:rPr>
          <w:rFonts w:hint="eastAsia" w:ascii="Times New Roman" w:hAnsi="Times New Roman" w:eastAsia="Times New Roman"/>
          <w:color w:val="auto"/>
          <w:spacing w:val="-2"/>
          <w:highlight w:val="none"/>
        </w:rPr>
        <w:t>日。</w:t>
      </w:r>
    </w:p>
    <w:p w14:paraId="44654636">
      <w:pPr>
        <w:pStyle w:val="13"/>
        <w:widowControl/>
        <w:tabs>
          <w:tab w:val="left" w:pos="6383"/>
        </w:tabs>
        <w:snapToGrid w:val="0"/>
        <w:spacing w:line="500" w:lineRule="exact"/>
        <w:ind w:firstLine="422" w:firstLineChars="200"/>
        <w:rPr>
          <w:rFonts w:hAnsi="宋体" w:cs="宋体"/>
          <w:b/>
          <w:color w:val="auto"/>
          <w:highlight w:val="none"/>
        </w:rPr>
      </w:pPr>
      <w:r>
        <w:rPr>
          <w:rFonts w:hint="eastAsia" w:hAnsi="宋体" w:cs="宋体"/>
          <w:b/>
          <w:color w:val="auto"/>
          <w:highlight w:val="none"/>
        </w:rPr>
        <w:t>二、合同金额</w:t>
      </w:r>
    </w:p>
    <w:p w14:paraId="7C435184">
      <w:pPr>
        <w:pStyle w:val="13"/>
        <w:widowControl/>
        <w:snapToGrid w:val="0"/>
        <w:spacing w:line="500" w:lineRule="exact"/>
        <w:ind w:left="359" w:hanging="359" w:hangingChars="171"/>
        <w:rPr>
          <w:rFonts w:hAnsi="宋体" w:cs="宋体"/>
          <w:color w:val="auto"/>
          <w:highlight w:val="none"/>
        </w:rPr>
      </w:pPr>
      <w:r>
        <w:rPr>
          <w:rFonts w:hint="eastAsia" w:hAnsi="宋体" w:cs="宋体"/>
          <w:color w:val="auto"/>
          <w:highlight w:val="none"/>
        </w:rPr>
        <w:t xml:space="preserve">    本合同总金额为人民币（大写）：每年</w:t>
      </w:r>
      <w:r>
        <w:rPr>
          <w:rFonts w:hint="eastAsia" w:hAnsi="宋体" w:cs="宋体"/>
          <w:color w:val="auto"/>
          <w:highlight w:val="none"/>
          <w:u w:val="single"/>
        </w:rPr>
        <w:t xml:space="preserve">        </w:t>
      </w:r>
      <w:r>
        <w:rPr>
          <w:rFonts w:hint="eastAsia" w:hAnsi="宋体" w:cs="宋体"/>
          <w:color w:val="auto"/>
          <w:highlight w:val="none"/>
        </w:rPr>
        <w:t>（小写：￥</w:t>
      </w:r>
      <w:r>
        <w:rPr>
          <w:rFonts w:hint="eastAsia" w:hAnsi="宋体" w:cs="宋体"/>
          <w:color w:val="auto"/>
          <w:highlight w:val="none"/>
          <w:u w:val="single"/>
        </w:rPr>
        <w:t xml:space="preserve">        元/年</w:t>
      </w:r>
      <w:r>
        <w:rPr>
          <w:rFonts w:hint="eastAsia" w:hAnsi="宋体" w:cs="宋体"/>
          <w:color w:val="auto"/>
          <w:highlight w:val="none"/>
        </w:rPr>
        <w:t>）。</w:t>
      </w:r>
    </w:p>
    <w:p w14:paraId="3D9B353B">
      <w:pPr>
        <w:widowControl/>
        <w:spacing w:line="500" w:lineRule="exact"/>
        <w:ind w:firstLine="420" w:firstLineChars="200"/>
        <w:rPr>
          <w:rFonts w:hAnsi="宋体" w:cs="宋体"/>
          <w:bCs/>
          <w:color w:val="auto"/>
          <w:highlight w:val="none"/>
        </w:rPr>
      </w:pPr>
      <w:r>
        <w:rPr>
          <w:rFonts w:hint="eastAsia" w:hAnsi="宋体" w:cs="宋体"/>
          <w:bCs/>
          <w:color w:val="auto"/>
          <w:highlight w:val="none"/>
        </w:rPr>
        <w:t>合同总价为完成本项目服务可能发生的全部费用（</w:t>
      </w:r>
      <w:r>
        <w:rPr>
          <w:rFonts w:hint="eastAsia" w:ascii="宋体" w:hAnsi="宋体" w:cs="宋体"/>
          <w:color w:val="auto"/>
          <w:sz w:val="24"/>
          <w:highlight w:val="none"/>
        </w:rPr>
        <w:t>包括但不限于试验及运维工作所需的人工费和机械设备使用费、调试费、资料费、招标代理服务费、管理费、利润、税金、风险费、可预见费</w:t>
      </w:r>
      <w:r>
        <w:rPr>
          <w:rFonts w:hint="eastAsia" w:hAnsi="宋体" w:cs="宋体"/>
          <w:bCs/>
          <w:color w:val="auto"/>
          <w:highlight w:val="none"/>
        </w:rPr>
        <w:t>）及其他一切相关费用。</w:t>
      </w:r>
    </w:p>
    <w:p w14:paraId="0655F114">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三、技术资料</w:t>
      </w:r>
    </w:p>
    <w:p w14:paraId="2A0E3B2C">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1、乙方应按招标文件规定的时间向甲方提供使用服务的有关技术资料。</w:t>
      </w:r>
    </w:p>
    <w:p w14:paraId="7F00D595">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5E0EA3B9">
      <w:pPr>
        <w:pStyle w:val="13"/>
        <w:widowControl/>
        <w:snapToGrid w:val="0"/>
        <w:spacing w:line="500" w:lineRule="exact"/>
        <w:ind w:left="420" w:leftChars="200" w:firstLine="61" w:firstLineChars="29"/>
        <w:rPr>
          <w:rFonts w:hAnsi="宋体" w:cs="宋体"/>
          <w:b/>
          <w:color w:val="auto"/>
          <w:highlight w:val="none"/>
        </w:rPr>
      </w:pPr>
      <w:r>
        <w:rPr>
          <w:rFonts w:hint="eastAsia" w:hAnsi="宋体" w:cs="宋体"/>
          <w:b/>
          <w:color w:val="auto"/>
          <w:highlight w:val="none"/>
        </w:rPr>
        <w:t>四、知识产权</w:t>
      </w:r>
    </w:p>
    <w:p w14:paraId="72ABCDF1">
      <w:pPr>
        <w:pStyle w:val="13"/>
        <w:widowControl/>
        <w:snapToGrid w:val="0"/>
        <w:spacing w:line="500" w:lineRule="exact"/>
        <w:ind w:firstLine="420" w:firstLineChars="200"/>
        <w:rPr>
          <w:rFonts w:hAnsi="宋体" w:cs="宋体"/>
          <w:bCs/>
          <w:color w:val="auto"/>
          <w:highlight w:val="none"/>
        </w:rPr>
      </w:pPr>
      <w:r>
        <w:rPr>
          <w:rFonts w:hint="eastAsia" w:hAnsi="宋体" w:cs="宋体"/>
          <w:color w:val="auto"/>
          <w:highlight w:val="none"/>
        </w:rPr>
        <w:t>乙方应保证所提供的服务或其任何一部分均不会侵犯任何第三方的知识产权</w:t>
      </w:r>
      <w:r>
        <w:rPr>
          <w:rFonts w:hint="eastAsia" w:hAnsi="宋体" w:cs="宋体"/>
          <w:bCs/>
          <w:color w:val="auto"/>
          <w:highlight w:val="none"/>
        </w:rPr>
        <w:t>。</w:t>
      </w:r>
    </w:p>
    <w:p w14:paraId="4408794E">
      <w:pPr>
        <w:pStyle w:val="13"/>
        <w:widowControl/>
        <w:snapToGrid w:val="0"/>
        <w:spacing w:line="500" w:lineRule="exact"/>
        <w:ind w:firstLine="422" w:firstLineChars="200"/>
        <w:rPr>
          <w:rFonts w:hAnsi="宋体" w:cs="宋体"/>
          <w:color w:val="auto"/>
          <w:highlight w:val="none"/>
          <w:u w:val="single"/>
        </w:rPr>
      </w:pPr>
      <w:r>
        <w:rPr>
          <w:rFonts w:hint="eastAsia" w:hAnsi="宋体" w:cs="宋体"/>
          <w:b/>
          <w:color w:val="auto"/>
          <w:highlight w:val="none"/>
        </w:rPr>
        <w:t>五、产权担保</w:t>
      </w:r>
    </w:p>
    <w:p w14:paraId="14228EC3">
      <w:pPr>
        <w:pStyle w:val="13"/>
        <w:widowControl/>
        <w:snapToGrid w:val="0"/>
        <w:spacing w:line="500" w:lineRule="exact"/>
        <w:ind w:firstLine="420" w:firstLineChars="200"/>
        <w:rPr>
          <w:rFonts w:hAnsi="宋体" w:cs="宋体"/>
          <w:color w:val="auto"/>
          <w:highlight w:val="none"/>
          <w:u w:val="single"/>
        </w:rPr>
      </w:pPr>
      <w:r>
        <w:rPr>
          <w:rFonts w:hint="eastAsia" w:hAnsi="宋体" w:cs="宋体"/>
          <w:color w:val="auto"/>
          <w:highlight w:val="none"/>
        </w:rPr>
        <w:t>乙方保证所交付的服务的所有权完全属于乙方且无任何抵押、查封等产权瑕疵。</w:t>
      </w:r>
    </w:p>
    <w:p w14:paraId="0CCB9820">
      <w:pPr>
        <w:pStyle w:val="13"/>
        <w:widowControl/>
        <w:snapToGrid w:val="0"/>
        <w:spacing w:line="500" w:lineRule="exact"/>
        <w:ind w:left="420" w:leftChars="200" w:firstLine="63" w:firstLineChars="30"/>
        <w:rPr>
          <w:rFonts w:hAnsi="宋体" w:cs="宋体"/>
          <w:b/>
          <w:color w:val="auto"/>
          <w:highlight w:val="none"/>
        </w:rPr>
      </w:pPr>
      <w:r>
        <w:rPr>
          <w:rFonts w:hint="eastAsia" w:hAnsi="宋体" w:cs="宋体"/>
          <w:b/>
          <w:color w:val="auto"/>
          <w:highlight w:val="none"/>
        </w:rPr>
        <w:t>六、履约保证金</w:t>
      </w:r>
    </w:p>
    <w:p w14:paraId="7997A976">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1、履约保证金的形式：银行转账、电汇、网汇、履约保函等。</w:t>
      </w:r>
    </w:p>
    <w:p w14:paraId="4A4D09A7">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2、履约保证金的金额：合同金额的5%。待服务期满后无任何质量问题一次性无息退还。</w:t>
      </w:r>
    </w:p>
    <w:p w14:paraId="08783A31">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七、服务期限、服务地点及紧急服务热线电话</w:t>
      </w:r>
    </w:p>
    <w:p w14:paraId="075D1A35">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1、服务期限：</w:t>
      </w:r>
      <w:r>
        <w:rPr>
          <w:rFonts w:hint="eastAsia" w:hAnsi="宋体" w:cs="宋体"/>
          <w:bCs/>
          <w:color w:val="auto"/>
          <w:highlight w:val="none"/>
        </w:rPr>
        <w:t>1</w:t>
      </w:r>
      <w:r>
        <w:rPr>
          <w:rFonts w:hint="eastAsia" w:hAnsi="宋体" w:cs="宋体"/>
          <w:bCs/>
          <w:color w:val="auto"/>
          <w:highlight w:val="none"/>
        </w:rPr>
        <w:t>年</w:t>
      </w:r>
    </w:p>
    <w:p w14:paraId="19C323C5">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2、服务地点：江苏医药职业学院东西园。</w:t>
      </w:r>
    </w:p>
    <w:p w14:paraId="6E3FFF1A">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3、紧急服务热线电话：</w:t>
      </w:r>
      <w:r>
        <w:rPr>
          <w:rFonts w:hint="eastAsia" w:hAnsi="宋体" w:cs="宋体"/>
          <w:bCs/>
          <w:color w:val="auto"/>
          <w:highlight w:val="none"/>
          <w:u w:val="single"/>
        </w:rPr>
        <w:t xml:space="preserve">                  </w:t>
      </w:r>
    </w:p>
    <w:p w14:paraId="282A6DAD">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八、服务费用</w:t>
      </w:r>
    </w:p>
    <w:p w14:paraId="7EBE489B">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1、本合同项下所有款项均以人民币支付。</w:t>
      </w:r>
    </w:p>
    <w:p w14:paraId="64F45C71">
      <w:pPr>
        <w:pStyle w:val="13"/>
        <w:widowControl/>
        <w:snapToGrid w:val="0"/>
        <w:spacing w:line="500" w:lineRule="exact"/>
        <w:ind w:firstLine="420" w:firstLineChars="200"/>
        <w:jc w:val="both"/>
        <w:rPr>
          <w:rFonts w:hAnsi="宋体" w:cs="宋体"/>
          <w:bCs/>
          <w:color w:val="auto"/>
          <w:highlight w:val="none"/>
        </w:rPr>
      </w:pPr>
      <w:r>
        <w:rPr>
          <w:rFonts w:hint="eastAsia" w:hAnsi="宋体" w:cs="宋体"/>
          <w:bCs/>
          <w:color w:val="auto"/>
          <w:highlight w:val="none"/>
        </w:rPr>
        <w:t>2、付款方式：</w:t>
      </w:r>
      <w:r>
        <w:rPr>
          <w:rFonts w:hint="eastAsia" w:hAnsi="宋体" w:cs="宋体"/>
          <w:bCs/>
          <w:color w:val="auto"/>
          <w:highlight w:val="none"/>
        </w:rPr>
        <w:t>预服务费</w:t>
      </w:r>
      <w:r>
        <w:rPr>
          <w:rFonts w:hint="eastAsia" w:hAnsi="宋体" w:cs="宋体"/>
          <w:bCs/>
          <w:color w:val="auto"/>
          <w:highlight w:val="none"/>
        </w:rPr>
        <w:t>一年结算一次，每年底，在移交当年全部资料后，服务费经校方审核后一次性付清。</w:t>
      </w:r>
    </w:p>
    <w:p w14:paraId="0D8B37E4">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九、税费</w:t>
      </w:r>
    </w:p>
    <w:p w14:paraId="30EBDB54">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本合同执行中相关的一切税费均由乙方负担。</w:t>
      </w:r>
    </w:p>
    <w:p w14:paraId="6349F384">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十、验收</w:t>
      </w:r>
    </w:p>
    <w:p w14:paraId="270FEC2A">
      <w:pPr>
        <w:pStyle w:val="13"/>
        <w:widowControl/>
        <w:snapToGrid w:val="0"/>
        <w:spacing w:line="500" w:lineRule="exact"/>
        <w:ind w:firstLine="420" w:firstLineChars="200"/>
        <w:rPr>
          <w:rFonts w:hAnsi="宋体" w:cs="宋体"/>
          <w:color w:val="auto"/>
          <w:highlight w:val="none"/>
        </w:rPr>
      </w:pPr>
      <w:r>
        <w:rPr>
          <w:rFonts w:hint="eastAsia" w:hAnsi="宋体" w:cs="宋体"/>
          <w:color w:val="auto"/>
          <w:highlight w:val="none"/>
        </w:rPr>
        <w:t>验收时乙方必须在现场，验收完毕后作出验收结果报告；验收费用由乙方负责。</w:t>
      </w:r>
    </w:p>
    <w:p w14:paraId="28E3DF9A">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十一、违约责任</w:t>
      </w:r>
    </w:p>
    <w:p w14:paraId="4905D057">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1、甲方无正当理由拒绝验收或拒付款的，甲方向乙方偿付合同总价的5%违约金。</w:t>
      </w:r>
    </w:p>
    <w:p w14:paraId="7F1678B0">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2、甲方未按合同规定的期限向乙方支付合同款的，每逾期1天甲方向乙方偿付欠款总额的5‰滞纳金，但累计滞纳金总额不超过欠款总额的5%。</w:t>
      </w:r>
    </w:p>
    <w:p w14:paraId="1C20E509">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3、乙方在承担违约责任后，仍应继续履行合同规定的义务（甲方解除合同的除外）。甲方未能及时追究乙方的任何一项违约责任并不表明甲方放弃追究乙方该项或其他违约责任。</w:t>
      </w:r>
    </w:p>
    <w:p w14:paraId="34FF4FBB">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4、乙方虚假承诺，或经相关部门检测验收提供的服务不能满足招标文件要求，或是由于乙方的过错造成合同无法继续履行的，乙方应向甲方支付不少于合同总价30%赔偿金并扣留履约保证金。</w:t>
      </w:r>
    </w:p>
    <w:p w14:paraId="41A27B05">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十二、双方责任</w:t>
      </w:r>
    </w:p>
    <w:p w14:paraId="1156509A">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1、甲方责任：</w:t>
      </w:r>
    </w:p>
    <w:p w14:paraId="375ED8FF">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（1）乙方人员进场时，甲方需派员共同参加并协调相关事项。</w:t>
      </w:r>
    </w:p>
    <w:p w14:paraId="4CB77931">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（2）在变、配电所内建立运巡检登记簿，运检人员应登记入内，保管好运巡检台账，并签名。</w:t>
      </w:r>
    </w:p>
    <w:p w14:paraId="35B11C60">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（3）乙方运检时发现变、配电设备的配件损坏所需更换的材料费，每个单元一次性在500元以内的由乙方负责，500元以上由甲方负责。</w:t>
      </w:r>
    </w:p>
    <w:p w14:paraId="669A64F7">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（4）平时做好各种运行记录与台帐。</w:t>
      </w:r>
    </w:p>
    <w:p w14:paraId="4C204C9E">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2、乙方责任：</w:t>
      </w:r>
    </w:p>
    <w:p w14:paraId="0E283107">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（1）运检人员检查时，应两人进行，对运检设备逐项登记、检查，做好台账并签名。</w:t>
      </w:r>
    </w:p>
    <w:p w14:paraId="36ED9509">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（2）运检时发生的交通费、运检设备运输及维护费用由乙方自行解决。</w:t>
      </w:r>
    </w:p>
    <w:p w14:paraId="537B5CA6">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（3）如发现变、配电设备运行有缺陷应即时向甲方通报，根据检测情况向甲方提出检修方案，甲、乙双方共同协商解决。</w:t>
      </w:r>
    </w:p>
    <w:p w14:paraId="3E9E391A">
      <w:pPr>
        <w:pStyle w:val="13"/>
        <w:snapToGrid w:val="0"/>
        <w:spacing w:line="500" w:lineRule="exact"/>
        <w:ind w:firstLine="420" w:firstLineChars="200"/>
        <w:rPr>
          <w:rFonts w:hAnsi="宋体" w:cs="宋体"/>
          <w:bCs/>
          <w:color w:val="auto"/>
          <w:highlight w:val="none"/>
        </w:rPr>
      </w:pPr>
      <w:r>
        <w:rPr>
          <w:rFonts w:hint="eastAsia" w:hAnsi="宋体" w:cs="宋体"/>
          <w:bCs/>
          <w:color w:val="auto"/>
          <w:highlight w:val="none"/>
        </w:rPr>
        <w:t>（4）变、配电设备发生非正常运行，甲方及时通知乙方，乙方必须保证在30分钟内到达现场。如果不能在保证时间内到达抢修现场，承担由此造成的一切损失，并给予一次2000元处罚。</w:t>
      </w:r>
    </w:p>
    <w:p w14:paraId="57016A65">
      <w:pPr>
        <w:pStyle w:val="13"/>
        <w:snapToGrid w:val="0"/>
        <w:spacing w:line="500" w:lineRule="exact"/>
        <w:ind w:firstLine="420" w:firstLineChars="200"/>
        <w:rPr>
          <w:rFonts w:hAnsi="宋体" w:cs="宋体"/>
          <w:bCs/>
          <w:color w:val="auto"/>
          <w:highlight w:val="none"/>
        </w:rPr>
      </w:pPr>
      <w:r>
        <w:rPr>
          <w:rFonts w:hint="eastAsia" w:hAnsi="宋体" w:cs="宋体"/>
          <w:bCs/>
          <w:color w:val="auto"/>
          <w:highlight w:val="none"/>
        </w:rPr>
        <w:t>（5）每年7-8月对甲方的变、配电设备进行预防性试验和运检维护，并对试验、运检的变、配电设备进行评估、总结以书面形式提交给甲方。乙方在履行合同过程中所发生的一切安全事故，均由乙方承担责任。</w:t>
      </w:r>
    </w:p>
    <w:p w14:paraId="6C5B7743">
      <w:pPr>
        <w:pStyle w:val="13"/>
        <w:snapToGrid w:val="0"/>
        <w:spacing w:line="500" w:lineRule="exact"/>
        <w:ind w:firstLine="420" w:firstLineChars="200"/>
        <w:rPr>
          <w:rFonts w:hAnsi="宋体" w:cs="宋体"/>
          <w:bCs/>
          <w:color w:val="auto"/>
          <w:highlight w:val="none"/>
        </w:rPr>
      </w:pPr>
      <w:r>
        <w:rPr>
          <w:rFonts w:hint="eastAsia" w:hAnsi="宋体" w:cs="宋体"/>
          <w:bCs/>
          <w:color w:val="auto"/>
          <w:highlight w:val="none"/>
        </w:rPr>
        <w:t>（6）乙方委派的现场维保人员均必须为投标文件中承诺的专业技术人员，否则发现一次给予500元处罚。</w:t>
      </w:r>
    </w:p>
    <w:p w14:paraId="0BFB25A0">
      <w:pPr>
        <w:widowControl/>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十三、其他要求</w:t>
      </w:r>
    </w:p>
    <w:p w14:paraId="3CDF2E56">
      <w:pPr>
        <w:widowControl/>
        <w:spacing w:line="500" w:lineRule="exact"/>
        <w:ind w:firstLine="420" w:firstLineChars="200"/>
        <w:rPr>
          <w:rFonts w:ascii="宋体" w:hAnsi="宋体" w:cs="宋体"/>
          <w:color w:val="auto"/>
          <w:highlight w:val="none"/>
        </w:rPr>
      </w:pPr>
      <w:r>
        <w:rPr>
          <w:rFonts w:hint="eastAsia" w:ascii="宋体" w:hAnsi="宋体" w:cs="宋体"/>
          <w:color w:val="auto"/>
          <w:highlight w:val="none"/>
        </w:rPr>
        <w:t>1、运检中产生的各类废弃物，由乙方负责按照当地环境管理法律法规及有关规定予以处理。</w:t>
      </w:r>
    </w:p>
    <w:p w14:paraId="59017075">
      <w:pPr>
        <w:widowControl/>
        <w:spacing w:line="500" w:lineRule="exact"/>
        <w:ind w:firstLine="420" w:firstLineChars="200"/>
        <w:rPr>
          <w:rFonts w:ascii="宋体" w:hAnsi="宋体" w:cs="宋体"/>
          <w:color w:val="auto"/>
          <w:highlight w:val="none"/>
        </w:rPr>
      </w:pPr>
      <w:r>
        <w:rPr>
          <w:rFonts w:hint="eastAsia" w:ascii="宋体" w:hAnsi="宋体" w:cs="宋体"/>
          <w:color w:val="auto"/>
          <w:highlight w:val="none"/>
        </w:rPr>
        <w:t>2、合同签订时,需要对合同条款增加和更改的,或者要求提供本合同约定以外的服务时,双方应在“另行约定事项”中约定,经双方签字、盖章后生效。</w:t>
      </w:r>
    </w:p>
    <w:p w14:paraId="274422D4">
      <w:pPr>
        <w:widowControl/>
        <w:spacing w:line="500" w:lineRule="exact"/>
        <w:ind w:firstLine="420" w:firstLineChars="200"/>
        <w:rPr>
          <w:rFonts w:ascii="宋体" w:hAnsi="宋体" w:cs="宋体"/>
          <w:color w:val="auto"/>
          <w:highlight w:val="none"/>
        </w:rPr>
      </w:pPr>
      <w:r>
        <w:rPr>
          <w:rFonts w:hint="eastAsia" w:ascii="宋体" w:hAnsi="宋体" w:cs="宋体"/>
          <w:color w:val="auto"/>
          <w:highlight w:val="none"/>
        </w:rPr>
        <w:t>3、合同生效后,需要对原条款进行变更的,双方应另签“补充协议”,经双方签字、盖章后生效。</w:t>
      </w:r>
    </w:p>
    <w:p w14:paraId="7BF8EF30">
      <w:pPr>
        <w:widowControl/>
        <w:spacing w:line="500" w:lineRule="exact"/>
        <w:ind w:firstLine="420" w:firstLineChars="200"/>
        <w:rPr>
          <w:rFonts w:ascii="宋体" w:hAnsi="宋体" w:cs="宋体"/>
          <w:color w:val="auto"/>
          <w:highlight w:val="none"/>
        </w:rPr>
      </w:pPr>
      <w:r>
        <w:rPr>
          <w:rFonts w:hint="eastAsia" w:ascii="宋体" w:hAnsi="宋体" w:cs="宋体"/>
          <w:color w:val="auto"/>
          <w:highlight w:val="none"/>
        </w:rPr>
        <w:t>4、若在运检过程中发生安全事故，应由政府主管部门介入并作出事故鉴定结论,或在政府主管部门不介入之时由双方共同委托有能力的第三方权威监测机构作鉴定。双方的安全责任及法律责任根据鉴定结论进行划分。</w:t>
      </w:r>
    </w:p>
    <w:p w14:paraId="17FCEBEB">
      <w:pPr>
        <w:widowControl/>
        <w:spacing w:line="500" w:lineRule="exact"/>
        <w:ind w:firstLine="420" w:firstLineChars="200"/>
        <w:rPr>
          <w:rFonts w:ascii="宋体" w:hAnsi="宋体" w:cs="宋体"/>
          <w:b/>
          <w:bCs/>
          <w:color w:val="auto"/>
          <w:highlight w:val="none"/>
        </w:rPr>
      </w:pPr>
      <w:r>
        <w:rPr>
          <w:rFonts w:hint="eastAsia" w:ascii="宋体" w:hAnsi="宋体" w:cs="宋体"/>
          <w:color w:val="auto"/>
          <w:highlight w:val="none"/>
        </w:rPr>
        <w:t>5、乙方发现设备存在安全隐患时,应及时书面通知甲方,必要时停止使用。</w:t>
      </w:r>
    </w:p>
    <w:p w14:paraId="5CF34400">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十四、不可抗力事件处理</w:t>
      </w:r>
    </w:p>
    <w:p w14:paraId="7B84A597">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 在合同有效期内，任何一方因不可抗力事件导致不能履行合同，则合同履行期可延长，其延长期与不可抗力影响期相同。</w:t>
      </w:r>
    </w:p>
    <w:p w14:paraId="2AD179C8">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2、不可抗力事件发生后，应立即通知对方，并寄送有关权威机构出具的证明。</w:t>
      </w:r>
    </w:p>
    <w:p w14:paraId="4139C519">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3、不可抗力事件延续120天以上，双方应通过友好协商，确定是否继续履行合同。</w:t>
      </w:r>
    </w:p>
    <w:p w14:paraId="604B28F2">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十五、诉讼</w:t>
      </w:r>
    </w:p>
    <w:p w14:paraId="3E6EB616">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 xml:space="preserve"> 双方在执行合同中所发生的一切争议，应通过协商解决。如协商不成，可向甲方所在地盐城市亭湖区人民法院起诉。</w:t>
      </w:r>
    </w:p>
    <w:p w14:paraId="384C5298">
      <w:pPr>
        <w:pStyle w:val="13"/>
        <w:widowControl/>
        <w:snapToGrid w:val="0"/>
        <w:spacing w:line="500" w:lineRule="exact"/>
        <w:ind w:firstLine="422" w:firstLineChars="200"/>
        <w:rPr>
          <w:rFonts w:hAnsi="宋体" w:cs="宋体"/>
          <w:b/>
          <w:color w:val="auto"/>
          <w:highlight w:val="none"/>
        </w:rPr>
      </w:pPr>
      <w:r>
        <w:rPr>
          <w:rFonts w:hint="eastAsia" w:hAnsi="宋体" w:cs="宋体"/>
          <w:b/>
          <w:color w:val="auto"/>
          <w:highlight w:val="none"/>
        </w:rPr>
        <w:t>十六、合同生效及其它</w:t>
      </w:r>
    </w:p>
    <w:p w14:paraId="63095A92">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1、合同经双方法定代表人或负责人或授权代表签字并加盖单位公章后生效。</w:t>
      </w:r>
    </w:p>
    <w:p w14:paraId="78E48C92">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2、合同执行中涉及内容修改或补充的，须签书面补充协议，方可作为主合同不可分割的一部分。</w:t>
      </w:r>
    </w:p>
    <w:p w14:paraId="72F1AEB4">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3、本合同未尽事宜，遵照《中华人民共和国民法典》有关条文执行。</w:t>
      </w:r>
    </w:p>
    <w:p w14:paraId="3CC81E5C">
      <w:pPr>
        <w:pStyle w:val="13"/>
        <w:widowControl/>
        <w:snapToGrid w:val="0"/>
        <w:spacing w:line="500" w:lineRule="exact"/>
        <w:ind w:firstLine="420" w:firstLineChars="200"/>
        <w:rPr>
          <w:rFonts w:hAnsi="宋体" w:cs="宋体"/>
          <w:bCs/>
          <w:color w:val="auto"/>
          <w:highlight w:val="none"/>
        </w:rPr>
      </w:pPr>
      <w:r>
        <w:rPr>
          <w:rFonts w:hint="eastAsia" w:hAnsi="宋体" w:cs="宋体"/>
          <w:bCs/>
          <w:color w:val="auto"/>
          <w:highlight w:val="none"/>
        </w:rPr>
        <w:t>4、本合同一式陆份，具有同等法律效力，甲乙双方各执叁份。</w:t>
      </w:r>
    </w:p>
    <w:p w14:paraId="644189B5">
      <w:pPr>
        <w:pStyle w:val="13"/>
        <w:snapToGrid w:val="0"/>
        <w:spacing w:line="400" w:lineRule="exact"/>
        <w:ind w:firstLine="422" w:firstLineChars="200"/>
        <w:rPr>
          <w:rFonts w:hAnsi="宋体" w:cs="宋体"/>
          <w:b/>
          <w:color w:val="auto"/>
          <w:highlight w:val="none"/>
        </w:rPr>
      </w:pPr>
    </w:p>
    <w:tbl>
      <w:tblPr>
        <w:tblStyle w:val="26"/>
        <w:tblW w:w="0" w:type="auto"/>
        <w:jc w:val="center"/>
        <w:tblLayout w:type="fixed"/>
        <w:tblCellMar>
          <w:top w:w="0" w:type="dxa"/>
          <w:left w:w="108" w:type="dxa"/>
          <w:bottom w:w="0" w:type="dxa"/>
          <w:right w:w="108" w:type="dxa"/>
        </w:tblCellMar>
      </w:tblPr>
      <w:tblGrid>
        <w:gridCol w:w="4515"/>
        <w:gridCol w:w="4365"/>
      </w:tblGrid>
      <w:tr w14:paraId="58B42320">
        <w:tblPrEx>
          <w:tblCellMar>
            <w:top w:w="0" w:type="dxa"/>
            <w:left w:w="108" w:type="dxa"/>
            <w:bottom w:w="0" w:type="dxa"/>
            <w:right w:w="108" w:type="dxa"/>
          </w:tblCellMar>
        </w:tblPrEx>
        <w:trPr>
          <w:trHeight w:val="1299" w:hRule="atLeast"/>
          <w:jc w:val="center"/>
        </w:trPr>
        <w:tc>
          <w:tcPr>
            <w:tcW w:w="4515" w:type="dxa"/>
            <w:tcBorders>
              <w:top w:val="nil"/>
              <w:left w:val="nil"/>
              <w:bottom w:val="nil"/>
              <w:right w:val="nil"/>
            </w:tcBorders>
          </w:tcPr>
          <w:p w14:paraId="414CE03C">
            <w:pPr>
              <w:spacing w:line="500" w:lineRule="exact"/>
              <w:rPr>
                <w:bCs/>
                <w:color w:val="auto"/>
                <w:highlight w:val="none"/>
              </w:rPr>
            </w:pPr>
            <w:r>
              <w:rPr>
                <w:rFonts w:hint="eastAsia"/>
                <w:bCs/>
                <w:color w:val="auto"/>
                <w:highlight w:val="none"/>
              </w:rPr>
              <w:t>甲方（盖章）：</w:t>
            </w:r>
          </w:p>
        </w:tc>
        <w:tc>
          <w:tcPr>
            <w:tcW w:w="4365" w:type="dxa"/>
            <w:tcBorders>
              <w:top w:val="nil"/>
              <w:left w:val="nil"/>
              <w:bottom w:val="nil"/>
              <w:right w:val="nil"/>
            </w:tcBorders>
          </w:tcPr>
          <w:p w14:paraId="3D4344D3">
            <w:pPr>
              <w:spacing w:line="500" w:lineRule="exact"/>
              <w:rPr>
                <w:color w:val="auto"/>
                <w:highlight w:val="none"/>
              </w:rPr>
            </w:pPr>
            <w:r>
              <w:rPr>
                <w:rFonts w:hint="eastAsia"/>
                <w:bCs/>
                <w:color w:val="auto"/>
                <w:highlight w:val="none"/>
              </w:rPr>
              <w:t>乙方（盖章）：</w:t>
            </w:r>
            <w:r>
              <w:rPr>
                <w:rFonts w:hint="eastAsia"/>
                <w:color w:val="auto"/>
                <w:highlight w:val="none"/>
              </w:rPr>
              <w:t xml:space="preserve"> </w:t>
            </w:r>
          </w:p>
        </w:tc>
      </w:tr>
      <w:tr w14:paraId="4C0B60B7">
        <w:tblPrEx>
          <w:tblCellMar>
            <w:top w:w="0" w:type="dxa"/>
            <w:left w:w="108" w:type="dxa"/>
            <w:bottom w:w="0" w:type="dxa"/>
            <w:right w:w="108" w:type="dxa"/>
          </w:tblCellMar>
        </w:tblPrEx>
        <w:trPr>
          <w:trHeight w:val="470" w:hRule="atLeast"/>
          <w:jc w:val="center"/>
        </w:trPr>
        <w:tc>
          <w:tcPr>
            <w:tcW w:w="4515" w:type="dxa"/>
            <w:tcBorders>
              <w:top w:val="nil"/>
              <w:left w:val="nil"/>
              <w:bottom w:val="nil"/>
              <w:right w:val="nil"/>
            </w:tcBorders>
            <w:vAlign w:val="center"/>
          </w:tcPr>
          <w:p w14:paraId="11B45F9D">
            <w:pPr>
              <w:spacing w:line="500" w:lineRule="exact"/>
              <w:ind w:left="3992" w:hanging="3992" w:hangingChars="1901"/>
              <w:rPr>
                <w:bCs/>
                <w:color w:val="auto"/>
                <w:highlight w:val="none"/>
              </w:rPr>
            </w:pPr>
            <w:r>
              <w:rPr>
                <w:rFonts w:hint="eastAsia"/>
                <w:bCs/>
                <w:color w:val="auto"/>
                <w:highlight w:val="none"/>
              </w:rPr>
              <w:t>法定代表人</w:t>
            </w:r>
          </w:p>
        </w:tc>
        <w:tc>
          <w:tcPr>
            <w:tcW w:w="4365" w:type="dxa"/>
            <w:tcBorders>
              <w:top w:val="nil"/>
              <w:left w:val="nil"/>
              <w:bottom w:val="nil"/>
              <w:right w:val="nil"/>
            </w:tcBorders>
          </w:tcPr>
          <w:p w14:paraId="4FC4CD78">
            <w:pPr>
              <w:spacing w:line="500" w:lineRule="exact"/>
              <w:rPr>
                <w:bCs/>
                <w:color w:val="auto"/>
                <w:highlight w:val="none"/>
              </w:rPr>
            </w:pPr>
            <w:r>
              <w:rPr>
                <w:rFonts w:hint="eastAsia"/>
                <w:bCs/>
                <w:color w:val="auto"/>
                <w:highlight w:val="none"/>
              </w:rPr>
              <w:t>法定代表人</w:t>
            </w:r>
          </w:p>
        </w:tc>
      </w:tr>
      <w:tr w14:paraId="25E5ED52">
        <w:tblPrEx>
          <w:tblCellMar>
            <w:top w:w="0" w:type="dxa"/>
            <w:left w:w="108" w:type="dxa"/>
            <w:bottom w:w="0" w:type="dxa"/>
            <w:right w:w="108" w:type="dxa"/>
          </w:tblCellMar>
        </w:tblPrEx>
        <w:trPr>
          <w:trHeight w:val="567" w:hRule="atLeast"/>
          <w:jc w:val="center"/>
        </w:trPr>
        <w:tc>
          <w:tcPr>
            <w:tcW w:w="4515" w:type="dxa"/>
            <w:tcBorders>
              <w:top w:val="nil"/>
              <w:left w:val="nil"/>
              <w:bottom w:val="nil"/>
              <w:right w:val="nil"/>
            </w:tcBorders>
            <w:vAlign w:val="center"/>
          </w:tcPr>
          <w:p w14:paraId="6B8A2A70">
            <w:pPr>
              <w:spacing w:line="500" w:lineRule="exact"/>
              <w:ind w:left="3992" w:hanging="3992" w:hangingChars="1901"/>
              <w:rPr>
                <w:bCs/>
                <w:color w:val="auto"/>
                <w:highlight w:val="none"/>
              </w:rPr>
            </w:pPr>
            <w:r>
              <w:rPr>
                <w:rFonts w:hint="eastAsia"/>
                <w:color w:val="auto"/>
                <w:highlight w:val="none"/>
              </w:rPr>
              <w:t>（或委托代理人）（签章）：</w:t>
            </w:r>
          </w:p>
        </w:tc>
        <w:tc>
          <w:tcPr>
            <w:tcW w:w="4365" w:type="dxa"/>
            <w:tcBorders>
              <w:top w:val="nil"/>
              <w:left w:val="nil"/>
              <w:bottom w:val="nil"/>
              <w:right w:val="nil"/>
            </w:tcBorders>
            <w:vAlign w:val="center"/>
          </w:tcPr>
          <w:p w14:paraId="2E8B0259">
            <w:pPr>
              <w:spacing w:line="500" w:lineRule="exact"/>
              <w:rPr>
                <w:bCs/>
                <w:color w:val="auto"/>
                <w:highlight w:val="none"/>
              </w:rPr>
            </w:pPr>
            <w:r>
              <w:rPr>
                <w:rFonts w:hint="eastAsia"/>
                <w:color w:val="auto"/>
                <w:highlight w:val="none"/>
              </w:rPr>
              <w:t>（或委托代理人）（签章）：</w:t>
            </w:r>
          </w:p>
        </w:tc>
      </w:tr>
      <w:tr w14:paraId="4F6656FA">
        <w:tblPrEx>
          <w:tblCellMar>
            <w:top w:w="0" w:type="dxa"/>
            <w:left w:w="108" w:type="dxa"/>
            <w:bottom w:w="0" w:type="dxa"/>
            <w:right w:w="108" w:type="dxa"/>
          </w:tblCellMar>
        </w:tblPrEx>
        <w:trPr>
          <w:trHeight w:val="567" w:hRule="atLeast"/>
          <w:jc w:val="center"/>
        </w:trPr>
        <w:tc>
          <w:tcPr>
            <w:tcW w:w="4515" w:type="dxa"/>
            <w:tcBorders>
              <w:top w:val="nil"/>
              <w:left w:val="nil"/>
              <w:bottom w:val="nil"/>
              <w:right w:val="nil"/>
            </w:tcBorders>
            <w:vAlign w:val="center"/>
          </w:tcPr>
          <w:p w14:paraId="00CE263B">
            <w:pPr>
              <w:spacing w:line="500" w:lineRule="exact"/>
              <w:ind w:left="3992" w:hanging="3992" w:hangingChars="1901"/>
              <w:rPr>
                <w:color w:val="auto"/>
                <w:highlight w:val="none"/>
              </w:rPr>
            </w:pPr>
            <w:r>
              <w:rPr>
                <w:rFonts w:hint="eastAsia"/>
                <w:color w:val="auto"/>
                <w:highlight w:val="none"/>
              </w:rPr>
              <w:t>联系电话：</w:t>
            </w:r>
          </w:p>
        </w:tc>
        <w:tc>
          <w:tcPr>
            <w:tcW w:w="4365" w:type="dxa"/>
            <w:tcBorders>
              <w:top w:val="nil"/>
              <w:left w:val="nil"/>
              <w:bottom w:val="nil"/>
              <w:right w:val="nil"/>
            </w:tcBorders>
            <w:vAlign w:val="center"/>
          </w:tcPr>
          <w:p w14:paraId="7F9D44D3">
            <w:pPr>
              <w:spacing w:line="500" w:lineRule="exact"/>
              <w:rPr>
                <w:color w:val="auto"/>
                <w:highlight w:val="none"/>
              </w:rPr>
            </w:pPr>
            <w:r>
              <w:rPr>
                <w:rFonts w:hint="eastAsia"/>
                <w:color w:val="auto"/>
                <w:highlight w:val="none"/>
              </w:rPr>
              <w:t>联系电话：</w:t>
            </w:r>
          </w:p>
        </w:tc>
      </w:tr>
      <w:tr w14:paraId="6E29E030">
        <w:tblPrEx>
          <w:tblCellMar>
            <w:top w:w="0" w:type="dxa"/>
            <w:left w:w="108" w:type="dxa"/>
            <w:bottom w:w="0" w:type="dxa"/>
            <w:right w:w="108" w:type="dxa"/>
          </w:tblCellMar>
        </w:tblPrEx>
        <w:trPr>
          <w:trHeight w:val="567" w:hRule="atLeast"/>
          <w:jc w:val="center"/>
        </w:trPr>
        <w:tc>
          <w:tcPr>
            <w:tcW w:w="4515" w:type="dxa"/>
            <w:tcBorders>
              <w:top w:val="nil"/>
              <w:left w:val="nil"/>
              <w:bottom w:val="nil"/>
              <w:right w:val="nil"/>
            </w:tcBorders>
            <w:vAlign w:val="center"/>
          </w:tcPr>
          <w:p w14:paraId="242391A9">
            <w:pPr>
              <w:spacing w:line="500" w:lineRule="exact"/>
              <w:ind w:left="3992" w:right="480" w:hanging="3992" w:hangingChars="1901"/>
              <w:jc w:val="right"/>
              <w:rPr>
                <w:bCs/>
                <w:color w:val="auto"/>
                <w:highlight w:val="none"/>
              </w:rPr>
            </w:pPr>
            <w:r>
              <w:rPr>
                <w:rFonts w:hint="eastAsia"/>
                <w:bCs/>
                <w:color w:val="auto"/>
                <w:highlight w:val="none"/>
              </w:rPr>
              <w:t>年    月    日</w:t>
            </w:r>
          </w:p>
        </w:tc>
        <w:tc>
          <w:tcPr>
            <w:tcW w:w="4365" w:type="dxa"/>
            <w:tcBorders>
              <w:top w:val="nil"/>
              <w:left w:val="nil"/>
              <w:bottom w:val="nil"/>
              <w:right w:val="nil"/>
            </w:tcBorders>
            <w:vAlign w:val="center"/>
          </w:tcPr>
          <w:p w14:paraId="0397B5E6">
            <w:pPr>
              <w:spacing w:line="500" w:lineRule="exact"/>
              <w:ind w:left="3992" w:right="720" w:hanging="3992" w:hangingChars="1901"/>
              <w:jc w:val="right"/>
              <w:rPr>
                <w:bCs/>
                <w:color w:val="auto"/>
                <w:highlight w:val="none"/>
              </w:rPr>
            </w:pPr>
            <w:r>
              <w:rPr>
                <w:rFonts w:hint="eastAsia"/>
                <w:bCs/>
                <w:color w:val="auto"/>
                <w:highlight w:val="none"/>
              </w:rPr>
              <w:t>年    月    日</w:t>
            </w:r>
          </w:p>
        </w:tc>
      </w:tr>
    </w:tbl>
    <w:p w14:paraId="578A9503">
      <w:pPr>
        <w:pStyle w:val="13"/>
        <w:snapToGrid w:val="0"/>
        <w:spacing w:line="400" w:lineRule="exact"/>
        <w:ind w:firstLine="420" w:firstLineChars="200"/>
        <w:rPr>
          <w:rFonts w:hAnsi="宋体" w:cs="宋体"/>
          <w:bCs/>
          <w:color w:val="auto"/>
          <w:highlight w:val="none"/>
        </w:rPr>
      </w:pPr>
    </w:p>
    <w:p w14:paraId="7A836C6D">
      <w:pPr>
        <w:rPr>
          <w:rFonts w:ascii="黑体" w:eastAsia="黑体"/>
          <w:bCs/>
          <w:color w:val="auto"/>
          <w:sz w:val="44"/>
          <w:highlight w:val="none"/>
        </w:rPr>
      </w:pPr>
    </w:p>
    <w:p w14:paraId="1EE397B9">
      <w:pPr>
        <w:pStyle w:val="20"/>
        <w:spacing w:line="300" w:lineRule="exact"/>
        <w:outlineLvl w:val="0"/>
        <w:rPr>
          <w:rFonts w:hAnsi="宋体"/>
          <w:color w:val="auto"/>
          <w:highlight w:val="none"/>
        </w:rPr>
      </w:pPr>
      <w:r>
        <w:rPr>
          <w:rFonts w:hint="eastAsia" w:hAnsi="宋体"/>
          <w:color w:val="auto"/>
          <w:highlight w:val="none"/>
        </w:rPr>
        <w:br w:type="textWrapping"/>
      </w:r>
      <w:r>
        <w:rPr>
          <w:rFonts w:hint="eastAsia" w:hAnsi="宋体"/>
          <w:color w:val="auto"/>
          <w:highlight w:val="none"/>
        </w:rPr>
        <w:br w:type="textWrapping"/>
      </w:r>
      <w:bookmarkStart w:id="13" w:name="_Toc141279399"/>
      <w:bookmarkStart w:id="14" w:name="_Toc119595837"/>
    </w:p>
    <w:p w14:paraId="1C404D15">
      <w:pPr>
        <w:pStyle w:val="20"/>
        <w:spacing w:line="300" w:lineRule="exact"/>
        <w:outlineLvl w:val="0"/>
        <w:rPr>
          <w:rFonts w:hAnsi="宋体"/>
          <w:color w:val="auto"/>
          <w:highlight w:val="none"/>
        </w:rPr>
      </w:pPr>
    </w:p>
    <w:p w14:paraId="69D9CCEF">
      <w:pPr>
        <w:pStyle w:val="20"/>
        <w:spacing w:line="300" w:lineRule="exact"/>
        <w:outlineLvl w:val="0"/>
        <w:rPr>
          <w:rFonts w:hAnsi="宋体"/>
          <w:color w:val="auto"/>
          <w:highlight w:val="none"/>
        </w:rPr>
      </w:pPr>
    </w:p>
    <w:p w14:paraId="6397D067">
      <w:pPr>
        <w:pStyle w:val="20"/>
        <w:spacing w:line="300" w:lineRule="exact"/>
        <w:outlineLvl w:val="0"/>
        <w:rPr>
          <w:rFonts w:hAnsi="宋体"/>
          <w:color w:val="auto"/>
          <w:highlight w:val="none"/>
        </w:rPr>
      </w:pPr>
    </w:p>
    <w:p w14:paraId="5222E89E">
      <w:pPr>
        <w:pStyle w:val="20"/>
        <w:spacing w:line="300" w:lineRule="exact"/>
        <w:outlineLvl w:val="0"/>
        <w:rPr>
          <w:rFonts w:hAnsi="宋体"/>
          <w:color w:val="auto"/>
          <w:highlight w:val="none"/>
        </w:rPr>
      </w:pPr>
    </w:p>
    <w:p w14:paraId="2042D024">
      <w:pPr>
        <w:pStyle w:val="20"/>
        <w:spacing w:line="300" w:lineRule="exact"/>
        <w:outlineLvl w:val="0"/>
        <w:rPr>
          <w:rFonts w:hAnsi="宋体"/>
          <w:color w:val="auto"/>
          <w:highlight w:val="none"/>
        </w:rPr>
      </w:pPr>
    </w:p>
    <w:p w14:paraId="3E37A748">
      <w:pPr>
        <w:pStyle w:val="20"/>
        <w:spacing w:line="300" w:lineRule="exact"/>
        <w:outlineLvl w:val="0"/>
        <w:rPr>
          <w:rFonts w:hAnsi="宋体"/>
          <w:color w:val="auto"/>
          <w:highlight w:val="none"/>
        </w:rPr>
      </w:pPr>
    </w:p>
    <w:p w14:paraId="78194374">
      <w:pPr>
        <w:pStyle w:val="20"/>
        <w:spacing w:line="300" w:lineRule="exact"/>
        <w:outlineLvl w:val="0"/>
        <w:rPr>
          <w:rFonts w:hAnsi="宋体"/>
          <w:color w:val="auto"/>
          <w:highlight w:val="none"/>
        </w:rPr>
      </w:pPr>
    </w:p>
    <w:p w14:paraId="7C3DB239">
      <w:pPr>
        <w:pStyle w:val="20"/>
        <w:spacing w:line="300" w:lineRule="exact"/>
        <w:outlineLvl w:val="0"/>
        <w:rPr>
          <w:color w:val="auto"/>
          <w:highlight w:val="none"/>
        </w:rPr>
      </w:pPr>
      <w:r>
        <w:rPr>
          <w:rFonts w:hint="eastAsia" w:ascii="Times New Roman" w:hAnsi="Times New Roman" w:cs="Times New Roman"/>
          <w:color w:val="auto"/>
          <w:kern w:val="44"/>
          <w:highlight w:val="none"/>
        </w:rPr>
        <w:t>第四部分 项目需求</w:t>
      </w:r>
      <w:bookmarkEnd w:id="13"/>
      <w:bookmarkEnd w:id="14"/>
    </w:p>
    <w:p w14:paraId="65EB22ED">
      <w:pPr>
        <w:pStyle w:val="21"/>
        <w:ind w:left="3360"/>
        <w:rPr>
          <w:color w:val="auto"/>
          <w:highlight w:val="none"/>
        </w:rPr>
      </w:pPr>
    </w:p>
    <w:p w14:paraId="08A7BF6F">
      <w:pPr>
        <w:widowControl/>
        <w:jc w:val="left"/>
        <w:rPr>
          <w:b/>
          <w:color w:val="auto"/>
          <w:sz w:val="28"/>
          <w:szCs w:val="28"/>
          <w:highlight w:val="none"/>
        </w:rPr>
      </w:pPr>
    </w:p>
    <w:p w14:paraId="2667B6EE">
      <w:pPr>
        <w:pStyle w:val="53"/>
        <w:spacing w:line="500" w:lineRule="exact"/>
        <w:ind w:firstLine="482" w:firstLineChars="200"/>
        <w:rPr>
          <w:b/>
          <w:bCs/>
          <w:i/>
          <w:iCs/>
          <w:color w:val="auto"/>
          <w:sz w:val="28"/>
          <w:szCs w:val="28"/>
          <w:highlight w:val="none"/>
          <w:u w:val="single"/>
        </w:rPr>
      </w:pPr>
      <w:r>
        <w:rPr>
          <w:rFonts w:hint="eastAsia"/>
          <w:b/>
          <w:bCs/>
          <w:color w:val="auto"/>
          <w:sz w:val="24"/>
          <w:highlight w:val="none"/>
        </w:rPr>
        <w:t xml:space="preserve">一、服务内容  </w:t>
      </w:r>
      <w:r>
        <w:rPr>
          <w:rFonts w:hint="eastAsia"/>
          <w:b/>
          <w:bCs/>
          <w:color w:val="auto"/>
          <w:sz w:val="28"/>
          <w:szCs w:val="28"/>
          <w:highlight w:val="none"/>
        </w:rPr>
        <w:t xml:space="preserve">  </w:t>
      </w:r>
    </w:p>
    <w:p w14:paraId="73E18560">
      <w:pPr>
        <w:spacing w:line="500" w:lineRule="exact"/>
        <w:ind w:firstLine="440" w:firstLineChars="200"/>
        <w:rPr>
          <w:color w:val="auto"/>
          <w:sz w:val="22"/>
          <w:szCs w:val="22"/>
          <w:highlight w:val="none"/>
        </w:rPr>
      </w:pPr>
      <w:r>
        <w:rPr>
          <w:rFonts w:hint="eastAsia"/>
          <w:color w:val="auto"/>
          <w:sz w:val="22"/>
          <w:szCs w:val="22"/>
          <w:highlight w:val="none"/>
        </w:rPr>
        <w:t>江苏医药职业学院有10KV开闭所2座，配电房6间，变压器17台，高压电缆约7千米等高压设备。根据国家《电力设备预防试验规程》和行业相关标准规定，对高压设备预防性试验及运检维护必须定期进行，主要包括设备运行状态检查、耐压试验及日常故障排除等。具体设备及检修内容如下：</w:t>
      </w:r>
    </w:p>
    <w:p w14:paraId="2DC6A791">
      <w:pPr>
        <w:spacing w:line="500" w:lineRule="exact"/>
        <w:ind w:firstLine="482" w:firstLineChars="200"/>
        <w:rPr>
          <w:color w:val="auto"/>
          <w:sz w:val="24"/>
          <w:highlight w:val="none"/>
        </w:rPr>
      </w:pPr>
      <w:r>
        <w:rPr>
          <w:rFonts w:hint="eastAsia"/>
          <w:b/>
          <w:bCs/>
          <w:color w:val="auto"/>
          <w:sz w:val="24"/>
          <w:highlight w:val="none"/>
        </w:rPr>
        <w:t>1、设备明细表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73"/>
        <w:gridCol w:w="1575"/>
        <w:gridCol w:w="1700"/>
        <w:gridCol w:w="2545"/>
      </w:tblGrid>
      <w:tr w14:paraId="4A65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03" w:type="dxa"/>
            <w:vAlign w:val="center"/>
          </w:tcPr>
          <w:p w14:paraId="39172A89">
            <w:pPr>
              <w:widowControl/>
              <w:jc w:val="center"/>
              <w:textAlignment w:val="center"/>
              <w:rPr>
                <w:color w:val="auto"/>
                <w:highlight w:val="none"/>
                <w:lang w:bidi="ar"/>
              </w:rPr>
            </w:pPr>
            <w:r>
              <w:rPr>
                <w:rFonts w:hint="eastAsia"/>
                <w:color w:val="auto"/>
                <w:highlight w:val="none"/>
                <w:lang w:bidi="ar"/>
              </w:rPr>
              <w:t>序号</w:t>
            </w:r>
          </w:p>
        </w:tc>
        <w:tc>
          <w:tcPr>
            <w:tcW w:w="1673" w:type="dxa"/>
            <w:vAlign w:val="center"/>
          </w:tcPr>
          <w:p w14:paraId="48C7A0D6">
            <w:pPr>
              <w:widowControl/>
              <w:jc w:val="center"/>
              <w:textAlignment w:val="center"/>
              <w:rPr>
                <w:color w:val="auto"/>
                <w:highlight w:val="none"/>
                <w:lang w:bidi="ar"/>
              </w:rPr>
            </w:pPr>
            <w:r>
              <w:rPr>
                <w:rFonts w:hint="eastAsia"/>
                <w:color w:val="auto"/>
                <w:highlight w:val="none"/>
                <w:lang w:bidi="ar"/>
              </w:rPr>
              <w:t>分项名称</w:t>
            </w:r>
          </w:p>
        </w:tc>
        <w:tc>
          <w:tcPr>
            <w:tcW w:w="1575" w:type="dxa"/>
            <w:vAlign w:val="center"/>
          </w:tcPr>
          <w:p w14:paraId="2D720E21">
            <w:pPr>
              <w:widowControl/>
              <w:jc w:val="center"/>
              <w:textAlignment w:val="center"/>
              <w:rPr>
                <w:color w:val="auto"/>
                <w:highlight w:val="none"/>
                <w:lang w:bidi="ar"/>
              </w:rPr>
            </w:pPr>
            <w:r>
              <w:rPr>
                <w:rFonts w:hint="eastAsia"/>
                <w:color w:val="auto"/>
                <w:highlight w:val="none"/>
                <w:lang w:bidi="ar"/>
              </w:rPr>
              <w:t>设备名称</w:t>
            </w:r>
          </w:p>
        </w:tc>
        <w:tc>
          <w:tcPr>
            <w:tcW w:w="1700" w:type="dxa"/>
            <w:vAlign w:val="center"/>
          </w:tcPr>
          <w:p w14:paraId="0B94E068">
            <w:pPr>
              <w:widowControl/>
              <w:jc w:val="center"/>
              <w:textAlignment w:val="center"/>
              <w:rPr>
                <w:color w:val="auto"/>
                <w:highlight w:val="none"/>
                <w:lang w:bidi="ar"/>
              </w:rPr>
            </w:pPr>
            <w:r>
              <w:rPr>
                <w:rFonts w:hint="eastAsia"/>
                <w:color w:val="auto"/>
                <w:highlight w:val="none"/>
                <w:lang w:bidi="ar"/>
              </w:rPr>
              <w:t>设备参数</w:t>
            </w:r>
          </w:p>
        </w:tc>
        <w:tc>
          <w:tcPr>
            <w:tcW w:w="2545" w:type="dxa"/>
            <w:vAlign w:val="center"/>
          </w:tcPr>
          <w:p w14:paraId="6971B624">
            <w:pPr>
              <w:widowControl/>
              <w:jc w:val="center"/>
              <w:textAlignment w:val="center"/>
              <w:rPr>
                <w:color w:val="auto"/>
                <w:highlight w:val="none"/>
                <w:lang w:bidi="ar"/>
              </w:rPr>
            </w:pPr>
            <w:r>
              <w:rPr>
                <w:rFonts w:hint="eastAsia"/>
                <w:color w:val="auto"/>
                <w:highlight w:val="none"/>
                <w:lang w:bidi="ar"/>
              </w:rPr>
              <w:t>设备数量（台/套/根）</w:t>
            </w:r>
          </w:p>
        </w:tc>
      </w:tr>
      <w:tr w14:paraId="3879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3" w:type="dxa"/>
            <w:vMerge w:val="restart"/>
            <w:vAlign w:val="center"/>
          </w:tcPr>
          <w:p w14:paraId="339550E4">
            <w:pPr>
              <w:widowControl/>
              <w:jc w:val="center"/>
              <w:textAlignment w:val="center"/>
              <w:rPr>
                <w:color w:val="auto"/>
                <w:sz w:val="28"/>
                <w:szCs w:val="28"/>
                <w:highlight w:val="none"/>
              </w:rPr>
            </w:pPr>
            <w:r>
              <w:rPr>
                <w:rFonts w:hint="eastAsia"/>
                <w:color w:val="auto"/>
                <w:highlight w:val="none"/>
                <w:lang w:bidi="ar"/>
              </w:rPr>
              <w:t>1</w:t>
            </w:r>
          </w:p>
        </w:tc>
        <w:tc>
          <w:tcPr>
            <w:tcW w:w="1673" w:type="dxa"/>
            <w:vMerge w:val="restart"/>
            <w:vAlign w:val="center"/>
          </w:tcPr>
          <w:p w14:paraId="024CFCC5">
            <w:pPr>
              <w:widowControl/>
              <w:jc w:val="center"/>
              <w:textAlignment w:val="center"/>
              <w:rPr>
                <w:color w:val="auto"/>
                <w:sz w:val="28"/>
                <w:szCs w:val="28"/>
                <w:highlight w:val="none"/>
              </w:rPr>
            </w:pPr>
            <w:r>
              <w:rPr>
                <w:rFonts w:hint="eastAsia"/>
                <w:color w:val="auto"/>
                <w:highlight w:val="none"/>
                <w:lang w:bidi="ar"/>
              </w:rPr>
              <w:t>东园开闭所</w:t>
            </w:r>
          </w:p>
        </w:tc>
        <w:tc>
          <w:tcPr>
            <w:tcW w:w="1575" w:type="dxa"/>
            <w:vAlign w:val="center"/>
          </w:tcPr>
          <w:p w14:paraId="5E89BF0C">
            <w:pPr>
              <w:widowControl/>
              <w:jc w:val="center"/>
              <w:textAlignment w:val="center"/>
              <w:rPr>
                <w:color w:val="auto"/>
                <w:sz w:val="28"/>
                <w:szCs w:val="28"/>
                <w:highlight w:val="none"/>
              </w:rPr>
            </w:pPr>
            <w:r>
              <w:rPr>
                <w:rFonts w:hint="eastAsia"/>
                <w:color w:val="auto"/>
                <w:highlight w:val="none"/>
                <w:lang w:bidi="ar"/>
              </w:rPr>
              <w:t>高压进线</w:t>
            </w:r>
          </w:p>
        </w:tc>
        <w:tc>
          <w:tcPr>
            <w:tcW w:w="1700" w:type="dxa"/>
            <w:vAlign w:val="center"/>
          </w:tcPr>
          <w:p w14:paraId="65731304">
            <w:pPr>
              <w:widowControl/>
              <w:jc w:val="center"/>
              <w:textAlignment w:val="center"/>
              <w:rPr>
                <w:color w:val="auto"/>
                <w:sz w:val="28"/>
                <w:szCs w:val="28"/>
                <w:highlight w:val="none"/>
              </w:rPr>
            </w:pPr>
            <w:r>
              <w:rPr>
                <w:rFonts w:hint="eastAsia"/>
                <w:color w:val="auto"/>
                <w:highlight w:val="none"/>
                <w:lang w:bidi="ar"/>
              </w:rPr>
              <w:t>主供：世华线</w:t>
            </w:r>
          </w:p>
        </w:tc>
        <w:tc>
          <w:tcPr>
            <w:tcW w:w="2545" w:type="dxa"/>
            <w:vAlign w:val="center"/>
          </w:tcPr>
          <w:p w14:paraId="0AAD6144">
            <w:pPr>
              <w:widowControl/>
              <w:jc w:val="center"/>
              <w:textAlignment w:val="center"/>
              <w:rPr>
                <w:color w:val="auto"/>
                <w:sz w:val="28"/>
                <w:szCs w:val="28"/>
                <w:highlight w:val="none"/>
              </w:rPr>
            </w:pPr>
            <w:r>
              <w:rPr>
                <w:rFonts w:hint="eastAsia"/>
                <w:color w:val="auto"/>
                <w:highlight w:val="none"/>
                <w:lang w:bidi="ar"/>
              </w:rPr>
              <w:t>1.4km</w:t>
            </w:r>
          </w:p>
        </w:tc>
      </w:tr>
      <w:tr w14:paraId="263A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3" w:type="dxa"/>
            <w:vMerge w:val="continue"/>
            <w:vAlign w:val="center"/>
          </w:tcPr>
          <w:p w14:paraId="18234898">
            <w:pPr>
              <w:jc w:val="center"/>
              <w:rPr>
                <w:color w:val="auto"/>
                <w:sz w:val="28"/>
                <w:szCs w:val="28"/>
                <w:highlight w:val="none"/>
              </w:rPr>
            </w:pPr>
          </w:p>
        </w:tc>
        <w:tc>
          <w:tcPr>
            <w:tcW w:w="1673" w:type="dxa"/>
            <w:vMerge w:val="continue"/>
            <w:vAlign w:val="center"/>
          </w:tcPr>
          <w:p w14:paraId="1CA4B9ED">
            <w:pPr>
              <w:jc w:val="center"/>
              <w:rPr>
                <w:color w:val="auto"/>
                <w:sz w:val="28"/>
                <w:szCs w:val="28"/>
                <w:highlight w:val="none"/>
              </w:rPr>
            </w:pPr>
          </w:p>
        </w:tc>
        <w:tc>
          <w:tcPr>
            <w:tcW w:w="1575" w:type="dxa"/>
            <w:vAlign w:val="center"/>
          </w:tcPr>
          <w:p w14:paraId="767D703E">
            <w:pPr>
              <w:widowControl/>
              <w:jc w:val="center"/>
              <w:textAlignment w:val="center"/>
              <w:rPr>
                <w:color w:val="auto"/>
                <w:sz w:val="28"/>
                <w:szCs w:val="28"/>
                <w:highlight w:val="none"/>
              </w:rPr>
            </w:pPr>
            <w:r>
              <w:rPr>
                <w:rFonts w:hint="eastAsia"/>
                <w:color w:val="auto"/>
                <w:highlight w:val="none"/>
                <w:lang w:bidi="ar"/>
              </w:rPr>
              <w:t>高压进线</w:t>
            </w:r>
          </w:p>
        </w:tc>
        <w:tc>
          <w:tcPr>
            <w:tcW w:w="1700" w:type="dxa"/>
            <w:vAlign w:val="center"/>
          </w:tcPr>
          <w:p w14:paraId="4547EEBD">
            <w:pPr>
              <w:widowControl/>
              <w:jc w:val="center"/>
              <w:textAlignment w:val="center"/>
              <w:rPr>
                <w:color w:val="auto"/>
                <w:sz w:val="28"/>
                <w:szCs w:val="28"/>
                <w:highlight w:val="none"/>
              </w:rPr>
            </w:pPr>
            <w:r>
              <w:rPr>
                <w:rFonts w:hint="eastAsia"/>
                <w:color w:val="auto"/>
                <w:highlight w:val="none"/>
                <w:lang w:bidi="ar"/>
              </w:rPr>
              <w:t>备供：高校线</w:t>
            </w:r>
          </w:p>
        </w:tc>
        <w:tc>
          <w:tcPr>
            <w:tcW w:w="2545" w:type="dxa"/>
            <w:vAlign w:val="center"/>
          </w:tcPr>
          <w:p w14:paraId="739E9802">
            <w:pPr>
              <w:widowControl/>
              <w:jc w:val="center"/>
              <w:textAlignment w:val="center"/>
              <w:rPr>
                <w:color w:val="auto"/>
                <w:sz w:val="28"/>
                <w:szCs w:val="28"/>
                <w:highlight w:val="none"/>
              </w:rPr>
            </w:pPr>
            <w:r>
              <w:rPr>
                <w:rFonts w:hint="eastAsia"/>
                <w:color w:val="auto"/>
                <w:highlight w:val="none"/>
                <w:lang w:bidi="ar"/>
              </w:rPr>
              <w:t>1.5km</w:t>
            </w:r>
          </w:p>
        </w:tc>
      </w:tr>
      <w:tr w14:paraId="0E52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3" w:type="dxa"/>
            <w:vMerge w:val="continue"/>
            <w:vAlign w:val="center"/>
          </w:tcPr>
          <w:p w14:paraId="2A58BAD5">
            <w:pPr>
              <w:jc w:val="center"/>
              <w:rPr>
                <w:color w:val="auto"/>
                <w:sz w:val="28"/>
                <w:szCs w:val="28"/>
                <w:highlight w:val="none"/>
              </w:rPr>
            </w:pPr>
          </w:p>
        </w:tc>
        <w:tc>
          <w:tcPr>
            <w:tcW w:w="1673" w:type="dxa"/>
            <w:vMerge w:val="continue"/>
            <w:vAlign w:val="center"/>
          </w:tcPr>
          <w:p w14:paraId="29044B75">
            <w:pPr>
              <w:jc w:val="center"/>
              <w:rPr>
                <w:color w:val="auto"/>
                <w:sz w:val="28"/>
                <w:szCs w:val="28"/>
                <w:highlight w:val="none"/>
              </w:rPr>
            </w:pPr>
          </w:p>
        </w:tc>
        <w:tc>
          <w:tcPr>
            <w:tcW w:w="1575" w:type="dxa"/>
            <w:vAlign w:val="center"/>
          </w:tcPr>
          <w:p w14:paraId="24CF8552">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483A6F02">
            <w:pPr>
              <w:jc w:val="center"/>
              <w:rPr>
                <w:color w:val="auto"/>
                <w:sz w:val="28"/>
                <w:szCs w:val="28"/>
                <w:highlight w:val="none"/>
              </w:rPr>
            </w:pPr>
          </w:p>
        </w:tc>
        <w:tc>
          <w:tcPr>
            <w:tcW w:w="2545" w:type="dxa"/>
            <w:vAlign w:val="center"/>
          </w:tcPr>
          <w:p w14:paraId="04C17FDD">
            <w:pPr>
              <w:jc w:val="center"/>
              <w:rPr>
                <w:color w:val="auto"/>
                <w:sz w:val="28"/>
                <w:szCs w:val="28"/>
                <w:highlight w:val="none"/>
              </w:rPr>
            </w:pPr>
          </w:p>
        </w:tc>
      </w:tr>
      <w:tr w14:paraId="14F7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03" w:type="dxa"/>
            <w:vMerge w:val="continue"/>
            <w:vAlign w:val="center"/>
          </w:tcPr>
          <w:p w14:paraId="1FC6CB8A">
            <w:pPr>
              <w:jc w:val="center"/>
              <w:rPr>
                <w:color w:val="auto"/>
                <w:sz w:val="28"/>
                <w:szCs w:val="28"/>
                <w:highlight w:val="none"/>
              </w:rPr>
            </w:pPr>
          </w:p>
        </w:tc>
        <w:tc>
          <w:tcPr>
            <w:tcW w:w="1673" w:type="dxa"/>
            <w:vMerge w:val="continue"/>
            <w:vAlign w:val="center"/>
          </w:tcPr>
          <w:p w14:paraId="287B3477">
            <w:pPr>
              <w:jc w:val="center"/>
              <w:rPr>
                <w:color w:val="auto"/>
                <w:sz w:val="28"/>
                <w:szCs w:val="28"/>
                <w:highlight w:val="none"/>
              </w:rPr>
            </w:pPr>
          </w:p>
        </w:tc>
        <w:tc>
          <w:tcPr>
            <w:tcW w:w="1575" w:type="dxa"/>
            <w:vAlign w:val="center"/>
          </w:tcPr>
          <w:p w14:paraId="19989013">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0CDBF063">
            <w:pPr>
              <w:jc w:val="center"/>
              <w:rPr>
                <w:color w:val="auto"/>
                <w:sz w:val="28"/>
                <w:szCs w:val="28"/>
                <w:highlight w:val="none"/>
              </w:rPr>
            </w:pPr>
          </w:p>
        </w:tc>
        <w:tc>
          <w:tcPr>
            <w:tcW w:w="2545" w:type="dxa"/>
            <w:vAlign w:val="center"/>
          </w:tcPr>
          <w:p w14:paraId="6CA1C461">
            <w:pPr>
              <w:widowControl/>
              <w:jc w:val="center"/>
              <w:textAlignment w:val="center"/>
              <w:rPr>
                <w:color w:val="auto"/>
                <w:sz w:val="28"/>
                <w:szCs w:val="28"/>
                <w:highlight w:val="none"/>
              </w:rPr>
            </w:pPr>
            <w:r>
              <w:rPr>
                <w:rFonts w:hint="eastAsia"/>
                <w:color w:val="auto"/>
                <w:highlight w:val="none"/>
                <w:lang w:bidi="ar"/>
              </w:rPr>
              <w:t>11</w:t>
            </w:r>
          </w:p>
        </w:tc>
      </w:tr>
      <w:tr w14:paraId="5277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03" w:type="dxa"/>
            <w:vMerge w:val="continue"/>
            <w:vAlign w:val="center"/>
          </w:tcPr>
          <w:p w14:paraId="7B2EF7A1">
            <w:pPr>
              <w:jc w:val="center"/>
              <w:rPr>
                <w:color w:val="auto"/>
                <w:sz w:val="28"/>
                <w:szCs w:val="28"/>
                <w:highlight w:val="none"/>
              </w:rPr>
            </w:pPr>
          </w:p>
        </w:tc>
        <w:tc>
          <w:tcPr>
            <w:tcW w:w="1673" w:type="dxa"/>
            <w:vMerge w:val="continue"/>
            <w:vAlign w:val="center"/>
          </w:tcPr>
          <w:p w14:paraId="53DEE069">
            <w:pPr>
              <w:jc w:val="center"/>
              <w:rPr>
                <w:color w:val="auto"/>
                <w:sz w:val="28"/>
                <w:szCs w:val="28"/>
                <w:highlight w:val="none"/>
              </w:rPr>
            </w:pPr>
          </w:p>
        </w:tc>
        <w:tc>
          <w:tcPr>
            <w:tcW w:w="1575" w:type="dxa"/>
            <w:vAlign w:val="center"/>
          </w:tcPr>
          <w:p w14:paraId="2853FEFA">
            <w:pPr>
              <w:widowControl/>
              <w:jc w:val="center"/>
              <w:textAlignment w:val="center"/>
              <w:rPr>
                <w:color w:val="auto"/>
                <w:sz w:val="28"/>
                <w:szCs w:val="28"/>
                <w:highlight w:val="none"/>
              </w:rPr>
            </w:pPr>
            <w:r>
              <w:rPr>
                <w:rFonts w:hint="eastAsia"/>
                <w:color w:val="auto"/>
                <w:highlight w:val="none"/>
                <w:lang w:bidi="ar"/>
              </w:rPr>
              <w:t>直流系统</w:t>
            </w:r>
          </w:p>
        </w:tc>
        <w:tc>
          <w:tcPr>
            <w:tcW w:w="1700" w:type="dxa"/>
            <w:vAlign w:val="center"/>
          </w:tcPr>
          <w:p w14:paraId="396986B3">
            <w:pPr>
              <w:jc w:val="center"/>
              <w:rPr>
                <w:color w:val="auto"/>
                <w:sz w:val="28"/>
                <w:szCs w:val="28"/>
                <w:highlight w:val="none"/>
              </w:rPr>
            </w:pPr>
          </w:p>
        </w:tc>
        <w:tc>
          <w:tcPr>
            <w:tcW w:w="2545" w:type="dxa"/>
            <w:vAlign w:val="center"/>
          </w:tcPr>
          <w:p w14:paraId="20615E9D">
            <w:pPr>
              <w:widowControl/>
              <w:jc w:val="center"/>
              <w:textAlignment w:val="center"/>
              <w:rPr>
                <w:color w:val="auto"/>
                <w:sz w:val="28"/>
                <w:szCs w:val="28"/>
                <w:highlight w:val="none"/>
              </w:rPr>
            </w:pPr>
            <w:r>
              <w:rPr>
                <w:rFonts w:hint="eastAsia"/>
                <w:color w:val="auto"/>
                <w:highlight w:val="none"/>
                <w:lang w:bidi="ar"/>
              </w:rPr>
              <w:t>1</w:t>
            </w:r>
          </w:p>
        </w:tc>
      </w:tr>
      <w:tr w14:paraId="214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4DBD79B6">
            <w:pPr>
              <w:jc w:val="center"/>
              <w:rPr>
                <w:color w:val="auto"/>
                <w:sz w:val="28"/>
                <w:szCs w:val="28"/>
                <w:highlight w:val="none"/>
              </w:rPr>
            </w:pPr>
          </w:p>
        </w:tc>
        <w:tc>
          <w:tcPr>
            <w:tcW w:w="1673" w:type="dxa"/>
            <w:vMerge w:val="continue"/>
            <w:vAlign w:val="center"/>
          </w:tcPr>
          <w:p w14:paraId="78F31C12">
            <w:pPr>
              <w:jc w:val="center"/>
              <w:rPr>
                <w:color w:val="auto"/>
                <w:sz w:val="28"/>
                <w:szCs w:val="28"/>
                <w:highlight w:val="none"/>
              </w:rPr>
            </w:pPr>
          </w:p>
        </w:tc>
        <w:tc>
          <w:tcPr>
            <w:tcW w:w="1575" w:type="dxa"/>
            <w:vAlign w:val="center"/>
          </w:tcPr>
          <w:p w14:paraId="2188E064">
            <w:pPr>
              <w:widowControl/>
              <w:jc w:val="center"/>
              <w:textAlignment w:val="center"/>
              <w:rPr>
                <w:color w:val="auto"/>
                <w:sz w:val="28"/>
                <w:szCs w:val="28"/>
                <w:highlight w:val="none"/>
              </w:rPr>
            </w:pPr>
            <w:r>
              <w:rPr>
                <w:rFonts w:hint="eastAsia"/>
                <w:color w:val="auto"/>
                <w:highlight w:val="none"/>
                <w:lang w:bidi="ar"/>
              </w:rPr>
              <w:t>综保</w:t>
            </w:r>
          </w:p>
        </w:tc>
        <w:tc>
          <w:tcPr>
            <w:tcW w:w="1700" w:type="dxa"/>
            <w:vAlign w:val="center"/>
          </w:tcPr>
          <w:p w14:paraId="1B152DED">
            <w:pPr>
              <w:jc w:val="center"/>
              <w:rPr>
                <w:color w:val="auto"/>
                <w:sz w:val="28"/>
                <w:szCs w:val="28"/>
                <w:highlight w:val="none"/>
              </w:rPr>
            </w:pPr>
          </w:p>
        </w:tc>
        <w:tc>
          <w:tcPr>
            <w:tcW w:w="2545" w:type="dxa"/>
            <w:vAlign w:val="center"/>
          </w:tcPr>
          <w:p w14:paraId="168FAF86">
            <w:pPr>
              <w:widowControl/>
              <w:jc w:val="center"/>
              <w:textAlignment w:val="center"/>
              <w:rPr>
                <w:color w:val="auto"/>
                <w:sz w:val="28"/>
                <w:szCs w:val="28"/>
                <w:highlight w:val="none"/>
              </w:rPr>
            </w:pPr>
            <w:r>
              <w:rPr>
                <w:rFonts w:hint="eastAsia"/>
                <w:color w:val="auto"/>
                <w:highlight w:val="none"/>
                <w:lang w:bidi="ar"/>
              </w:rPr>
              <w:t>3</w:t>
            </w:r>
          </w:p>
        </w:tc>
      </w:tr>
      <w:tr w14:paraId="6E1E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E8F6C23">
            <w:pPr>
              <w:jc w:val="center"/>
              <w:rPr>
                <w:color w:val="auto"/>
                <w:sz w:val="28"/>
                <w:szCs w:val="28"/>
                <w:highlight w:val="none"/>
              </w:rPr>
            </w:pPr>
          </w:p>
        </w:tc>
        <w:tc>
          <w:tcPr>
            <w:tcW w:w="1673" w:type="dxa"/>
            <w:vMerge w:val="continue"/>
            <w:vAlign w:val="center"/>
          </w:tcPr>
          <w:p w14:paraId="4F344A37">
            <w:pPr>
              <w:jc w:val="center"/>
              <w:rPr>
                <w:color w:val="auto"/>
                <w:sz w:val="28"/>
                <w:szCs w:val="28"/>
                <w:highlight w:val="none"/>
              </w:rPr>
            </w:pPr>
          </w:p>
        </w:tc>
        <w:tc>
          <w:tcPr>
            <w:tcW w:w="1575" w:type="dxa"/>
            <w:vAlign w:val="center"/>
          </w:tcPr>
          <w:p w14:paraId="240FEF1B">
            <w:pPr>
              <w:widowControl/>
              <w:jc w:val="center"/>
              <w:textAlignment w:val="center"/>
              <w:rPr>
                <w:color w:val="auto"/>
                <w:sz w:val="28"/>
                <w:szCs w:val="28"/>
                <w:highlight w:val="none"/>
              </w:rPr>
            </w:pPr>
            <w:r>
              <w:rPr>
                <w:rFonts w:hint="eastAsia"/>
                <w:color w:val="auto"/>
                <w:highlight w:val="none"/>
                <w:lang w:bidi="ar"/>
              </w:rPr>
              <w:t>接地系统</w:t>
            </w:r>
          </w:p>
        </w:tc>
        <w:tc>
          <w:tcPr>
            <w:tcW w:w="1700" w:type="dxa"/>
            <w:vAlign w:val="center"/>
          </w:tcPr>
          <w:p w14:paraId="1254B175">
            <w:pPr>
              <w:jc w:val="center"/>
              <w:rPr>
                <w:color w:val="auto"/>
                <w:sz w:val="28"/>
                <w:szCs w:val="28"/>
                <w:highlight w:val="none"/>
              </w:rPr>
            </w:pPr>
          </w:p>
        </w:tc>
        <w:tc>
          <w:tcPr>
            <w:tcW w:w="2545" w:type="dxa"/>
            <w:vAlign w:val="center"/>
          </w:tcPr>
          <w:p w14:paraId="56289664">
            <w:pPr>
              <w:widowControl/>
              <w:jc w:val="center"/>
              <w:textAlignment w:val="center"/>
              <w:rPr>
                <w:color w:val="auto"/>
                <w:sz w:val="28"/>
                <w:szCs w:val="28"/>
                <w:highlight w:val="none"/>
              </w:rPr>
            </w:pPr>
            <w:r>
              <w:rPr>
                <w:rFonts w:hint="eastAsia"/>
                <w:color w:val="auto"/>
                <w:highlight w:val="none"/>
                <w:lang w:bidi="ar"/>
              </w:rPr>
              <w:t>3</w:t>
            </w:r>
          </w:p>
        </w:tc>
      </w:tr>
      <w:tr w14:paraId="19FE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E4A7361">
            <w:pPr>
              <w:jc w:val="center"/>
              <w:rPr>
                <w:color w:val="auto"/>
                <w:sz w:val="28"/>
                <w:szCs w:val="28"/>
                <w:highlight w:val="none"/>
              </w:rPr>
            </w:pPr>
          </w:p>
        </w:tc>
        <w:tc>
          <w:tcPr>
            <w:tcW w:w="1673" w:type="dxa"/>
            <w:vMerge w:val="continue"/>
            <w:vAlign w:val="center"/>
          </w:tcPr>
          <w:p w14:paraId="293914CD">
            <w:pPr>
              <w:jc w:val="center"/>
              <w:rPr>
                <w:color w:val="auto"/>
                <w:sz w:val="28"/>
                <w:szCs w:val="28"/>
                <w:highlight w:val="none"/>
              </w:rPr>
            </w:pPr>
          </w:p>
        </w:tc>
        <w:tc>
          <w:tcPr>
            <w:tcW w:w="1575" w:type="dxa"/>
            <w:vAlign w:val="center"/>
          </w:tcPr>
          <w:p w14:paraId="0DDFB7AB">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5A95E1A1">
            <w:pPr>
              <w:jc w:val="center"/>
              <w:rPr>
                <w:color w:val="auto"/>
                <w:sz w:val="28"/>
                <w:szCs w:val="28"/>
                <w:highlight w:val="none"/>
              </w:rPr>
            </w:pPr>
          </w:p>
        </w:tc>
        <w:tc>
          <w:tcPr>
            <w:tcW w:w="2545" w:type="dxa"/>
            <w:vAlign w:val="center"/>
          </w:tcPr>
          <w:p w14:paraId="42FDB468">
            <w:pPr>
              <w:jc w:val="center"/>
              <w:rPr>
                <w:color w:val="auto"/>
                <w:sz w:val="28"/>
                <w:szCs w:val="28"/>
                <w:highlight w:val="none"/>
              </w:rPr>
            </w:pPr>
          </w:p>
        </w:tc>
      </w:tr>
      <w:tr w14:paraId="5456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3" w:type="dxa"/>
            <w:vMerge w:val="restart"/>
            <w:vAlign w:val="center"/>
          </w:tcPr>
          <w:p w14:paraId="5E546017">
            <w:pPr>
              <w:widowControl/>
              <w:jc w:val="center"/>
              <w:textAlignment w:val="center"/>
              <w:rPr>
                <w:color w:val="auto"/>
                <w:sz w:val="28"/>
                <w:szCs w:val="28"/>
                <w:highlight w:val="none"/>
              </w:rPr>
            </w:pPr>
            <w:r>
              <w:rPr>
                <w:rFonts w:hint="eastAsia"/>
                <w:color w:val="auto"/>
                <w:highlight w:val="none"/>
                <w:lang w:bidi="ar"/>
              </w:rPr>
              <w:t>2</w:t>
            </w:r>
          </w:p>
        </w:tc>
        <w:tc>
          <w:tcPr>
            <w:tcW w:w="1673" w:type="dxa"/>
            <w:vMerge w:val="restart"/>
            <w:vAlign w:val="center"/>
          </w:tcPr>
          <w:p w14:paraId="65F73855">
            <w:pPr>
              <w:widowControl/>
              <w:jc w:val="center"/>
              <w:textAlignment w:val="center"/>
              <w:rPr>
                <w:color w:val="auto"/>
                <w:highlight w:val="none"/>
                <w:lang w:bidi="ar"/>
              </w:rPr>
            </w:pPr>
            <w:r>
              <w:rPr>
                <w:rFonts w:hint="eastAsia"/>
                <w:color w:val="auto"/>
                <w:highlight w:val="none"/>
                <w:lang w:bidi="ar"/>
              </w:rPr>
              <w:t>东园实训楼</w:t>
            </w:r>
          </w:p>
          <w:p w14:paraId="5838F6E2">
            <w:pPr>
              <w:widowControl/>
              <w:jc w:val="center"/>
              <w:textAlignment w:val="center"/>
              <w:rPr>
                <w:color w:val="auto"/>
                <w:sz w:val="28"/>
                <w:szCs w:val="28"/>
                <w:highlight w:val="none"/>
              </w:rPr>
            </w:pPr>
            <w:r>
              <w:rPr>
                <w:rFonts w:hint="eastAsia"/>
                <w:color w:val="auto"/>
                <w:highlight w:val="none"/>
                <w:lang w:bidi="ar"/>
              </w:rPr>
              <w:t>配电房</w:t>
            </w:r>
          </w:p>
        </w:tc>
        <w:tc>
          <w:tcPr>
            <w:tcW w:w="1575" w:type="dxa"/>
            <w:vAlign w:val="center"/>
          </w:tcPr>
          <w:p w14:paraId="1C642C6C">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4A08E96D">
            <w:pPr>
              <w:widowControl/>
              <w:jc w:val="center"/>
              <w:textAlignment w:val="center"/>
              <w:rPr>
                <w:color w:val="auto"/>
                <w:sz w:val="28"/>
                <w:szCs w:val="28"/>
                <w:highlight w:val="none"/>
              </w:rPr>
            </w:pPr>
            <w:r>
              <w:rPr>
                <w:rFonts w:hint="eastAsia"/>
                <w:color w:val="auto"/>
                <w:highlight w:val="none"/>
                <w:lang w:bidi="ar"/>
              </w:rPr>
              <w:t>1000KVA</w:t>
            </w:r>
          </w:p>
        </w:tc>
        <w:tc>
          <w:tcPr>
            <w:tcW w:w="2545" w:type="dxa"/>
            <w:vAlign w:val="center"/>
          </w:tcPr>
          <w:p w14:paraId="52EFCB4B">
            <w:pPr>
              <w:widowControl/>
              <w:jc w:val="center"/>
              <w:textAlignment w:val="center"/>
              <w:rPr>
                <w:color w:val="auto"/>
                <w:sz w:val="28"/>
                <w:szCs w:val="28"/>
                <w:highlight w:val="none"/>
              </w:rPr>
            </w:pPr>
            <w:r>
              <w:rPr>
                <w:rFonts w:hint="eastAsia"/>
                <w:color w:val="auto"/>
                <w:highlight w:val="none"/>
                <w:lang w:bidi="ar"/>
              </w:rPr>
              <w:t>2</w:t>
            </w:r>
          </w:p>
        </w:tc>
      </w:tr>
      <w:tr w14:paraId="0CB2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5FA9227">
            <w:pPr>
              <w:jc w:val="center"/>
              <w:rPr>
                <w:color w:val="auto"/>
                <w:sz w:val="28"/>
                <w:szCs w:val="28"/>
                <w:highlight w:val="none"/>
              </w:rPr>
            </w:pPr>
          </w:p>
        </w:tc>
        <w:tc>
          <w:tcPr>
            <w:tcW w:w="1673" w:type="dxa"/>
            <w:vMerge w:val="continue"/>
            <w:vAlign w:val="center"/>
          </w:tcPr>
          <w:p w14:paraId="18C5A90E">
            <w:pPr>
              <w:jc w:val="center"/>
              <w:rPr>
                <w:color w:val="auto"/>
                <w:sz w:val="28"/>
                <w:szCs w:val="28"/>
                <w:highlight w:val="none"/>
              </w:rPr>
            </w:pPr>
          </w:p>
        </w:tc>
        <w:tc>
          <w:tcPr>
            <w:tcW w:w="1575" w:type="dxa"/>
            <w:vAlign w:val="center"/>
          </w:tcPr>
          <w:p w14:paraId="71F32B1D">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18C9FE1C">
            <w:pPr>
              <w:jc w:val="center"/>
              <w:rPr>
                <w:color w:val="auto"/>
                <w:sz w:val="28"/>
                <w:szCs w:val="28"/>
                <w:highlight w:val="none"/>
              </w:rPr>
            </w:pPr>
          </w:p>
        </w:tc>
        <w:tc>
          <w:tcPr>
            <w:tcW w:w="2545" w:type="dxa"/>
            <w:vAlign w:val="center"/>
          </w:tcPr>
          <w:p w14:paraId="18263458">
            <w:pPr>
              <w:widowControl/>
              <w:jc w:val="center"/>
              <w:textAlignment w:val="center"/>
              <w:rPr>
                <w:color w:val="auto"/>
                <w:sz w:val="28"/>
                <w:szCs w:val="28"/>
                <w:highlight w:val="none"/>
              </w:rPr>
            </w:pPr>
            <w:r>
              <w:rPr>
                <w:rFonts w:hint="eastAsia"/>
                <w:color w:val="auto"/>
                <w:highlight w:val="none"/>
                <w:lang w:bidi="ar"/>
              </w:rPr>
              <w:t>6</w:t>
            </w:r>
          </w:p>
        </w:tc>
      </w:tr>
      <w:tr w14:paraId="08A4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03" w:type="dxa"/>
            <w:vMerge w:val="continue"/>
            <w:vAlign w:val="center"/>
          </w:tcPr>
          <w:p w14:paraId="40C85B87">
            <w:pPr>
              <w:jc w:val="center"/>
              <w:rPr>
                <w:color w:val="auto"/>
                <w:sz w:val="28"/>
                <w:szCs w:val="28"/>
                <w:highlight w:val="none"/>
              </w:rPr>
            </w:pPr>
          </w:p>
        </w:tc>
        <w:tc>
          <w:tcPr>
            <w:tcW w:w="1673" w:type="dxa"/>
            <w:vMerge w:val="continue"/>
            <w:vAlign w:val="center"/>
          </w:tcPr>
          <w:p w14:paraId="616C1D5D">
            <w:pPr>
              <w:jc w:val="center"/>
              <w:rPr>
                <w:color w:val="auto"/>
                <w:sz w:val="28"/>
                <w:szCs w:val="28"/>
                <w:highlight w:val="none"/>
              </w:rPr>
            </w:pPr>
          </w:p>
        </w:tc>
        <w:tc>
          <w:tcPr>
            <w:tcW w:w="1575" w:type="dxa"/>
            <w:vAlign w:val="center"/>
          </w:tcPr>
          <w:p w14:paraId="0BAF5207">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5FEA96D4">
            <w:pPr>
              <w:jc w:val="center"/>
              <w:rPr>
                <w:color w:val="auto"/>
                <w:sz w:val="28"/>
                <w:szCs w:val="28"/>
                <w:highlight w:val="none"/>
              </w:rPr>
            </w:pPr>
          </w:p>
        </w:tc>
        <w:tc>
          <w:tcPr>
            <w:tcW w:w="2545" w:type="dxa"/>
            <w:vAlign w:val="center"/>
          </w:tcPr>
          <w:p w14:paraId="45A93D60">
            <w:pPr>
              <w:widowControl/>
              <w:jc w:val="center"/>
              <w:textAlignment w:val="center"/>
              <w:rPr>
                <w:color w:val="auto"/>
                <w:sz w:val="28"/>
                <w:szCs w:val="28"/>
                <w:highlight w:val="none"/>
              </w:rPr>
            </w:pPr>
            <w:r>
              <w:rPr>
                <w:rFonts w:hint="eastAsia"/>
                <w:color w:val="auto"/>
                <w:highlight w:val="none"/>
                <w:lang w:bidi="ar"/>
              </w:rPr>
              <w:t>10</w:t>
            </w:r>
          </w:p>
        </w:tc>
      </w:tr>
      <w:tr w14:paraId="7010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3AE685F">
            <w:pPr>
              <w:jc w:val="center"/>
              <w:rPr>
                <w:color w:val="auto"/>
                <w:sz w:val="28"/>
                <w:szCs w:val="28"/>
                <w:highlight w:val="none"/>
              </w:rPr>
            </w:pPr>
          </w:p>
        </w:tc>
        <w:tc>
          <w:tcPr>
            <w:tcW w:w="1673" w:type="dxa"/>
            <w:vMerge w:val="continue"/>
            <w:vAlign w:val="center"/>
          </w:tcPr>
          <w:p w14:paraId="74E6DBE0">
            <w:pPr>
              <w:jc w:val="center"/>
              <w:rPr>
                <w:color w:val="auto"/>
                <w:sz w:val="28"/>
                <w:szCs w:val="28"/>
                <w:highlight w:val="none"/>
              </w:rPr>
            </w:pPr>
          </w:p>
        </w:tc>
        <w:tc>
          <w:tcPr>
            <w:tcW w:w="1575" w:type="dxa"/>
            <w:vAlign w:val="center"/>
          </w:tcPr>
          <w:p w14:paraId="578E18A2">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0153ED3A">
            <w:pPr>
              <w:jc w:val="center"/>
              <w:rPr>
                <w:color w:val="auto"/>
                <w:sz w:val="28"/>
                <w:szCs w:val="28"/>
                <w:highlight w:val="none"/>
              </w:rPr>
            </w:pPr>
          </w:p>
        </w:tc>
        <w:tc>
          <w:tcPr>
            <w:tcW w:w="2545" w:type="dxa"/>
            <w:vAlign w:val="center"/>
          </w:tcPr>
          <w:p w14:paraId="0BC06C8A">
            <w:pPr>
              <w:widowControl/>
              <w:jc w:val="center"/>
              <w:textAlignment w:val="center"/>
              <w:rPr>
                <w:color w:val="auto"/>
                <w:sz w:val="28"/>
                <w:szCs w:val="28"/>
                <w:highlight w:val="none"/>
              </w:rPr>
            </w:pPr>
            <w:r>
              <w:rPr>
                <w:rFonts w:hint="eastAsia"/>
                <w:color w:val="auto"/>
                <w:highlight w:val="none"/>
                <w:lang w:bidi="ar"/>
              </w:rPr>
              <w:t>1</w:t>
            </w:r>
          </w:p>
        </w:tc>
      </w:tr>
      <w:tr w14:paraId="2E30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4BABA21E">
            <w:pPr>
              <w:widowControl/>
              <w:jc w:val="center"/>
              <w:textAlignment w:val="center"/>
              <w:rPr>
                <w:color w:val="auto"/>
                <w:sz w:val="28"/>
                <w:szCs w:val="28"/>
                <w:highlight w:val="none"/>
              </w:rPr>
            </w:pPr>
            <w:r>
              <w:rPr>
                <w:rFonts w:hint="eastAsia"/>
                <w:color w:val="auto"/>
                <w:highlight w:val="none"/>
                <w:lang w:bidi="ar"/>
              </w:rPr>
              <w:t>3</w:t>
            </w:r>
          </w:p>
        </w:tc>
        <w:tc>
          <w:tcPr>
            <w:tcW w:w="1673" w:type="dxa"/>
            <w:vMerge w:val="restart"/>
            <w:vAlign w:val="center"/>
          </w:tcPr>
          <w:p w14:paraId="12772D7F">
            <w:pPr>
              <w:widowControl/>
              <w:jc w:val="center"/>
              <w:textAlignment w:val="center"/>
              <w:rPr>
                <w:color w:val="auto"/>
                <w:highlight w:val="none"/>
                <w:lang w:bidi="ar"/>
              </w:rPr>
            </w:pPr>
            <w:r>
              <w:rPr>
                <w:rFonts w:hint="eastAsia"/>
                <w:color w:val="auto"/>
                <w:highlight w:val="none"/>
                <w:lang w:bidi="ar"/>
              </w:rPr>
              <w:t>东园百草园</w:t>
            </w:r>
          </w:p>
          <w:p w14:paraId="01191764">
            <w:pPr>
              <w:widowControl/>
              <w:jc w:val="center"/>
              <w:textAlignment w:val="center"/>
              <w:rPr>
                <w:color w:val="auto"/>
                <w:sz w:val="28"/>
                <w:szCs w:val="28"/>
                <w:highlight w:val="none"/>
              </w:rPr>
            </w:pPr>
            <w:r>
              <w:rPr>
                <w:rFonts w:hint="eastAsia"/>
                <w:color w:val="auto"/>
                <w:highlight w:val="none"/>
                <w:lang w:bidi="ar"/>
              </w:rPr>
              <w:t>变压器</w:t>
            </w:r>
          </w:p>
        </w:tc>
        <w:tc>
          <w:tcPr>
            <w:tcW w:w="1575" w:type="dxa"/>
            <w:vAlign w:val="center"/>
          </w:tcPr>
          <w:p w14:paraId="3AA2F7EC">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190DF31A">
            <w:pPr>
              <w:widowControl/>
              <w:jc w:val="center"/>
              <w:textAlignment w:val="center"/>
              <w:rPr>
                <w:color w:val="auto"/>
                <w:sz w:val="28"/>
                <w:szCs w:val="28"/>
                <w:highlight w:val="none"/>
              </w:rPr>
            </w:pPr>
            <w:r>
              <w:rPr>
                <w:rFonts w:hint="eastAsia"/>
                <w:color w:val="auto"/>
                <w:highlight w:val="none"/>
                <w:lang w:bidi="ar"/>
              </w:rPr>
              <w:t>630KVA</w:t>
            </w:r>
          </w:p>
        </w:tc>
        <w:tc>
          <w:tcPr>
            <w:tcW w:w="2545" w:type="dxa"/>
            <w:vAlign w:val="center"/>
          </w:tcPr>
          <w:p w14:paraId="4733EDA2">
            <w:pPr>
              <w:widowControl/>
              <w:jc w:val="center"/>
              <w:textAlignment w:val="center"/>
              <w:rPr>
                <w:color w:val="auto"/>
                <w:sz w:val="28"/>
                <w:szCs w:val="28"/>
                <w:highlight w:val="none"/>
              </w:rPr>
            </w:pPr>
            <w:r>
              <w:rPr>
                <w:rFonts w:hint="eastAsia"/>
                <w:color w:val="auto"/>
                <w:highlight w:val="none"/>
                <w:lang w:bidi="ar"/>
              </w:rPr>
              <w:t>3</w:t>
            </w:r>
          </w:p>
        </w:tc>
      </w:tr>
      <w:tr w14:paraId="1D82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B4A4B2A">
            <w:pPr>
              <w:jc w:val="center"/>
              <w:rPr>
                <w:color w:val="auto"/>
                <w:sz w:val="28"/>
                <w:szCs w:val="28"/>
                <w:highlight w:val="none"/>
              </w:rPr>
            </w:pPr>
          </w:p>
        </w:tc>
        <w:tc>
          <w:tcPr>
            <w:tcW w:w="1673" w:type="dxa"/>
            <w:vMerge w:val="continue"/>
            <w:vAlign w:val="center"/>
          </w:tcPr>
          <w:p w14:paraId="3C325051">
            <w:pPr>
              <w:jc w:val="center"/>
              <w:rPr>
                <w:color w:val="auto"/>
                <w:sz w:val="28"/>
                <w:szCs w:val="28"/>
                <w:highlight w:val="none"/>
              </w:rPr>
            </w:pPr>
          </w:p>
        </w:tc>
        <w:tc>
          <w:tcPr>
            <w:tcW w:w="1575" w:type="dxa"/>
            <w:vAlign w:val="center"/>
          </w:tcPr>
          <w:p w14:paraId="714006E5">
            <w:pPr>
              <w:widowControl/>
              <w:jc w:val="center"/>
              <w:textAlignment w:val="center"/>
              <w:rPr>
                <w:color w:val="auto"/>
                <w:sz w:val="28"/>
                <w:szCs w:val="28"/>
                <w:highlight w:val="none"/>
              </w:rPr>
            </w:pPr>
            <w:r>
              <w:rPr>
                <w:rFonts w:hint="eastAsia"/>
                <w:color w:val="auto"/>
                <w:highlight w:val="none"/>
                <w:lang w:bidi="ar"/>
              </w:rPr>
              <w:t>高压电缆</w:t>
            </w:r>
          </w:p>
        </w:tc>
        <w:tc>
          <w:tcPr>
            <w:tcW w:w="1700" w:type="dxa"/>
            <w:vAlign w:val="center"/>
          </w:tcPr>
          <w:p w14:paraId="4055665E">
            <w:pPr>
              <w:jc w:val="center"/>
              <w:rPr>
                <w:color w:val="auto"/>
                <w:sz w:val="28"/>
                <w:szCs w:val="28"/>
                <w:highlight w:val="none"/>
              </w:rPr>
            </w:pPr>
          </w:p>
        </w:tc>
        <w:tc>
          <w:tcPr>
            <w:tcW w:w="2545" w:type="dxa"/>
            <w:vAlign w:val="center"/>
          </w:tcPr>
          <w:p w14:paraId="274502A3">
            <w:pPr>
              <w:widowControl/>
              <w:jc w:val="center"/>
              <w:textAlignment w:val="center"/>
              <w:rPr>
                <w:color w:val="auto"/>
                <w:sz w:val="28"/>
                <w:szCs w:val="28"/>
                <w:highlight w:val="none"/>
              </w:rPr>
            </w:pPr>
            <w:r>
              <w:rPr>
                <w:rFonts w:hint="eastAsia"/>
                <w:color w:val="auto"/>
                <w:highlight w:val="none"/>
                <w:lang w:bidi="ar"/>
              </w:rPr>
              <w:t>6</w:t>
            </w:r>
          </w:p>
        </w:tc>
      </w:tr>
      <w:tr w14:paraId="48F8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405466BD">
            <w:pPr>
              <w:widowControl/>
              <w:jc w:val="center"/>
              <w:textAlignment w:val="center"/>
              <w:rPr>
                <w:color w:val="auto"/>
                <w:sz w:val="28"/>
                <w:szCs w:val="28"/>
                <w:highlight w:val="none"/>
              </w:rPr>
            </w:pPr>
            <w:r>
              <w:rPr>
                <w:rFonts w:hint="eastAsia"/>
                <w:color w:val="auto"/>
                <w:highlight w:val="none"/>
                <w:lang w:bidi="ar"/>
              </w:rPr>
              <w:t>4</w:t>
            </w:r>
          </w:p>
        </w:tc>
        <w:tc>
          <w:tcPr>
            <w:tcW w:w="1673" w:type="dxa"/>
            <w:vMerge w:val="restart"/>
            <w:vAlign w:val="center"/>
          </w:tcPr>
          <w:p w14:paraId="00F6461E">
            <w:pPr>
              <w:widowControl/>
              <w:jc w:val="center"/>
              <w:textAlignment w:val="center"/>
              <w:rPr>
                <w:color w:val="auto"/>
                <w:highlight w:val="none"/>
                <w:lang w:bidi="ar"/>
              </w:rPr>
            </w:pPr>
            <w:r>
              <w:rPr>
                <w:rFonts w:hint="eastAsia"/>
                <w:color w:val="auto"/>
                <w:highlight w:val="none"/>
                <w:lang w:bidi="ar"/>
              </w:rPr>
              <w:t>东园校友园</w:t>
            </w:r>
          </w:p>
          <w:p w14:paraId="02EC9E21">
            <w:pPr>
              <w:widowControl/>
              <w:jc w:val="center"/>
              <w:textAlignment w:val="center"/>
              <w:rPr>
                <w:color w:val="auto"/>
                <w:sz w:val="28"/>
                <w:szCs w:val="28"/>
                <w:highlight w:val="none"/>
              </w:rPr>
            </w:pPr>
            <w:r>
              <w:rPr>
                <w:rFonts w:hint="eastAsia"/>
                <w:color w:val="auto"/>
                <w:highlight w:val="none"/>
                <w:lang w:bidi="ar"/>
              </w:rPr>
              <w:t>变压器</w:t>
            </w:r>
          </w:p>
        </w:tc>
        <w:tc>
          <w:tcPr>
            <w:tcW w:w="1575" w:type="dxa"/>
            <w:vAlign w:val="center"/>
          </w:tcPr>
          <w:p w14:paraId="4A7B186D">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6F64FB07">
            <w:pPr>
              <w:widowControl/>
              <w:jc w:val="center"/>
              <w:textAlignment w:val="center"/>
              <w:rPr>
                <w:color w:val="auto"/>
                <w:sz w:val="28"/>
                <w:szCs w:val="28"/>
                <w:highlight w:val="none"/>
              </w:rPr>
            </w:pPr>
            <w:r>
              <w:rPr>
                <w:rFonts w:hint="eastAsia"/>
                <w:color w:val="auto"/>
                <w:highlight w:val="none"/>
                <w:lang w:bidi="ar"/>
              </w:rPr>
              <w:t>630KVA</w:t>
            </w:r>
          </w:p>
        </w:tc>
        <w:tc>
          <w:tcPr>
            <w:tcW w:w="2545" w:type="dxa"/>
            <w:vAlign w:val="center"/>
          </w:tcPr>
          <w:p w14:paraId="0FFF1C94">
            <w:pPr>
              <w:widowControl/>
              <w:jc w:val="center"/>
              <w:textAlignment w:val="center"/>
              <w:rPr>
                <w:color w:val="auto"/>
                <w:sz w:val="28"/>
                <w:szCs w:val="28"/>
                <w:highlight w:val="none"/>
              </w:rPr>
            </w:pPr>
            <w:r>
              <w:rPr>
                <w:rFonts w:hint="eastAsia"/>
                <w:color w:val="auto"/>
                <w:sz w:val="28"/>
                <w:szCs w:val="28"/>
                <w:highlight w:val="none"/>
              </w:rPr>
              <w:t>3</w:t>
            </w:r>
          </w:p>
        </w:tc>
      </w:tr>
      <w:tr w14:paraId="68B8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06E4631">
            <w:pPr>
              <w:jc w:val="center"/>
              <w:rPr>
                <w:color w:val="auto"/>
                <w:sz w:val="28"/>
                <w:szCs w:val="28"/>
                <w:highlight w:val="none"/>
              </w:rPr>
            </w:pPr>
          </w:p>
        </w:tc>
        <w:tc>
          <w:tcPr>
            <w:tcW w:w="1673" w:type="dxa"/>
            <w:vMerge w:val="continue"/>
            <w:vAlign w:val="center"/>
          </w:tcPr>
          <w:p w14:paraId="5187B3DF">
            <w:pPr>
              <w:jc w:val="center"/>
              <w:rPr>
                <w:color w:val="auto"/>
                <w:sz w:val="28"/>
                <w:szCs w:val="28"/>
                <w:highlight w:val="none"/>
              </w:rPr>
            </w:pPr>
          </w:p>
        </w:tc>
        <w:tc>
          <w:tcPr>
            <w:tcW w:w="1575" w:type="dxa"/>
            <w:vAlign w:val="center"/>
          </w:tcPr>
          <w:p w14:paraId="5E0C4568">
            <w:pPr>
              <w:widowControl/>
              <w:jc w:val="center"/>
              <w:textAlignment w:val="center"/>
              <w:rPr>
                <w:color w:val="auto"/>
                <w:sz w:val="28"/>
                <w:szCs w:val="28"/>
                <w:highlight w:val="none"/>
              </w:rPr>
            </w:pPr>
            <w:r>
              <w:rPr>
                <w:rFonts w:hint="eastAsia"/>
                <w:color w:val="auto"/>
                <w:highlight w:val="none"/>
                <w:lang w:bidi="ar"/>
              </w:rPr>
              <w:t>高压电缆</w:t>
            </w:r>
          </w:p>
        </w:tc>
        <w:tc>
          <w:tcPr>
            <w:tcW w:w="1700" w:type="dxa"/>
            <w:vAlign w:val="center"/>
          </w:tcPr>
          <w:p w14:paraId="17CF86FE">
            <w:pPr>
              <w:jc w:val="center"/>
              <w:rPr>
                <w:color w:val="auto"/>
                <w:sz w:val="28"/>
                <w:szCs w:val="28"/>
                <w:highlight w:val="none"/>
              </w:rPr>
            </w:pPr>
          </w:p>
        </w:tc>
        <w:tc>
          <w:tcPr>
            <w:tcW w:w="2545" w:type="dxa"/>
            <w:vAlign w:val="center"/>
          </w:tcPr>
          <w:p w14:paraId="0F7A7A72">
            <w:pPr>
              <w:widowControl/>
              <w:jc w:val="center"/>
              <w:textAlignment w:val="center"/>
              <w:rPr>
                <w:color w:val="auto"/>
                <w:sz w:val="28"/>
                <w:szCs w:val="28"/>
                <w:highlight w:val="none"/>
              </w:rPr>
            </w:pPr>
            <w:r>
              <w:rPr>
                <w:rFonts w:hint="eastAsia"/>
                <w:color w:val="auto"/>
                <w:highlight w:val="none"/>
                <w:lang w:bidi="ar"/>
              </w:rPr>
              <w:t>7</w:t>
            </w:r>
          </w:p>
        </w:tc>
      </w:tr>
      <w:tr w14:paraId="0B30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91A97F0">
            <w:pPr>
              <w:jc w:val="center"/>
              <w:rPr>
                <w:color w:val="auto"/>
                <w:sz w:val="28"/>
                <w:szCs w:val="28"/>
                <w:highlight w:val="none"/>
              </w:rPr>
            </w:pPr>
          </w:p>
        </w:tc>
        <w:tc>
          <w:tcPr>
            <w:tcW w:w="1673" w:type="dxa"/>
            <w:vMerge w:val="continue"/>
            <w:vAlign w:val="center"/>
          </w:tcPr>
          <w:p w14:paraId="0C43CBE0">
            <w:pPr>
              <w:jc w:val="center"/>
              <w:rPr>
                <w:color w:val="auto"/>
                <w:sz w:val="28"/>
                <w:szCs w:val="28"/>
                <w:highlight w:val="none"/>
              </w:rPr>
            </w:pPr>
          </w:p>
        </w:tc>
        <w:tc>
          <w:tcPr>
            <w:tcW w:w="1575" w:type="dxa"/>
            <w:vAlign w:val="center"/>
          </w:tcPr>
          <w:p w14:paraId="1FF10341">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7C1694E6">
            <w:pPr>
              <w:jc w:val="center"/>
              <w:rPr>
                <w:color w:val="auto"/>
                <w:sz w:val="28"/>
                <w:szCs w:val="28"/>
                <w:highlight w:val="none"/>
              </w:rPr>
            </w:pPr>
          </w:p>
        </w:tc>
        <w:tc>
          <w:tcPr>
            <w:tcW w:w="2545" w:type="dxa"/>
            <w:vAlign w:val="center"/>
          </w:tcPr>
          <w:p w14:paraId="095B35EB">
            <w:pPr>
              <w:widowControl/>
              <w:jc w:val="center"/>
              <w:textAlignment w:val="center"/>
              <w:rPr>
                <w:color w:val="auto"/>
                <w:sz w:val="28"/>
                <w:szCs w:val="28"/>
                <w:highlight w:val="none"/>
              </w:rPr>
            </w:pPr>
            <w:r>
              <w:rPr>
                <w:rFonts w:hint="eastAsia"/>
                <w:color w:val="auto"/>
                <w:highlight w:val="none"/>
                <w:lang w:bidi="ar"/>
              </w:rPr>
              <w:t>42</w:t>
            </w:r>
          </w:p>
        </w:tc>
      </w:tr>
      <w:tr w14:paraId="552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4FE14E98">
            <w:pPr>
              <w:jc w:val="center"/>
              <w:rPr>
                <w:color w:val="auto"/>
                <w:sz w:val="28"/>
                <w:szCs w:val="28"/>
                <w:highlight w:val="none"/>
              </w:rPr>
            </w:pPr>
          </w:p>
        </w:tc>
        <w:tc>
          <w:tcPr>
            <w:tcW w:w="1673" w:type="dxa"/>
            <w:vMerge w:val="continue"/>
            <w:vAlign w:val="center"/>
          </w:tcPr>
          <w:p w14:paraId="1190F078">
            <w:pPr>
              <w:jc w:val="center"/>
              <w:rPr>
                <w:color w:val="auto"/>
                <w:sz w:val="28"/>
                <w:szCs w:val="28"/>
                <w:highlight w:val="none"/>
              </w:rPr>
            </w:pPr>
          </w:p>
        </w:tc>
        <w:tc>
          <w:tcPr>
            <w:tcW w:w="1575" w:type="dxa"/>
            <w:vAlign w:val="center"/>
          </w:tcPr>
          <w:p w14:paraId="0065D782">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5E093445">
            <w:pPr>
              <w:jc w:val="center"/>
              <w:rPr>
                <w:color w:val="auto"/>
                <w:sz w:val="28"/>
                <w:szCs w:val="28"/>
                <w:highlight w:val="none"/>
              </w:rPr>
            </w:pPr>
          </w:p>
        </w:tc>
        <w:tc>
          <w:tcPr>
            <w:tcW w:w="2545" w:type="dxa"/>
            <w:vAlign w:val="center"/>
          </w:tcPr>
          <w:p w14:paraId="2227350E">
            <w:pPr>
              <w:widowControl/>
              <w:jc w:val="center"/>
              <w:textAlignment w:val="center"/>
              <w:rPr>
                <w:color w:val="auto"/>
                <w:sz w:val="28"/>
                <w:szCs w:val="28"/>
                <w:highlight w:val="none"/>
              </w:rPr>
            </w:pPr>
            <w:r>
              <w:rPr>
                <w:rFonts w:hint="eastAsia"/>
                <w:color w:val="auto"/>
                <w:highlight w:val="none"/>
                <w:lang w:bidi="ar"/>
              </w:rPr>
              <w:t>7</w:t>
            </w:r>
          </w:p>
        </w:tc>
      </w:tr>
      <w:tr w14:paraId="6EB9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7032994B">
            <w:pPr>
              <w:widowControl/>
              <w:jc w:val="center"/>
              <w:textAlignment w:val="center"/>
              <w:rPr>
                <w:color w:val="auto"/>
                <w:sz w:val="28"/>
                <w:szCs w:val="28"/>
                <w:highlight w:val="none"/>
              </w:rPr>
            </w:pPr>
            <w:r>
              <w:rPr>
                <w:rFonts w:hint="eastAsia"/>
                <w:color w:val="auto"/>
                <w:sz w:val="28"/>
                <w:szCs w:val="28"/>
                <w:highlight w:val="none"/>
              </w:rPr>
              <w:t>5</w:t>
            </w:r>
          </w:p>
        </w:tc>
        <w:tc>
          <w:tcPr>
            <w:tcW w:w="1673" w:type="dxa"/>
            <w:vMerge w:val="restart"/>
            <w:vAlign w:val="center"/>
          </w:tcPr>
          <w:p w14:paraId="602FB620">
            <w:pPr>
              <w:widowControl/>
              <w:jc w:val="center"/>
              <w:textAlignment w:val="center"/>
              <w:rPr>
                <w:color w:val="auto"/>
                <w:sz w:val="28"/>
                <w:szCs w:val="28"/>
                <w:highlight w:val="none"/>
              </w:rPr>
            </w:pPr>
            <w:r>
              <w:rPr>
                <w:rFonts w:hint="eastAsia"/>
                <w:color w:val="auto"/>
                <w:highlight w:val="none"/>
                <w:lang w:bidi="ar"/>
              </w:rPr>
              <w:t>西园开闭所</w:t>
            </w:r>
          </w:p>
        </w:tc>
        <w:tc>
          <w:tcPr>
            <w:tcW w:w="1575" w:type="dxa"/>
            <w:vAlign w:val="center"/>
          </w:tcPr>
          <w:p w14:paraId="216AC869">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1897355F">
            <w:pPr>
              <w:jc w:val="center"/>
              <w:rPr>
                <w:color w:val="auto"/>
                <w:sz w:val="28"/>
                <w:szCs w:val="28"/>
                <w:highlight w:val="none"/>
              </w:rPr>
            </w:pPr>
          </w:p>
        </w:tc>
        <w:tc>
          <w:tcPr>
            <w:tcW w:w="2545" w:type="dxa"/>
            <w:vAlign w:val="center"/>
          </w:tcPr>
          <w:p w14:paraId="7BE72D16">
            <w:pPr>
              <w:jc w:val="center"/>
              <w:rPr>
                <w:color w:val="auto"/>
                <w:sz w:val="28"/>
                <w:szCs w:val="28"/>
                <w:highlight w:val="none"/>
              </w:rPr>
            </w:pPr>
          </w:p>
        </w:tc>
      </w:tr>
      <w:tr w14:paraId="145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4FA4A5A">
            <w:pPr>
              <w:jc w:val="center"/>
              <w:rPr>
                <w:color w:val="auto"/>
                <w:sz w:val="28"/>
                <w:szCs w:val="28"/>
                <w:highlight w:val="none"/>
              </w:rPr>
            </w:pPr>
          </w:p>
        </w:tc>
        <w:tc>
          <w:tcPr>
            <w:tcW w:w="1673" w:type="dxa"/>
            <w:vMerge w:val="continue"/>
            <w:vAlign w:val="center"/>
          </w:tcPr>
          <w:p w14:paraId="71034DD0">
            <w:pPr>
              <w:jc w:val="center"/>
              <w:rPr>
                <w:color w:val="auto"/>
                <w:sz w:val="28"/>
                <w:szCs w:val="28"/>
                <w:highlight w:val="none"/>
              </w:rPr>
            </w:pPr>
          </w:p>
        </w:tc>
        <w:tc>
          <w:tcPr>
            <w:tcW w:w="1575" w:type="dxa"/>
            <w:vAlign w:val="center"/>
          </w:tcPr>
          <w:p w14:paraId="26CD0CB7">
            <w:pPr>
              <w:widowControl/>
              <w:jc w:val="center"/>
              <w:textAlignment w:val="center"/>
              <w:rPr>
                <w:color w:val="auto"/>
                <w:sz w:val="28"/>
                <w:szCs w:val="28"/>
                <w:highlight w:val="none"/>
              </w:rPr>
            </w:pPr>
            <w:r>
              <w:rPr>
                <w:rFonts w:hint="eastAsia"/>
                <w:color w:val="auto"/>
                <w:highlight w:val="none"/>
                <w:lang w:bidi="ar"/>
              </w:rPr>
              <w:t>高压进线</w:t>
            </w:r>
          </w:p>
        </w:tc>
        <w:tc>
          <w:tcPr>
            <w:tcW w:w="1700" w:type="dxa"/>
            <w:vAlign w:val="center"/>
          </w:tcPr>
          <w:p w14:paraId="236D8E8A">
            <w:pPr>
              <w:widowControl/>
              <w:jc w:val="center"/>
              <w:textAlignment w:val="center"/>
              <w:rPr>
                <w:color w:val="auto"/>
                <w:sz w:val="28"/>
                <w:szCs w:val="28"/>
                <w:highlight w:val="none"/>
              </w:rPr>
            </w:pPr>
            <w:r>
              <w:rPr>
                <w:rFonts w:hint="eastAsia"/>
                <w:color w:val="auto"/>
                <w:highlight w:val="none"/>
                <w:lang w:bidi="ar"/>
              </w:rPr>
              <w:t>主供：世华线</w:t>
            </w:r>
          </w:p>
        </w:tc>
        <w:tc>
          <w:tcPr>
            <w:tcW w:w="2545" w:type="dxa"/>
            <w:vAlign w:val="center"/>
          </w:tcPr>
          <w:p w14:paraId="3D02179A">
            <w:pPr>
              <w:widowControl/>
              <w:jc w:val="center"/>
              <w:textAlignment w:val="center"/>
              <w:rPr>
                <w:color w:val="auto"/>
                <w:sz w:val="28"/>
                <w:szCs w:val="28"/>
                <w:highlight w:val="none"/>
              </w:rPr>
            </w:pPr>
            <w:r>
              <w:rPr>
                <w:rFonts w:hint="eastAsia"/>
                <w:color w:val="auto"/>
                <w:highlight w:val="none"/>
                <w:lang w:bidi="ar"/>
              </w:rPr>
              <w:t>2.6km</w:t>
            </w:r>
          </w:p>
        </w:tc>
      </w:tr>
      <w:tr w14:paraId="5034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904C1AB">
            <w:pPr>
              <w:jc w:val="center"/>
              <w:rPr>
                <w:color w:val="auto"/>
                <w:sz w:val="28"/>
                <w:szCs w:val="28"/>
                <w:highlight w:val="none"/>
              </w:rPr>
            </w:pPr>
          </w:p>
        </w:tc>
        <w:tc>
          <w:tcPr>
            <w:tcW w:w="1673" w:type="dxa"/>
            <w:vMerge w:val="continue"/>
            <w:vAlign w:val="center"/>
          </w:tcPr>
          <w:p w14:paraId="7686B83A">
            <w:pPr>
              <w:jc w:val="center"/>
              <w:rPr>
                <w:color w:val="auto"/>
                <w:sz w:val="28"/>
                <w:szCs w:val="28"/>
                <w:highlight w:val="none"/>
              </w:rPr>
            </w:pPr>
          </w:p>
        </w:tc>
        <w:tc>
          <w:tcPr>
            <w:tcW w:w="1575" w:type="dxa"/>
            <w:vAlign w:val="center"/>
          </w:tcPr>
          <w:p w14:paraId="2956739F">
            <w:pPr>
              <w:widowControl/>
              <w:jc w:val="center"/>
              <w:textAlignment w:val="center"/>
              <w:rPr>
                <w:color w:val="auto"/>
                <w:sz w:val="28"/>
                <w:szCs w:val="28"/>
                <w:highlight w:val="none"/>
              </w:rPr>
            </w:pPr>
            <w:r>
              <w:rPr>
                <w:rFonts w:hint="eastAsia"/>
                <w:color w:val="auto"/>
                <w:highlight w:val="none"/>
                <w:lang w:bidi="ar"/>
              </w:rPr>
              <w:t>高压进线</w:t>
            </w:r>
          </w:p>
        </w:tc>
        <w:tc>
          <w:tcPr>
            <w:tcW w:w="1700" w:type="dxa"/>
            <w:vAlign w:val="center"/>
          </w:tcPr>
          <w:p w14:paraId="749E59A0">
            <w:pPr>
              <w:widowControl/>
              <w:jc w:val="center"/>
              <w:textAlignment w:val="center"/>
              <w:rPr>
                <w:color w:val="auto"/>
                <w:sz w:val="28"/>
                <w:szCs w:val="28"/>
                <w:highlight w:val="none"/>
              </w:rPr>
            </w:pPr>
            <w:r>
              <w:rPr>
                <w:rFonts w:hint="eastAsia"/>
                <w:color w:val="auto"/>
                <w:highlight w:val="none"/>
                <w:lang w:bidi="ar"/>
              </w:rPr>
              <w:t>备供：高校线</w:t>
            </w:r>
          </w:p>
        </w:tc>
        <w:tc>
          <w:tcPr>
            <w:tcW w:w="2545" w:type="dxa"/>
            <w:vAlign w:val="center"/>
          </w:tcPr>
          <w:p w14:paraId="79E1382C">
            <w:pPr>
              <w:widowControl/>
              <w:jc w:val="center"/>
              <w:textAlignment w:val="center"/>
              <w:rPr>
                <w:color w:val="auto"/>
                <w:sz w:val="28"/>
                <w:szCs w:val="28"/>
                <w:highlight w:val="none"/>
              </w:rPr>
            </w:pPr>
            <w:r>
              <w:rPr>
                <w:rFonts w:hint="eastAsia"/>
                <w:color w:val="auto"/>
                <w:highlight w:val="none"/>
                <w:lang w:bidi="ar"/>
              </w:rPr>
              <w:t>2km</w:t>
            </w:r>
          </w:p>
        </w:tc>
      </w:tr>
      <w:tr w14:paraId="11D1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800C96E">
            <w:pPr>
              <w:jc w:val="center"/>
              <w:rPr>
                <w:color w:val="auto"/>
                <w:sz w:val="28"/>
                <w:szCs w:val="28"/>
                <w:highlight w:val="none"/>
              </w:rPr>
            </w:pPr>
          </w:p>
        </w:tc>
        <w:tc>
          <w:tcPr>
            <w:tcW w:w="1673" w:type="dxa"/>
            <w:vMerge w:val="continue"/>
            <w:vAlign w:val="center"/>
          </w:tcPr>
          <w:p w14:paraId="713C4D3C">
            <w:pPr>
              <w:jc w:val="center"/>
              <w:rPr>
                <w:color w:val="auto"/>
                <w:sz w:val="28"/>
                <w:szCs w:val="28"/>
                <w:highlight w:val="none"/>
              </w:rPr>
            </w:pPr>
          </w:p>
        </w:tc>
        <w:tc>
          <w:tcPr>
            <w:tcW w:w="1575" w:type="dxa"/>
            <w:vAlign w:val="center"/>
          </w:tcPr>
          <w:p w14:paraId="316BF38E">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156B52B3">
            <w:pPr>
              <w:jc w:val="center"/>
              <w:rPr>
                <w:color w:val="auto"/>
                <w:sz w:val="28"/>
                <w:szCs w:val="28"/>
                <w:highlight w:val="none"/>
              </w:rPr>
            </w:pPr>
          </w:p>
        </w:tc>
        <w:tc>
          <w:tcPr>
            <w:tcW w:w="2545" w:type="dxa"/>
            <w:vAlign w:val="center"/>
          </w:tcPr>
          <w:p w14:paraId="515054C6">
            <w:pPr>
              <w:widowControl/>
              <w:jc w:val="center"/>
              <w:textAlignment w:val="center"/>
              <w:rPr>
                <w:color w:val="auto"/>
                <w:sz w:val="28"/>
                <w:szCs w:val="28"/>
                <w:highlight w:val="none"/>
              </w:rPr>
            </w:pPr>
            <w:r>
              <w:rPr>
                <w:rFonts w:hint="eastAsia"/>
                <w:color w:val="auto"/>
                <w:sz w:val="28"/>
                <w:szCs w:val="28"/>
                <w:highlight w:val="none"/>
              </w:rPr>
              <w:t>20</w:t>
            </w:r>
          </w:p>
        </w:tc>
      </w:tr>
      <w:tr w14:paraId="6E5C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C3F92EE">
            <w:pPr>
              <w:jc w:val="center"/>
              <w:rPr>
                <w:color w:val="auto"/>
                <w:sz w:val="28"/>
                <w:szCs w:val="28"/>
                <w:highlight w:val="none"/>
              </w:rPr>
            </w:pPr>
          </w:p>
        </w:tc>
        <w:tc>
          <w:tcPr>
            <w:tcW w:w="1673" w:type="dxa"/>
            <w:vMerge w:val="continue"/>
            <w:vAlign w:val="center"/>
          </w:tcPr>
          <w:p w14:paraId="4DF471AD">
            <w:pPr>
              <w:jc w:val="center"/>
              <w:rPr>
                <w:color w:val="auto"/>
                <w:sz w:val="28"/>
                <w:szCs w:val="28"/>
                <w:highlight w:val="none"/>
              </w:rPr>
            </w:pPr>
          </w:p>
        </w:tc>
        <w:tc>
          <w:tcPr>
            <w:tcW w:w="1575" w:type="dxa"/>
            <w:vAlign w:val="center"/>
          </w:tcPr>
          <w:p w14:paraId="35B9E30C">
            <w:pPr>
              <w:widowControl/>
              <w:jc w:val="center"/>
              <w:textAlignment w:val="center"/>
              <w:rPr>
                <w:color w:val="auto"/>
                <w:sz w:val="28"/>
                <w:szCs w:val="28"/>
                <w:highlight w:val="none"/>
              </w:rPr>
            </w:pPr>
            <w:r>
              <w:rPr>
                <w:rFonts w:hint="eastAsia"/>
                <w:color w:val="auto"/>
                <w:highlight w:val="none"/>
                <w:lang w:bidi="ar"/>
              </w:rPr>
              <w:t>直流系统</w:t>
            </w:r>
          </w:p>
        </w:tc>
        <w:tc>
          <w:tcPr>
            <w:tcW w:w="1700" w:type="dxa"/>
            <w:vAlign w:val="center"/>
          </w:tcPr>
          <w:p w14:paraId="37481E19">
            <w:pPr>
              <w:jc w:val="center"/>
              <w:rPr>
                <w:color w:val="auto"/>
                <w:sz w:val="28"/>
                <w:szCs w:val="28"/>
                <w:highlight w:val="none"/>
              </w:rPr>
            </w:pPr>
          </w:p>
        </w:tc>
        <w:tc>
          <w:tcPr>
            <w:tcW w:w="2545" w:type="dxa"/>
            <w:vAlign w:val="center"/>
          </w:tcPr>
          <w:p w14:paraId="64B77DA5">
            <w:pPr>
              <w:widowControl/>
              <w:jc w:val="center"/>
              <w:textAlignment w:val="center"/>
              <w:rPr>
                <w:color w:val="auto"/>
                <w:sz w:val="28"/>
                <w:szCs w:val="28"/>
                <w:highlight w:val="none"/>
              </w:rPr>
            </w:pPr>
            <w:r>
              <w:rPr>
                <w:rFonts w:hint="eastAsia"/>
                <w:color w:val="auto"/>
                <w:highlight w:val="none"/>
                <w:lang w:bidi="ar"/>
              </w:rPr>
              <w:t>1</w:t>
            </w:r>
          </w:p>
        </w:tc>
      </w:tr>
      <w:tr w14:paraId="031D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E026807">
            <w:pPr>
              <w:jc w:val="center"/>
              <w:rPr>
                <w:color w:val="auto"/>
                <w:sz w:val="28"/>
                <w:szCs w:val="28"/>
                <w:highlight w:val="none"/>
              </w:rPr>
            </w:pPr>
          </w:p>
        </w:tc>
        <w:tc>
          <w:tcPr>
            <w:tcW w:w="1673" w:type="dxa"/>
            <w:vMerge w:val="continue"/>
            <w:vAlign w:val="center"/>
          </w:tcPr>
          <w:p w14:paraId="1D5DC2C4">
            <w:pPr>
              <w:jc w:val="center"/>
              <w:rPr>
                <w:color w:val="auto"/>
                <w:sz w:val="28"/>
                <w:szCs w:val="28"/>
                <w:highlight w:val="none"/>
              </w:rPr>
            </w:pPr>
          </w:p>
        </w:tc>
        <w:tc>
          <w:tcPr>
            <w:tcW w:w="1575" w:type="dxa"/>
            <w:vAlign w:val="center"/>
          </w:tcPr>
          <w:p w14:paraId="31059419">
            <w:pPr>
              <w:widowControl/>
              <w:jc w:val="center"/>
              <w:textAlignment w:val="center"/>
              <w:rPr>
                <w:color w:val="auto"/>
                <w:sz w:val="28"/>
                <w:szCs w:val="28"/>
                <w:highlight w:val="none"/>
              </w:rPr>
            </w:pPr>
            <w:r>
              <w:rPr>
                <w:rFonts w:hint="eastAsia"/>
                <w:color w:val="auto"/>
                <w:highlight w:val="none"/>
                <w:lang w:bidi="ar"/>
              </w:rPr>
              <w:t>综保</w:t>
            </w:r>
          </w:p>
        </w:tc>
        <w:tc>
          <w:tcPr>
            <w:tcW w:w="1700" w:type="dxa"/>
            <w:vAlign w:val="center"/>
          </w:tcPr>
          <w:p w14:paraId="3E0F5414">
            <w:pPr>
              <w:jc w:val="center"/>
              <w:rPr>
                <w:color w:val="auto"/>
                <w:sz w:val="28"/>
                <w:szCs w:val="28"/>
                <w:highlight w:val="none"/>
              </w:rPr>
            </w:pPr>
          </w:p>
        </w:tc>
        <w:tc>
          <w:tcPr>
            <w:tcW w:w="2545" w:type="dxa"/>
            <w:vAlign w:val="center"/>
          </w:tcPr>
          <w:p w14:paraId="6D196AAA">
            <w:pPr>
              <w:widowControl/>
              <w:jc w:val="center"/>
              <w:textAlignment w:val="center"/>
              <w:rPr>
                <w:color w:val="auto"/>
                <w:sz w:val="28"/>
                <w:szCs w:val="28"/>
                <w:highlight w:val="none"/>
              </w:rPr>
            </w:pPr>
            <w:r>
              <w:rPr>
                <w:rFonts w:hint="eastAsia"/>
                <w:color w:val="auto"/>
                <w:highlight w:val="none"/>
                <w:lang w:bidi="ar"/>
              </w:rPr>
              <w:t>2</w:t>
            </w:r>
          </w:p>
        </w:tc>
      </w:tr>
      <w:tr w14:paraId="503F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E69745C">
            <w:pPr>
              <w:jc w:val="center"/>
              <w:rPr>
                <w:color w:val="auto"/>
                <w:sz w:val="28"/>
                <w:szCs w:val="28"/>
                <w:highlight w:val="none"/>
              </w:rPr>
            </w:pPr>
          </w:p>
        </w:tc>
        <w:tc>
          <w:tcPr>
            <w:tcW w:w="1673" w:type="dxa"/>
            <w:vMerge w:val="continue"/>
            <w:vAlign w:val="center"/>
          </w:tcPr>
          <w:p w14:paraId="1EA1B9B4">
            <w:pPr>
              <w:jc w:val="center"/>
              <w:rPr>
                <w:color w:val="auto"/>
                <w:sz w:val="28"/>
                <w:szCs w:val="28"/>
                <w:highlight w:val="none"/>
              </w:rPr>
            </w:pPr>
          </w:p>
        </w:tc>
        <w:tc>
          <w:tcPr>
            <w:tcW w:w="1575" w:type="dxa"/>
            <w:vAlign w:val="center"/>
          </w:tcPr>
          <w:p w14:paraId="3D5DF56C">
            <w:pPr>
              <w:widowControl/>
              <w:jc w:val="center"/>
              <w:textAlignment w:val="center"/>
              <w:rPr>
                <w:color w:val="auto"/>
                <w:sz w:val="28"/>
                <w:szCs w:val="28"/>
                <w:highlight w:val="none"/>
              </w:rPr>
            </w:pPr>
            <w:r>
              <w:rPr>
                <w:rFonts w:hint="eastAsia"/>
                <w:color w:val="auto"/>
                <w:highlight w:val="none"/>
                <w:lang w:bidi="ar"/>
              </w:rPr>
              <w:t>接地系统</w:t>
            </w:r>
          </w:p>
        </w:tc>
        <w:tc>
          <w:tcPr>
            <w:tcW w:w="1700" w:type="dxa"/>
            <w:vAlign w:val="center"/>
          </w:tcPr>
          <w:p w14:paraId="589D1191">
            <w:pPr>
              <w:jc w:val="center"/>
              <w:rPr>
                <w:color w:val="auto"/>
                <w:sz w:val="28"/>
                <w:szCs w:val="28"/>
                <w:highlight w:val="none"/>
              </w:rPr>
            </w:pPr>
          </w:p>
        </w:tc>
        <w:tc>
          <w:tcPr>
            <w:tcW w:w="2545" w:type="dxa"/>
            <w:vAlign w:val="center"/>
          </w:tcPr>
          <w:p w14:paraId="1CB7BFA5">
            <w:pPr>
              <w:widowControl/>
              <w:jc w:val="center"/>
              <w:textAlignment w:val="center"/>
              <w:rPr>
                <w:color w:val="auto"/>
                <w:sz w:val="28"/>
                <w:szCs w:val="28"/>
                <w:highlight w:val="none"/>
              </w:rPr>
            </w:pPr>
            <w:r>
              <w:rPr>
                <w:rFonts w:hint="eastAsia"/>
                <w:color w:val="auto"/>
                <w:highlight w:val="none"/>
                <w:lang w:bidi="ar"/>
              </w:rPr>
              <w:t>1</w:t>
            </w:r>
          </w:p>
        </w:tc>
      </w:tr>
      <w:tr w14:paraId="7B32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3C959A40">
            <w:pPr>
              <w:jc w:val="center"/>
              <w:rPr>
                <w:color w:val="auto"/>
                <w:sz w:val="28"/>
                <w:szCs w:val="28"/>
                <w:highlight w:val="none"/>
              </w:rPr>
            </w:pPr>
          </w:p>
        </w:tc>
        <w:tc>
          <w:tcPr>
            <w:tcW w:w="1673" w:type="dxa"/>
            <w:vMerge w:val="continue"/>
            <w:vAlign w:val="center"/>
          </w:tcPr>
          <w:p w14:paraId="524B4E1C">
            <w:pPr>
              <w:jc w:val="center"/>
              <w:rPr>
                <w:color w:val="auto"/>
                <w:sz w:val="28"/>
                <w:szCs w:val="28"/>
                <w:highlight w:val="none"/>
              </w:rPr>
            </w:pPr>
          </w:p>
        </w:tc>
        <w:tc>
          <w:tcPr>
            <w:tcW w:w="1575" w:type="dxa"/>
            <w:vAlign w:val="center"/>
          </w:tcPr>
          <w:p w14:paraId="2E005F3D">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5F52838C">
            <w:pPr>
              <w:jc w:val="center"/>
              <w:rPr>
                <w:color w:val="auto"/>
                <w:sz w:val="28"/>
                <w:szCs w:val="28"/>
                <w:highlight w:val="none"/>
              </w:rPr>
            </w:pPr>
          </w:p>
        </w:tc>
        <w:tc>
          <w:tcPr>
            <w:tcW w:w="2545" w:type="dxa"/>
            <w:vAlign w:val="center"/>
          </w:tcPr>
          <w:p w14:paraId="7B8D6A45">
            <w:pPr>
              <w:widowControl/>
              <w:jc w:val="center"/>
              <w:textAlignment w:val="center"/>
              <w:rPr>
                <w:color w:val="auto"/>
                <w:sz w:val="28"/>
                <w:szCs w:val="28"/>
                <w:highlight w:val="none"/>
              </w:rPr>
            </w:pPr>
            <w:r>
              <w:rPr>
                <w:rFonts w:hint="eastAsia"/>
                <w:color w:val="auto"/>
                <w:highlight w:val="none"/>
                <w:lang w:bidi="ar"/>
              </w:rPr>
              <w:t>10</w:t>
            </w:r>
          </w:p>
        </w:tc>
      </w:tr>
      <w:tr w14:paraId="75F1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6AB46791">
            <w:pPr>
              <w:widowControl/>
              <w:jc w:val="center"/>
              <w:textAlignment w:val="center"/>
              <w:rPr>
                <w:color w:val="auto"/>
                <w:sz w:val="28"/>
                <w:szCs w:val="28"/>
                <w:highlight w:val="none"/>
              </w:rPr>
            </w:pPr>
            <w:r>
              <w:rPr>
                <w:rFonts w:hint="eastAsia"/>
                <w:color w:val="auto"/>
                <w:sz w:val="28"/>
                <w:szCs w:val="28"/>
                <w:highlight w:val="none"/>
              </w:rPr>
              <w:t>6</w:t>
            </w:r>
          </w:p>
        </w:tc>
        <w:tc>
          <w:tcPr>
            <w:tcW w:w="1673" w:type="dxa"/>
            <w:vMerge w:val="restart"/>
            <w:vAlign w:val="center"/>
          </w:tcPr>
          <w:p w14:paraId="25F61A31">
            <w:pPr>
              <w:widowControl/>
              <w:jc w:val="center"/>
              <w:textAlignment w:val="center"/>
              <w:rPr>
                <w:color w:val="auto"/>
                <w:highlight w:val="none"/>
                <w:lang w:bidi="ar"/>
              </w:rPr>
            </w:pPr>
            <w:r>
              <w:rPr>
                <w:rFonts w:hint="eastAsia"/>
                <w:color w:val="auto"/>
                <w:highlight w:val="none"/>
                <w:lang w:bidi="ar"/>
              </w:rPr>
              <w:t>西园综合楼</w:t>
            </w:r>
          </w:p>
          <w:p w14:paraId="6D578E95">
            <w:pPr>
              <w:widowControl/>
              <w:jc w:val="center"/>
              <w:textAlignment w:val="center"/>
              <w:rPr>
                <w:color w:val="auto"/>
                <w:sz w:val="28"/>
                <w:szCs w:val="28"/>
                <w:highlight w:val="none"/>
              </w:rPr>
            </w:pPr>
            <w:r>
              <w:rPr>
                <w:rFonts w:hint="eastAsia"/>
                <w:color w:val="auto"/>
                <w:highlight w:val="none"/>
                <w:lang w:bidi="ar"/>
              </w:rPr>
              <w:t>配电房</w:t>
            </w:r>
          </w:p>
        </w:tc>
        <w:tc>
          <w:tcPr>
            <w:tcW w:w="1575" w:type="dxa"/>
            <w:vAlign w:val="center"/>
          </w:tcPr>
          <w:p w14:paraId="5305E097">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2385E171">
            <w:pPr>
              <w:widowControl/>
              <w:jc w:val="center"/>
              <w:textAlignment w:val="center"/>
              <w:rPr>
                <w:color w:val="auto"/>
                <w:sz w:val="28"/>
                <w:szCs w:val="28"/>
                <w:highlight w:val="none"/>
              </w:rPr>
            </w:pPr>
            <w:r>
              <w:rPr>
                <w:rFonts w:hint="eastAsia"/>
                <w:color w:val="auto"/>
                <w:highlight w:val="none"/>
                <w:lang w:bidi="ar"/>
              </w:rPr>
              <w:t>1000KVA</w:t>
            </w:r>
          </w:p>
        </w:tc>
        <w:tc>
          <w:tcPr>
            <w:tcW w:w="2545" w:type="dxa"/>
            <w:vAlign w:val="center"/>
          </w:tcPr>
          <w:p w14:paraId="622664B2">
            <w:pPr>
              <w:widowControl/>
              <w:jc w:val="center"/>
              <w:textAlignment w:val="center"/>
              <w:rPr>
                <w:color w:val="auto"/>
                <w:sz w:val="28"/>
                <w:szCs w:val="28"/>
                <w:highlight w:val="none"/>
              </w:rPr>
            </w:pPr>
            <w:r>
              <w:rPr>
                <w:rFonts w:hint="eastAsia"/>
                <w:color w:val="auto"/>
                <w:sz w:val="28"/>
                <w:szCs w:val="28"/>
                <w:highlight w:val="none"/>
              </w:rPr>
              <w:t>2</w:t>
            </w:r>
          </w:p>
        </w:tc>
      </w:tr>
      <w:tr w14:paraId="698B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C2FC353">
            <w:pPr>
              <w:jc w:val="center"/>
              <w:rPr>
                <w:color w:val="auto"/>
                <w:sz w:val="28"/>
                <w:szCs w:val="28"/>
                <w:highlight w:val="none"/>
              </w:rPr>
            </w:pPr>
          </w:p>
        </w:tc>
        <w:tc>
          <w:tcPr>
            <w:tcW w:w="1673" w:type="dxa"/>
            <w:vMerge w:val="continue"/>
            <w:vAlign w:val="center"/>
          </w:tcPr>
          <w:p w14:paraId="2F652F61">
            <w:pPr>
              <w:jc w:val="center"/>
              <w:rPr>
                <w:color w:val="auto"/>
                <w:sz w:val="28"/>
                <w:szCs w:val="28"/>
                <w:highlight w:val="none"/>
              </w:rPr>
            </w:pPr>
          </w:p>
        </w:tc>
        <w:tc>
          <w:tcPr>
            <w:tcW w:w="1575" w:type="dxa"/>
            <w:vAlign w:val="center"/>
          </w:tcPr>
          <w:p w14:paraId="57D7691D">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7DE8654F">
            <w:pPr>
              <w:jc w:val="center"/>
              <w:rPr>
                <w:color w:val="auto"/>
                <w:sz w:val="28"/>
                <w:szCs w:val="28"/>
                <w:highlight w:val="none"/>
              </w:rPr>
            </w:pPr>
          </w:p>
        </w:tc>
        <w:tc>
          <w:tcPr>
            <w:tcW w:w="2545" w:type="dxa"/>
            <w:vAlign w:val="center"/>
          </w:tcPr>
          <w:p w14:paraId="5783777E">
            <w:pPr>
              <w:widowControl/>
              <w:jc w:val="center"/>
              <w:textAlignment w:val="center"/>
              <w:rPr>
                <w:color w:val="auto"/>
                <w:sz w:val="28"/>
                <w:szCs w:val="28"/>
                <w:highlight w:val="none"/>
              </w:rPr>
            </w:pPr>
            <w:r>
              <w:rPr>
                <w:rFonts w:hint="eastAsia"/>
                <w:color w:val="auto"/>
                <w:highlight w:val="none"/>
                <w:lang w:bidi="ar"/>
              </w:rPr>
              <w:t>3</w:t>
            </w:r>
          </w:p>
        </w:tc>
      </w:tr>
      <w:tr w14:paraId="5AC4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398C3631">
            <w:pPr>
              <w:jc w:val="center"/>
              <w:rPr>
                <w:color w:val="auto"/>
                <w:sz w:val="28"/>
                <w:szCs w:val="28"/>
                <w:highlight w:val="none"/>
              </w:rPr>
            </w:pPr>
          </w:p>
        </w:tc>
        <w:tc>
          <w:tcPr>
            <w:tcW w:w="1673" w:type="dxa"/>
            <w:vMerge w:val="continue"/>
            <w:vAlign w:val="center"/>
          </w:tcPr>
          <w:p w14:paraId="5307BEB5">
            <w:pPr>
              <w:jc w:val="center"/>
              <w:rPr>
                <w:color w:val="auto"/>
                <w:sz w:val="28"/>
                <w:szCs w:val="28"/>
                <w:highlight w:val="none"/>
              </w:rPr>
            </w:pPr>
          </w:p>
        </w:tc>
        <w:tc>
          <w:tcPr>
            <w:tcW w:w="1575" w:type="dxa"/>
            <w:vAlign w:val="center"/>
          </w:tcPr>
          <w:p w14:paraId="6B2BF57A">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10752D5A">
            <w:pPr>
              <w:jc w:val="center"/>
              <w:rPr>
                <w:color w:val="auto"/>
                <w:sz w:val="28"/>
                <w:szCs w:val="28"/>
                <w:highlight w:val="none"/>
              </w:rPr>
            </w:pPr>
          </w:p>
        </w:tc>
        <w:tc>
          <w:tcPr>
            <w:tcW w:w="2545" w:type="dxa"/>
            <w:vAlign w:val="center"/>
          </w:tcPr>
          <w:p w14:paraId="7A599C0D">
            <w:pPr>
              <w:widowControl/>
              <w:jc w:val="center"/>
              <w:textAlignment w:val="center"/>
              <w:rPr>
                <w:color w:val="auto"/>
                <w:sz w:val="28"/>
                <w:szCs w:val="28"/>
                <w:highlight w:val="none"/>
              </w:rPr>
            </w:pPr>
            <w:r>
              <w:rPr>
                <w:rFonts w:hint="eastAsia"/>
                <w:color w:val="auto"/>
                <w:highlight w:val="none"/>
                <w:lang w:bidi="ar"/>
              </w:rPr>
              <w:t>9</w:t>
            </w:r>
          </w:p>
        </w:tc>
      </w:tr>
      <w:tr w14:paraId="1AD7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418AF905">
            <w:pPr>
              <w:jc w:val="center"/>
              <w:rPr>
                <w:color w:val="auto"/>
                <w:sz w:val="28"/>
                <w:szCs w:val="28"/>
                <w:highlight w:val="none"/>
              </w:rPr>
            </w:pPr>
          </w:p>
        </w:tc>
        <w:tc>
          <w:tcPr>
            <w:tcW w:w="1673" w:type="dxa"/>
            <w:vMerge w:val="continue"/>
            <w:vAlign w:val="center"/>
          </w:tcPr>
          <w:p w14:paraId="0B7FFC4D">
            <w:pPr>
              <w:jc w:val="center"/>
              <w:rPr>
                <w:color w:val="auto"/>
                <w:sz w:val="28"/>
                <w:szCs w:val="28"/>
                <w:highlight w:val="none"/>
              </w:rPr>
            </w:pPr>
          </w:p>
        </w:tc>
        <w:tc>
          <w:tcPr>
            <w:tcW w:w="1575" w:type="dxa"/>
            <w:vAlign w:val="center"/>
          </w:tcPr>
          <w:p w14:paraId="47FED463">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1626BF92">
            <w:pPr>
              <w:jc w:val="center"/>
              <w:rPr>
                <w:color w:val="auto"/>
                <w:sz w:val="28"/>
                <w:szCs w:val="28"/>
                <w:highlight w:val="none"/>
              </w:rPr>
            </w:pPr>
          </w:p>
        </w:tc>
        <w:tc>
          <w:tcPr>
            <w:tcW w:w="2545" w:type="dxa"/>
            <w:vAlign w:val="center"/>
          </w:tcPr>
          <w:p w14:paraId="67900334">
            <w:pPr>
              <w:widowControl/>
              <w:jc w:val="center"/>
              <w:textAlignment w:val="center"/>
              <w:rPr>
                <w:color w:val="auto"/>
                <w:sz w:val="28"/>
                <w:szCs w:val="28"/>
                <w:highlight w:val="none"/>
              </w:rPr>
            </w:pPr>
            <w:r>
              <w:rPr>
                <w:rFonts w:hint="eastAsia"/>
                <w:color w:val="auto"/>
                <w:highlight w:val="none"/>
                <w:lang w:bidi="ar"/>
              </w:rPr>
              <w:t>1</w:t>
            </w:r>
          </w:p>
        </w:tc>
      </w:tr>
      <w:tr w14:paraId="69AE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1FEDE75">
            <w:pPr>
              <w:jc w:val="center"/>
              <w:rPr>
                <w:color w:val="auto"/>
                <w:sz w:val="28"/>
                <w:szCs w:val="28"/>
                <w:highlight w:val="none"/>
              </w:rPr>
            </w:pPr>
          </w:p>
        </w:tc>
        <w:tc>
          <w:tcPr>
            <w:tcW w:w="1673" w:type="dxa"/>
            <w:vMerge w:val="continue"/>
            <w:vAlign w:val="center"/>
          </w:tcPr>
          <w:p w14:paraId="09A910D0">
            <w:pPr>
              <w:jc w:val="center"/>
              <w:rPr>
                <w:color w:val="auto"/>
                <w:sz w:val="28"/>
                <w:szCs w:val="28"/>
                <w:highlight w:val="none"/>
              </w:rPr>
            </w:pPr>
          </w:p>
        </w:tc>
        <w:tc>
          <w:tcPr>
            <w:tcW w:w="1575" w:type="dxa"/>
            <w:vAlign w:val="center"/>
          </w:tcPr>
          <w:p w14:paraId="35F6BB07">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5571CF9D">
            <w:pPr>
              <w:jc w:val="center"/>
              <w:rPr>
                <w:color w:val="auto"/>
                <w:sz w:val="28"/>
                <w:szCs w:val="28"/>
                <w:highlight w:val="none"/>
              </w:rPr>
            </w:pPr>
          </w:p>
        </w:tc>
        <w:tc>
          <w:tcPr>
            <w:tcW w:w="2545" w:type="dxa"/>
            <w:vAlign w:val="center"/>
          </w:tcPr>
          <w:p w14:paraId="0A368C3C">
            <w:pPr>
              <w:widowControl/>
              <w:jc w:val="center"/>
              <w:textAlignment w:val="center"/>
              <w:rPr>
                <w:color w:val="auto"/>
                <w:sz w:val="28"/>
                <w:szCs w:val="28"/>
                <w:highlight w:val="none"/>
              </w:rPr>
            </w:pPr>
            <w:r>
              <w:rPr>
                <w:rFonts w:hint="eastAsia"/>
                <w:color w:val="auto"/>
                <w:highlight w:val="none"/>
                <w:lang w:bidi="ar"/>
              </w:rPr>
              <w:t>2</w:t>
            </w:r>
          </w:p>
        </w:tc>
      </w:tr>
      <w:tr w14:paraId="3B02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69ECD6E6">
            <w:pPr>
              <w:widowControl/>
              <w:jc w:val="center"/>
              <w:textAlignment w:val="center"/>
              <w:rPr>
                <w:color w:val="auto"/>
                <w:sz w:val="28"/>
                <w:szCs w:val="28"/>
                <w:highlight w:val="none"/>
              </w:rPr>
            </w:pPr>
            <w:r>
              <w:rPr>
                <w:rFonts w:hint="eastAsia"/>
                <w:color w:val="auto"/>
                <w:sz w:val="28"/>
                <w:szCs w:val="28"/>
                <w:highlight w:val="none"/>
              </w:rPr>
              <w:t>7</w:t>
            </w:r>
          </w:p>
        </w:tc>
        <w:tc>
          <w:tcPr>
            <w:tcW w:w="1673" w:type="dxa"/>
            <w:vMerge w:val="restart"/>
            <w:vAlign w:val="center"/>
          </w:tcPr>
          <w:p w14:paraId="3DFD2A4B">
            <w:pPr>
              <w:widowControl/>
              <w:jc w:val="center"/>
              <w:textAlignment w:val="center"/>
              <w:rPr>
                <w:color w:val="auto"/>
                <w:highlight w:val="none"/>
                <w:lang w:bidi="ar"/>
              </w:rPr>
            </w:pPr>
            <w:r>
              <w:rPr>
                <w:rFonts w:hint="eastAsia"/>
                <w:color w:val="auto"/>
                <w:highlight w:val="none"/>
                <w:lang w:bidi="ar"/>
              </w:rPr>
              <w:t>西园食堂</w:t>
            </w:r>
          </w:p>
          <w:p w14:paraId="344C58F0">
            <w:pPr>
              <w:widowControl/>
              <w:jc w:val="center"/>
              <w:textAlignment w:val="center"/>
              <w:rPr>
                <w:color w:val="auto"/>
                <w:sz w:val="28"/>
                <w:szCs w:val="28"/>
                <w:highlight w:val="none"/>
              </w:rPr>
            </w:pPr>
            <w:r>
              <w:rPr>
                <w:rFonts w:hint="eastAsia"/>
                <w:color w:val="auto"/>
                <w:highlight w:val="none"/>
                <w:lang w:bidi="ar"/>
              </w:rPr>
              <w:t>配电房</w:t>
            </w:r>
          </w:p>
        </w:tc>
        <w:tc>
          <w:tcPr>
            <w:tcW w:w="1575" w:type="dxa"/>
            <w:vAlign w:val="center"/>
          </w:tcPr>
          <w:p w14:paraId="6FFCB2EC">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4C68E95E">
            <w:pPr>
              <w:widowControl/>
              <w:jc w:val="center"/>
              <w:textAlignment w:val="center"/>
              <w:rPr>
                <w:color w:val="auto"/>
                <w:sz w:val="28"/>
                <w:szCs w:val="28"/>
                <w:highlight w:val="none"/>
              </w:rPr>
            </w:pPr>
            <w:r>
              <w:rPr>
                <w:rFonts w:hint="eastAsia"/>
                <w:color w:val="auto"/>
                <w:highlight w:val="none"/>
                <w:lang w:bidi="ar"/>
              </w:rPr>
              <w:t>1250KVA</w:t>
            </w:r>
          </w:p>
        </w:tc>
        <w:tc>
          <w:tcPr>
            <w:tcW w:w="2545" w:type="dxa"/>
            <w:vAlign w:val="center"/>
          </w:tcPr>
          <w:p w14:paraId="6FCD88B2">
            <w:pPr>
              <w:widowControl/>
              <w:jc w:val="center"/>
              <w:textAlignment w:val="center"/>
              <w:rPr>
                <w:color w:val="auto"/>
                <w:sz w:val="28"/>
                <w:szCs w:val="28"/>
                <w:highlight w:val="none"/>
              </w:rPr>
            </w:pPr>
            <w:r>
              <w:rPr>
                <w:rFonts w:hint="eastAsia"/>
                <w:color w:val="auto"/>
                <w:highlight w:val="none"/>
                <w:lang w:bidi="ar"/>
              </w:rPr>
              <w:t>1</w:t>
            </w:r>
          </w:p>
        </w:tc>
      </w:tr>
      <w:tr w14:paraId="7509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9E47A99">
            <w:pPr>
              <w:jc w:val="center"/>
              <w:rPr>
                <w:color w:val="auto"/>
                <w:sz w:val="28"/>
                <w:szCs w:val="28"/>
                <w:highlight w:val="none"/>
              </w:rPr>
            </w:pPr>
          </w:p>
        </w:tc>
        <w:tc>
          <w:tcPr>
            <w:tcW w:w="1673" w:type="dxa"/>
            <w:vMerge w:val="continue"/>
            <w:vAlign w:val="center"/>
          </w:tcPr>
          <w:p w14:paraId="2D402B08">
            <w:pPr>
              <w:jc w:val="center"/>
              <w:rPr>
                <w:color w:val="auto"/>
                <w:sz w:val="28"/>
                <w:szCs w:val="28"/>
                <w:highlight w:val="none"/>
              </w:rPr>
            </w:pPr>
          </w:p>
        </w:tc>
        <w:tc>
          <w:tcPr>
            <w:tcW w:w="1575" w:type="dxa"/>
            <w:vAlign w:val="center"/>
          </w:tcPr>
          <w:p w14:paraId="11BF9785">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7E2472F9">
            <w:pPr>
              <w:jc w:val="center"/>
              <w:rPr>
                <w:color w:val="auto"/>
                <w:sz w:val="28"/>
                <w:szCs w:val="28"/>
                <w:highlight w:val="none"/>
              </w:rPr>
            </w:pPr>
          </w:p>
        </w:tc>
        <w:tc>
          <w:tcPr>
            <w:tcW w:w="2545" w:type="dxa"/>
            <w:vAlign w:val="center"/>
          </w:tcPr>
          <w:p w14:paraId="575BBA5C">
            <w:pPr>
              <w:widowControl/>
              <w:jc w:val="center"/>
              <w:textAlignment w:val="center"/>
              <w:rPr>
                <w:color w:val="auto"/>
                <w:sz w:val="28"/>
                <w:szCs w:val="28"/>
                <w:highlight w:val="none"/>
              </w:rPr>
            </w:pPr>
            <w:r>
              <w:rPr>
                <w:rFonts w:hint="eastAsia"/>
                <w:color w:val="auto"/>
                <w:highlight w:val="none"/>
                <w:lang w:bidi="ar"/>
              </w:rPr>
              <w:t>3</w:t>
            </w:r>
          </w:p>
        </w:tc>
      </w:tr>
      <w:tr w14:paraId="17F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DA918DF">
            <w:pPr>
              <w:jc w:val="center"/>
              <w:rPr>
                <w:color w:val="auto"/>
                <w:sz w:val="28"/>
                <w:szCs w:val="28"/>
                <w:highlight w:val="none"/>
              </w:rPr>
            </w:pPr>
          </w:p>
        </w:tc>
        <w:tc>
          <w:tcPr>
            <w:tcW w:w="1673" w:type="dxa"/>
            <w:vMerge w:val="continue"/>
            <w:vAlign w:val="center"/>
          </w:tcPr>
          <w:p w14:paraId="5B2C1221">
            <w:pPr>
              <w:jc w:val="center"/>
              <w:rPr>
                <w:color w:val="auto"/>
                <w:sz w:val="28"/>
                <w:szCs w:val="28"/>
                <w:highlight w:val="none"/>
              </w:rPr>
            </w:pPr>
          </w:p>
        </w:tc>
        <w:tc>
          <w:tcPr>
            <w:tcW w:w="1575" w:type="dxa"/>
            <w:vAlign w:val="center"/>
          </w:tcPr>
          <w:p w14:paraId="44C06437">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23D15EDC">
            <w:pPr>
              <w:jc w:val="center"/>
              <w:rPr>
                <w:color w:val="auto"/>
                <w:sz w:val="28"/>
                <w:szCs w:val="28"/>
                <w:highlight w:val="none"/>
              </w:rPr>
            </w:pPr>
          </w:p>
        </w:tc>
        <w:tc>
          <w:tcPr>
            <w:tcW w:w="2545" w:type="dxa"/>
            <w:vAlign w:val="center"/>
          </w:tcPr>
          <w:p w14:paraId="3230DF56">
            <w:pPr>
              <w:widowControl/>
              <w:jc w:val="center"/>
              <w:textAlignment w:val="center"/>
              <w:rPr>
                <w:color w:val="auto"/>
                <w:sz w:val="28"/>
                <w:szCs w:val="28"/>
                <w:highlight w:val="none"/>
              </w:rPr>
            </w:pPr>
            <w:r>
              <w:rPr>
                <w:rFonts w:hint="eastAsia"/>
                <w:color w:val="auto"/>
                <w:highlight w:val="none"/>
                <w:lang w:bidi="ar"/>
              </w:rPr>
              <w:t>9</w:t>
            </w:r>
          </w:p>
        </w:tc>
      </w:tr>
      <w:tr w14:paraId="1AF3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10433A0">
            <w:pPr>
              <w:jc w:val="center"/>
              <w:rPr>
                <w:color w:val="auto"/>
                <w:sz w:val="28"/>
                <w:szCs w:val="28"/>
                <w:highlight w:val="none"/>
              </w:rPr>
            </w:pPr>
          </w:p>
        </w:tc>
        <w:tc>
          <w:tcPr>
            <w:tcW w:w="1673" w:type="dxa"/>
            <w:vMerge w:val="continue"/>
            <w:vAlign w:val="center"/>
          </w:tcPr>
          <w:p w14:paraId="393D484F">
            <w:pPr>
              <w:jc w:val="center"/>
              <w:rPr>
                <w:color w:val="auto"/>
                <w:sz w:val="28"/>
                <w:szCs w:val="28"/>
                <w:highlight w:val="none"/>
              </w:rPr>
            </w:pPr>
          </w:p>
        </w:tc>
        <w:tc>
          <w:tcPr>
            <w:tcW w:w="1575" w:type="dxa"/>
            <w:vAlign w:val="center"/>
          </w:tcPr>
          <w:p w14:paraId="7F0BC79A">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01F55509">
            <w:pPr>
              <w:jc w:val="center"/>
              <w:rPr>
                <w:color w:val="auto"/>
                <w:sz w:val="28"/>
                <w:szCs w:val="28"/>
                <w:highlight w:val="none"/>
              </w:rPr>
            </w:pPr>
          </w:p>
        </w:tc>
        <w:tc>
          <w:tcPr>
            <w:tcW w:w="2545" w:type="dxa"/>
            <w:vAlign w:val="center"/>
          </w:tcPr>
          <w:p w14:paraId="3BCBF7F0">
            <w:pPr>
              <w:widowControl/>
              <w:jc w:val="center"/>
              <w:textAlignment w:val="center"/>
              <w:rPr>
                <w:color w:val="auto"/>
                <w:sz w:val="28"/>
                <w:szCs w:val="28"/>
                <w:highlight w:val="none"/>
              </w:rPr>
            </w:pPr>
            <w:r>
              <w:rPr>
                <w:rFonts w:hint="eastAsia"/>
                <w:color w:val="auto"/>
                <w:highlight w:val="none"/>
                <w:lang w:bidi="ar"/>
              </w:rPr>
              <w:t>1</w:t>
            </w:r>
          </w:p>
        </w:tc>
      </w:tr>
      <w:tr w14:paraId="360B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96192FA">
            <w:pPr>
              <w:jc w:val="center"/>
              <w:rPr>
                <w:color w:val="auto"/>
                <w:sz w:val="28"/>
                <w:szCs w:val="28"/>
                <w:highlight w:val="none"/>
              </w:rPr>
            </w:pPr>
          </w:p>
        </w:tc>
        <w:tc>
          <w:tcPr>
            <w:tcW w:w="1673" w:type="dxa"/>
            <w:vMerge w:val="continue"/>
            <w:vAlign w:val="center"/>
          </w:tcPr>
          <w:p w14:paraId="7F502C33">
            <w:pPr>
              <w:jc w:val="center"/>
              <w:rPr>
                <w:color w:val="auto"/>
                <w:sz w:val="28"/>
                <w:szCs w:val="28"/>
                <w:highlight w:val="none"/>
              </w:rPr>
            </w:pPr>
          </w:p>
        </w:tc>
        <w:tc>
          <w:tcPr>
            <w:tcW w:w="1575" w:type="dxa"/>
            <w:vAlign w:val="center"/>
          </w:tcPr>
          <w:p w14:paraId="41BCA740">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7D690C80">
            <w:pPr>
              <w:jc w:val="center"/>
              <w:rPr>
                <w:color w:val="auto"/>
                <w:sz w:val="28"/>
                <w:szCs w:val="28"/>
                <w:highlight w:val="none"/>
              </w:rPr>
            </w:pPr>
          </w:p>
        </w:tc>
        <w:tc>
          <w:tcPr>
            <w:tcW w:w="2545" w:type="dxa"/>
            <w:vAlign w:val="center"/>
          </w:tcPr>
          <w:p w14:paraId="42118AED">
            <w:pPr>
              <w:widowControl/>
              <w:jc w:val="center"/>
              <w:textAlignment w:val="center"/>
              <w:rPr>
                <w:color w:val="auto"/>
                <w:sz w:val="28"/>
                <w:szCs w:val="28"/>
                <w:highlight w:val="none"/>
              </w:rPr>
            </w:pPr>
            <w:r>
              <w:rPr>
                <w:rFonts w:hint="eastAsia"/>
                <w:color w:val="auto"/>
                <w:highlight w:val="none"/>
                <w:lang w:bidi="ar"/>
              </w:rPr>
              <w:t>1</w:t>
            </w:r>
          </w:p>
        </w:tc>
      </w:tr>
      <w:tr w14:paraId="35D2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7426559D">
            <w:pPr>
              <w:widowControl/>
              <w:jc w:val="center"/>
              <w:textAlignment w:val="center"/>
              <w:rPr>
                <w:color w:val="auto"/>
                <w:sz w:val="28"/>
                <w:szCs w:val="28"/>
                <w:highlight w:val="none"/>
              </w:rPr>
            </w:pPr>
            <w:r>
              <w:rPr>
                <w:rFonts w:hint="eastAsia"/>
                <w:color w:val="auto"/>
                <w:sz w:val="28"/>
                <w:szCs w:val="28"/>
                <w:highlight w:val="none"/>
              </w:rPr>
              <w:t>8</w:t>
            </w:r>
          </w:p>
        </w:tc>
        <w:tc>
          <w:tcPr>
            <w:tcW w:w="1673" w:type="dxa"/>
            <w:vMerge w:val="restart"/>
            <w:vAlign w:val="center"/>
          </w:tcPr>
          <w:p w14:paraId="7DAF5581">
            <w:pPr>
              <w:widowControl/>
              <w:jc w:val="center"/>
              <w:textAlignment w:val="center"/>
              <w:rPr>
                <w:color w:val="auto"/>
                <w:highlight w:val="none"/>
                <w:lang w:bidi="ar"/>
              </w:rPr>
            </w:pPr>
            <w:r>
              <w:rPr>
                <w:rFonts w:hint="eastAsia"/>
                <w:color w:val="auto"/>
                <w:highlight w:val="none"/>
                <w:lang w:bidi="ar"/>
              </w:rPr>
              <w:t>西园知达楼</w:t>
            </w:r>
          </w:p>
          <w:p w14:paraId="4A701E3D">
            <w:pPr>
              <w:widowControl/>
              <w:jc w:val="center"/>
              <w:textAlignment w:val="center"/>
              <w:rPr>
                <w:color w:val="auto"/>
                <w:sz w:val="28"/>
                <w:szCs w:val="28"/>
                <w:highlight w:val="none"/>
              </w:rPr>
            </w:pPr>
            <w:r>
              <w:rPr>
                <w:rFonts w:hint="eastAsia"/>
                <w:color w:val="auto"/>
                <w:highlight w:val="none"/>
                <w:lang w:bidi="ar"/>
              </w:rPr>
              <w:t>配电房</w:t>
            </w:r>
          </w:p>
        </w:tc>
        <w:tc>
          <w:tcPr>
            <w:tcW w:w="1575" w:type="dxa"/>
            <w:vAlign w:val="center"/>
          </w:tcPr>
          <w:p w14:paraId="4A44E50C">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5013E3DC">
            <w:pPr>
              <w:widowControl/>
              <w:jc w:val="center"/>
              <w:textAlignment w:val="center"/>
              <w:rPr>
                <w:color w:val="auto"/>
                <w:sz w:val="28"/>
                <w:szCs w:val="28"/>
                <w:highlight w:val="none"/>
              </w:rPr>
            </w:pPr>
            <w:r>
              <w:rPr>
                <w:rFonts w:hint="eastAsia"/>
                <w:color w:val="auto"/>
                <w:highlight w:val="none"/>
                <w:lang w:bidi="ar"/>
              </w:rPr>
              <w:t>630KVA</w:t>
            </w:r>
          </w:p>
        </w:tc>
        <w:tc>
          <w:tcPr>
            <w:tcW w:w="2545" w:type="dxa"/>
            <w:vAlign w:val="center"/>
          </w:tcPr>
          <w:p w14:paraId="26195B58">
            <w:pPr>
              <w:widowControl/>
              <w:jc w:val="center"/>
              <w:textAlignment w:val="center"/>
              <w:rPr>
                <w:color w:val="auto"/>
                <w:sz w:val="28"/>
                <w:szCs w:val="28"/>
                <w:highlight w:val="none"/>
              </w:rPr>
            </w:pPr>
            <w:r>
              <w:rPr>
                <w:rFonts w:hint="eastAsia"/>
                <w:color w:val="auto"/>
                <w:highlight w:val="none"/>
                <w:lang w:bidi="ar"/>
              </w:rPr>
              <w:t>2</w:t>
            </w:r>
          </w:p>
        </w:tc>
      </w:tr>
      <w:tr w14:paraId="1B26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71A39DD">
            <w:pPr>
              <w:jc w:val="center"/>
              <w:rPr>
                <w:color w:val="auto"/>
                <w:sz w:val="28"/>
                <w:szCs w:val="28"/>
                <w:highlight w:val="none"/>
              </w:rPr>
            </w:pPr>
          </w:p>
        </w:tc>
        <w:tc>
          <w:tcPr>
            <w:tcW w:w="1673" w:type="dxa"/>
            <w:vMerge w:val="continue"/>
            <w:vAlign w:val="center"/>
          </w:tcPr>
          <w:p w14:paraId="242AB1B2">
            <w:pPr>
              <w:jc w:val="center"/>
              <w:rPr>
                <w:color w:val="auto"/>
                <w:sz w:val="28"/>
                <w:szCs w:val="28"/>
                <w:highlight w:val="none"/>
              </w:rPr>
            </w:pPr>
          </w:p>
        </w:tc>
        <w:tc>
          <w:tcPr>
            <w:tcW w:w="1575" w:type="dxa"/>
            <w:vAlign w:val="center"/>
          </w:tcPr>
          <w:p w14:paraId="14EFCE69">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4ECE5654">
            <w:pPr>
              <w:jc w:val="center"/>
              <w:rPr>
                <w:color w:val="auto"/>
                <w:sz w:val="28"/>
                <w:szCs w:val="28"/>
                <w:highlight w:val="none"/>
              </w:rPr>
            </w:pPr>
          </w:p>
        </w:tc>
        <w:tc>
          <w:tcPr>
            <w:tcW w:w="2545" w:type="dxa"/>
            <w:vAlign w:val="center"/>
          </w:tcPr>
          <w:p w14:paraId="5CD2B998">
            <w:pPr>
              <w:widowControl/>
              <w:jc w:val="center"/>
              <w:textAlignment w:val="center"/>
              <w:rPr>
                <w:color w:val="auto"/>
                <w:sz w:val="28"/>
                <w:szCs w:val="28"/>
                <w:highlight w:val="none"/>
              </w:rPr>
            </w:pPr>
            <w:r>
              <w:rPr>
                <w:rFonts w:hint="eastAsia"/>
                <w:color w:val="auto"/>
                <w:sz w:val="28"/>
                <w:szCs w:val="28"/>
                <w:highlight w:val="none"/>
              </w:rPr>
              <w:t>8</w:t>
            </w:r>
          </w:p>
        </w:tc>
      </w:tr>
      <w:tr w14:paraId="36B5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3C1FACEC">
            <w:pPr>
              <w:jc w:val="center"/>
              <w:rPr>
                <w:color w:val="auto"/>
                <w:sz w:val="28"/>
                <w:szCs w:val="28"/>
                <w:highlight w:val="none"/>
              </w:rPr>
            </w:pPr>
          </w:p>
        </w:tc>
        <w:tc>
          <w:tcPr>
            <w:tcW w:w="1673" w:type="dxa"/>
            <w:vMerge w:val="continue"/>
            <w:vAlign w:val="center"/>
          </w:tcPr>
          <w:p w14:paraId="2639B9CB">
            <w:pPr>
              <w:jc w:val="center"/>
              <w:rPr>
                <w:color w:val="auto"/>
                <w:sz w:val="28"/>
                <w:szCs w:val="28"/>
                <w:highlight w:val="none"/>
              </w:rPr>
            </w:pPr>
          </w:p>
        </w:tc>
        <w:tc>
          <w:tcPr>
            <w:tcW w:w="1575" w:type="dxa"/>
            <w:vAlign w:val="center"/>
          </w:tcPr>
          <w:p w14:paraId="0F997558">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0D376738">
            <w:pPr>
              <w:jc w:val="center"/>
              <w:rPr>
                <w:color w:val="auto"/>
                <w:sz w:val="28"/>
                <w:szCs w:val="28"/>
                <w:highlight w:val="none"/>
              </w:rPr>
            </w:pPr>
          </w:p>
        </w:tc>
        <w:tc>
          <w:tcPr>
            <w:tcW w:w="2545" w:type="dxa"/>
            <w:vAlign w:val="center"/>
          </w:tcPr>
          <w:p w14:paraId="217F964E">
            <w:pPr>
              <w:widowControl/>
              <w:jc w:val="center"/>
              <w:textAlignment w:val="center"/>
              <w:rPr>
                <w:color w:val="auto"/>
                <w:sz w:val="28"/>
                <w:szCs w:val="28"/>
                <w:highlight w:val="none"/>
              </w:rPr>
            </w:pPr>
            <w:r>
              <w:rPr>
                <w:rFonts w:hint="eastAsia"/>
                <w:color w:val="auto"/>
                <w:highlight w:val="none"/>
                <w:lang w:bidi="ar"/>
              </w:rPr>
              <w:t>12</w:t>
            </w:r>
          </w:p>
        </w:tc>
      </w:tr>
      <w:tr w14:paraId="39B6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AB8D953">
            <w:pPr>
              <w:jc w:val="center"/>
              <w:rPr>
                <w:color w:val="auto"/>
                <w:sz w:val="28"/>
                <w:szCs w:val="28"/>
                <w:highlight w:val="none"/>
              </w:rPr>
            </w:pPr>
          </w:p>
        </w:tc>
        <w:tc>
          <w:tcPr>
            <w:tcW w:w="1673" w:type="dxa"/>
            <w:vMerge w:val="continue"/>
            <w:vAlign w:val="center"/>
          </w:tcPr>
          <w:p w14:paraId="20764E6C">
            <w:pPr>
              <w:jc w:val="center"/>
              <w:rPr>
                <w:color w:val="auto"/>
                <w:sz w:val="28"/>
                <w:szCs w:val="28"/>
                <w:highlight w:val="none"/>
              </w:rPr>
            </w:pPr>
          </w:p>
        </w:tc>
        <w:tc>
          <w:tcPr>
            <w:tcW w:w="1575" w:type="dxa"/>
            <w:vAlign w:val="center"/>
          </w:tcPr>
          <w:p w14:paraId="75AB5614">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49123D18">
            <w:pPr>
              <w:jc w:val="center"/>
              <w:rPr>
                <w:color w:val="auto"/>
                <w:sz w:val="28"/>
                <w:szCs w:val="28"/>
                <w:highlight w:val="none"/>
              </w:rPr>
            </w:pPr>
          </w:p>
        </w:tc>
        <w:tc>
          <w:tcPr>
            <w:tcW w:w="2545" w:type="dxa"/>
            <w:vAlign w:val="center"/>
          </w:tcPr>
          <w:p w14:paraId="5BBE9710">
            <w:pPr>
              <w:widowControl/>
              <w:jc w:val="center"/>
              <w:textAlignment w:val="center"/>
              <w:rPr>
                <w:color w:val="auto"/>
                <w:sz w:val="28"/>
                <w:szCs w:val="28"/>
                <w:highlight w:val="none"/>
              </w:rPr>
            </w:pPr>
            <w:r>
              <w:rPr>
                <w:rFonts w:hint="eastAsia"/>
                <w:color w:val="auto"/>
                <w:highlight w:val="none"/>
                <w:lang w:bidi="ar"/>
              </w:rPr>
              <w:t>1</w:t>
            </w:r>
          </w:p>
        </w:tc>
      </w:tr>
      <w:tr w14:paraId="4967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98571B7">
            <w:pPr>
              <w:jc w:val="center"/>
              <w:rPr>
                <w:color w:val="auto"/>
                <w:sz w:val="28"/>
                <w:szCs w:val="28"/>
                <w:highlight w:val="none"/>
              </w:rPr>
            </w:pPr>
          </w:p>
        </w:tc>
        <w:tc>
          <w:tcPr>
            <w:tcW w:w="1673" w:type="dxa"/>
            <w:vMerge w:val="continue"/>
            <w:vAlign w:val="center"/>
          </w:tcPr>
          <w:p w14:paraId="2F68313A">
            <w:pPr>
              <w:jc w:val="center"/>
              <w:rPr>
                <w:color w:val="auto"/>
                <w:sz w:val="28"/>
                <w:szCs w:val="28"/>
                <w:highlight w:val="none"/>
              </w:rPr>
            </w:pPr>
          </w:p>
        </w:tc>
        <w:tc>
          <w:tcPr>
            <w:tcW w:w="1575" w:type="dxa"/>
            <w:vAlign w:val="center"/>
          </w:tcPr>
          <w:p w14:paraId="4B355D4E">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59494E01">
            <w:pPr>
              <w:jc w:val="center"/>
              <w:rPr>
                <w:color w:val="auto"/>
                <w:sz w:val="28"/>
                <w:szCs w:val="28"/>
                <w:highlight w:val="none"/>
              </w:rPr>
            </w:pPr>
          </w:p>
        </w:tc>
        <w:tc>
          <w:tcPr>
            <w:tcW w:w="2545" w:type="dxa"/>
            <w:vAlign w:val="center"/>
          </w:tcPr>
          <w:p w14:paraId="6C425FF1">
            <w:pPr>
              <w:widowControl/>
              <w:jc w:val="center"/>
              <w:textAlignment w:val="center"/>
              <w:rPr>
                <w:color w:val="auto"/>
                <w:sz w:val="28"/>
                <w:szCs w:val="28"/>
                <w:highlight w:val="none"/>
              </w:rPr>
            </w:pPr>
            <w:r>
              <w:rPr>
                <w:rFonts w:hint="eastAsia"/>
                <w:color w:val="auto"/>
                <w:highlight w:val="none"/>
                <w:lang w:bidi="ar"/>
              </w:rPr>
              <w:t>2</w:t>
            </w:r>
          </w:p>
        </w:tc>
      </w:tr>
      <w:tr w14:paraId="2E3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241C657D">
            <w:pPr>
              <w:widowControl/>
              <w:jc w:val="center"/>
              <w:textAlignment w:val="center"/>
              <w:rPr>
                <w:color w:val="auto"/>
                <w:sz w:val="28"/>
                <w:szCs w:val="28"/>
                <w:highlight w:val="none"/>
              </w:rPr>
            </w:pPr>
            <w:r>
              <w:rPr>
                <w:rFonts w:hint="eastAsia"/>
                <w:color w:val="auto"/>
                <w:sz w:val="28"/>
                <w:szCs w:val="28"/>
                <w:highlight w:val="none"/>
              </w:rPr>
              <w:t>9</w:t>
            </w:r>
          </w:p>
        </w:tc>
        <w:tc>
          <w:tcPr>
            <w:tcW w:w="1673" w:type="dxa"/>
            <w:vMerge w:val="restart"/>
            <w:vAlign w:val="center"/>
          </w:tcPr>
          <w:p w14:paraId="706E44F9">
            <w:pPr>
              <w:widowControl/>
              <w:jc w:val="center"/>
              <w:textAlignment w:val="center"/>
              <w:rPr>
                <w:color w:val="auto"/>
                <w:sz w:val="28"/>
                <w:szCs w:val="28"/>
                <w:highlight w:val="none"/>
              </w:rPr>
            </w:pPr>
            <w:r>
              <w:rPr>
                <w:rFonts w:hint="eastAsia"/>
                <w:color w:val="auto"/>
                <w:highlight w:val="none"/>
                <w:lang w:bidi="ar"/>
              </w:rPr>
              <w:t>西园动物中心配电房</w:t>
            </w:r>
          </w:p>
        </w:tc>
        <w:tc>
          <w:tcPr>
            <w:tcW w:w="1575" w:type="dxa"/>
            <w:vAlign w:val="center"/>
          </w:tcPr>
          <w:p w14:paraId="5158F91F">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5D59ED0E">
            <w:pPr>
              <w:widowControl/>
              <w:jc w:val="center"/>
              <w:textAlignment w:val="center"/>
              <w:rPr>
                <w:color w:val="auto"/>
                <w:sz w:val="28"/>
                <w:szCs w:val="28"/>
                <w:highlight w:val="none"/>
              </w:rPr>
            </w:pPr>
            <w:r>
              <w:rPr>
                <w:rFonts w:hint="eastAsia"/>
                <w:color w:val="auto"/>
                <w:highlight w:val="none"/>
                <w:lang w:bidi="ar"/>
              </w:rPr>
              <w:t>1000KVA</w:t>
            </w:r>
          </w:p>
        </w:tc>
        <w:tc>
          <w:tcPr>
            <w:tcW w:w="2545" w:type="dxa"/>
            <w:vAlign w:val="center"/>
          </w:tcPr>
          <w:p w14:paraId="5DE82746">
            <w:pPr>
              <w:widowControl/>
              <w:jc w:val="center"/>
              <w:textAlignment w:val="center"/>
              <w:rPr>
                <w:color w:val="auto"/>
                <w:sz w:val="28"/>
                <w:szCs w:val="28"/>
                <w:highlight w:val="none"/>
              </w:rPr>
            </w:pPr>
            <w:r>
              <w:rPr>
                <w:rFonts w:hint="eastAsia"/>
                <w:color w:val="auto"/>
                <w:sz w:val="28"/>
                <w:szCs w:val="28"/>
                <w:highlight w:val="none"/>
              </w:rPr>
              <w:t>2</w:t>
            </w:r>
          </w:p>
        </w:tc>
      </w:tr>
      <w:tr w14:paraId="1A80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30BDD0D">
            <w:pPr>
              <w:jc w:val="center"/>
              <w:rPr>
                <w:color w:val="auto"/>
                <w:sz w:val="28"/>
                <w:szCs w:val="28"/>
                <w:highlight w:val="none"/>
              </w:rPr>
            </w:pPr>
          </w:p>
        </w:tc>
        <w:tc>
          <w:tcPr>
            <w:tcW w:w="1673" w:type="dxa"/>
            <w:vMerge w:val="continue"/>
            <w:vAlign w:val="center"/>
          </w:tcPr>
          <w:p w14:paraId="192BF93E">
            <w:pPr>
              <w:jc w:val="center"/>
              <w:rPr>
                <w:color w:val="auto"/>
                <w:sz w:val="28"/>
                <w:szCs w:val="28"/>
                <w:highlight w:val="none"/>
              </w:rPr>
            </w:pPr>
          </w:p>
        </w:tc>
        <w:tc>
          <w:tcPr>
            <w:tcW w:w="1575" w:type="dxa"/>
            <w:vAlign w:val="center"/>
          </w:tcPr>
          <w:p w14:paraId="470577DF">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37D47044">
            <w:pPr>
              <w:jc w:val="center"/>
              <w:rPr>
                <w:color w:val="auto"/>
                <w:sz w:val="28"/>
                <w:szCs w:val="28"/>
                <w:highlight w:val="none"/>
              </w:rPr>
            </w:pPr>
          </w:p>
        </w:tc>
        <w:tc>
          <w:tcPr>
            <w:tcW w:w="2545" w:type="dxa"/>
            <w:vAlign w:val="center"/>
          </w:tcPr>
          <w:p w14:paraId="6BE3BAC4">
            <w:pPr>
              <w:widowControl/>
              <w:jc w:val="center"/>
              <w:textAlignment w:val="center"/>
              <w:rPr>
                <w:color w:val="auto"/>
                <w:sz w:val="28"/>
                <w:szCs w:val="28"/>
                <w:highlight w:val="none"/>
              </w:rPr>
            </w:pPr>
            <w:r>
              <w:rPr>
                <w:rFonts w:hint="eastAsia"/>
                <w:color w:val="auto"/>
                <w:sz w:val="28"/>
                <w:szCs w:val="28"/>
                <w:highlight w:val="none"/>
              </w:rPr>
              <w:t>7</w:t>
            </w:r>
          </w:p>
        </w:tc>
      </w:tr>
      <w:tr w14:paraId="2C4A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BE2E0C2">
            <w:pPr>
              <w:jc w:val="center"/>
              <w:rPr>
                <w:color w:val="auto"/>
                <w:sz w:val="28"/>
                <w:szCs w:val="28"/>
                <w:highlight w:val="none"/>
              </w:rPr>
            </w:pPr>
          </w:p>
        </w:tc>
        <w:tc>
          <w:tcPr>
            <w:tcW w:w="1673" w:type="dxa"/>
            <w:vMerge w:val="continue"/>
            <w:vAlign w:val="center"/>
          </w:tcPr>
          <w:p w14:paraId="29D548CC">
            <w:pPr>
              <w:jc w:val="center"/>
              <w:rPr>
                <w:color w:val="auto"/>
                <w:sz w:val="28"/>
                <w:szCs w:val="28"/>
                <w:highlight w:val="none"/>
              </w:rPr>
            </w:pPr>
          </w:p>
        </w:tc>
        <w:tc>
          <w:tcPr>
            <w:tcW w:w="1575" w:type="dxa"/>
            <w:vAlign w:val="center"/>
          </w:tcPr>
          <w:p w14:paraId="7656772C">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6E26D49C">
            <w:pPr>
              <w:jc w:val="center"/>
              <w:rPr>
                <w:color w:val="auto"/>
                <w:sz w:val="28"/>
                <w:szCs w:val="28"/>
                <w:highlight w:val="none"/>
              </w:rPr>
            </w:pPr>
          </w:p>
        </w:tc>
        <w:tc>
          <w:tcPr>
            <w:tcW w:w="2545" w:type="dxa"/>
            <w:vAlign w:val="center"/>
          </w:tcPr>
          <w:p w14:paraId="62B747CD">
            <w:pPr>
              <w:widowControl/>
              <w:jc w:val="center"/>
              <w:textAlignment w:val="center"/>
              <w:rPr>
                <w:color w:val="auto"/>
                <w:sz w:val="28"/>
                <w:szCs w:val="28"/>
                <w:highlight w:val="none"/>
              </w:rPr>
            </w:pPr>
            <w:r>
              <w:rPr>
                <w:rFonts w:hint="eastAsia"/>
                <w:color w:val="auto"/>
                <w:highlight w:val="none"/>
                <w:lang w:bidi="ar"/>
              </w:rPr>
              <w:t>8</w:t>
            </w:r>
          </w:p>
        </w:tc>
      </w:tr>
      <w:tr w14:paraId="126F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3DB6830B">
            <w:pPr>
              <w:jc w:val="center"/>
              <w:rPr>
                <w:color w:val="auto"/>
                <w:sz w:val="28"/>
                <w:szCs w:val="28"/>
                <w:highlight w:val="none"/>
              </w:rPr>
            </w:pPr>
          </w:p>
        </w:tc>
        <w:tc>
          <w:tcPr>
            <w:tcW w:w="1673" w:type="dxa"/>
            <w:vMerge w:val="continue"/>
            <w:vAlign w:val="center"/>
          </w:tcPr>
          <w:p w14:paraId="1DCE0F32">
            <w:pPr>
              <w:jc w:val="center"/>
              <w:rPr>
                <w:color w:val="auto"/>
                <w:sz w:val="28"/>
                <w:szCs w:val="28"/>
                <w:highlight w:val="none"/>
              </w:rPr>
            </w:pPr>
          </w:p>
        </w:tc>
        <w:tc>
          <w:tcPr>
            <w:tcW w:w="1575" w:type="dxa"/>
            <w:vAlign w:val="center"/>
          </w:tcPr>
          <w:p w14:paraId="0529AE9C">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2B1C480D">
            <w:pPr>
              <w:jc w:val="center"/>
              <w:rPr>
                <w:color w:val="auto"/>
                <w:sz w:val="28"/>
                <w:szCs w:val="28"/>
                <w:highlight w:val="none"/>
              </w:rPr>
            </w:pPr>
          </w:p>
        </w:tc>
        <w:tc>
          <w:tcPr>
            <w:tcW w:w="2545" w:type="dxa"/>
            <w:vAlign w:val="center"/>
          </w:tcPr>
          <w:p w14:paraId="7704E918">
            <w:pPr>
              <w:widowControl/>
              <w:jc w:val="center"/>
              <w:textAlignment w:val="center"/>
              <w:rPr>
                <w:color w:val="auto"/>
                <w:sz w:val="28"/>
                <w:szCs w:val="28"/>
                <w:highlight w:val="none"/>
              </w:rPr>
            </w:pPr>
            <w:r>
              <w:rPr>
                <w:rFonts w:hint="eastAsia"/>
                <w:color w:val="auto"/>
                <w:highlight w:val="none"/>
                <w:lang w:bidi="ar"/>
              </w:rPr>
              <w:t>1</w:t>
            </w:r>
          </w:p>
        </w:tc>
      </w:tr>
      <w:tr w14:paraId="68D8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0A198BD">
            <w:pPr>
              <w:jc w:val="center"/>
              <w:rPr>
                <w:color w:val="auto"/>
                <w:sz w:val="28"/>
                <w:szCs w:val="28"/>
                <w:highlight w:val="none"/>
              </w:rPr>
            </w:pPr>
          </w:p>
        </w:tc>
        <w:tc>
          <w:tcPr>
            <w:tcW w:w="1673" w:type="dxa"/>
            <w:vMerge w:val="continue"/>
            <w:vAlign w:val="center"/>
          </w:tcPr>
          <w:p w14:paraId="626D7342">
            <w:pPr>
              <w:jc w:val="center"/>
              <w:rPr>
                <w:color w:val="auto"/>
                <w:sz w:val="28"/>
                <w:szCs w:val="28"/>
                <w:highlight w:val="none"/>
              </w:rPr>
            </w:pPr>
          </w:p>
        </w:tc>
        <w:tc>
          <w:tcPr>
            <w:tcW w:w="1575" w:type="dxa"/>
            <w:vAlign w:val="center"/>
          </w:tcPr>
          <w:p w14:paraId="1BEB9AB2">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389A71D6">
            <w:pPr>
              <w:jc w:val="center"/>
              <w:rPr>
                <w:color w:val="auto"/>
                <w:sz w:val="28"/>
                <w:szCs w:val="28"/>
                <w:highlight w:val="none"/>
              </w:rPr>
            </w:pPr>
          </w:p>
        </w:tc>
        <w:tc>
          <w:tcPr>
            <w:tcW w:w="2545" w:type="dxa"/>
            <w:vAlign w:val="center"/>
          </w:tcPr>
          <w:p w14:paraId="180DEA0C">
            <w:pPr>
              <w:widowControl/>
              <w:jc w:val="center"/>
              <w:textAlignment w:val="center"/>
              <w:rPr>
                <w:color w:val="auto"/>
                <w:sz w:val="28"/>
                <w:szCs w:val="28"/>
                <w:highlight w:val="none"/>
              </w:rPr>
            </w:pPr>
            <w:r>
              <w:rPr>
                <w:rFonts w:hint="eastAsia"/>
                <w:color w:val="auto"/>
                <w:highlight w:val="none"/>
                <w:lang w:bidi="ar"/>
              </w:rPr>
              <w:t>1</w:t>
            </w:r>
          </w:p>
        </w:tc>
      </w:tr>
      <w:tr w14:paraId="686A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58217C13">
            <w:pPr>
              <w:widowControl/>
              <w:jc w:val="center"/>
              <w:textAlignment w:val="center"/>
              <w:rPr>
                <w:color w:val="auto"/>
                <w:sz w:val="28"/>
                <w:szCs w:val="28"/>
                <w:highlight w:val="none"/>
              </w:rPr>
            </w:pPr>
            <w:r>
              <w:rPr>
                <w:rFonts w:hint="eastAsia"/>
                <w:color w:val="auto"/>
                <w:highlight w:val="none"/>
                <w:lang w:bidi="ar"/>
              </w:rPr>
              <w:t>10</w:t>
            </w:r>
          </w:p>
        </w:tc>
        <w:tc>
          <w:tcPr>
            <w:tcW w:w="1673" w:type="dxa"/>
            <w:vMerge w:val="restart"/>
            <w:vAlign w:val="center"/>
          </w:tcPr>
          <w:p w14:paraId="17A1B72D">
            <w:pPr>
              <w:widowControl/>
              <w:jc w:val="center"/>
              <w:textAlignment w:val="center"/>
              <w:rPr>
                <w:color w:val="auto"/>
                <w:sz w:val="28"/>
                <w:szCs w:val="28"/>
                <w:highlight w:val="none"/>
              </w:rPr>
            </w:pPr>
            <w:r>
              <w:rPr>
                <w:rFonts w:hint="eastAsia"/>
                <w:color w:val="auto"/>
                <w:highlight w:val="none"/>
                <w:lang w:bidi="ar"/>
              </w:rPr>
              <w:t>西园新建学生公寓箱变</w:t>
            </w:r>
          </w:p>
        </w:tc>
        <w:tc>
          <w:tcPr>
            <w:tcW w:w="1575" w:type="dxa"/>
            <w:vAlign w:val="center"/>
          </w:tcPr>
          <w:p w14:paraId="31FCFDC2">
            <w:pPr>
              <w:widowControl/>
              <w:jc w:val="center"/>
              <w:textAlignment w:val="center"/>
              <w:rPr>
                <w:color w:val="auto"/>
                <w:sz w:val="28"/>
                <w:szCs w:val="28"/>
                <w:highlight w:val="none"/>
              </w:rPr>
            </w:pPr>
            <w:r>
              <w:rPr>
                <w:rFonts w:hint="eastAsia"/>
                <w:color w:val="auto"/>
                <w:highlight w:val="none"/>
                <w:lang w:bidi="ar"/>
              </w:rPr>
              <w:t>变压器</w:t>
            </w:r>
          </w:p>
        </w:tc>
        <w:tc>
          <w:tcPr>
            <w:tcW w:w="1700" w:type="dxa"/>
            <w:vAlign w:val="center"/>
          </w:tcPr>
          <w:p w14:paraId="519FCF19">
            <w:pPr>
              <w:widowControl/>
              <w:jc w:val="center"/>
              <w:textAlignment w:val="center"/>
              <w:rPr>
                <w:color w:val="auto"/>
                <w:sz w:val="28"/>
                <w:szCs w:val="28"/>
                <w:highlight w:val="none"/>
              </w:rPr>
            </w:pPr>
            <w:r>
              <w:rPr>
                <w:rFonts w:hint="eastAsia"/>
                <w:color w:val="auto"/>
                <w:highlight w:val="none"/>
                <w:lang w:bidi="ar"/>
              </w:rPr>
              <w:t>630KVA</w:t>
            </w:r>
          </w:p>
        </w:tc>
        <w:tc>
          <w:tcPr>
            <w:tcW w:w="2545" w:type="dxa"/>
            <w:vAlign w:val="center"/>
          </w:tcPr>
          <w:p w14:paraId="7AD8C0D4">
            <w:pPr>
              <w:widowControl/>
              <w:jc w:val="center"/>
              <w:textAlignment w:val="center"/>
              <w:rPr>
                <w:color w:val="auto"/>
                <w:sz w:val="28"/>
                <w:szCs w:val="28"/>
                <w:highlight w:val="none"/>
              </w:rPr>
            </w:pPr>
            <w:r>
              <w:rPr>
                <w:rFonts w:hint="eastAsia"/>
                <w:color w:val="auto"/>
                <w:sz w:val="28"/>
                <w:szCs w:val="28"/>
                <w:highlight w:val="none"/>
              </w:rPr>
              <w:t>2</w:t>
            </w:r>
          </w:p>
        </w:tc>
      </w:tr>
      <w:tr w14:paraId="426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8F8AD80">
            <w:pPr>
              <w:jc w:val="center"/>
              <w:rPr>
                <w:color w:val="auto"/>
                <w:sz w:val="28"/>
                <w:szCs w:val="28"/>
                <w:highlight w:val="none"/>
              </w:rPr>
            </w:pPr>
          </w:p>
        </w:tc>
        <w:tc>
          <w:tcPr>
            <w:tcW w:w="1673" w:type="dxa"/>
            <w:vMerge w:val="continue"/>
            <w:vAlign w:val="center"/>
          </w:tcPr>
          <w:p w14:paraId="5724F8F1">
            <w:pPr>
              <w:jc w:val="center"/>
              <w:rPr>
                <w:color w:val="auto"/>
                <w:sz w:val="28"/>
                <w:szCs w:val="28"/>
                <w:highlight w:val="none"/>
              </w:rPr>
            </w:pPr>
          </w:p>
        </w:tc>
        <w:tc>
          <w:tcPr>
            <w:tcW w:w="1575" w:type="dxa"/>
            <w:vAlign w:val="center"/>
          </w:tcPr>
          <w:p w14:paraId="406F0F8A">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7FB400BD">
            <w:pPr>
              <w:jc w:val="center"/>
              <w:rPr>
                <w:color w:val="auto"/>
                <w:sz w:val="28"/>
                <w:szCs w:val="28"/>
                <w:highlight w:val="none"/>
              </w:rPr>
            </w:pPr>
          </w:p>
        </w:tc>
        <w:tc>
          <w:tcPr>
            <w:tcW w:w="2545" w:type="dxa"/>
            <w:vAlign w:val="center"/>
          </w:tcPr>
          <w:p w14:paraId="378D4A2C">
            <w:pPr>
              <w:widowControl/>
              <w:jc w:val="center"/>
              <w:textAlignment w:val="center"/>
              <w:rPr>
                <w:color w:val="auto"/>
                <w:sz w:val="28"/>
                <w:szCs w:val="28"/>
                <w:highlight w:val="none"/>
              </w:rPr>
            </w:pPr>
            <w:r>
              <w:rPr>
                <w:rFonts w:hint="eastAsia"/>
                <w:color w:val="auto"/>
                <w:highlight w:val="none"/>
                <w:lang w:bidi="ar"/>
              </w:rPr>
              <w:t>3</w:t>
            </w:r>
          </w:p>
        </w:tc>
      </w:tr>
      <w:tr w14:paraId="4227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5F5A9F2">
            <w:pPr>
              <w:jc w:val="center"/>
              <w:rPr>
                <w:color w:val="auto"/>
                <w:sz w:val="28"/>
                <w:szCs w:val="28"/>
                <w:highlight w:val="none"/>
              </w:rPr>
            </w:pPr>
          </w:p>
        </w:tc>
        <w:tc>
          <w:tcPr>
            <w:tcW w:w="1673" w:type="dxa"/>
            <w:vMerge w:val="continue"/>
            <w:vAlign w:val="center"/>
          </w:tcPr>
          <w:p w14:paraId="6C859449">
            <w:pPr>
              <w:jc w:val="center"/>
              <w:rPr>
                <w:color w:val="auto"/>
                <w:sz w:val="28"/>
                <w:szCs w:val="28"/>
                <w:highlight w:val="none"/>
              </w:rPr>
            </w:pPr>
          </w:p>
        </w:tc>
        <w:tc>
          <w:tcPr>
            <w:tcW w:w="1575" w:type="dxa"/>
            <w:vAlign w:val="center"/>
          </w:tcPr>
          <w:p w14:paraId="5B969999">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3B8F5DC5">
            <w:pPr>
              <w:jc w:val="center"/>
              <w:rPr>
                <w:color w:val="auto"/>
                <w:sz w:val="28"/>
                <w:szCs w:val="28"/>
                <w:highlight w:val="none"/>
              </w:rPr>
            </w:pPr>
          </w:p>
        </w:tc>
        <w:tc>
          <w:tcPr>
            <w:tcW w:w="2545" w:type="dxa"/>
            <w:vAlign w:val="center"/>
          </w:tcPr>
          <w:p w14:paraId="060D2A95">
            <w:pPr>
              <w:widowControl/>
              <w:jc w:val="center"/>
              <w:textAlignment w:val="center"/>
              <w:rPr>
                <w:color w:val="auto"/>
                <w:sz w:val="28"/>
                <w:szCs w:val="28"/>
                <w:highlight w:val="none"/>
              </w:rPr>
            </w:pPr>
            <w:r>
              <w:rPr>
                <w:rFonts w:hint="eastAsia"/>
                <w:color w:val="auto"/>
                <w:highlight w:val="none"/>
                <w:lang w:bidi="ar"/>
              </w:rPr>
              <w:t>7</w:t>
            </w:r>
          </w:p>
        </w:tc>
      </w:tr>
      <w:tr w14:paraId="488F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8900D5B">
            <w:pPr>
              <w:jc w:val="center"/>
              <w:rPr>
                <w:color w:val="auto"/>
                <w:sz w:val="28"/>
                <w:szCs w:val="28"/>
                <w:highlight w:val="none"/>
              </w:rPr>
            </w:pPr>
          </w:p>
        </w:tc>
        <w:tc>
          <w:tcPr>
            <w:tcW w:w="1673" w:type="dxa"/>
            <w:vMerge w:val="continue"/>
            <w:vAlign w:val="center"/>
          </w:tcPr>
          <w:p w14:paraId="495D5B83">
            <w:pPr>
              <w:jc w:val="center"/>
              <w:rPr>
                <w:color w:val="auto"/>
                <w:sz w:val="28"/>
                <w:szCs w:val="28"/>
                <w:highlight w:val="none"/>
              </w:rPr>
            </w:pPr>
          </w:p>
        </w:tc>
        <w:tc>
          <w:tcPr>
            <w:tcW w:w="1575" w:type="dxa"/>
            <w:vAlign w:val="center"/>
          </w:tcPr>
          <w:p w14:paraId="1D8C8962">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337F3172">
            <w:pPr>
              <w:jc w:val="center"/>
              <w:rPr>
                <w:color w:val="auto"/>
                <w:sz w:val="28"/>
                <w:szCs w:val="28"/>
                <w:highlight w:val="none"/>
              </w:rPr>
            </w:pPr>
          </w:p>
        </w:tc>
        <w:tc>
          <w:tcPr>
            <w:tcW w:w="2545" w:type="dxa"/>
            <w:vAlign w:val="center"/>
          </w:tcPr>
          <w:p w14:paraId="3198A8C6">
            <w:pPr>
              <w:widowControl/>
              <w:jc w:val="center"/>
              <w:textAlignment w:val="center"/>
              <w:rPr>
                <w:color w:val="auto"/>
                <w:sz w:val="28"/>
                <w:szCs w:val="28"/>
                <w:highlight w:val="none"/>
              </w:rPr>
            </w:pPr>
            <w:r>
              <w:rPr>
                <w:rFonts w:hint="eastAsia"/>
                <w:color w:val="auto"/>
                <w:highlight w:val="none"/>
                <w:lang w:bidi="ar"/>
              </w:rPr>
              <w:t>1</w:t>
            </w:r>
          </w:p>
        </w:tc>
      </w:tr>
      <w:tr w14:paraId="496A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43B7CD56">
            <w:pPr>
              <w:jc w:val="center"/>
              <w:rPr>
                <w:color w:val="auto"/>
                <w:sz w:val="28"/>
                <w:szCs w:val="28"/>
                <w:highlight w:val="none"/>
              </w:rPr>
            </w:pPr>
          </w:p>
        </w:tc>
        <w:tc>
          <w:tcPr>
            <w:tcW w:w="1673" w:type="dxa"/>
            <w:vMerge w:val="continue"/>
            <w:vAlign w:val="center"/>
          </w:tcPr>
          <w:p w14:paraId="7D4D3C26">
            <w:pPr>
              <w:jc w:val="center"/>
              <w:rPr>
                <w:color w:val="auto"/>
                <w:sz w:val="28"/>
                <w:szCs w:val="28"/>
                <w:highlight w:val="none"/>
              </w:rPr>
            </w:pPr>
          </w:p>
        </w:tc>
        <w:tc>
          <w:tcPr>
            <w:tcW w:w="1575" w:type="dxa"/>
            <w:vAlign w:val="center"/>
          </w:tcPr>
          <w:p w14:paraId="17096AD4">
            <w:pPr>
              <w:widowControl/>
              <w:jc w:val="center"/>
              <w:textAlignment w:val="center"/>
              <w:rPr>
                <w:color w:val="auto"/>
                <w:sz w:val="28"/>
                <w:szCs w:val="28"/>
                <w:highlight w:val="none"/>
              </w:rPr>
            </w:pPr>
            <w:r>
              <w:rPr>
                <w:rFonts w:hint="eastAsia"/>
                <w:color w:val="auto"/>
                <w:highlight w:val="none"/>
                <w:lang w:bidi="ar"/>
              </w:rPr>
              <w:t>电缆</w:t>
            </w:r>
          </w:p>
        </w:tc>
        <w:tc>
          <w:tcPr>
            <w:tcW w:w="1700" w:type="dxa"/>
            <w:vAlign w:val="center"/>
          </w:tcPr>
          <w:p w14:paraId="5F540594">
            <w:pPr>
              <w:jc w:val="center"/>
              <w:rPr>
                <w:color w:val="auto"/>
                <w:sz w:val="28"/>
                <w:szCs w:val="28"/>
                <w:highlight w:val="none"/>
              </w:rPr>
            </w:pPr>
          </w:p>
        </w:tc>
        <w:tc>
          <w:tcPr>
            <w:tcW w:w="2545" w:type="dxa"/>
            <w:vAlign w:val="center"/>
          </w:tcPr>
          <w:p w14:paraId="3566F24E">
            <w:pPr>
              <w:widowControl/>
              <w:jc w:val="center"/>
              <w:textAlignment w:val="center"/>
              <w:rPr>
                <w:color w:val="auto"/>
                <w:sz w:val="28"/>
                <w:szCs w:val="28"/>
                <w:highlight w:val="none"/>
              </w:rPr>
            </w:pPr>
            <w:r>
              <w:rPr>
                <w:rFonts w:hint="eastAsia"/>
                <w:color w:val="auto"/>
                <w:highlight w:val="none"/>
                <w:lang w:bidi="ar"/>
              </w:rPr>
              <w:t>1</w:t>
            </w:r>
          </w:p>
        </w:tc>
      </w:tr>
      <w:tr w14:paraId="074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47BEE13">
            <w:pPr>
              <w:jc w:val="center"/>
              <w:rPr>
                <w:color w:val="auto"/>
                <w:sz w:val="28"/>
                <w:szCs w:val="28"/>
                <w:highlight w:val="none"/>
              </w:rPr>
            </w:pPr>
          </w:p>
        </w:tc>
        <w:tc>
          <w:tcPr>
            <w:tcW w:w="1673" w:type="dxa"/>
            <w:vMerge w:val="continue"/>
            <w:vAlign w:val="center"/>
          </w:tcPr>
          <w:p w14:paraId="7169042C">
            <w:pPr>
              <w:jc w:val="center"/>
              <w:rPr>
                <w:color w:val="auto"/>
                <w:sz w:val="28"/>
                <w:szCs w:val="28"/>
                <w:highlight w:val="none"/>
              </w:rPr>
            </w:pPr>
          </w:p>
        </w:tc>
        <w:tc>
          <w:tcPr>
            <w:tcW w:w="1575" w:type="dxa"/>
            <w:vAlign w:val="center"/>
          </w:tcPr>
          <w:p w14:paraId="64D211CE">
            <w:pPr>
              <w:widowControl/>
              <w:jc w:val="center"/>
              <w:textAlignment w:val="center"/>
              <w:rPr>
                <w:color w:val="auto"/>
                <w:highlight w:val="none"/>
                <w:lang w:bidi="ar"/>
              </w:rPr>
            </w:pPr>
            <w:r>
              <w:rPr>
                <w:rFonts w:hint="eastAsia"/>
                <w:color w:val="auto"/>
                <w:highlight w:val="none"/>
                <w:lang w:bidi="ar"/>
              </w:rPr>
              <w:t>变压器</w:t>
            </w:r>
          </w:p>
        </w:tc>
        <w:tc>
          <w:tcPr>
            <w:tcW w:w="1700" w:type="dxa"/>
            <w:vAlign w:val="center"/>
          </w:tcPr>
          <w:p w14:paraId="6A01F58F">
            <w:pPr>
              <w:widowControl/>
              <w:jc w:val="center"/>
              <w:textAlignment w:val="center"/>
              <w:rPr>
                <w:color w:val="auto"/>
                <w:sz w:val="28"/>
                <w:szCs w:val="28"/>
                <w:highlight w:val="none"/>
              </w:rPr>
            </w:pPr>
            <w:r>
              <w:rPr>
                <w:rFonts w:hint="eastAsia"/>
                <w:color w:val="auto"/>
                <w:highlight w:val="none"/>
                <w:lang w:bidi="ar"/>
              </w:rPr>
              <w:t>500KVA</w:t>
            </w:r>
          </w:p>
        </w:tc>
        <w:tc>
          <w:tcPr>
            <w:tcW w:w="2545" w:type="dxa"/>
            <w:vAlign w:val="center"/>
          </w:tcPr>
          <w:p w14:paraId="6836541A">
            <w:pPr>
              <w:widowControl/>
              <w:jc w:val="center"/>
              <w:textAlignment w:val="center"/>
              <w:rPr>
                <w:color w:val="auto"/>
                <w:highlight w:val="none"/>
                <w:lang w:bidi="ar"/>
              </w:rPr>
            </w:pPr>
            <w:r>
              <w:rPr>
                <w:rFonts w:hint="eastAsia"/>
                <w:color w:val="auto"/>
                <w:highlight w:val="none"/>
                <w:lang w:bidi="ar"/>
              </w:rPr>
              <w:t>2</w:t>
            </w:r>
          </w:p>
        </w:tc>
      </w:tr>
      <w:tr w14:paraId="2C19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86F4AF8">
            <w:pPr>
              <w:jc w:val="center"/>
              <w:rPr>
                <w:color w:val="auto"/>
                <w:sz w:val="28"/>
                <w:szCs w:val="28"/>
                <w:highlight w:val="none"/>
              </w:rPr>
            </w:pPr>
          </w:p>
        </w:tc>
        <w:tc>
          <w:tcPr>
            <w:tcW w:w="1673" w:type="dxa"/>
            <w:vMerge w:val="continue"/>
            <w:vAlign w:val="center"/>
          </w:tcPr>
          <w:p w14:paraId="309BC62A">
            <w:pPr>
              <w:jc w:val="center"/>
              <w:rPr>
                <w:color w:val="auto"/>
                <w:sz w:val="28"/>
                <w:szCs w:val="28"/>
                <w:highlight w:val="none"/>
              </w:rPr>
            </w:pPr>
          </w:p>
        </w:tc>
        <w:tc>
          <w:tcPr>
            <w:tcW w:w="1575" w:type="dxa"/>
            <w:vAlign w:val="center"/>
          </w:tcPr>
          <w:p w14:paraId="630E0A54">
            <w:pPr>
              <w:widowControl/>
              <w:jc w:val="center"/>
              <w:textAlignment w:val="center"/>
              <w:rPr>
                <w:color w:val="auto"/>
                <w:sz w:val="28"/>
                <w:szCs w:val="28"/>
                <w:highlight w:val="none"/>
              </w:rPr>
            </w:pPr>
            <w:r>
              <w:rPr>
                <w:rFonts w:hint="eastAsia"/>
                <w:color w:val="auto"/>
                <w:highlight w:val="none"/>
                <w:lang w:bidi="ar"/>
              </w:rPr>
              <w:t>高压柜</w:t>
            </w:r>
          </w:p>
        </w:tc>
        <w:tc>
          <w:tcPr>
            <w:tcW w:w="1700" w:type="dxa"/>
            <w:vAlign w:val="center"/>
          </w:tcPr>
          <w:p w14:paraId="2CAF26E3">
            <w:pPr>
              <w:jc w:val="center"/>
              <w:rPr>
                <w:color w:val="auto"/>
                <w:sz w:val="28"/>
                <w:szCs w:val="28"/>
                <w:highlight w:val="none"/>
              </w:rPr>
            </w:pPr>
          </w:p>
        </w:tc>
        <w:tc>
          <w:tcPr>
            <w:tcW w:w="2545" w:type="dxa"/>
            <w:vAlign w:val="center"/>
          </w:tcPr>
          <w:p w14:paraId="56739B4B">
            <w:pPr>
              <w:widowControl/>
              <w:jc w:val="center"/>
              <w:textAlignment w:val="center"/>
              <w:rPr>
                <w:color w:val="auto"/>
                <w:sz w:val="28"/>
                <w:szCs w:val="28"/>
                <w:highlight w:val="none"/>
              </w:rPr>
            </w:pPr>
            <w:r>
              <w:rPr>
                <w:rFonts w:hint="eastAsia"/>
                <w:color w:val="auto"/>
                <w:highlight w:val="none"/>
                <w:lang w:bidi="ar"/>
              </w:rPr>
              <w:t>26</w:t>
            </w:r>
          </w:p>
        </w:tc>
      </w:tr>
      <w:tr w14:paraId="39B3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89E86EF">
            <w:pPr>
              <w:jc w:val="center"/>
              <w:rPr>
                <w:color w:val="auto"/>
                <w:sz w:val="28"/>
                <w:szCs w:val="28"/>
                <w:highlight w:val="none"/>
              </w:rPr>
            </w:pPr>
          </w:p>
        </w:tc>
        <w:tc>
          <w:tcPr>
            <w:tcW w:w="1673" w:type="dxa"/>
            <w:vMerge w:val="continue"/>
            <w:vAlign w:val="center"/>
          </w:tcPr>
          <w:p w14:paraId="24AB6B19">
            <w:pPr>
              <w:jc w:val="center"/>
              <w:rPr>
                <w:color w:val="auto"/>
                <w:sz w:val="28"/>
                <w:szCs w:val="28"/>
                <w:highlight w:val="none"/>
              </w:rPr>
            </w:pPr>
          </w:p>
        </w:tc>
        <w:tc>
          <w:tcPr>
            <w:tcW w:w="1575" w:type="dxa"/>
            <w:vAlign w:val="center"/>
          </w:tcPr>
          <w:p w14:paraId="5F38639D">
            <w:pPr>
              <w:widowControl/>
              <w:jc w:val="center"/>
              <w:textAlignment w:val="center"/>
              <w:rPr>
                <w:color w:val="auto"/>
                <w:sz w:val="28"/>
                <w:szCs w:val="28"/>
                <w:highlight w:val="none"/>
              </w:rPr>
            </w:pPr>
            <w:r>
              <w:rPr>
                <w:rFonts w:hint="eastAsia"/>
                <w:color w:val="auto"/>
                <w:highlight w:val="none"/>
                <w:lang w:bidi="ar"/>
              </w:rPr>
              <w:t>低压柜</w:t>
            </w:r>
          </w:p>
        </w:tc>
        <w:tc>
          <w:tcPr>
            <w:tcW w:w="1700" w:type="dxa"/>
            <w:vAlign w:val="center"/>
          </w:tcPr>
          <w:p w14:paraId="11526D75">
            <w:pPr>
              <w:jc w:val="center"/>
              <w:rPr>
                <w:color w:val="auto"/>
                <w:sz w:val="28"/>
                <w:szCs w:val="28"/>
                <w:highlight w:val="none"/>
              </w:rPr>
            </w:pPr>
          </w:p>
        </w:tc>
        <w:tc>
          <w:tcPr>
            <w:tcW w:w="2545" w:type="dxa"/>
            <w:vAlign w:val="center"/>
          </w:tcPr>
          <w:p w14:paraId="223DD8CE">
            <w:pPr>
              <w:widowControl/>
              <w:jc w:val="center"/>
              <w:textAlignment w:val="center"/>
              <w:rPr>
                <w:color w:val="auto"/>
                <w:sz w:val="28"/>
                <w:szCs w:val="28"/>
                <w:highlight w:val="none"/>
              </w:rPr>
            </w:pPr>
            <w:r>
              <w:rPr>
                <w:rFonts w:hint="eastAsia"/>
                <w:color w:val="auto"/>
                <w:highlight w:val="none"/>
                <w:lang w:bidi="ar"/>
              </w:rPr>
              <w:t>63</w:t>
            </w:r>
          </w:p>
        </w:tc>
      </w:tr>
      <w:tr w14:paraId="625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4EA2D60">
            <w:pPr>
              <w:jc w:val="center"/>
              <w:rPr>
                <w:color w:val="auto"/>
                <w:sz w:val="28"/>
                <w:szCs w:val="28"/>
                <w:highlight w:val="none"/>
              </w:rPr>
            </w:pPr>
          </w:p>
        </w:tc>
        <w:tc>
          <w:tcPr>
            <w:tcW w:w="1673" w:type="dxa"/>
            <w:vMerge w:val="continue"/>
            <w:vAlign w:val="center"/>
          </w:tcPr>
          <w:p w14:paraId="46DB76D8">
            <w:pPr>
              <w:jc w:val="center"/>
              <w:rPr>
                <w:color w:val="auto"/>
                <w:sz w:val="28"/>
                <w:szCs w:val="28"/>
                <w:highlight w:val="none"/>
              </w:rPr>
            </w:pPr>
          </w:p>
        </w:tc>
        <w:tc>
          <w:tcPr>
            <w:tcW w:w="1575" w:type="dxa"/>
            <w:vAlign w:val="center"/>
          </w:tcPr>
          <w:p w14:paraId="6C6B146F">
            <w:pPr>
              <w:widowControl/>
              <w:jc w:val="center"/>
              <w:textAlignment w:val="center"/>
              <w:rPr>
                <w:color w:val="auto"/>
                <w:sz w:val="28"/>
                <w:szCs w:val="28"/>
                <w:highlight w:val="none"/>
              </w:rPr>
            </w:pPr>
            <w:r>
              <w:rPr>
                <w:rFonts w:hint="eastAsia"/>
                <w:color w:val="auto"/>
                <w:highlight w:val="none"/>
                <w:lang w:bidi="ar"/>
              </w:rPr>
              <w:t>直流屏</w:t>
            </w:r>
          </w:p>
        </w:tc>
        <w:tc>
          <w:tcPr>
            <w:tcW w:w="1700" w:type="dxa"/>
            <w:vAlign w:val="center"/>
          </w:tcPr>
          <w:p w14:paraId="62FBC99A">
            <w:pPr>
              <w:jc w:val="center"/>
              <w:rPr>
                <w:color w:val="auto"/>
                <w:sz w:val="28"/>
                <w:szCs w:val="28"/>
                <w:highlight w:val="none"/>
              </w:rPr>
            </w:pPr>
          </w:p>
        </w:tc>
        <w:tc>
          <w:tcPr>
            <w:tcW w:w="2545" w:type="dxa"/>
            <w:vAlign w:val="center"/>
          </w:tcPr>
          <w:p w14:paraId="70720CB5">
            <w:pPr>
              <w:widowControl/>
              <w:jc w:val="center"/>
              <w:textAlignment w:val="center"/>
              <w:rPr>
                <w:color w:val="auto"/>
                <w:sz w:val="28"/>
                <w:szCs w:val="28"/>
                <w:highlight w:val="none"/>
              </w:rPr>
            </w:pPr>
            <w:r>
              <w:rPr>
                <w:rFonts w:hint="eastAsia"/>
                <w:color w:val="auto"/>
                <w:highlight w:val="none"/>
                <w:lang w:bidi="ar"/>
              </w:rPr>
              <w:t>11</w:t>
            </w:r>
          </w:p>
        </w:tc>
      </w:tr>
    </w:tbl>
    <w:p w14:paraId="5BACAFDC">
      <w:pPr>
        <w:spacing w:line="500" w:lineRule="exact"/>
        <w:ind w:firstLine="482" w:firstLineChars="200"/>
        <w:rPr>
          <w:color w:val="auto"/>
          <w:sz w:val="24"/>
          <w:highlight w:val="none"/>
        </w:rPr>
      </w:pPr>
      <w:r>
        <w:rPr>
          <w:rFonts w:hint="eastAsia"/>
          <w:b/>
          <w:bCs/>
          <w:color w:val="auto"/>
          <w:sz w:val="24"/>
          <w:highlight w:val="none"/>
        </w:rPr>
        <w:t>2、检修明细表</w:t>
      </w:r>
    </w:p>
    <w:tbl>
      <w:tblPr>
        <w:tblStyle w:val="2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5515"/>
        <w:gridCol w:w="2122"/>
      </w:tblGrid>
      <w:tr w14:paraId="64A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32" w:type="dxa"/>
            <w:vAlign w:val="center"/>
          </w:tcPr>
          <w:p w14:paraId="0AE367B0">
            <w:pPr>
              <w:widowControl/>
              <w:spacing w:line="500" w:lineRule="exact"/>
              <w:jc w:val="center"/>
              <w:rPr>
                <w:color w:val="auto"/>
                <w:sz w:val="28"/>
                <w:szCs w:val="28"/>
                <w:highlight w:val="none"/>
              </w:rPr>
            </w:pPr>
            <w:r>
              <w:rPr>
                <w:rFonts w:hint="eastAsia"/>
                <w:color w:val="auto"/>
                <w:sz w:val="28"/>
                <w:szCs w:val="28"/>
                <w:highlight w:val="none"/>
              </w:rPr>
              <w:t>设备名称</w:t>
            </w:r>
          </w:p>
        </w:tc>
        <w:tc>
          <w:tcPr>
            <w:tcW w:w="5515" w:type="dxa"/>
            <w:vAlign w:val="center"/>
          </w:tcPr>
          <w:p w14:paraId="510D7978">
            <w:pPr>
              <w:widowControl/>
              <w:spacing w:line="500" w:lineRule="exact"/>
              <w:ind w:right="-193" w:rightChars="-92"/>
              <w:jc w:val="center"/>
              <w:rPr>
                <w:color w:val="auto"/>
                <w:sz w:val="28"/>
                <w:szCs w:val="28"/>
                <w:highlight w:val="none"/>
              </w:rPr>
            </w:pPr>
            <w:r>
              <w:rPr>
                <w:rFonts w:hint="eastAsia"/>
                <w:color w:val="auto"/>
                <w:sz w:val="28"/>
                <w:szCs w:val="28"/>
                <w:highlight w:val="none"/>
              </w:rPr>
              <w:t>检修内容</w:t>
            </w:r>
          </w:p>
        </w:tc>
        <w:tc>
          <w:tcPr>
            <w:tcW w:w="2122" w:type="dxa"/>
            <w:vAlign w:val="center"/>
          </w:tcPr>
          <w:p w14:paraId="0CF9C2B8">
            <w:pPr>
              <w:widowControl/>
              <w:jc w:val="center"/>
              <w:textAlignment w:val="center"/>
              <w:rPr>
                <w:color w:val="auto"/>
                <w:sz w:val="28"/>
                <w:szCs w:val="28"/>
                <w:highlight w:val="none"/>
              </w:rPr>
            </w:pPr>
            <w:r>
              <w:rPr>
                <w:rFonts w:hint="eastAsia"/>
                <w:color w:val="auto"/>
                <w:highlight w:val="none"/>
                <w:lang w:bidi="ar"/>
              </w:rPr>
              <w:t>备注</w:t>
            </w:r>
          </w:p>
        </w:tc>
      </w:tr>
      <w:tr w14:paraId="769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45E4D64A">
            <w:pPr>
              <w:widowControl/>
              <w:jc w:val="center"/>
              <w:textAlignment w:val="center"/>
              <w:rPr>
                <w:color w:val="auto"/>
                <w:highlight w:val="none"/>
                <w:lang w:bidi="ar"/>
              </w:rPr>
            </w:pPr>
            <w:r>
              <w:rPr>
                <w:rFonts w:hint="eastAsia"/>
                <w:color w:val="auto"/>
                <w:highlight w:val="none"/>
                <w:lang w:bidi="ar"/>
              </w:rPr>
              <w:t>变压器</w:t>
            </w:r>
          </w:p>
        </w:tc>
        <w:tc>
          <w:tcPr>
            <w:tcW w:w="5515" w:type="dxa"/>
            <w:vAlign w:val="center"/>
          </w:tcPr>
          <w:p w14:paraId="76FDA2E1">
            <w:pPr>
              <w:widowControl/>
              <w:jc w:val="left"/>
              <w:textAlignment w:val="center"/>
              <w:rPr>
                <w:color w:val="auto"/>
                <w:highlight w:val="none"/>
                <w:lang w:bidi="ar"/>
              </w:rPr>
            </w:pPr>
            <w:r>
              <w:rPr>
                <w:rFonts w:hint="eastAsia"/>
                <w:color w:val="auto"/>
                <w:highlight w:val="none"/>
                <w:lang w:bidi="ar"/>
              </w:rPr>
              <w:t>1、清洁</w:t>
            </w:r>
          </w:p>
        </w:tc>
        <w:tc>
          <w:tcPr>
            <w:tcW w:w="2122" w:type="dxa"/>
            <w:vAlign w:val="center"/>
          </w:tcPr>
          <w:p w14:paraId="7B5E954F">
            <w:pPr>
              <w:widowControl/>
              <w:jc w:val="center"/>
              <w:textAlignment w:val="center"/>
              <w:rPr>
                <w:color w:val="auto"/>
                <w:highlight w:val="none"/>
                <w:lang w:bidi="ar"/>
              </w:rPr>
            </w:pPr>
          </w:p>
        </w:tc>
      </w:tr>
      <w:tr w14:paraId="1573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7F03AD3F">
            <w:pPr>
              <w:widowControl/>
              <w:jc w:val="center"/>
              <w:textAlignment w:val="center"/>
              <w:rPr>
                <w:color w:val="auto"/>
                <w:highlight w:val="none"/>
                <w:lang w:bidi="ar"/>
              </w:rPr>
            </w:pPr>
          </w:p>
        </w:tc>
        <w:tc>
          <w:tcPr>
            <w:tcW w:w="5515" w:type="dxa"/>
            <w:vAlign w:val="center"/>
          </w:tcPr>
          <w:p w14:paraId="4B1A5660">
            <w:pPr>
              <w:widowControl/>
              <w:jc w:val="left"/>
              <w:textAlignment w:val="center"/>
              <w:rPr>
                <w:color w:val="auto"/>
                <w:highlight w:val="none"/>
                <w:lang w:bidi="ar"/>
              </w:rPr>
            </w:pPr>
            <w:r>
              <w:rPr>
                <w:rFonts w:hint="eastAsia"/>
                <w:color w:val="auto"/>
                <w:highlight w:val="none"/>
                <w:lang w:bidi="ar"/>
              </w:rPr>
              <w:t>2、外观检查</w:t>
            </w:r>
          </w:p>
        </w:tc>
        <w:tc>
          <w:tcPr>
            <w:tcW w:w="2122" w:type="dxa"/>
            <w:vAlign w:val="center"/>
          </w:tcPr>
          <w:p w14:paraId="4C7090E4">
            <w:pPr>
              <w:widowControl/>
              <w:jc w:val="center"/>
              <w:textAlignment w:val="center"/>
              <w:rPr>
                <w:color w:val="auto"/>
                <w:highlight w:val="none"/>
                <w:lang w:bidi="ar"/>
              </w:rPr>
            </w:pPr>
          </w:p>
        </w:tc>
      </w:tr>
      <w:tr w14:paraId="513B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07B17133">
            <w:pPr>
              <w:widowControl/>
              <w:jc w:val="center"/>
              <w:textAlignment w:val="center"/>
              <w:rPr>
                <w:color w:val="auto"/>
                <w:highlight w:val="none"/>
                <w:lang w:bidi="ar"/>
              </w:rPr>
            </w:pPr>
          </w:p>
        </w:tc>
        <w:tc>
          <w:tcPr>
            <w:tcW w:w="5515" w:type="dxa"/>
            <w:vAlign w:val="center"/>
          </w:tcPr>
          <w:p w14:paraId="3D505532">
            <w:pPr>
              <w:widowControl/>
              <w:jc w:val="left"/>
              <w:textAlignment w:val="center"/>
              <w:rPr>
                <w:color w:val="auto"/>
                <w:highlight w:val="none"/>
                <w:lang w:bidi="ar"/>
              </w:rPr>
            </w:pPr>
            <w:r>
              <w:rPr>
                <w:rFonts w:hint="eastAsia"/>
                <w:color w:val="auto"/>
                <w:highlight w:val="none"/>
                <w:lang w:bidi="ar"/>
              </w:rPr>
              <w:t>3、绝缘电阻测试</w:t>
            </w:r>
          </w:p>
        </w:tc>
        <w:tc>
          <w:tcPr>
            <w:tcW w:w="2122" w:type="dxa"/>
            <w:vAlign w:val="center"/>
          </w:tcPr>
          <w:p w14:paraId="4DE12453">
            <w:pPr>
              <w:widowControl/>
              <w:jc w:val="center"/>
              <w:textAlignment w:val="center"/>
              <w:rPr>
                <w:color w:val="auto"/>
                <w:highlight w:val="none"/>
                <w:lang w:bidi="ar"/>
              </w:rPr>
            </w:pPr>
          </w:p>
        </w:tc>
      </w:tr>
      <w:tr w14:paraId="4E28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6B94E1D5">
            <w:pPr>
              <w:widowControl/>
              <w:jc w:val="center"/>
              <w:textAlignment w:val="center"/>
              <w:rPr>
                <w:color w:val="auto"/>
                <w:highlight w:val="none"/>
                <w:lang w:bidi="ar"/>
              </w:rPr>
            </w:pPr>
          </w:p>
        </w:tc>
        <w:tc>
          <w:tcPr>
            <w:tcW w:w="5515" w:type="dxa"/>
            <w:vAlign w:val="center"/>
          </w:tcPr>
          <w:p w14:paraId="49A8A8A8">
            <w:pPr>
              <w:widowControl/>
              <w:jc w:val="left"/>
              <w:textAlignment w:val="center"/>
              <w:rPr>
                <w:color w:val="auto"/>
                <w:highlight w:val="none"/>
                <w:lang w:bidi="ar"/>
              </w:rPr>
            </w:pPr>
            <w:r>
              <w:rPr>
                <w:rFonts w:hint="eastAsia"/>
                <w:color w:val="auto"/>
                <w:highlight w:val="none"/>
                <w:lang w:bidi="ar"/>
              </w:rPr>
              <w:t>4、直流电阻测试</w:t>
            </w:r>
          </w:p>
        </w:tc>
        <w:tc>
          <w:tcPr>
            <w:tcW w:w="2122" w:type="dxa"/>
            <w:vAlign w:val="center"/>
          </w:tcPr>
          <w:p w14:paraId="665B0DAB">
            <w:pPr>
              <w:widowControl/>
              <w:jc w:val="center"/>
              <w:textAlignment w:val="center"/>
              <w:rPr>
                <w:color w:val="auto"/>
                <w:highlight w:val="none"/>
                <w:lang w:bidi="ar"/>
              </w:rPr>
            </w:pPr>
          </w:p>
        </w:tc>
      </w:tr>
      <w:tr w14:paraId="32C2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7C483EB6">
            <w:pPr>
              <w:widowControl/>
              <w:jc w:val="center"/>
              <w:textAlignment w:val="center"/>
              <w:rPr>
                <w:color w:val="auto"/>
                <w:highlight w:val="none"/>
                <w:lang w:bidi="ar"/>
              </w:rPr>
            </w:pPr>
          </w:p>
        </w:tc>
        <w:tc>
          <w:tcPr>
            <w:tcW w:w="5515" w:type="dxa"/>
            <w:vAlign w:val="center"/>
          </w:tcPr>
          <w:p w14:paraId="7A9ABAB5">
            <w:pPr>
              <w:widowControl/>
              <w:jc w:val="left"/>
              <w:textAlignment w:val="center"/>
              <w:rPr>
                <w:color w:val="auto"/>
                <w:highlight w:val="none"/>
                <w:lang w:bidi="ar"/>
              </w:rPr>
            </w:pPr>
            <w:r>
              <w:rPr>
                <w:rFonts w:hint="eastAsia"/>
                <w:color w:val="auto"/>
                <w:highlight w:val="none"/>
                <w:lang w:bidi="ar"/>
              </w:rPr>
              <w:t>5、交流耐压试验</w:t>
            </w:r>
          </w:p>
        </w:tc>
        <w:tc>
          <w:tcPr>
            <w:tcW w:w="2122" w:type="dxa"/>
            <w:vAlign w:val="center"/>
          </w:tcPr>
          <w:p w14:paraId="1CF9B5DB">
            <w:pPr>
              <w:widowControl/>
              <w:jc w:val="center"/>
              <w:textAlignment w:val="center"/>
              <w:rPr>
                <w:color w:val="auto"/>
                <w:highlight w:val="none"/>
                <w:lang w:bidi="ar"/>
              </w:rPr>
            </w:pPr>
          </w:p>
        </w:tc>
      </w:tr>
      <w:tr w14:paraId="7422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635E896C">
            <w:pPr>
              <w:widowControl/>
              <w:jc w:val="center"/>
              <w:textAlignment w:val="center"/>
              <w:rPr>
                <w:color w:val="auto"/>
                <w:highlight w:val="none"/>
                <w:lang w:bidi="ar"/>
              </w:rPr>
            </w:pPr>
          </w:p>
        </w:tc>
        <w:tc>
          <w:tcPr>
            <w:tcW w:w="5515" w:type="dxa"/>
            <w:vAlign w:val="center"/>
          </w:tcPr>
          <w:p w14:paraId="3CCAD1D2">
            <w:pPr>
              <w:widowControl/>
              <w:jc w:val="left"/>
              <w:textAlignment w:val="center"/>
              <w:rPr>
                <w:color w:val="auto"/>
                <w:highlight w:val="none"/>
                <w:lang w:bidi="ar"/>
              </w:rPr>
            </w:pPr>
            <w:r>
              <w:rPr>
                <w:rFonts w:hint="eastAsia"/>
                <w:color w:val="auto"/>
                <w:highlight w:val="none"/>
                <w:lang w:bidi="ar"/>
              </w:rPr>
              <w:t>6、变比测量</w:t>
            </w:r>
          </w:p>
        </w:tc>
        <w:tc>
          <w:tcPr>
            <w:tcW w:w="2122" w:type="dxa"/>
            <w:vAlign w:val="center"/>
          </w:tcPr>
          <w:p w14:paraId="4BE03A1C">
            <w:pPr>
              <w:widowControl/>
              <w:jc w:val="center"/>
              <w:textAlignment w:val="center"/>
              <w:rPr>
                <w:color w:val="auto"/>
                <w:highlight w:val="none"/>
                <w:lang w:bidi="ar"/>
              </w:rPr>
            </w:pPr>
          </w:p>
        </w:tc>
      </w:tr>
      <w:tr w14:paraId="7D89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59B2C41C">
            <w:pPr>
              <w:widowControl/>
              <w:jc w:val="center"/>
              <w:textAlignment w:val="center"/>
              <w:rPr>
                <w:color w:val="auto"/>
                <w:highlight w:val="none"/>
                <w:lang w:bidi="ar"/>
              </w:rPr>
            </w:pPr>
          </w:p>
        </w:tc>
        <w:tc>
          <w:tcPr>
            <w:tcW w:w="5515" w:type="dxa"/>
            <w:vAlign w:val="center"/>
          </w:tcPr>
          <w:p w14:paraId="3A1A41CF">
            <w:pPr>
              <w:widowControl/>
              <w:jc w:val="left"/>
              <w:textAlignment w:val="center"/>
              <w:rPr>
                <w:color w:val="auto"/>
                <w:highlight w:val="none"/>
                <w:lang w:bidi="ar"/>
              </w:rPr>
            </w:pPr>
            <w:r>
              <w:rPr>
                <w:rFonts w:hint="eastAsia"/>
                <w:color w:val="auto"/>
                <w:highlight w:val="none"/>
                <w:lang w:bidi="ar"/>
              </w:rPr>
              <w:t>7、风机检测</w:t>
            </w:r>
          </w:p>
        </w:tc>
        <w:tc>
          <w:tcPr>
            <w:tcW w:w="2122" w:type="dxa"/>
            <w:vAlign w:val="center"/>
          </w:tcPr>
          <w:p w14:paraId="1C5B81A9">
            <w:pPr>
              <w:widowControl/>
              <w:jc w:val="center"/>
              <w:textAlignment w:val="center"/>
              <w:rPr>
                <w:color w:val="auto"/>
                <w:highlight w:val="none"/>
                <w:lang w:bidi="ar"/>
              </w:rPr>
            </w:pPr>
          </w:p>
        </w:tc>
      </w:tr>
      <w:tr w14:paraId="5BE6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30535887">
            <w:pPr>
              <w:widowControl/>
              <w:jc w:val="center"/>
              <w:textAlignment w:val="center"/>
              <w:rPr>
                <w:color w:val="auto"/>
                <w:highlight w:val="none"/>
                <w:lang w:bidi="ar"/>
              </w:rPr>
            </w:pPr>
          </w:p>
        </w:tc>
        <w:tc>
          <w:tcPr>
            <w:tcW w:w="5515" w:type="dxa"/>
            <w:vAlign w:val="center"/>
          </w:tcPr>
          <w:p w14:paraId="0877F702">
            <w:pPr>
              <w:widowControl/>
              <w:jc w:val="left"/>
              <w:textAlignment w:val="center"/>
              <w:rPr>
                <w:color w:val="auto"/>
                <w:highlight w:val="none"/>
                <w:lang w:bidi="ar"/>
              </w:rPr>
            </w:pPr>
            <w:r>
              <w:rPr>
                <w:rFonts w:hint="eastAsia"/>
                <w:color w:val="auto"/>
                <w:highlight w:val="none"/>
                <w:lang w:bidi="ar"/>
              </w:rPr>
              <w:t>8、温控仪检测</w:t>
            </w:r>
          </w:p>
        </w:tc>
        <w:tc>
          <w:tcPr>
            <w:tcW w:w="2122" w:type="dxa"/>
            <w:vAlign w:val="center"/>
          </w:tcPr>
          <w:p w14:paraId="7D4BB188">
            <w:pPr>
              <w:widowControl/>
              <w:jc w:val="center"/>
              <w:textAlignment w:val="center"/>
              <w:rPr>
                <w:color w:val="auto"/>
                <w:highlight w:val="none"/>
                <w:lang w:bidi="ar"/>
              </w:rPr>
            </w:pPr>
          </w:p>
        </w:tc>
      </w:tr>
      <w:tr w14:paraId="730F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3DD090E2">
            <w:pPr>
              <w:widowControl/>
              <w:jc w:val="center"/>
              <w:textAlignment w:val="center"/>
              <w:rPr>
                <w:color w:val="auto"/>
                <w:highlight w:val="none"/>
                <w:lang w:bidi="ar"/>
              </w:rPr>
            </w:pPr>
          </w:p>
        </w:tc>
        <w:tc>
          <w:tcPr>
            <w:tcW w:w="5515" w:type="dxa"/>
            <w:vAlign w:val="center"/>
          </w:tcPr>
          <w:p w14:paraId="0552F955">
            <w:pPr>
              <w:widowControl/>
              <w:jc w:val="left"/>
              <w:textAlignment w:val="center"/>
              <w:rPr>
                <w:color w:val="auto"/>
                <w:highlight w:val="none"/>
                <w:lang w:bidi="ar"/>
              </w:rPr>
            </w:pPr>
            <w:r>
              <w:rPr>
                <w:rFonts w:hint="eastAsia"/>
                <w:color w:val="auto"/>
                <w:highlight w:val="none"/>
                <w:lang w:bidi="ar"/>
              </w:rPr>
              <w:t>9、油样检测</w:t>
            </w:r>
          </w:p>
        </w:tc>
        <w:tc>
          <w:tcPr>
            <w:tcW w:w="2122" w:type="dxa"/>
            <w:vAlign w:val="center"/>
          </w:tcPr>
          <w:p w14:paraId="5B33F371">
            <w:pPr>
              <w:widowControl/>
              <w:jc w:val="center"/>
              <w:textAlignment w:val="center"/>
              <w:rPr>
                <w:color w:val="auto"/>
                <w:highlight w:val="none"/>
                <w:lang w:bidi="ar"/>
              </w:rPr>
            </w:pPr>
            <w:r>
              <w:rPr>
                <w:rFonts w:hint="eastAsia"/>
                <w:color w:val="auto"/>
                <w:highlight w:val="none"/>
                <w:lang w:bidi="ar"/>
              </w:rPr>
              <w:t>干式变压器无此项</w:t>
            </w:r>
          </w:p>
        </w:tc>
      </w:tr>
      <w:tr w14:paraId="010F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238293C5">
            <w:pPr>
              <w:widowControl/>
              <w:jc w:val="center"/>
              <w:textAlignment w:val="center"/>
              <w:rPr>
                <w:color w:val="auto"/>
                <w:highlight w:val="none"/>
                <w:lang w:bidi="ar"/>
              </w:rPr>
            </w:pPr>
          </w:p>
        </w:tc>
        <w:tc>
          <w:tcPr>
            <w:tcW w:w="5515" w:type="dxa"/>
            <w:vAlign w:val="center"/>
          </w:tcPr>
          <w:p w14:paraId="636BB492">
            <w:pPr>
              <w:widowControl/>
              <w:jc w:val="left"/>
              <w:textAlignment w:val="center"/>
              <w:rPr>
                <w:color w:val="auto"/>
                <w:highlight w:val="none"/>
                <w:lang w:bidi="ar"/>
              </w:rPr>
            </w:pPr>
            <w:r>
              <w:rPr>
                <w:rFonts w:hint="eastAsia"/>
                <w:color w:val="auto"/>
                <w:highlight w:val="none"/>
                <w:lang w:bidi="ar"/>
              </w:rPr>
              <w:t>10、瓦斯继电器试验</w:t>
            </w:r>
          </w:p>
        </w:tc>
        <w:tc>
          <w:tcPr>
            <w:tcW w:w="2122" w:type="dxa"/>
            <w:vAlign w:val="center"/>
          </w:tcPr>
          <w:p w14:paraId="35FB343C">
            <w:pPr>
              <w:widowControl/>
              <w:jc w:val="center"/>
              <w:textAlignment w:val="center"/>
              <w:rPr>
                <w:color w:val="auto"/>
                <w:highlight w:val="none"/>
                <w:lang w:bidi="ar"/>
              </w:rPr>
            </w:pPr>
            <w:r>
              <w:rPr>
                <w:rFonts w:hint="eastAsia"/>
                <w:color w:val="auto"/>
                <w:highlight w:val="none"/>
                <w:lang w:bidi="ar"/>
              </w:rPr>
              <w:t>干式变压器无此项</w:t>
            </w:r>
          </w:p>
        </w:tc>
      </w:tr>
      <w:tr w14:paraId="7B03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510ECB5F">
            <w:pPr>
              <w:widowControl/>
              <w:jc w:val="center"/>
              <w:textAlignment w:val="center"/>
              <w:rPr>
                <w:color w:val="auto"/>
                <w:highlight w:val="none"/>
                <w:lang w:bidi="ar"/>
              </w:rPr>
            </w:pPr>
          </w:p>
        </w:tc>
        <w:tc>
          <w:tcPr>
            <w:tcW w:w="5515" w:type="dxa"/>
            <w:vAlign w:val="center"/>
          </w:tcPr>
          <w:p w14:paraId="3F9CE7C9">
            <w:pPr>
              <w:widowControl/>
              <w:jc w:val="left"/>
              <w:textAlignment w:val="center"/>
              <w:rPr>
                <w:color w:val="auto"/>
                <w:highlight w:val="none"/>
                <w:lang w:bidi="ar"/>
              </w:rPr>
            </w:pPr>
            <w:r>
              <w:rPr>
                <w:rFonts w:hint="eastAsia"/>
                <w:color w:val="auto"/>
                <w:highlight w:val="none"/>
                <w:lang w:bidi="ar"/>
              </w:rPr>
              <w:t>11、接地电阻测试</w:t>
            </w:r>
          </w:p>
        </w:tc>
        <w:tc>
          <w:tcPr>
            <w:tcW w:w="2122" w:type="dxa"/>
            <w:vAlign w:val="center"/>
          </w:tcPr>
          <w:p w14:paraId="0174DB05">
            <w:pPr>
              <w:widowControl/>
              <w:jc w:val="center"/>
              <w:textAlignment w:val="center"/>
              <w:rPr>
                <w:color w:val="auto"/>
                <w:highlight w:val="none"/>
                <w:lang w:bidi="ar"/>
              </w:rPr>
            </w:pPr>
          </w:p>
        </w:tc>
      </w:tr>
      <w:tr w14:paraId="2EEF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3F841183">
            <w:pPr>
              <w:widowControl/>
              <w:jc w:val="center"/>
              <w:textAlignment w:val="center"/>
              <w:rPr>
                <w:color w:val="auto"/>
                <w:highlight w:val="none"/>
                <w:lang w:bidi="ar"/>
              </w:rPr>
            </w:pPr>
            <w:r>
              <w:rPr>
                <w:rFonts w:hint="eastAsia"/>
                <w:color w:val="auto"/>
                <w:highlight w:val="none"/>
                <w:lang w:bidi="ar"/>
              </w:rPr>
              <w:t>高压柜</w:t>
            </w:r>
          </w:p>
        </w:tc>
        <w:tc>
          <w:tcPr>
            <w:tcW w:w="5515" w:type="dxa"/>
            <w:vAlign w:val="center"/>
          </w:tcPr>
          <w:p w14:paraId="48A0A296">
            <w:pPr>
              <w:widowControl/>
              <w:jc w:val="left"/>
              <w:textAlignment w:val="center"/>
              <w:rPr>
                <w:color w:val="auto"/>
                <w:highlight w:val="none"/>
                <w:lang w:bidi="ar"/>
              </w:rPr>
            </w:pPr>
            <w:r>
              <w:rPr>
                <w:rFonts w:hint="eastAsia"/>
                <w:color w:val="auto"/>
                <w:highlight w:val="none"/>
                <w:lang w:bidi="ar"/>
              </w:rPr>
              <w:t>1、柜内清洁（含母排及穿墙套管）</w:t>
            </w:r>
          </w:p>
        </w:tc>
        <w:tc>
          <w:tcPr>
            <w:tcW w:w="2122" w:type="dxa"/>
            <w:vAlign w:val="center"/>
          </w:tcPr>
          <w:p w14:paraId="558A1FB8">
            <w:pPr>
              <w:widowControl/>
              <w:jc w:val="center"/>
              <w:textAlignment w:val="center"/>
              <w:rPr>
                <w:color w:val="auto"/>
                <w:highlight w:val="none"/>
                <w:lang w:bidi="ar"/>
              </w:rPr>
            </w:pPr>
          </w:p>
        </w:tc>
      </w:tr>
      <w:tr w14:paraId="7530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3E5005EF">
            <w:pPr>
              <w:widowControl/>
              <w:jc w:val="center"/>
              <w:textAlignment w:val="center"/>
              <w:rPr>
                <w:color w:val="auto"/>
                <w:highlight w:val="none"/>
                <w:lang w:bidi="ar"/>
              </w:rPr>
            </w:pPr>
          </w:p>
        </w:tc>
        <w:tc>
          <w:tcPr>
            <w:tcW w:w="5515" w:type="dxa"/>
            <w:vAlign w:val="center"/>
          </w:tcPr>
          <w:p w14:paraId="1F0073B9">
            <w:pPr>
              <w:widowControl/>
              <w:jc w:val="left"/>
              <w:textAlignment w:val="center"/>
              <w:rPr>
                <w:color w:val="auto"/>
                <w:highlight w:val="none"/>
                <w:lang w:bidi="ar"/>
              </w:rPr>
            </w:pPr>
            <w:r>
              <w:rPr>
                <w:rFonts w:hint="eastAsia"/>
                <w:color w:val="auto"/>
                <w:highlight w:val="none"/>
                <w:lang w:bidi="ar"/>
              </w:rPr>
              <w:t>2、母排螺丝检查</w:t>
            </w:r>
          </w:p>
        </w:tc>
        <w:tc>
          <w:tcPr>
            <w:tcW w:w="2122" w:type="dxa"/>
            <w:vAlign w:val="center"/>
          </w:tcPr>
          <w:p w14:paraId="6F644823">
            <w:pPr>
              <w:widowControl/>
              <w:jc w:val="center"/>
              <w:textAlignment w:val="center"/>
              <w:rPr>
                <w:color w:val="auto"/>
                <w:highlight w:val="none"/>
                <w:lang w:bidi="ar"/>
              </w:rPr>
            </w:pPr>
          </w:p>
        </w:tc>
      </w:tr>
      <w:tr w14:paraId="49A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59514080">
            <w:pPr>
              <w:widowControl/>
              <w:jc w:val="center"/>
              <w:textAlignment w:val="center"/>
              <w:rPr>
                <w:color w:val="auto"/>
                <w:highlight w:val="none"/>
                <w:lang w:bidi="ar"/>
              </w:rPr>
            </w:pPr>
          </w:p>
        </w:tc>
        <w:tc>
          <w:tcPr>
            <w:tcW w:w="5515" w:type="dxa"/>
            <w:vAlign w:val="center"/>
          </w:tcPr>
          <w:p w14:paraId="1D245D52">
            <w:pPr>
              <w:widowControl/>
              <w:jc w:val="left"/>
              <w:textAlignment w:val="center"/>
              <w:rPr>
                <w:color w:val="auto"/>
                <w:highlight w:val="none"/>
                <w:lang w:bidi="ar"/>
              </w:rPr>
            </w:pPr>
            <w:r>
              <w:rPr>
                <w:rFonts w:hint="eastAsia"/>
                <w:color w:val="auto"/>
                <w:highlight w:val="none"/>
                <w:lang w:bidi="ar"/>
              </w:rPr>
              <w:t>3、绝缘电阻测试</w:t>
            </w:r>
          </w:p>
        </w:tc>
        <w:tc>
          <w:tcPr>
            <w:tcW w:w="2122" w:type="dxa"/>
            <w:vAlign w:val="center"/>
          </w:tcPr>
          <w:p w14:paraId="171CDF12">
            <w:pPr>
              <w:widowControl/>
              <w:jc w:val="center"/>
              <w:textAlignment w:val="center"/>
              <w:rPr>
                <w:color w:val="auto"/>
                <w:highlight w:val="none"/>
                <w:lang w:bidi="ar"/>
              </w:rPr>
            </w:pPr>
          </w:p>
        </w:tc>
      </w:tr>
      <w:tr w14:paraId="0709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0F935614">
            <w:pPr>
              <w:widowControl/>
              <w:jc w:val="center"/>
              <w:textAlignment w:val="center"/>
              <w:rPr>
                <w:color w:val="auto"/>
                <w:highlight w:val="none"/>
                <w:lang w:bidi="ar"/>
              </w:rPr>
            </w:pPr>
          </w:p>
        </w:tc>
        <w:tc>
          <w:tcPr>
            <w:tcW w:w="5515" w:type="dxa"/>
            <w:vAlign w:val="center"/>
          </w:tcPr>
          <w:p w14:paraId="2259EE0C">
            <w:pPr>
              <w:widowControl/>
              <w:jc w:val="left"/>
              <w:textAlignment w:val="center"/>
              <w:rPr>
                <w:color w:val="auto"/>
                <w:highlight w:val="none"/>
                <w:lang w:bidi="ar"/>
              </w:rPr>
            </w:pPr>
            <w:r>
              <w:rPr>
                <w:rFonts w:hint="eastAsia"/>
                <w:color w:val="auto"/>
                <w:highlight w:val="none"/>
                <w:lang w:bidi="ar"/>
              </w:rPr>
              <w:t>4、交流耐压试验</w:t>
            </w:r>
          </w:p>
        </w:tc>
        <w:tc>
          <w:tcPr>
            <w:tcW w:w="2122" w:type="dxa"/>
            <w:vAlign w:val="center"/>
          </w:tcPr>
          <w:p w14:paraId="6F0DFF59">
            <w:pPr>
              <w:widowControl/>
              <w:jc w:val="center"/>
              <w:textAlignment w:val="center"/>
              <w:rPr>
                <w:color w:val="auto"/>
                <w:highlight w:val="none"/>
                <w:lang w:bidi="ar"/>
              </w:rPr>
            </w:pPr>
          </w:p>
        </w:tc>
      </w:tr>
      <w:tr w14:paraId="494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23E21817">
            <w:pPr>
              <w:widowControl/>
              <w:jc w:val="center"/>
              <w:textAlignment w:val="center"/>
              <w:rPr>
                <w:color w:val="auto"/>
                <w:highlight w:val="none"/>
                <w:lang w:bidi="ar"/>
              </w:rPr>
            </w:pPr>
            <w:r>
              <w:rPr>
                <w:rFonts w:hint="eastAsia"/>
                <w:color w:val="auto"/>
                <w:highlight w:val="none"/>
                <w:lang w:bidi="ar"/>
              </w:rPr>
              <w:t>高压开关</w:t>
            </w:r>
          </w:p>
        </w:tc>
        <w:tc>
          <w:tcPr>
            <w:tcW w:w="5515" w:type="dxa"/>
            <w:vAlign w:val="center"/>
          </w:tcPr>
          <w:p w14:paraId="33C2E267">
            <w:pPr>
              <w:widowControl/>
              <w:jc w:val="left"/>
              <w:textAlignment w:val="center"/>
              <w:rPr>
                <w:color w:val="auto"/>
                <w:highlight w:val="none"/>
                <w:lang w:bidi="ar"/>
              </w:rPr>
            </w:pPr>
            <w:r>
              <w:rPr>
                <w:rFonts w:hint="eastAsia"/>
                <w:color w:val="auto"/>
                <w:highlight w:val="none"/>
                <w:lang w:bidi="ar"/>
              </w:rPr>
              <w:t>1、回路电阻测量</w:t>
            </w:r>
          </w:p>
        </w:tc>
        <w:tc>
          <w:tcPr>
            <w:tcW w:w="2122" w:type="dxa"/>
            <w:vAlign w:val="center"/>
          </w:tcPr>
          <w:p w14:paraId="56745E29">
            <w:pPr>
              <w:widowControl/>
              <w:jc w:val="center"/>
              <w:textAlignment w:val="center"/>
              <w:rPr>
                <w:color w:val="auto"/>
                <w:highlight w:val="none"/>
                <w:lang w:bidi="ar"/>
              </w:rPr>
            </w:pPr>
          </w:p>
        </w:tc>
      </w:tr>
      <w:tr w14:paraId="5DB2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32081521">
            <w:pPr>
              <w:widowControl/>
              <w:jc w:val="center"/>
              <w:textAlignment w:val="center"/>
              <w:rPr>
                <w:color w:val="auto"/>
                <w:highlight w:val="none"/>
                <w:lang w:bidi="ar"/>
              </w:rPr>
            </w:pPr>
          </w:p>
        </w:tc>
        <w:tc>
          <w:tcPr>
            <w:tcW w:w="5515" w:type="dxa"/>
            <w:vAlign w:val="center"/>
          </w:tcPr>
          <w:p w14:paraId="7B1F6E19">
            <w:pPr>
              <w:widowControl/>
              <w:jc w:val="left"/>
              <w:textAlignment w:val="center"/>
              <w:rPr>
                <w:color w:val="auto"/>
                <w:highlight w:val="none"/>
                <w:lang w:bidi="ar"/>
              </w:rPr>
            </w:pPr>
            <w:r>
              <w:rPr>
                <w:rFonts w:hint="eastAsia"/>
                <w:color w:val="auto"/>
                <w:highlight w:val="none"/>
                <w:lang w:bidi="ar"/>
              </w:rPr>
              <w:t>2、回路电阻测试</w:t>
            </w:r>
          </w:p>
        </w:tc>
        <w:tc>
          <w:tcPr>
            <w:tcW w:w="2122" w:type="dxa"/>
            <w:vAlign w:val="center"/>
          </w:tcPr>
          <w:p w14:paraId="7FCFB07C">
            <w:pPr>
              <w:widowControl/>
              <w:jc w:val="center"/>
              <w:textAlignment w:val="center"/>
              <w:rPr>
                <w:color w:val="auto"/>
                <w:highlight w:val="none"/>
                <w:lang w:bidi="ar"/>
              </w:rPr>
            </w:pPr>
          </w:p>
        </w:tc>
      </w:tr>
      <w:tr w14:paraId="6AC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25A02F23">
            <w:pPr>
              <w:widowControl/>
              <w:jc w:val="center"/>
              <w:textAlignment w:val="center"/>
              <w:rPr>
                <w:color w:val="auto"/>
                <w:highlight w:val="none"/>
                <w:lang w:bidi="ar"/>
              </w:rPr>
            </w:pPr>
          </w:p>
        </w:tc>
        <w:tc>
          <w:tcPr>
            <w:tcW w:w="5515" w:type="dxa"/>
            <w:vAlign w:val="center"/>
          </w:tcPr>
          <w:p w14:paraId="0D3D0AD0">
            <w:pPr>
              <w:widowControl/>
              <w:jc w:val="left"/>
              <w:textAlignment w:val="center"/>
              <w:rPr>
                <w:color w:val="auto"/>
                <w:highlight w:val="none"/>
                <w:lang w:bidi="ar"/>
              </w:rPr>
            </w:pPr>
            <w:r>
              <w:rPr>
                <w:rFonts w:hint="eastAsia"/>
                <w:color w:val="auto"/>
                <w:highlight w:val="none"/>
                <w:lang w:bidi="ar"/>
              </w:rPr>
              <w:t>3、开关特性试验</w:t>
            </w:r>
          </w:p>
        </w:tc>
        <w:tc>
          <w:tcPr>
            <w:tcW w:w="2122" w:type="dxa"/>
            <w:vAlign w:val="center"/>
          </w:tcPr>
          <w:p w14:paraId="79D490C5">
            <w:pPr>
              <w:widowControl/>
              <w:jc w:val="center"/>
              <w:textAlignment w:val="center"/>
              <w:rPr>
                <w:color w:val="auto"/>
                <w:highlight w:val="none"/>
                <w:lang w:bidi="ar"/>
              </w:rPr>
            </w:pPr>
          </w:p>
        </w:tc>
      </w:tr>
      <w:tr w14:paraId="5889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4F2B1CC4">
            <w:pPr>
              <w:widowControl/>
              <w:jc w:val="center"/>
              <w:textAlignment w:val="center"/>
              <w:rPr>
                <w:color w:val="auto"/>
                <w:highlight w:val="none"/>
                <w:lang w:bidi="ar"/>
              </w:rPr>
            </w:pPr>
          </w:p>
        </w:tc>
        <w:tc>
          <w:tcPr>
            <w:tcW w:w="5515" w:type="dxa"/>
            <w:vAlign w:val="center"/>
          </w:tcPr>
          <w:p w14:paraId="43FB5B60">
            <w:pPr>
              <w:widowControl/>
              <w:jc w:val="left"/>
              <w:textAlignment w:val="center"/>
              <w:rPr>
                <w:color w:val="auto"/>
                <w:highlight w:val="none"/>
                <w:lang w:bidi="ar"/>
              </w:rPr>
            </w:pPr>
            <w:r>
              <w:rPr>
                <w:rFonts w:hint="eastAsia"/>
                <w:color w:val="auto"/>
                <w:highlight w:val="none"/>
                <w:lang w:bidi="ar"/>
              </w:rPr>
              <w:t>4、交流耐压试验</w:t>
            </w:r>
          </w:p>
        </w:tc>
        <w:tc>
          <w:tcPr>
            <w:tcW w:w="2122" w:type="dxa"/>
            <w:vAlign w:val="center"/>
          </w:tcPr>
          <w:p w14:paraId="1CED595A">
            <w:pPr>
              <w:widowControl/>
              <w:jc w:val="center"/>
              <w:textAlignment w:val="center"/>
              <w:rPr>
                <w:color w:val="auto"/>
                <w:highlight w:val="none"/>
                <w:lang w:bidi="ar"/>
              </w:rPr>
            </w:pPr>
          </w:p>
        </w:tc>
      </w:tr>
      <w:tr w14:paraId="4EBB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33A362A9">
            <w:pPr>
              <w:widowControl/>
              <w:jc w:val="center"/>
              <w:textAlignment w:val="center"/>
              <w:rPr>
                <w:color w:val="auto"/>
                <w:highlight w:val="none"/>
                <w:lang w:bidi="ar"/>
              </w:rPr>
            </w:pPr>
            <w:r>
              <w:rPr>
                <w:rFonts w:hint="eastAsia"/>
                <w:color w:val="auto"/>
                <w:highlight w:val="none"/>
                <w:lang w:bidi="ar"/>
              </w:rPr>
              <w:t>互感器</w:t>
            </w:r>
          </w:p>
        </w:tc>
        <w:tc>
          <w:tcPr>
            <w:tcW w:w="5515" w:type="dxa"/>
            <w:vAlign w:val="center"/>
          </w:tcPr>
          <w:p w14:paraId="1E0CB315">
            <w:pPr>
              <w:widowControl/>
              <w:jc w:val="left"/>
              <w:textAlignment w:val="center"/>
              <w:rPr>
                <w:color w:val="auto"/>
                <w:highlight w:val="none"/>
                <w:lang w:bidi="ar"/>
              </w:rPr>
            </w:pPr>
            <w:r>
              <w:rPr>
                <w:rFonts w:hint="eastAsia"/>
                <w:color w:val="auto"/>
                <w:highlight w:val="none"/>
                <w:lang w:bidi="ar"/>
              </w:rPr>
              <w:t>1、交流耐压试验</w:t>
            </w:r>
          </w:p>
        </w:tc>
        <w:tc>
          <w:tcPr>
            <w:tcW w:w="2122" w:type="dxa"/>
            <w:vAlign w:val="center"/>
          </w:tcPr>
          <w:p w14:paraId="683EDD41">
            <w:pPr>
              <w:widowControl/>
              <w:jc w:val="center"/>
              <w:textAlignment w:val="center"/>
              <w:rPr>
                <w:color w:val="auto"/>
                <w:highlight w:val="none"/>
                <w:lang w:bidi="ar"/>
              </w:rPr>
            </w:pPr>
          </w:p>
        </w:tc>
      </w:tr>
      <w:tr w14:paraId="7A57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7757B93A">
            <w:pPr>
              <w:widowControl/>
              <w:jc w:val="center"/>
              <w:textAlignment w:val="center"/>
              <w:rPr>
                <w:color w:val="auto"/>
                <w:highlight w:val="none"/>
                <w:lang w:bidi="ar"/>
              </w:rPr>
            </w:pPr>
          </w:p>
        </w:tc>
        <w:tc>
          <w:tcPr>
            <w:tcW w:w="5515" w:type="dxa"/>
            <w:vAlign w:val="center"/>
          </w:tcPr>
          <w:p w14:paraId="7B69CC6B">
            <w:pPr>
              <w:widowControl/>
              <w:jc w:val="left"/>
              <w:textAlignment w:val="center"/>
              <w:rPr>
                <w:color w:val="auto"/>
                <w:highlight w:val="none"/>
                <w:lang w:bidi="ar"/>
              </w:rPr>
            </w:pPr>
            <w:r>
              <w:rPr>
                <w:rFonts w:hint="eastAsia"/>
                <w:color w:val="auto"/>
                <w:highlight w:val="none"/>
                <w:lang w:bidi="ar"/>
              </w:rPr>
              <w:t>2、测量绕组的直流电阻</w:t>
            </w:r>
          </w:p>
        </w:tc>
        <w:tc>
          <w:tcPr>
            <w:tcW w:w="2122" w:type="dxa"/>
            <w:vAlign w:val="center"/>
          </w:tcPr>
          <w:p w14:paraId="24D429DF">
            <w:pPr>
              <w:widowControl/>
              <w:jc w:val="center"/>
              <w:textAlignment w:val="center"/>
              <w:rPr>
                <w:color w:val="auto"/>
                <w:highlight w:val="none"/>
                <w:lang w:bidi="ar"/>
              </w:rPr>
            </w:pPr>
          </w:p>
        </w:tc>
      </w:tr>
      <w:tr w14:paraId="43A7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798F08A9">
            <w:pPr>
              <w:widowControl/>
              <w:jc w:val="center"/>
              <w:textAlignment w:val="center"/>
              <w:rPr>
                <w:color w:val="auto"/>
                <w:highlight w:val="none"/>
                <w:lang w:bidi="ar"/>
              </w:rPr>
            </w:pPr>
          </w:p>
        </w:tc>
        <w:tc>
          <w:tcPr>
            <w:tcW w:w="5515" w:type="dxa"/>
            <w:vAlign w:val="center"/>
          </w:tcPr>
          <w:p w14:paraId="7F4C43FC">
            <w:pPr>
              <w:widowControl/>
              <w:jc w:val="left"/>
              <w:textAlignment w:val="center"/>
              <w:rPr>
                <w:color w:val="auto"/>
                <w:highlight w:val="none"/>
                <w:lang w:bidi="ar"/>
              </w:rPr>
            </w:pPr>
            <w:r>
              <w:rPr>
                <w:rFonts w:hint="eastAsia"/>
                <w:color w:val="auto"/>
                <w:highlight w:val="none"/>
                <w:lang w:bidi="ar"/>
              </w:rPr>
              <w:t>3、检查接线绕组组别</w:t>
            </w:r>
          </w:p>
        </w:tc>
        <w:tc>
          <w:tcPr>
            <w:tcW w:w="2122" w:type="dxa"/>
            <w:vAlign w:val="center"/>
          </w:tcPr>
          <w:p w14:paraId="2BD91FD9">
            <w:pPr>
              <w:widowControl/>
              <w:jc w:val="center"/>
              <w:textAlignment w:val="center"/>
              <w:rPr>
                <w:color w:val="auto"/>
                <w:highlight w:val="none"/>
                <w:lang w:bidi="ar"/>
              </w:rPr>
            </w:pPr>
          </w:p>
        </w:tc>
      </w:tr>
      <w:tr w14:paraId="1549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0C014E10">
            <w:pPr>
              <w:widowControl/>
              <w:jc w:val="center"/>
              <w:textAlignment w:val="center"/>
              <w:rPr>
                <w:color w:val="auto"/>
                <w:highlight w:val="none"/>
                <w:lang w:bidi="ar"/>
              </w:rPr>
            </w:pPr>
          </w:p>
        </w:tc>
        <w:tc>
          <w:tcPr>
            <w:tcW w:w="5515" w:type="dxa"/>
            <w:vAlign w:val="center"/>
          </w:tcPr>
          <w:p w14:paraId="291C7908">
            <w:pPr>
              <w:widowControl/>
              <w:jc w:val="left"/>
              <w:textAlignment w:val="center"/>
              <w:rPr>
                <w:color w:val="auto"/>
                <w:highlight w:val="none"/>
                <w:lang w:bidi="ar"/>
              </w:rPr>
            </w:pPr>
            <w:r>
              <w:rPr>
                <w:rFonts w:hint="eastAsia"/>
                <w:color w:val="auto"/>
                <w:highlight w:val="none"/>
                <w:lang w:bidi="ar"/>
              </w:rPr>
              <w:t>4、误差及变比测量</w:t>
            </w:r>
          </w:p>
        </w:tc>
        <w:tc>
          <w:tcPr>
            <w:tcW w:w="2122" w:type="dxa"/>
            <w:vAlign w:val="center"/>
          </w:tcPr>
          <w:p w14:paraId="445BEABE">
            <w:pPr>
              <w:widowControl/>
              <w:jc w:val="center"/>
              <w:textAlignment w:val="center"/>
              <w:rPr>
                <w:color w:val="auto"/>
                <w:highlight w:val="none"/>
                <w:lang w:bidi="ar"/>
              </w:rPr>
            </w:pPr>
          </w:p>
        </w:tc>
      </w:tr>
      <w:tr w14:paraId="140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396BF268">
            <w:pPr>
              <w:widowControl/>
              <w:jc w:val="center"/>
              <w:textAlignment w:val="center"/>
              <w:rPr>
                <w:color w:val="auto"/>
                <w:highlight w:val="none"/>
                <w:lang w:bidi="ar"/>
              </w:rPr>
            </w:pPr>
            <w:r>
              <w:rPr>
                <w:rFonts w:hint="eastAsia"/>
                <w:color w:val="auto"/>
                <w:highlight w:val="none"/>
                <w:lang w:bidi="ar"/>
              </w:rPr>
              <w:t>避雷器</w:t>
            </w:r>
          </w:p>
        </w:tc>
        <w:tc>
          <w:tcPr>
            <w:tcW w:w="5515" w:type="dxa"/>
            <w:vAlign w:val="center"/>
          </w:tcPr>
          <w:p w14:paraId="7D3F4E14">
            <w:pPr>
              <w:widowControl/>
              <w:jc w:val="left"/>
              <w:textAlignment w:val="center"/>
              <w:rPr>
                <w:color w:val="auto"/>
                <w:highlight w:val="none"/>
                <w:lang w:bidi="ar"/>
              </w:rPr>
            </w:pPr>
            <w:r>
              <w:rPr>
                <w:rFonts w:hint="eastAsia"/>
                <w:color w:val="auto"/>
                <w:highlight w:val="none"/>
                <w:lang w:bidi="ar"/>
              </w:rPr>
              <w:t>1、测量金属氧化物避雷器及基座绝缘电阻</w:t>
            </w:r>
          </w:p>
        </w:tc>
        <w:tc>
          <w:tcPr>
            <w:tcW w:w="2122" w:type="dxa"/>
            <w:vAlign w:val="center"/>
          </w:tcPr>
          <w:p w14:paraId="00A34E5B">
            <w:pPr>
              <w:widowControl/>
              <w:jc w:val="center"/>
              <w:textAlignment w:val="center"/>
              <w:rPr>
                <w:color w:val="auto"/>
                <w:highlight w:val="none"/>
                <w:lang w:bidi="ar"/>
              </w:rPr>
            </w:pPr>
          </w:p>
        </w:tc>
      </w:tr>
      <w:tr w14:paraId="382B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1C92F47C">
            <w:pPr>
              <w:widowControl/>
              <w:jc w:val="center"/>
              <w:textAlignment w:val="center"/>
              <w:rPr>
                <w:color w:val="auto"/>
                <w:highlight w:val="none"/>
                <w:lang w:bidi="ar"/>
              </w:rPr>
            </w:pPr>
          </w:p>
        </w:tc>
        <w:tc>
          <w:tcPr>
            <w:tcW w:w="5515" w:type="dxa"/>
            <w:vAlign w:val="center"/>
          </w:tcPr>
          <w:p w14:paraId="4CB9EF2F">
            <w:pPr>
              <w:widowControl/>
              <w:jc w:val="left"/>
              <w:textAlignment w:val="center"/>
              <w:rPr>
                <w:color w:val="auto"/>
                <w:highlight w:val="none"/>
                <w:lang w:bidi="ar"/>
              </w:rPr>
            </w:pPr>
            <w:r>
              <w:rPr>
                <w:rFonts w:hint="eastAsia"/>
                <w:color w:val="auto"/>
                <w:highlight w:val="none"/>
                <w:lang w:bidi="ar"/>
              </w:rPr>
              <w:t>2、测量金属氧化物避雷器的工频参考电压和持续电流</w:t>
            </w:r>
          </w:p>
        </w:tc>
        <w:tc>
          <w:tcPr>
            <w:tcW w:w="2122" w:type="dxa"/>
            <w:vAlign w:val="center"/>
          </w:tcPr>
          <w:p w14:paraId="1419ADC3">
            <w:pPr>
              <w:widowControl/>
              <w:jc w:val="center"/>
              <w:textAlignment w:val="center"/>
              <w:rPr>
                <w:color w:val="auto"/>
                <w:highlight w:val="none"/>
                <w:lang w:bidi="ar"/>
              </w:rPr>
            </w:pPr>
          </w:p>
        </w:tc>
      </w:tr>
      <w:tr w14:paraId="71D6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061D397C">
            <w:pPr>
              <w:widowControl/>
              <w:jc w:val="center"/>
              <w:textAlignment w:val="center"/>
              <w:rPr>
                <w:color w:val="auto"/>
                <w:highlight w:val="none"/>
                <w:lang w:bidi="ar"/>
              </w:rPr>
            </w:pPr>
          </w:p>
        </w:tc>
        <w:tc>
          <w:tcPr>
            <w:tcW w:w="5515" w:type="dxa"/>
            <w:vAlign w:val="center"/>
          </w:tcPr>
          <w:p w14:paraId="2A32FAC0">
            <w:pPr>
              <w:widowControl/>
              <w:jc w:val="left"/>
              <w:textAlignment w:val="center"/>
              <w:rPr>
                <w:color w:val="auto"/>
                <w:highlight w:val="none"/>
                <w:lang w:bidi="ar"/>
              </w:rPr>
            </w:pPr>
            <w:r>
              <w:rPr>
                <w:rFonts w:hint="eastAsia"/>
                <w:color w:val="auto"/>
                <w:highlight w:val="none"/>
                <w:lang w:bidi="ar"/>
              </w:rPr>
              <w:t>3、测量金属氧化物避雷器直流参考电压和0 .75倍直流参考电压下的泄漏电流</w:t>
            </w:r>
          </w:p>
        </w:tc>
        <w:tc>
          <w:tcPr>
            <w:tcW w:w="2122" w:type="dxa"/>
            <w:vAlign w:val="center"/>
          </w:tcPr>
          <w:p w14:paraId="00CA7424">
            <w:pPr>
              <w:widowControl/>
              <w:jc w:val="center"/>
              <w:textAlignment w:val="center"/>
              <w:rPr>
                <w:color w:val="auto"/>
                <w:highlight w:val="none"/>
                <w:lang w:bidi="ar"/>
              </w:rPr>
            </w:pPr>
          </w:p>
        </w:tc>
      </w:tr>
      <w:tr w14:paraId="320B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42A747B7">
            <w:pPr>
              <w:widowControl/>
              <w:jc w:val="center"/>
              <w:textAlignment w:val="center"/>
              <w:rPr>
                <w:color w:val="auto"/>
                <w:highlight w:val="none"/>
                <w:lang w:bidi="ar"/>
              </w:rPr>
            </w:pPr>
          </w:p>
        </w:tc>
        <w:tc>
          <w:tcPr>
            <w:tcW w:w="5515" w:type="dxa"/>
            <w:vAlign w:val="center"/>
          </w:tcPr>
          <w:p w14:paraId="26771E0F">
            <w:pPr>
              <w:widowControl/>
              <w:jc w:val="left"/>
              <w:textAlignment w:val="center"/>
              <w:rPr>
                <w:color w:val="auto"/>
                <w:highlight w:val="none"/>
                <w:lang w:bidi="ar"/>
              </w:rPr>
            </w:pPr>
            <w:r>
              <w:rPr>
                <w:rFonts w:hint="eastAsia"/>
                <w:color w:val="auto"/>
                <w:highlight w:val="none"/>
                <w:lang w:bidi="ar"/>
              </w:rPr>
              <w:t>4、工频放电电压试验</w:t>
            </w:r>
          </w:p>
        </w:tc>
        <w:tc>
          <w:tcPr>
            <w:tcW w:w="2122" w:type="dxa"/>
            <w:vAlign w:val="center"/>
          </w:tcPr>
          <w:p w14:paraId="42C8F27A">
            <w:pPr>
              <w:widowControl/>
              <w:jc w:val="center"/>
              <w:textAlignment w:val="center"/>
              <w:rPr>
                <w:color w:val="auto"/>
                <w:highlight w:val="none"/>
                <w:lang w:bidi="ar"/>
              </w:rPr>
            </w:pPr>
          </w:p>
        </w:tc>
      </w:tr>
      <w:tr w14:paraId="3EEA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6B4BE4AB">
            <w:pPr>
              <w:widowControl/>
              <w:jc w:val="center"/>
              <w:textAlignment w:val="center"/>
              <w:rPr>
                <w:color w:val="auto"/>
                <w:highlight w:val="none"/>
                <w:lang w:bidi="ar"/>
              </w:rPr>
            </w:pPr>
            <w:r>
              <w:rPr>
                <w:rFonts w:hint="eastAsia"/>
                <w:color w:val="auto"/>
                <w:highlight w:val="none"/>
                <w:lang w:bidi="ar"/>
              </w:rPr>
              <w:t>电缆</w:t>
            </w:r>
          </w:p>
        </w:tc>
        <w:tc>
          <w:tcPr>
            <w:tcW w:w="5515" w:type="dxa"/>
            <w:vAlign w:val="center"/>
          </w:tcPr>
          <w:p w14:paraId="5990755F">
            <w:pPr>
              <w:widowControl/>
              <w:jc w:val="left"/>
              <w:textAlignment w:val="center"/>
              <w:rPr>
                <w:color w:val="auto"/>
                <w:highlight w:val="none"/>
                <w:lang w:bidi="ar"/>
              </w:rPr>
            </w:pPr>
            <w:r>
              <w:rPr>
                <w:rFonts w:hint="eastAsia"/>
                <w:color w:val="auto"/>
                <w:highlight w:val="none"/>
                <w:lang w:bidi="ar"/>
              </w:rPr>
              <w:t>1、电缆头外观检查</w:t>
            </w:r>
          </w:p>
        </w:tc>
        <w:tc>
          <w:tcPr>
            <w:tcW w:w="2122" w:type="dxa"/>
            <w:vAlign w:val="center"/>
          </w:tcPr>
          <w:p w14:paraId="15F3A417">
            <w:pPr>
              <w:widowControl/>
              <w:jc w:val="center"/>
              <w:textAlignment w:val="center"/>
              <w:rPr>
                <w:color w:val="auto"/>
                <w:highlight w:val="none"/>
                <w:lang w:bidi="ar"/>
              </w:rPr>
            </w:pPr>
          </w:p>
        </w:tc>
      </w:tr>
      <w:tr w14:paraId="6019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51BC25F3">
            <w:pPr>
              <w:widowControl/>
              <w:jc w:val="center"/>
              <w:textAlignment w:val="center"/>
              <w:rPr>
                <w:color w:val="auto"/>
                <w:highlight w:val="none"/>
                <w:lang w:bidi="ar"/>
              </w:rPr>
            </w:pPr>
          </w:p>
        </w:tc>
        <w:tc>
          <w:tcPr>
            <w:tcW w:w="5515" w:type="dxa"/>
            <w:vAlign w:val="center"/>
          </w:tcPr>
          <w:p w14:paraId="3A08C2D4">
            <w:pPr>
              <w:widowControl/>
              <w:jc w:val="left"/>
              <w:textAlignment w:val="center"/>
              <w:rPr>
                <w:color w:val="auto"/>
                <w:highlight w:val="none"/>
                <w:lang w:bidi="ar"/>
              </w:rPr>
            </w:pPr>
            <w:r>
              <w:rPr>
                <w:rFonts w:hint="eastAsia"/>
                <w:color w:val="auto"/>
                <w:highlight w:val="none"/>
                <w:lang w:bidi="ar"/>
              </w:rPr>
              <w:t>2、直流电阻测试</w:t>
            </w:r>
          </w:p>
        </w:tc>
        <w:tc>
          <w:tcPr>
            <w:tcW w:w="2122" w:type="dxa"/>
            <w:vAlign w:val="center"/>
          </w:tcPr>
          <w:p w14:paraId="7D2719E6">
            <w:pPr>
              <w:widowControl/>
              <w:jc w:val="center"/>
              <w:textAlignment w:val="center"/>
              <w:rPr>
                <w:color w:val="auto"/>
                <w:highlight w:val="none"/>
                <w:lang w:bidi="ar"/>
              </w:rPr>
            </w:pPr>
          </w:p>
        </w:tc>
      </w:tr>
      <w:tr w14:paraId="664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511F8A4B">
            <w:pPr>
              <w:widowControl/>
              <w:jc w:val="center"/>
              <w:textAlignment w:val="center"/>
              <w:rPr>
                <w:color w:val="auto"/>
                <w:highlight w:val="none"/>
                <w:lang w:bidi="ar"/>
              </w:rPr>
            </w:pPr>
          </w:p>
        </w:tc>
        <w:tc>
          <w:tcPr>
            <w:tcW w:w="5515" w:type="dxa"/>
            <w:vAlign w:val="center"/>
          </w:tcPr>
          <w:p w14:paraId="420932B7">
            <w:pPr>
              <w:widowControl/>
              <w:jc w:val="left"/>
              <w:textAlignment w:val="center"/>
              <w:rPr>
                <w:color w:val="auto"/>
                <w:highlight w:val="none"/>
                <w:lang w:bidi="ar"/>
              </w:rPr>
            </w:pPr>
            <w:r>
              <w:rPr>
                <w:rFonts w:hint="eastAsia"/>
                <w:color w:val="auto"/>
                <w:highlight w:val="none"/>
                <w:lang w:bidi="ar"/>
              </w:rPr>
              <w:t>3、绝缘电阻测试</w:t>
            </w:r>
          </w:p>
        </w:tc>
        <w:tc>
          <w:tcPr>
            <w:tcW w:w="2122" w:type="dxa"/>
            <w:vAlign w:val="center"/>
          </w:tcPr>
          <w:p w14:paraId="75EB7DA7">
            <w:pPr>
              <w:widowControl/>
              <w:jc w:val="center"/>
              <w:textAlignment w:val="center"/>
              <w:rPr>
                <w:color w:val="auto"/>
                <w:highlight w:val="none"/>
                <w:lang w:bidi="ar"/>
              </w:rPr>
            </w:pPr>
          </w:p>
        </w:tc>
      </w:tr>
      <w:tr w14:paraId="6FA5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51BFE7CB">
            <w:pPr>
              <w:widowControl/>
              <w:jc w:val="center"/>
              <w:textAlignment w:val="center"/>
              <w:rPr>
                <w:color w:val="auto"/>
                <w:highlight w:val="none"/>
                <w:lang w:bidi="ar"/>
              </w:rPr>
            </w:pPr>
          </w:p>
        </w:tc>
        <w:tc>
          <w:tcPr>
            <w:tcW w:w="5515" w:type="dxa"/>
            <w:vAlign w:val="center"/>
          </w:tcPr>
          <w:p w14:paraId="4A2C414B">
            <w:pPr>
              <w:widowControl/>
              <w:jc w:val="left"/>
              <w:textAlignment w:val="center"/>
              <w:rPr>
                <w:color w:val="auto"/>
                <w:highlight w:val="none"/>
                <w:lang w:bidi="ar"/>
              </w:rPr>
            </w:pPr>
            <w:r>
              <w:rPr>
                <w:rFonts w:hint="eastAsia"/>
                <w:color w:val="auto"/>
                <w:highlight w:val="none"/>
                <w:lang w:bidi="ar"/>
              </w:rPr>
              <w:t>4、交流耐压试验</w:t>
            </w:r>
          </w:p>
        </w:tc>
        <w:tc>
          <w:tcPr>
            <w:tcW w:w="2122" w:type="dxa"/>
            <w:vAlign w:val="center"/>
          </w:tcPr>
          <w:p w14:paraId="1ED1BF54">
            <w:pPr>
              <w:widowControl/>
              <w:jc w:val="center"/>
              <w:textAlignment w:val="center"/>
              <w:rPr>
                <w:color w:val="auto"/>
                <w:highlight w:val="none"/>
                <w:lang w:bidi="ar"/>
              </w:rPr>
            </w:pPr>
          </w:p>
        </w:tc>
      </w:tr>
      <w:tr w14:paraId="3CE5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421B3BBF">
            <w:pPr>
              <w:widowControl/>
              <w:jc w:val="center"/>
              <w:textAlignment w:val="center"/>
              <w:rPr>
                <w:color w:val="auto"/>
                <w:highlight w:val="none"/>
                <w:lang w:bidi="ar"/>
              </w:rPr>
            </w:pPr>
            <w:r>
              <w:rPr>
                <w:rFonts w:hint="eastAsia"/>
                <w:color w:val="auto"/>
                <w:highlight w:val="none"/>
                <w:lang w:bidi="ar"/>
              </w:rPr>
              <w:t>保护装置</w:t>
            </w:r>
          </w:p>
        </w:tc>
        <w:tc>
          <w:tcPr>
            <w:tcW w:w="5515" w:type="dxa"/>
            <w:vAlign w:val="center"/>
          </w:tcPr>
          <w:p w14:paraId="29CFEE85">
            <w:pPr>
              <w:widowControl/>
              <w:jc w:val="left"/>
              <w:textAlignment w:val="center"/>
              <w:rPr>
                <w:color w:val="auto"/>
                <w:highlight w:val="none"/>
                <w:lang w:bidi="ar"/>
              </w:rPr>
            </w:pPr>
            <w:r>
              <w:rPr>
                <w:rFonts w:hint="eastAsia"/>
                <w:color w:val="auto"/>
                <w:highlight w:val="none"/>
                <w:lang w:bidi="ar"/>
              </w:rPr>
              <w:t>1、装置外观检查</w:t>
            </w:r>
          </w:p>
        </w:tc>
        <w:tc>
          <w:tcPr>
            <w:tcW w:w="2122" w:type="dxa"/>
            <w:vAlign w:val="center"/>
          </w:tcPr>
          <w:p w14:paraId="28FE3FE1">
            <w:pPr>
              <w:widowControl/>
              <w:jc w:val="center"/>
              <w:textAlignment w:val="center"/>
              <w:rPr>
                <w:color w:val="auto"/>
                <w:highlight w:val="none"/>
                <w:lang w:bidi="ar"/>
              </w:rPr>
            </w:pPr>
          </w:p>
        </w:tc>
      </w:tr>
      <w:tr w14:paraId="6EC0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498265C4">
            <w:pPr>
              <w:widowControl/>
              <w:jc w:val="center"/>
              <w:textAlignment w:val="center"/>
              <w:rPr>
                <w:color w:val="auto"/>
                <w:highlight w:val="none"/>
                <w:lang w:bidi="ar"/>
              </w:rPr>
            </w:pPr>
          </w:p>
        </w:tc>
        <w:tc>
          <w:tcPr>
            <w:tcW w:w="5515" w:type="dxa"/>
            <w:vAlign w:val="center"/>
          </w:tcPr>
          <w:p w14:paraId="2A86E70C">
            <w:pPr>
              <w:widowControl/>
              <w:jc w:val="left"/>
              <w:textAlignment w:val="center"/>
              <w:rPr>
                <w:color w:val="auto"/>
                <w:highlight w:val="none"/>
                <w:lang w:bidi="ar"/>
              </w:rPr>
            </w:pPr>
            <w:r>
              <w:rPr>
                <w:rFonts w:hint="eastAsia"/>
                <w:color w:val="auto"/>
                <w:highlight w:val="none"/>
                <w:lang w:bidi="ar"/>
              </w:rPr>
              <w:t>2、定值核对</w:t>
            </w:r>
          </w:p>
        </w:tc>
        <w:tc>
          <w:tcPr>
            <w:tcW w:w="2122" w:type="dxa"/>
            <w:vAlign w:val="center"/>
          </w:tcPr>
          <w:p w14:paraId="145A7ED8">
            <w:pPr>
              <w:widowControl/>
              <w:jc w:val="center"/>
              <w:textAlignment w:val="center"/>
              <w:rPr>
                <w:color w:val="auto"/>
                <w:highlight w:val="none"/>
                <w:lang w:bidi="ar"/>
              </w:rPr>
            </w:pPr>
          </w:p>
        </w:tc>
      </w:tr>
      <w:tr w14:paraId="11A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78CCDDB4">
            <w:pPr>
              <w:widowControl/>
              <w:jc w:val="center"/>
              <w:textAlignment w:val="center"/>
              <w:rPr>
                <w:color w:val="auto"/>
                <w:highlight w:val="none"/>
                <w:lang w:bidi="ar"/>
              </w:rPr>
            </w:pPr>
          </w:p>
        </w:tc>
        <w:tc>
          <w:tcPr>
            <w:tcW w:w="5515" w:type="dxa"/>
            <w:vAlign w:val="center"/>
          </w:tcPr>
          <w:p w14:paraId="666227EB">
            <w:pPr>
              <w:widowControl/>
              <w:jc w:val="left"/>
              <w:textAlignment w:val="center"/>
              <w:rPr>
                <w:color w:val="auto"/>
                <w:highlight w:val="none"/>
                <w:lang w:bidi="ar"/>
              </w:rPr>
            </w:pPr>
            <w:r>
              <w:rPr>
                <w:rFonts w:hint="eastAsia"/>
                <w:color w:val="auto"/>
                <w:highlight w:val="none"/>
                <w:lang w:bidi="ar"/>
              </w:rPr>
              <w:t>3、传动试验</w:t>
            </w:r>
          </w:p>
        </w:tc>
        <w:tc>
          <w:tcPr>
            <w:tcW w:w="2122" w:type="dxa"/>
            <w:vAlign w:val="center"/>
          </w:tcPr>
          <w:p w14:paraId="5EA24101">
            <w:pPr>
              <w:widowControl/>
              <w:jc w:val="center"/>
              <w:textAlignment w:val="center"/>
              <w:rPr>
                <w:color w:val="auto"/>
                <w:highlight w:val="none"/>
                <w:lang w:bidi="ar"/>
              </w:rPr>
            </w:pPr>
          </w:p>
        </w:tc>
      </w:tr>
      <w:tr w14:paraId="5A0A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758E2A46">
            <w:pPr>
              <w:widowControl/>
              <w:jc w:val="center"/>
              <w:textAlignment w:val="center"/>
              <w:rPr>
                <w:color w:val="auto"/>
                <w:highlight w:val="none"/>
                <w:lang w:bidi="ar"/>
              </w:rPr>
            </w:pPr>
            <w:r>
              <w:rPr>
                <w:rFonts w:hint="eastAsia"/>
                <w:color w:val="auto"/>
                <w:highlight w:val="none"/>
                <w:lang w:bidi="ar"/>
              </w:rPr>
              <w:t>二次回路</w:t>
            </w:r>
          </w:p>
        </w:tc>
        <w:tc>
          <w:tcPr>
            <w:tcW w:w="5515" w:type="dxa"/>
            <w:vAlign w:val="center"/>
          </w:tcPr>
          <w:p w14:paraId="69F8A5A1">
            <w:pPr>
              <w:widowControl/>
              <w:jc w:val="left"/>
              <w:textAlignment w:val="center"/>
              <w:rPr>
                <w:color w:val="auto"/>
                <w:highlight w:val="none"/>
                <w:lang w:bidi="ar"/>
              </w:rPr>
            </w:pPr>
            <w:r>
              <w:rPr>
                <w:rFonts w:hint="eastAsia"/>
                <w:color w:val="auto"/>
                <w:highlight w:val="none"/>
                <w:lang w:bidi="ar"/>
              </w:rPr>
              <w:t>1、测量绝缘电阻</w:t>
            </w:r>
          </w:p>
        </w:tc>
        <w:tc>
          <w:tcPr>
            <w:tcW w:w="2122" w:type="dxa"/>
            <w:vAlign w:val="center"/>
          </w:tcPr>
          <w:p w14:paraId="02F70867">
            <w:pPr>
              <w:widowControl/>
              <w:jc w:val="center"/>
              <w:textAlignment w:val="center"/>
              <w:rPr>
                <w:color w:val="auto"/>
                <w:highlight w:val="none"/>
                <w:lang w:bidi="ar"/>
              </w:rPr>
            </w:pPr>
          </w:p>
        </w:tc>
      </w:tr>
      <w:tr w14:paraId="314B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4FD4D368">
            <w:pPr>
              <w:widowControl/>
              <w:jc w:val="center"/>
              <w:textAlignment w:val="center"/>
              <w:rPr>
                <w:color w:val="auto"/>
                <w:highlight w:val="none"/>
                <w:lang w:bidi="ar"/>
              </w:rPr>
            </w:pPr>
          </w:p>
        </w:tc>
        <w:tc>
          <w:tcPr>
            <w:tcW w:w="5515" w:type="dxa"/>
            <w:vAlign w:val="center"/>
          </w:tcPr>
          <w:p w14:paraId="32BF19EB">
            <w:pPr>
              <w:widowControl/>
              <w:jc w:val="left"/>
              <w:textAlignment w:val="center"/>
              <w:rPr>
                <w:color w:val="auto"/>
                <w:highlight w:val="none"/>
                <w:lang w:bidi="ar"/>
              </w:rPr>
            </w:pPr>
            <w:r>
              <w:rPr>
                <w:rFonts w:hint="eastAsia"/>
                <w:color w:val="auto"/>
                <w:highlight w:val="none"/>
                <w:lang w:bidi="ar"/>
              </w:rPr>
              <w:t>2、交流耐压试验</w:t>
            </w:r>
          </w:p>
        </w:tc>
        <w:tc>
          <w:tcPr>
            <w:tcW w:w="2122" w:type="dxa"/>
            <w:vAlign w:val="center"/>
          </w:tcPr>
          <w:p w14:paraId="68521DBE">
            <w:pPr>
              <w:widowControl/>
              <w:jc w:val="center"/>
              <w:textAlignment w:val="center"/>
              <w:rPr>
                <w:color w:val="auto"/>
                <w:highlight w:val="none"/>
                <w:lang w:bidi="ar"/>
              </w:rPr>
            </w:pPr>
          </w:p>
        </w:tc>
      </w:tr>
      <w:tr w14:paraId="7F09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47BFADA1">
            <w:pPr>
              <w:widowControl/>
              <w:jc w:val="center"/>
              <w:textAlignment w:val="center"/>
              <w:rPr>
                <w:color w:val="auto"/>
                <w:highlight w:val="none"/>
                <w:lang w:bidi="ar"/>
              </w:rPr>
            </w:pPr>
            <w:r>
              <w:rPr>
                <w:rFonts w:hint="eastAsia"/>
                <w:color w:val="auto"/>
                <w:highlight w:val="none"/>
                <w:lang w:bidi="ar"/>
              </w:rPr>
              <w:t>低压柜</w:t>
            </w:r>
          </w:p>
        </w:tc>
        <w:tc>
          <w:tcPr>
            <w:tcW w:w="5515" w:type="dxa"/>
            <w:vAlign w:val="center"/>
          </w:tcPr>
          <w:p w14:paraId="1F74C3BF">
            <w:pPr>
              <w:widowControl/>
              <w:jc w:val="left"/>
              <w:textAlignment w:val="center"/>
              <w:rPr>
                <w:color w:val="auto"/>
                <w:highlight w:val="none"/>
                <w:lang w:bidi="ar"/>
              </w:rPr>
            </w:pPr>
            <w:r>
              <w:rPr>
                <w:rFonts w:hint="eastAsia"/>
                <w:color w:val="auto"/>
                <w:highlight w:val="none"/>
                <w:lang w:bidi="ar"/>
              </w:rPr>
              <w:t>1、清洁</w:t>
            </w:r>
          </w:p>
        </w:tc>
        <w:tc>
          <w:tcPr>
            <w:tcW w:w="2122" w:type="dxa"/>
            <w:vAlign w:val="center"/>
          </w:tcPr>
          <w:p w14:paraId="5D862A16">
            <w:pPr>
              <w:widowControl/>
              <w:jc w:val="center"/>
              <w:textAlignment w:val="center"/>
              <w:rPr>
                <w:color w:val="auto"/>
                <w:highlight w:val="none"/>
                <w:lang w:bidi="ar"/>
              </w:rPr>
            </w:pPr>
          </w:p>
        </w:tc>
      </w:tr>
      <w:tr w14:paraId="63B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28C9D211">
            <w:pPr>
              <w:widowControl/>
              <w:jc w:val="center"/>
              <w:textAlignment w:val="center"/>
              <w:rPr>
                <w:color w:val="auto"/>
                <w:highlight w:val="none"/>
                <w:lang w:bidi="ar"/>
              </w:rPr>
            </w:pPr>
          </w:p>
        </w:tc>
        <w:tc>
          <w:tcPr>
            <w:tcW w:w="5515" w:type="dxa"/>
            <w:vAlign w:val="center"/>
          </w:tcPr>
          <w:p w14:paraId="618CA586">
            <w:pPr>
              <w:widowControl/>
              <w:jc w:val="left"/>
              <w:textAlignment w:val="center"/>
              <w:rPr>
                <w:color w:val="auto"/>
                <w:highlight w:val="none"/>
                <w:lang w:bidi="ar"/>
              </w:rPr>
            </w:pPr>
            <w:r>
              <w:rPr>
                <w:rFonts w:hint="eastAsia"/>
                <w:color w:val="auto"/>
                <w:highlight w:val="none"/>
                <w:lang w:bidi="ar"/>
              </w:rPr>
              <w:t>2、螺丝检查</w:t>
            </w:r>
          </w:p>
        </w:tc>
        <w:tc>
          <w:tcPr>
            <w:tcW w:w="2122" w:type="dxa"/>
            <w:vAlign w:val="center"/>
          </w:tcPr>
          <w:p w14:paraId="6BB6ED3A">
            <w:pPr>
              <w:widowControl/>
              <w:jc w:val="center"/>
              <w:textAlignment w:val="center"/>
              <w:rPr>
                <w:color w:val="auto"/>
                <w:highlight w:val="none"/>
                <w:lang w:bidi="ar"/>
              </w:rPr>
            </w:pPr>
          </w:p>
        </w:tc>
      </w:tr>
      <w:tr w14:paraId="579A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1CFFEF5E">
            <w:pPr>
              <w:widowControl/>
              <w:jc w:val="center"/>
              <w:textAlignment w:val="center"/>
              <w:rPr>
                <w:color w:val="auto"/>
                <w:highlight w:val="none"/>
                <w:lang w:bidi="ar"/>
              </w:rPr>
            </w:pPr>
          </w:p>
        </w:tc>
        <w:tc>
          <w:tcPr>
            <w:tcW w:w="5515" w:type="dxa"/>
            <w:vAlign w:val="center"/>
          </w:tcPr>
          <w:p w14:paraId="218EB62D">
            <w:pPr>
              <w:widowControl/>
              <w:jc w:val="left"/>
              <w:textAlignment w:val="center"/>
              <w:rPr>
                <w:color w:val="auto"/>
                <w:highlight w:val="none"/>
                <w:lang w:bidi="ar"/>
              </w:rPr>
            </w:pPr>
            <w:r>
              <w:rPr>
                <w:rFonts w:hint="eastAsia"/>
                <w:color w:val="auto"/>
                <w:highlight w:val="none"/>
                <w:lang w:bidi="ar"/>
              </w:rPr>
              <w:t>3、低压开关定值校验</w:t>
            </w:r>
          </w:p>
        </w:tc>
        <w:tc>
          <w:tcPr>
            <w:tcW w:w="2122" w:type="dxa"/>
            <w:vAlign w:val="center"/>
          </w:tcPr>
          <w:p w14:paraId="7AEFABB2">
            <w:pPr>
              <w:widowControl/>
              <w:jc w:val="center"/>
              <w:textAlignment w:val="center"/>
              <w:rPr>
                <w:color w:val="auto"/>
                <w:highlight w:val="none"/>
                <w:lang w:bidi="ar"/>
              </w:rPr>
            </w:pPr>
          </w:p>
        </w:tc>
      </w:tr>
      <w:tr w14:paraId="2A5E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64DA2004">
            <w:pPr>
              <w:widowControl/>
              <w:jc w:val="center"/>
              <w:textAlignment w:val="center"/>
              <w:rPr>
                <w:color w:val="auto"/>
                <w:highlight w:val="none"/>
                <w:lang w:bidi="ar"/>
              </w:rPr>
            </w:pPr>
          </w:p>
        </w:tc>
        <w:tc>
          <w:tcPr>
            <w:tcW w:w="5515" w:type="dxa"/>
            <w:vAlign w:val="center"/>
          </w:tcPr>
          <w:p w14:paraId="1F0B2DE5">
            <w:pPr>
              <w:widowControl/>
              <w:jc w:val="left"/>
              <w:textAlignment w:val="center"/>
              <w:rPr>
                <w:color w:val="auto"/>
                <w:highlight w:val="none"/>
                <w:lang w:bidi="ar"/>
              </w:rPr>
            </w:pPr>
            <w:r>
              <w:rPr>
                <w:rFonts w:hint="eastAsia"/>
                <w:color w:val="auto"/>
                <w:highlight w:val="none"/>
                <w:lang w:bidi="ar"/>
              </w:rPr>
              <w:t>4、绝缘电阻测试</w:t>
            </w:r>
          </w:p>
        </w:tc>
        <w:tc>
          <w:tcPr>
            <w:tcW w:w="2122" w:type="dxa"/>
            <w:vAlign w:val="center"/>
          </w:tcPr>
          <w:p w14:paraId="0AEC6803">
            <w:pPr>
              <w:widowControl/>
              <w:jc w:val="center"/>
              <w:textAlignment w:val="center"/>
              <w:rPr>
                <w:color w:val="auto"/>
                <w:highlight w:val="none"/>
                <w:lang w:bidi="ar"/>
              </w:rPr>
            </w:pPr>
          </w:p>
        </w:tc>
      </w:tr>
      <w:tr w14:paraId="2B52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restart"/>
            <w:vAlign w:val="center"/>
          </w:tcPr>
          <w:p w14:paraId="161B6C0D">
            <w:pPr>
              <w:widowControl/>
              <w:jc w:val="center"/>
              <w:textAlignment w:val="center"/>
              <w:rPr>
                <w:color w:val="auto"/>
                <w:highlight w:val="none"/>
                <w:lang w:bidi="ar"/>
              </w:rPr>
            </w:pPr>
            <w:r>
              <w:rPr>
                <w:rFonts w:hint="eastAsia"/>
                <w:color w:val="auto"/>
                <w:highlight w:val="none"/>
                <w:lang w:bidi="ar"/>
              </w:rPr>
              <w:t>直流系统</w:t>
            </w:r>
          </w:p>
        </w:tc>
        <w:tc>
          <w:tcPr>
            <w:tcW w:w="5515" w:type="dxa"/>
            <w:vAlign w:val="center"/>
          </w:tcPr>
          <w:p w14:paraId="350CE3EC">
            <w:pPr>
              <w:widowControl/>
              <w:jc w:val="left"/>
              <w:textAlignment w:val="center"/>
              <w:rPr>
                <w:color w:val="auto"/>
                <w:highlight w:val="none"/>
                <w:lang w:bidi="ar"/>
              </w:rPr>
            </w:pPr>
            <w:r>
              <w:rPr>
                <w:rFonts w:hint="eastAsia"/>
                <w:color w:val="auto"/>
                <w:highlight w:val="none"/>
                <w:lang w:bidi="ar"/>
              </w:rPr>
              <w:t>1、清洁</w:t>
            </w:r>
          </w:p>
        </w:tc>
        <w:tc>
          <w:tcPr>
            <w:tcW w:w="2122" w:type="dxa"/>
            <w:vAlign w:val="center"/>
          </w:tcPr>
          <w:p w14:paraId="4A90AD39">
            <w:pPr>
              <w:widowControl/>
              <w:jc w:val="center"/>
              <w:textAlignment w:val="center"/>
              <w:rPr>
                <w:color w:val="auto"/>
                <w:highlight w:val="none"/>
                <w:lang w:bidi="ar"/>
              </w:rPr>
            </w:pPr>
          </w:p>
        </w:tc>
      </w:tr>
      <w:tr w14:paraId="093A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1009B343">
            <w:pPr>
              <w:widowControl/>
              <w:jc w:val="center"/>
              <w:textAlignment w:val="center"/>
              <w:rPr>
                <w:color w:val="auto"/>
                <w:highlight w:val="none"/>
                <w:lang w:bidi="ar"/>
              </w:rPr>
            </w:pPr>
          </w:p>
        </w:tc>
        <w:tc>
          <w:tcPr>
            <w:tcW w:w="5515" w:type="dxa"/>
            <w:vAlign w:val="center"/>
          </w:tcPr>
          <w:p w14:paraId="5F2ED8D2">
            <w:pPr>
              <w:widowControl/>
              <w:jc w:val="left"/>
              <w:textAlignment w:val="center"/>
              <w:rPr>
                <w:color w:val="auto"/>
                <w:highlight w:val="none"/>
                <w:lang w:bidi="ar"/>
              </w:rPr>
            </w:pPr>
            <w:r>
              <w:rPr>
                <w:rFonts w:hint="eastAsia"/>
                <w:color w:val="auto"/>
                <w:highlight w:val="none"/>
                <w:lang w:bidi="ar"/>
              </w:rPr>
              <w:t>2、绝缘电阻测试</w:t>
            </w:r>
          </w:p>
        </w:tc>
        <w:tc>
          <w:tcPr>
            <w:tcW w:w="2122" w:type="dxa"/>
            <w:vAlign w:val="center"/>
          </w:tcPr>
          <w:p w14:paraId="2340D512">
            <w:pPr>
              <w:widowControl/>
              <w:jc w:val="center"/>
              <w:textAlignment w:val="center"/>
              <w:rPr>
                <w:color w:val="auto"/>
                <w:highlight w:val="none"/>
                <w:lang w:bidi="ar"/>
              </w:rPr>
            </w:pPr>
          </w:p>
        </w:tc>
      </w:tr>
      <w:tr w14:paraId="2287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Merge w:val="continue"/>
            <w:vAlign w:val="center"/>
          </w:tcPr>
          <w:p w14:paraId="30B501D2">
            <w:pPr>
              <w:widowControl/>
              <w:jc w:val="center"/>
              <w:textAlignment w:val="center"/>
              <w:rPr>
                <w:color w:val="auto"/>
                <w:highlight w:val="none"/>
                <w:lang w:bidi="ar"/>
              </w:rPr>
            </w:pPr>
          </w:p>
        </w:tc>
        <w:tc>
          <w:tcPr>
            <w:tcW w:w="5515" w:type="dxa"/>
            <w:vAlign w:val="center"/>
          </w:tcPr>
          <w:p w14:paraId="2B13B3DA">
            <w:pPr>
              <w:widowControl/>
              <w:jc w:val="left"/>
              <w:textAlignment w:val="center"/>
              <w:rPr>
                <w:color w:val="auto"/>
                <w:highlight w:val="none"/>
                <w:lang w:bidi="ar"/>
              </w:rPr>
            </w:pPr>
            <w:r>
              <w:rPr>
                <w:rFonts w:hint="eastAsia"/>
                <w:color w:val="auto"/>
                <w:highlight w:val="none"/>
                <w:lang w:bidi="ar"/>
              </w:rPr>
              <w:t>3、电池充放电试验</w:t>
            </w:r>
          </w:p>
        </w:tc>
        <w:tc>
          <w:tcPr>
            <w:tcW w:w="2122" w:type="dxa"/>
            <w:vAlign w:val="center"/>
          </w:tcPr>
          <w:p w14:paraId="2DE76E84">
            <w:pPr>
              <w:widowControl/>
              <w:jc w:val="center"/>
              <w:textAlignment w:val="center"/>
              <w:rPr>
                <w:color w:val="auto"/>
                <w:highlight w:val="none"/>
                <w:lang w:bidi="ar"/>
              </w:rPr>
            </w:pPr>
          </w:p>
        </w:tc>
      </w:tr>
    </w:tbl>
    <w:p w14:paraId="425C2C05">
      <w:pPr>
        <w:spacing w:line="500" w:lineRule="exact"/>
        <w:ind w:firstLine="482" w:firstLineChars="200"/>
        <w:rPr>
          <w:b/>
          <w:bCs/>
          <w:color w:val="auto"/>
          <w:sz w:val="24"/>
          <w:highlight w:val="none"/>
        </w:rPr>
      </w:pPr>
      <w:r>
        <w:rPr>
          <w:rFonts w:hint="eastAsia"/>
          <w:b/>
          <w:bCs/>
          <w:color w:val="auto"/>
          <w:sz w:val="24"/>
          <w:highlight w:val="none"/>
        </w:rPr>
        <w:t>一、维保及日常巡检要求：</w:t>
      </w:r>
    </w:p>
    <w:p w14:paraId="65118FE2">
      <w:pPr>
        <w:spacing w:line="500" w:lineRule="exact"/>
        <w:ind w:firstLine="440" w:firstLineChars="200"/>
        <w:rPr>
          <w:color w:val="auto"/>
          <w:sz w:val="22"/>
          <w:szCs w:val="22"/>
          <w:highlight w:val="none"/>
        </w:rPr>
      </w:pPr>
      <w:r>
        <w:rPr>
          <w:rFonts w:hint="eastAsia"/>
          <w:color w:val="auto"/>
          <w:sz w:val="22"/>
          <w:szCs w:val="22"/>
          <w:highlight w:val="none"/>
        </w:rPr>
        <w:t>严格按照国家、行业及国家电力监督委员会、江苏省及盐城供电公司有关规程、规定、标准和规范及甲方有关变电站管理的各项规章制度，执行本开闭所、变电所的运行维护和管理，确保安全运行。</w:t>
      </w:r>
    </w:p>
    <w:p w14:paraId="6DC9C9A9">
      <w:pPr>
        <w:spacing w:line="500" w:lineRule="exact"/>
        <w:ind w:firstLine="440" w:firstLineChars="200"/>
        <w:rPr>
          <w:color w:val="auto"/>
          <w:sz w:val="22"/>
          <w:szCs w:val="22"/>
          <w:highlight w:val="none"/>
        </w:rPr>
      </w:pPr>
      <w:r>
        <w:rPr>
          <w:rFonts w:hint="eastAsia"/>
          <w:color w:val="auto"/>
          <w:sz w:val="22"/>
          <w:szCs w:val="22"/>
          <w:highlight w:val="none"/>
        </w:rPr>
        <w:t>1</w:t>
      </w:r>
      <w:r>
        <w:rPr>
          <w:color w:val="auto"/>
          <w:sz w:val="22"/>
          <w:szCs w:val="22"/>
          <w:highlight w:val="none"/>
        </w:rPr>
        <w:t>.</w:t>
      </w:r>
      <w:r>
        <w:rPr>
          <w:rFonts w:hint="eastAsia"/>
          <w:color w:val="auto"/>
          <w:sz w:val="22"/>
          <w:szCs w:val="22"/>
          <w:highlight w:val="none"/>
        </w:rPr>
        <w:t>维保单位应</w:t>
      </w:r>
      <w:r>
        <w:rPr>
          <w:color w:val="auto"/>
          <w:sz w:val="22"/>
          <w:szCs w:val="22"/>
          <w:highlight w:val="none"/>
        </w:rPr>
        <w:t>每年进行</w:t>
      </w:r>
      <w:r>
        <w:rPr>
          <w:rFonts w:hint="eastAsia"/>
          <w:color w:val="auto"/>
          <w:sz w:val="22"/>
          <w:szCs w:val="22"/>
          <w:highlight w:val="none"/>
        </w:rPr>
        <w:t>一</w:t>
      </w:r>
      <w:r>
        <w:rPr>
          <w:color w:val="auto"/>
          <w:sz w:val="22"/>
          <w:szCs w:val="22"/>
          <w:highlight w:val="none"/>
        </w:rPr>
        <w:t>次安全工具试验</w:t>
      </w:r>
      <w:r>
        <w:rPr>
          <w:rFonts w:hint="eastAsia"/>
          <w:color w:val="auto"/>
          <w:sz w:val="22"/>
          <w:szCs w:val="22"/>
          <w:highlight w:val="none"/>
        </w:rPr>
        <w:t>及电力设备预防性试验</w:t>
      </w:r>
      <w:r>
        <w:rPr>
          <w:color w:val="auto"/>
          <w:sz w:val="22"/>
          <w:szCs w:val="22"/>
          <w:highlight w:val="none"/>
        </w:rPr>
        <w:t>（根据规定要求进行），提供相关试验报告，费用由投标人承担；</w:t>
      </w:r>
    </w:p>
    <w:p w14:paraId="714A3C32">
      <w:pPr>
        <w:spacing w:line="500" w:lineRule="exact"/>
        <w:ind w:firstLine="440" w:firstLineChars="200"/>
        <w:rPr>
          <w:color w:val="auto"/>
          <w:sz w:val="22"/>
          <w:szCs w:val="22"/>
          <w:highlight w:val="none"/>
        </w:rPr>
      </w:pPr>
      <w:r>
        <w:rPr>
          <w:rFonts w:hint="eastAsia"/>
          <w:color w:val="auto"/>
          <w:sz w:val="22"/>
          <w:szCs w:val="22"/>
          <w:highlight w:val="none"/>
        </w:rPr>
        <w:t>2</w:t>
      </w:r>
      <w:r>
        <w:rPr>
          <w:color w:val="auto"/>
          <w:sz w:val="22"/>
          <w:szCs w:val="22"/>
          <w:highlight w:val="none"/>
        </w:rPr>
        <w:t>.电气设备保养（每年度进行1次设备保养，提供保养报告）；</w:t>
      </w:r>
    </w:p>
    <w:p w14:paraId="47F44845">
      <w:pPr>
        <w:spacing w:line="500" w:lineRule="exact"/>
        <w:ind w:firstLine="440" w:firstLineChars="200"/>
        <w:rPr>
          <w:color w:val="auto"/>
          <w:sz w:val="22"/>
          <w:szCs w:val="22"/>
          <w:highlight w:val="none"/>
        </w:rPr>
      </w:pPr>
      <w:r>
        <w:rPr>
          <w:rFonts w:hint="eastAsia"/>
          <w:color w:val="auto"/>
          <w:sz w:val="22"/>
          <w:szCs w:val="22"/>
          <w:highlight w:val="none"/>
        </w:rPr>
        <w:t>3</w:t>
      </w:r>
      <w:r>
        <w:rPr>
          <w:color w:val="auto"/>
          <w:sz w:val="22"/>
          <w:szCs w:val="22"/>
          <w:highlight w:val="none"/>
        </w:rPr>
        <w:t>.变电所及箱变的巡视巡查（每月至少巡检</w:t>
      </w:r>
      <w:r>
        <w:rPr>
          <w:rFonts w:hint="eastAsia"/>
          <w:color w:val="auto"/>
          <w:sz w:val="22"/>
          <w:szCs w:val="22"/>
          <w:highlight w:val="none"/>
        </w:rPr>
        <w:t>2</w:t>
      </w:r>
      <w:r>
        <w:rPr>
          <w:color w:val="auto"/>
          <w:sz w:val="22"/>
          <w:szCs w:val="22"/>
          <w:highlight w:val="none"/>
        </w:rPr>
        <w:t>次，在巡查、巡检过程中发现问题应及时抢修，</w:t>
      </w:r>
      <w:r>
        <w:rPr>
          <w:rFonts w:hint="eastAsia"/>
          <w:color w:val="auto"/>
          <w:sz w:val="22"/>
          <w:szCs w:val="22"/>
          <w:highlight w:val="none"/>
        </w:rPr>
        <w:t>免费更换累计价值2000元以内的零配件</w:t>
      </w:r>
      <w:r>
        <w:rPr>
          <w:color w:val="auto"/>
          <w:sz w:val="22"/>
          <w:szCs w:val="22"/>
          <w:highlight w:val="none"/>
        </w:rPr>
        <w:t>）；</w:t>
      </w:r>
    </w:p>
    <w:p w14:paraId="01854D85">
      <w:pPr>
        <w:spacing w:line="500" w:lineRule="exact"/>
        <w:ind w:firstLine="440" w:firstLineChars="200"/>
        <w:rPr>
          <w:color w:val="auto"/>
          <w:sz w:val="22"/>
          <w:szCs w:val="22"/>
          <w:highlight w:val="none"/>
        </w:rPr>
      </w:pPr>
      <w:r>
        <w:rPr>
          <w:rFonts w:hint="eastAsia"/>
          <w:color w:val="auto"/>
          <w:sz w:val="22"/>
          <w:szCs w:val="22"/>
          <w:highlight w:val="none"/>
        </w:rPr>
        <w:t>4</w:t>
      </w:r>
      <w:r>
        <w:rPr>
          <w:color w:val="auto"/>
          <w:sz w:val="22"/>
          <w:szCs w:val="22"/>
          <w:highlight w:val="none"/>
        </w:rPr>
        <w:t>.每月提供运维报告；</w:t>
      </w:r>
    </w:p>
    <w:p w14:paraId="71FBA19C">
      <w:pPr>
        <w:spacing w:line="500" w:lineRule="exact"/>
        <w:ind w:firstLine="440" w:firstLineChars="200"/>
        <w:rPr>
          <w:color w:val="auto"/>
          <w:sz w:val="24"/>
          <w:highlight w:val="none"/>
        </w:rPr>
      </w:pPr>
      <w:r>
        <w:rPr>
          <w:color w:val="auto"/>
          <w:sz w:val="22"/>
          <w:szCs w:val="22"/>
          <w:highlight w:val="none"/>
        </w:rPr>
        <w:t>5.24小时应急抢修免费服务（限半小时内到场维修）。</w:t>
      </w:r>
    </w:p>
    <w:p w14:paraId="5D73C3A6">
      <w:pPr>
        <w:spacing w:line="500" w:lineRule="exact"/>
        <w:ind w:firstLine="482" w:firstLineChars="200"/>
        <w:rPr>
          <w:b/>
          <w:bCs/>
          <w:color w:val="auto"/>
          <w:sz w:val="24"/>
          <w:highlight w:val="none"/>
        </w:rPr>
      </w:pPr>
      <w:r>
        <w:rPr>
          <w:rFonts w:hint="eastAsia"/>
          <w:b/>
          <w:bCs/>
          <w:color w:val="auto"/>
          <w:sz w:val="24"/>
          <w:highlight w:val="none"/>
        </w:rPr>
        <w:t>二、服务期限</w:t>
      </w:r>
    </w:p>
    <w:p w14:paraId="3D25A4ED">
      <w:pPr>
        <w:spacing w:line="500" w:lineRule="exact"/>
        <w:ind w:firstLine="440" w:firstLineChars="200"/>
        <w:rPr>
          <w:color w:val="auto"/>
          <w:sz w:val="22"/>
          <w:szCs w:val="22"/>
          <w:highlight w:val="none"/>
        </w:rPr>
      </w:pPr>
      <w:r>
        <w:rPr>
          <w:rFonts w:hint="eastAsia"/>
          <w:color w:val="auto"/>
          <w:sz w:val="22"/>
          <w:szCs w:val="22"/>
          <w:highlight w:val="none"/>
        </w:rPr>
        <w:t>本次招标服务期为</w:t>
      </w:r>
      <w:r>
        <w:rPr>
          <w:rFonts w:hint="eastAsia"/>
          <w:color w:val="auto"/>
          <w:sz w:val="22"/>
          <w:szCs w:val="22"/>
          <w:highlight w:val="none"/>
          <w:lang w:val="en-US" w:eastAsia="zh-CN"/>
        </w:rPr>
        <w:t>1</w:t>
      </w:r>
      <w:r>
        <w:rPr>
          <w:rFonts w:hint="eastAsia"/>
          <w:color w:val="auto"/>
          <w:sz w:val="22"/>
          <w:szCs w:val="22"/>
          <w:highlight w:val="none"/>
        </w:rPr>
        <w:t>年。</w:t>
      </w:r>
    </w:p>
    <w:p w14:paraId="6834E7F8">
      <w:pPr>
        <w:spacing w:line="500" w:lineRule="exact"/>
        <w:ind w:firstLine="482" w:firstLineChars="200"/>
        <w:rPr>
          <w:b/>
          <w:bCs/>
          <w:color w:val="auto"/>
          <w:sz w:val="24"/>
          <w:highlight w:val="none"/>
        </w:rPr>
      </w:pPr>
      <w:r>
        <w:rPr>
          <w:rFonts w:hint="eastAsia"/>
          <w:b/>
          <w:bCs/>
          <w:color w:val="auto"/>
          <w:sz w:val="24"/>
          <w:highlight w:val="none"/>
        </w:rPr>
        <w:t>三、维保地点</w:t>
      </w:r>
    </w:p>
    <w:p w14:paraId="50B4070F">
      <w:pPr>
        <w:spacing w:line="500" w:lineRule="exact"/>
        <w:ind w:firstLine="440" w:firstLineChars="200"/>
        <w:rPr>
          <w:color w:val="auto"/>
          <w:sz w:val="22"/>
          <w:szCs w:val="22"/>
          <w:highlight w:val="none"/>
        </w:rPr>
      </w:pPr>
      <w:r>
        <w:rPr>
          <w:rFonts w:hint="eastAsia"/>
          <w:color w:val="auto"/>
          <w:sz w:val="22"/>
          <w:szCs w:val="22"/>
          <w:highlight w:val="none"/>
        </w:rPr>
        <w:t>江苏医药职业学院东西园</w:t>
      </w:r>
    </w:p>
    <w:p w14:paraId="257FAEDB">
      <w:pPr>
        <w:spacing w:line="500" w:lineRule="exact"/>
        <w:ind w:firstLine="482" w:firstLineChars="200"/>
        <w:rPr>
          <w:b/>
          <w:bCs/>
          <w:color w:val="auto"/>
          <w:sz w:val="24"/>
          <w:highlight w:val="none"/>
        </w:rPr>
      </w:pPr>
      <w:r>
        <w:rPr>
          <w:rFonts w:hint="eastAsia"/>
          <w:b/>
          <w:bCs/>
          <w:color w:val="auto"/>
          <w:sz w:val="24"/>
          <w:highlight w:val="none"/>
        </w:rPr>
        <w:t>四、投标人资质要求</w:t>
      </w:r>
    </w:p>
    <w:p w14:paraId="2E63CA52">
      <w:pPr>
        <w:spacing w:line="500" w:lineRule="exact"/>
        <w:ind w:firstLine="440" w:firstLineChars="200"/>
        <w:rPr>
          <w:color w:val="auto"/>
          <w:sz w:val="22"/>
          <w:szCs w:val="22"/>
          <w:highlight w:val="none"/>
        </w:rPr>
      </w:pPr>
      <w:r>
        <w:rPr>
          <w:rFonts w:hint="eastAsia"/>
          <w:color w:val="auto"/>
          <w:sz w:val="22"/>
          <w:szCs w:val="22"/>
          <w:highlight w:val="none"/>
        </w:rPr>
        <w:t>1.投标人资质要求：具有建设行政主管部门核发的电力工程施工总承包或输变电工程专业承包三级及以上资质，同时具有国家电力监管部门颁发的承装（修、试）电力设施许可证五级及以上的独立法人，并持有行政主管部门颁发的安全生产许可证。</w:t>
      </w:r>
    </w:p>
    <w:p w14:paraId="45557F8F">
      <w:pPr>
        <w:spacing w:line="500" w:lineRule="exact"/>
        <w:ind w:firstLine="440" w:firstLineChars="200"/>
        <w:rPr>
          <w:color w:val="auto"/>
          <w:sz w:val="22"/>
          <w:szCs w:val="22"/>
          <w:highlight w:val="none"/>
        </w:rPr>
      </w:pPr>
      <w:r>
        <w:rPr>
          <w:color w:val="auto"/>
          <w:sz w:val="22"/>
          <w:szCs w:val="22"/>
          <w:highlight w:val="none"/>
        </w:rPr>
        <w:t>2.项目负责人资格要求：项目负责人须为投标人本单位正式职工，具有机电工程专业二级及以上注册建造师资格和持有安全生产考核合格证（B类）。并提供从2025年1月开始至投标截止之日当月至少1个月在本单位缴纳养老保险缴费记录证明。</w:t>
      </w:r>
    </w:p>
    <w:p w14:paraId="7C0B6DA2">
      <w:pPr>
        <w:spacing w:line="440" w:lineRule="exact"/>
        <w:ind w:firstLine="482"/>
        <w:rPr>
          <w:b/>
          <w:bCs/>
          <w:color w:val="auto"/>
          <w:sz w:val="24"/>
          <w:highlight w:val="none"/>
        </w:rPr>
      </w:pPr>
      <w:r>
        <w:rPr>
          <w:rFonts w:hint="eastAsia"/>
          <w:b/>
          <w:bCs/>
          <w:color w:val="auto"/>
          <w:sz w:val="24"/>
          <w:highlight w:val="none"/>
        </w:rPr>
        <w:t>五、服务设备、耗材要求</w:t>
      </w:r>
      <w:r>
        <w:rPr>
          <w:b/>
          <w:bCs/>
          <w:color w:val="auto"/>
          <w:sz w:val="24"/>
          <w:highlight w:val="none"/>
        </w:rPr>
        <w:t xml:space="preserve"> </w:t>
      </w:r>
    </w:p>
    <w:p w14:paraId="5D79D424">
      <w:pPr>
        <w:spacing w:line="500" w:lineRule="exact"/>
        <w:ind w:firstLine="440" w:firstLineChars="200"/>
        <w:rPr>
          <w:color w:val="auto"/>
          <w:sz w:val="22"/>
          <w:szCs w:val="22"/>
          <w:highlight w:val="none"/>
        </w:rPr>
      </w:pPr>
      <w:r>
        <w:rPr>
          <w:rFonts w:hint="eastAsia"/>
          <w:color w:val="auto"/>
          <w:sz w:val="22"/>
          <w:szCs w:val="22"/>
          <w:highlight w:val="none"/>
        </w:rPr>
        <w:t>中标人需配备工程车及相应供变电维护及检测相关专业设备</w:t>
      </w:r>
      <w:r>
        <w:rPr>
          <w:color w:val="auto"/>
          <w:sz w:val="22"/>
          <w:szCs w:val="22"/>
          <w:highlight w:val="none"/>
        </w:rPr>
        <w:t>:</w:t>
      </w:r>
      <w:r>
        <w:rPr>
          <w:rFonts w:hint="eastAsia"/>
          <w:color w:val="auto"/>
          <w:sz w:val="22"/>
          <w:szCs w:val="22"/>
          <w:highlight w:val="none"/>
        </w:rPr>
        <w:t>万用表，兆欧表，温度枪，热成像仪，钳形电流表</w:t>
      </w:r>
      <w:r>
        <w:rPr>
          <w:color w:val="auto"/>
          <w:sz w:val="22"/>
          <w:szCs w:val="22"/>
          <w:highlight w:val="none"/>
        </w:rPr>
        <w:t>,</w:t>
      </w:r>
      <w:r>
        <w:rPr>
          <w:rFonts w:hint="eastAsia"/>
          <w:color w:val="auto"/>
          <w:sz w:val="22"/>
          <w:szCs w:val="22"/>
          <w:highlight w:val="none"/>
        </w:rPr>
        <w:t>直流电阻测试仪、耐压仪、变比测试仪、继电保护测试仪、绝缘电阻测试仪等。</w:t>
      </w:r>
    </w:p>
    <w:p w14:paraId="25CC3F53">
      <w:pPr>
        <w:spacing w:line="500" w:lineRule="exact"/>
        <w:ind w:firstLine="440" w:firstLineChars="200"/>
        <w:rPr>
          <w:rFonts w:ascii="宋体" w:hAnsi="宋体"/>
          <w:color w:val="auto"/>
          <w:sz w:val="22"/>
          <w:szCs w:val="22"/>
          <w:highlight w:val="none"/>
        </w:rPr>
      </w:pPr>
    </w:p>
    <w:p w14:paraId="27A60941">
      <w:pPr>
        <w:pStyle w:val="25"/>
        <w:ind w:firstLine="480"/>
        <w:rPr>
          <w:rFonts w:cs="宋体"/>
          <w:color w:val="auto"/>
          <w:sz w:val="24"/>
          <w:szCs w:val="24"/>
          <w:highlight w:val="none"/>
        </w:rPr>
      </w:pPr>
    </w:p>
    <w:p w14:paraId="27BDBBA3">
      <w:pPr>
        <w:rPr>
          <w:rFonts w:ascii="宋体" w:hAnsi="宋体" w:cs="宋体"/>
          <w:color w:val="auto"/>
          <w:sz w:val="24"/>
          <w:highlight w:val="none"/>
        </w:rPr>
      </w:pPr>
    </w:p>
    <w:p w14:paraId="34D41875">
      <w:pPr>
        <w:pStyle w:val="25"/>
        <w:rPr>
          <w:color w:val="auto"/>
          <w:highlight w:val="none"/>
        </w:rPr>
      </w:pPr>
    </w:p>
    <w:p w14:paraId="47BB1BD7">
      <w:pPr>
        <w:pStyle w:val="21"/>
        <w:ind w:left="0" w:leftChars="0"/>
        <w:rPr>
          <w:color w:val="auto"/>
          <w:highlight w:val="none"/>
        </w:rPr>
      </w:pPr>
      <w:bookmarkStart w:id="15" w:name="_Toc141279400"/>
    </w:p>
    <w:p w14:paraId="7027F10D">
      <w:pPr>
        <w:rPr>
          <w:color w:val="auto"/>
          <w:highlight w:val="none"/>
        </w:rPr>
      </w:pPr>
    </w:p>
    <w:p w14:paraId="475779C8">
      <w:pPr>
        <w:pStyle w:val="25"/>
        <w:rPr>
          <w:color w:val="auto"/>
          <w:highlight w:val="none"/>
        </w:rPr>
      </w:pPr>
    </w:p>
    <w:p w14:paraId="01E7C374">
      <w:pPr>
        <w:rPr>
          <w:color w:val="auto"/>
          <w:highlight w:val="none"/>
        </w:rPr>
      </w:pPr>
    </w:p>
    <w:p w14:paraId="3341EBCB">
      <w:pPr>
        <w:pStyle w:val="25"/>
        <w:rPr>
          <w:color w:val="auto"/>
          <w:highlight w:val="none"/>
        </w:rPr>
      </w:pPr>
    </w:p>
    <w:p w14:paraId="02FF9C80">
      <w:pPr>
        <w:rPr>
          <w:color w:val="auto"/>
          <w:highlight w:val="none"/>
        </w:rPr>
      </w:pPr>
    </w:p>
    <w:p w14:paraId="23238523">
      <w:pPr>
        <w:pStyle w:val="25"/>
        <w:rPr>
          <w:color w:val="auto"/>
          <w:highlight w:val="none"/>
        </w:rPr>
      </w:pPr>
    </w:p>
    <w:p w14:paraId="24B750C2">
      <w:pPr>
        <w:rPr>
          <w:color w:val="auto"/>
          <w:highlight w:val="none"/>
        </w:rPr>
      </w:pPr>
    </w:p>
    <w:p w14:paraId="27A1E012">
      <w:pPr>
        <w:rPr>
          <w:color w:val="auto"/>
          <w:highlight w:val="none"/>
        </w:rPr>
      </w:pPr>
    </w:p>
    <w:p w14:paraId="081DD1DB">
      <w:pPr>
        <w:rPr>
          <w:color w:val="auto"/>
          <w:highlight w:val="none"/>
        </w:rPr>
      </w:pPr>
    </w:p>
    <w:p w14:paraId="7B0884B0">
      <w:pPr>
        <w:rPr>
          <w:color w:val="auto"/>
          <w:highlight w:val="none"/>
        </w:rPr>
      </w:pPr>
    </w:p>
    <w:p w14:paraId="10D754BE">
      <w:pPr>
        <w:rPr>
          <w:color w:val="auto"/>
          <w:highlight w:val="none"/>
        </w:rPr>
      </w:pPr>
    </w:p>
    <w:p w14:paraId="2FDAB9CB">
      <w:pPr>
        <w:rPr>
          <w:color w:val="auto"/>
          <w:highlight w:val="none"/>
        </w:rPr>
      </w:pPr>
    </w:p>
    <w:p w14:paraId="75166022">
      <w:pPr>
        <w:rPr>
          <w:color w:val="auto"/>
          <w:highlight w:val="none"/>
        </w:rPr>
      </w:pPr>
    </w:p>
    <w:p w14:paraId="7672EBD0">
      <w:pPr>
        <w:rPr>
          <w:color w:val="auto"/>
          <w:highlight w:val="none"/>
        </w:rPr>
      </w:pPr>
    </w:p>
    <w:p w14:paraId="31CD8752">
      <w:pPr>
        <w:rPr>
          <w:color w:val="auto"/>
          <w:highlight w:val="none"/>
        </w:rPr>
      </w:pPr>
    </w:p>
    <w:p w14:paraId="34CD18E6">
      <w:pPr>
        <w:rPr>
          <w:color w:val="auto"/>
          <w:highlight w:val="none"/>
        </w:rPr>
      </w:pPr>
    </w:p>
    <w:p w14:paraId="3B410DAA">
      <w:pPr>
        <w:rPr>
          <w:color w:val="auto"/>
          <w:highlight w:val="none"/>
        </w:rPr>
      </w:pPr>
    </w:p>
    <w:p w14:paraId="49B611FE">
      <w:pPr>
        <w:rPr>
          <w:color w:val="auto"/>
          <w:highlight w:val="none"/>
        </w:rPr>
      </w:pPr>
    </w:p>
    <w:p w14:paraId="68DD11F1">
      <w:pPr>
        <w:rPr>
          <w:color w:val="auto"/>
          <w:highlight w:val="none"/>
        </w:rPr>
      </w:pPr>
    </w:p>
    <w:p w14:paraId="04062E22">
      <w:pPr>
        <w:rPr>
          <w:color w:val="auto"/>
          <w:highlight w:val="none"/>
        </w:rPr>
      </w:pPr>
    </w:p>
    <w:p w14:paraId="7C24912F">
      <w:pPr>
        <w:rPr>
          <w:color w:val="auto"/>
          <w:highlight w:val="none"/>
        </w:rPr>
      </w:pPr>
    </w:p>
    <w:p w14:paraId="21E2B92E">
      <w:pPr>
        <w:rPr>
          <w:color w:val="auto"/>
          <w:highlight w:val="none"/>
        </w:rPr>
      </w:pPr>
    </w:p>
    <w:p w14:paraId="11E6CBFE">
      <w:pPr>
        <w:rPr>
          <w:color w:val="auto"/>
          <w:highlight w:val="none"/>
        </w:rPr>
      </w:pPr>
    </w:p>
    <w:p w14:paraId="5E2C7E2D">
      <w:pPr>
        <w:rPr>
          <w:color w:val="auto"/>
          <w:highlight w:val="none"/>
        </w:rPr>
      </w:pPr>
    </w:p>
    <w:p w14:paraId="6BF1794F">
      <w:pPr>
        <w:pStyle w:val="2"/>
        <w:rPr>
          <w:color w:val="auto"/>
          <w:sz w:val="32"/>
          <w:szCs w:val="32"/>
          <w:highlight w:val="none"/>
        </w:rPr>
      </w:pPr>
      <w:r>
        <w:rPr>
          <w:rFonts w:hint="eastAsia"/>
          <w:color w:val="auto"/>
          <w:sz w:val="32"/>
          <w:szCs w:val="32"/>
          <w:highlight w:val="none"/>
        </w:rPr>
        <w:t>第五部分</w:t>
      </w:r>
      <w:r>
        <w:rPr>
          <w:color w:val="auto"/>
          <w:sz w:val="32"/>
          <w:szCs w:val="32"/>
          <w:highlight w:val="none"/>
        </w:rPr>
        <w:t xml:space="preserve"> </w:t>
      </w:r>
      <w:r>
        <w:rPr>
          <w:rFonts w:hint="eastAsia"/>
          <w:color w:val="auto"/>
          <w:sz w:val="32"/>
          <w:szCs w:val="32"/>
          <w:highlight w:val="none"/>
        </w:rPr>
        <w:t>附</w:t>
      </w:r>
      <w:r>
        <w:rPr>
          <w:color w:val="auto"/>
          <w:sz w:val="32"/>
          <w:szCs w:val="32"/>
          <w:highlight w:val="none"/>
        </w:rPr>
        <w:t xml:space="preserve">  </w:t>
      </w:r>
      <w:r>
        <w:rPr>
          <w:rFonts w:hint="eastAsia"/>
          <w:color w:val="auto"/>
          <w:sz w:val="32"/>
          <w:szCs w:val="32"/>
          <w:highlight w:val="none"/>
        </w:rPr>
        <w:t>件</w:t>
      </w:r>
      <w:bookmarkEnd w:id="15"/>
    </w:p>
    <w:p w14:paraId="29C7BA4C">
      <w:pPr>
        <w:snapToGrid w:val="0"/>
        <w:spacing w:line="360" w:lineRule="auto"/>
        <w:ind w:right="-351" w:rightChars="-167"/>
        <w:rPr>
          <w:rFonts w:ascii="宋体" w:hAnsi="宋体"/>
          <w:b/>
          <w:color w:val="auto"/>
          <w:sz w:val="24"/>
          <w:highlight w:val="none"/>
        </w:rPr>
      </w:pPr>
    </w:p>
    <w:p w14:paraId="6E42ACFB">
      <w:pPr>
        <w:spacing w:line="360" w:lineRule="auto"/>
        <w:rPr>
          <w:rFonts w:ascii="宋体"/>
          <w:color w:val="auto"/>
          <w:spacing w:val="4"/>
          <w:sz w:val="24"/>
          <w:highlight w:val="none"/>
        </w:rPr>
      </w:pPr>
      <w:r>
        <w:rPr>
          <w:rFonts w:hint="eastAsia" w:ascii="宋体" w:hAnsi="宋体"/>
          <w:color w:val="auto"/>
          <w:spacing w:val="4"/>
          <w:sz w:val="24"/>
          <w:highlight w:val="none"/>
        </w:rPr>
        <w:t>附件</w:t>
      </w:r>
      <w:r>
        <w:rPr>
          <w:rFonts w:ascii="宋体" w:hAnsi="宋体"/>
          <w:color w:val="auto"/>
          <w:spacing w:val="4"/>
          <w:sz w:val="24"/>
          <w:highlight w:val="none"/>
        </w:rPr>
        <w:t>1</w:t>
      </w:r>
      <w:r>
        <w:rPr>
          <w:rFonts w:hint="eastAsia" w:ascii="宋体" w:hAnsi="宋体"/>
          <w:color w:val="auto"/>
          <w:spacing w:val="4"/>
          <w:sz w:val="24"/>
          <w:highlight w:val="none"/>
        </w:rPr>
        <w:t>：投标函</w:t>
      </w:r>
    </w:p>
    <w:p w14:paraId="0EF2FBF1">
      <w:pPr>
        <w:spacing w:line="360" w:lineRule="auto"/>
        <w:rPr>
          <w:rFonts w:ascii="宋体" w:hAnsi="宋体"/>
          <w:color w:val="auto"/>
          <w:spacing w:val="4"/>
          <w:sz w:val="24"/>
          <w:highlight w:val="none"/>
        </w:rPr>
      </w:pPr>
      <w:r>
        <w:rPr>
          <w:rFonts w:hint="eastAsia" w:ascii="宋体" w:hAnsi="宋体"/>
          <w:color w:val="auto"/>
          <w:spacing w:val="4"/>
          <w:sz w:val="24"/>
          <w:highlight w:val="none"/>
        </w:rPr>
        <w:t>附件</w:t>
      </w:r>
      <w:r>
        <w:rPr>
          <w:rFonts w:ascii="宋体" w:hAnsi="宋体"/>
          <w:color w:val="auto"/>
          <w:spacing w:val="4"/>
          <w:sz w:val="24"/>
          <w:highlight w:val="none"/>
        </w:rPr>
        <w:t>2：</w:t>
      </w:r>
      <w:r>
        <w:rPr>
          <w:rFonts w:hint="eastAsia" w:ascii="宋体" w:hAnsi="宋体"/>
          <w:color w:val="auto"/>
          <w:spacing w:val="4"/>
          <w:sz w:val="24"/>
          <w:highlight w:val="none"/>
        </w:rPr>
        <w:t>法定代表人授权委托书</w:t>
      </w:r>
    </w:p>
    <w:p w14:paraId="1AB80F9D">
      <w:pPr>
        <w:spacing w:line="360" w:lineRule="auto"/>
        <w:rPr>
          <w:rFonts w:ascii="宋体" w:hAnsi="宋体"/>
          <w:color w:val="auto"/>
          <w:spacing w:val="4"/>
          <w:sz w:val="24"/>
          <w:highlight w:val="none"/>
        </w:rPr>
      </w:pPr>
      <w:r>
        <w:rPr>
          <w:rFonts w:hint="eastAsia" w:ascii="宋体" w:hAnsi="宋体"/>
          <w:color w:val="auto"/>
          <w:spacing w:val="4"/>
          <w:sz w:val="24"/>
          <w:highlight w:val="none"/>
        </w:rPr>
        <w:t>附件3：投标人的资格证明文件</w:t>
      </w:r>
    </w:p>
    <w:p w14:paraId="223BC351">
      <w:pPr>
        <w:spacing w:line="360" w:lineRule="auto"/>
        <w:rPr>
          <w:rFonts w:ascii="宋体" w:hAnsi="宋体"/>
          <w:color w:val="auto"/>
          <w:spacing w:val="4"/>
          <w:sz w:val="24"/>
          <w:highlight w:val="none"/>
        </w:rPr>
      </w:pPr>
      <w:r>
        <w:rPr>
          <w:rFonts w:hint="eastAsia" w:ascii="宋体" w:hAnsi="宋体"/>
          <w:color w:val="auto"/>
          <w:spacing w:val="4"/>
          <w:sz w:val="24"/>
          <w:highlight w:val="none"/>
        </w:rPr>
        <w:t>附件4：投标报价表</w:t>
      </w:r>
    </w:p>
    <w:p w14:paraId="69C0C6A0">
      <w:pPr>
        <w:snapToGrid w:val="0"/>
        <w:spacing w:line="360" w:lineRule="auto"/>
        <w:ind w:right="-351" w:rightChars="-167"/>
        <w:jc w:val="center"/>
        <w:rPr>
          <w:rFonts w:ascii="宋体" w:hAnsi="宋体"/>
          <w:b/>
          <w:color w:val="auto"/>
          <w:sz w:val="36"/>
          <w:szCs w:val="36"/>
          <w:highlight w:val="none"/>
        </w:rPr>
      </w:pPr>
    </w:p>
    <w:p w14:paraId="2390DDEA">
      <w:pPr>
        <w:widowControl/>
        <w:jc w:val="left"/>
        <w:rPr>
          <w:color w:val="auto"/>
          <w:szCs w:val="21"/>
          <w:highlight w:val="none"/>
        </w:rPr>
      </w:pPr>
      <w:bookmarkStart w:id="16" w:name="_Toc44081674"/>
    </w:p>
    <w:p w14:paraId="079E222B">
      <w:pPr>
        <w:widowControl/>
        <w:jc w:val="left"/>
        <w:rPr>
          <w:color w:val="auto"/>
          <w:szCs w:val="21"/>
          <w:highlight w:val="none"/>
        </w:rPr>
      </w:pPr>
    </w:p>
    <w:p w14:paraId="58917C06">
      <w:pPr>
        <w:widowControl/>
        <w:jc w:val="left"/>
        <w:rPr>
          <w:color w:val="auto"/>
          <w:szCs w:val="21"/>
          <w:highlight w:val="none"/>
        </w:rPr>
      </w:pPr>
    </w:p>
    <w:p w14:paraId="604FD90E">
      <w:pPr>
        <w:widowControl/>
        <w:jc w:val="left"/>
        <w:rPr>
          <w:color w:val="auto"/>
          <w:szCs w:val="21"/>
          <w:highlight w:val="none"/>
        </w:rPr>
      </w:pPr>
    </w:p>
    <w:p w14:paraId="7246D6FC">
      <w:pPr>
        <w:widowControl/>
        <w:jc w:val="left"/>
        <w:rPr>
          <w:color w:val="auto"/>
          <w:szCs w:val="21"/>
          <w:highlight w:val="none"/>
        </w:rPr>
      </w:pPr>
    </w:p>
    <w:p w14:paraId="22B266C7">
      <w:pPr>
        <w:widowControl/>
        <w:jc w:val="left"/>
        <w:rPr>
          <w:color w:val="auto"/>
          <w:szCs w:val="21"/>
          <w:highlight w:val="none"/>
        </w:rPr>
      </w:pPr>
    </w:p>
    <w:p w14:paraId="311DA30E">
      <w:pPr>
        <w:widowControl/>
        <w:jc w:val="left"/>
        <w:rPr>
          <w:color w:val="auto"/>
          <w:szCs w:val="21"/>
          <w:highlight w:val="none"/>
        </w:rPr>
      </w:pPr>
    </w:p>
    <w:p w14:paraId="590523DB">
      <w:pPr>
        <w:widowControl/>
        <w:jc w:val="left"/>
        <w:rPr>
          <w:color w:val="auto"/>
          <w:szCs w:val="21"/>
          <w:highlight w:val="none"/>
        </w:rPr>
      </w:pPr>
    </w:p>
    <w:p w14:paraId="353D653F">
      <w:pPr>
        <w:widowControl/>
        <w:jc w:val="left"/>
        <w:rPr>
          <w:color w:val="auto"/>
          <w:szCs w:val="21"/>
          <w:highlight w:val="none"/>
        </w:rPr>
      </w:pPr>
    </w:p>
    <w:p w14:paraId="0F61EFD1">
      <w:pPr>
        <w:widowControl/>
        <w:jc w:val="left"/>
        <w:rPr>
          <w:color w:val="auto"/>
          <w:szCs w:val="21"/>
          <w:highlight w:val="none"/>
        </w:rPr>
      </w:pPr>
    </w:p>
    <w:p w14:paraId="3B39D4CE">
      <w:pPr>
        <w:widowControl/>
        <w:jc w:val="left"/>
        <w:rPr>
          <w:color w:val="auto"/>
          <w:szCs w:val="21"/>
          <w:highlight w:val="none"/>
        </w:rPr>
      </w:pPr>
    </w:p>
    <w:p w14:paraId="34A5BF4C">
      <w:pPr>
        <w:widowControl/>
        <w:jc w:val="left"/>
        <w:rPr>
          <w:color w:val="auto"/>
          <w:szCs w:val="21"/>
          <w:highlight w:val="none"/>
        </w:rPr>
      </w:pPr>
    </w:p>
    <w:p w14:paraId="55A8A5FE">
      <w:pPr>
        <w:widowControl/>
        <w:jc w:val="left"/>
        <w:rPr>
          <w:color w:val="auto"/>
          <w:szCs w:val="21"/>
          <w:highlight w:val="none"/>
        </w:rPr>
      </w:pPr>
    </w:p>
    <w:p w14:paraId="41F4E3E1">
      <w:pPr>
        <w:widowControl/>
        <w:jc w:val="left"/>
        <w:rPr>
          <w:color w:val="auto"/>
          <w:szCs w:val="21"/>
          <w:highlight w:val="none"/>
        </w:rPr>
      </w:pPr>
    </w:p>
    <w:p w14:paraId="6AD70A13">
      <w:pPr>
        <w:widowControl/>
        <w:jc w:val="left"/>
        <w:rPr>
          <w:color w:val="auto"/>
          <w:szCs w:val="21"/>
          <w:highlight w:val="none"/>
        </w:rPr>
      </w:pPr>
    </w:p>
    <w:p w14:paraId="56AA64DA">
      <w:pPr>
        <w:widowControl/>
        <w:jc w:val="left"/>
        <w:rPr>
          <w:color w:val="auto"/>
          <w:szCs w:val="21"/>
          <w:highlight w:val="none"/>
        </w:rPr>
      </w:pPr>
    </w:p>
    <w:p w14:paraId="61EBD30A">
      <w:pPr>
        <w:widowControl/>
        <w:jc w:val="left"/>
        <w:rPr>
          <w:color w:val="auto"/>
          <w:szCs w:val="21"/>
          <w:highlight w:val="none"/>
        </w:rPr>
      </w:pPr>
    </w:p>
    <w:p w14:paraId="2F0C0A4A">
      <w:pPr>
        <w:widowControl/>
        <w:jc w:val="left"/>
        <w:rPr>
          <w:color w:val="auto"/>
          <w:szCs w:val="21"/>
          <w:highlight w:val="none"/>
        </w:rPr>
      </w:pPr>
    </w:p>
    <w:p w14:paraId="7BF382AF">
      <w:pPr>
        <w:widowControl/>
        <w:jc w:val="left"/>
        <w:rPr>
          <w:color w:val="auto"/>
          <w:szCs w:val="21"/>
          <w:highlight w:val="none"/>
        </w:rPr>
      </w:pPr>
    </w:p>
    <w:p w14:paraId="47E9708E">
      <w:pPr>
        <w:widowControl/>
        <w:jc w:val="left"/>
        <w:rPr>
          <w:color w:val="auto"/>
          <w:szCs w:val="21"/>
          <w:highlight w:val="none"/>
        </w:rPr>
      </w:pPr>
    </w:p>
    <w:p w14:paraId="618FD086">
      <w:pPr>
        <w:widowControl/>
        <w:jc w:val="left"/>
        <w:rPr>
          <w:color w:val="auto"/>
          <w:szCs w:val="21"/>
          <w:highlight w:val="none"/>
        </w:rPr>
      </w:pPr>
    </w:p>
    <w:p w14:paraId="653F95D2">
      <w:pPr>
        <w:widowControl/>
        <w:jc w:val="left"/>
        <w:rPr>
          <w:color w:val="auto"/>
          <w:szCs w:val="21"/>
          <w:highlight w:val="none"/>
        </w:rPr>
      </w:pPr>
    </w:p>
    <w:p w14:paraId="53637DC4">
      <w:pPr>
        <w:widowControl/>
        <w:jc w:val="left"/>
        <w:rPr>
          <w:color w:val="auto"/>
          <w:szCs w:val="21"/>
          <w:highlight w:val="none"/>
        </w:rPr>
      </w:pPr>
    </w:p>
    <w:p w14:paraId="2ADCB84C">
      <w:pPr>
        <w:widowControl/>
        <w:jc w:val="left"/>
        <w:rPr>
          <w:color w:val="auto"/>
          <w:szCs w:val="21"/>
          <w:highlight w:val="none"/>
        </w:rPr>
      </w:pPr>
    </w:p>
    <w:p w14:paraId="70970B41">
      <w:pPr>
        <w:widowControl/>
        <w:jc w:val="left"/>
        <w:rPr>
          <w:color w:val="auto"/>
          <w:szCs w:val="21"/>
          <w:highlight w:val="none"/>
        </w:rPr>
      </w:pPr>
    </w:p>
    <w:p w14:paraId="6D97C009">
      <w:pPr>
        <w:widowControl/>
        <w:jc w:val="left"/>
        <w:rPr>
          <w:color w:val="auto"/>
          <w:szCs w:val="21"/>
          <w:highlight w:val="none"/>
        </w:rPr>
      </w:pPr>
    </w:p>
    <w:p w14:paraId="71AF0A2F">
      <w:pPr>
        <w:widowControl/>
        <w:jc w:val="left"/>
        <w:rPr>
          <w:color w:val="auto"/>
          <w:szCs w:val="21"/>
          <w:highlight w:val="none"/>
        </w:rPr>
      </w:pPr>
    </w:p>
    <w:p w14:paraId="6326A316">
      <w:pPr>
        <w:widowControl/>
        <w:jc w:val="left"/>
        <w:rPr>
          <w:color w:val="auto"/>
          <w:szCs w:val="21"/>
          <w:highlight w:val="none"/>
        </w:rPr>
      </w:pPr>
    </w:p>
    <w:p w14:paraId="5C4B6020">
      <w:pPr>
        <w:widowControl/>
        <w:jc w:val="left"/>
        <w:rPr>
          <w:color w:val="auto"/>
          <w:szCs w:val="21"/>
          <w:highlight w:val="none"/>
        </w:rPr>
      </w:pPr>
    </w:p>
    <w:p w14:paraId="52B3A35C">
      <w:pPr>
        <w:widowControl/>
        <w:jc w:val="left"/>
        <w:rPr>
          <w:color w:val="auto"/>
          <w:szCs w:val="21"/>
          <w:highlight w:val="none"/>
        </w:rPr>
      </w:pPr>
    </w:p>
    <w:p w14:paraId="508EE44D">
      <w:pPr>
        <w:widowControl/>
        <w:jc w:val="left"/>
        <w:rPr>
          <w:color w:val="auto"/>
          <w:szCs w:val="21"/>
          <w:highlight w:val="none"/>
        </w:rPr>
      </w:pPr>
    </w:p>
    <w:p w14:paraId="14D93CAF">
      <w:pPr>
        <w:widowControl/>
        <w:jc w:val="left"/>
        <w:rPr>
          <w:color w:val="auto"/>
          <w:szCs w:val="21"/>
          <w:highlight w:val="none"/>
        </w:rPr>
      </w:pPr>
    </w:p>
    <w:p w14:paraId="6CF9CFD3">
      <w:pPr>
        <w:widowControl/>
        <w:jc w:val="left"/>
        <w:rPr>
          <w:color w:val="auto"/>
          <w:szCs w:val="21"/>
          <w:highlight w:val="none"/>
        </w:rPr>
      </w:pPr>
    </w:p>
    <w:p w14:paraId="46A6D214">
      <w:pPr>
        <w:pStyle w:val="21"/>
        <w:ind w:left="3360"/>
        <w:rPr>
          <w:color w:val="auto"/>
          <w:szCs w:val="21"/>
          <w:highlight w:val="none"/>
        </w:rPr>
      </w:pPr>
    </w:p>
    <w:p w14:paraId="08D62FFF">
      <w:pPr>
        <w:rPr>
          <w:color w:val="auto"/>
          <w:szCs w:val="21"/>
          <w:highlight w:val="none"/>
        </w:rPr>
      </w:pPr>
    </w:p>
    <w:p w14:paraId="1BFBFE3D">
      <w:pPr>
        <w:widowControl/>
        <w:jc w:val="left"/>
        <w:rPr>
          <w:color w:val="auto"/>
          <w:szCs w:val="21"/>
          <w:highlight w:val="none"/>
        </w:rPr>
      </w:pPr>
    </w:p>
    <w:p w14:paraId="2D553145">
      <w:pPr>
        <w:widowControl/>
        <w:jc w:val="left"/>
        <w:rPr>
          <w:color w:val="auto"/>
          <w:szCs w:val="21"/>
          <w:highlight w:val="none"/>
        </w:rPr>
      </w:pPr>
    </w:p>
    <w:p w14:paraId="384FE601">
      <w:pPr>
        <w:widowControl/>
        <w:jc w:val="left"/>
        <w:rPr>
          <w:color w:val="auto"/>
          <w:szCs w:val="21"/>
          <w:highlight w:val="none"/>
        </w:rPr>
      </w:pPr>
    </w:p>
    <w:p w14:paraId="6C378835">
      <w:pPr>
        <w:widowControl/>
        <w:jc w:val="left"/>
        <w:rPr>
          <w:color w:val="auto"/>
          <w:szCs w:val="21"/>
          <w:highlight w:val="none"/>
        </w:rPr>
      </w:pPr>
    </w:p>
    <w:p w14:paraId="29713CE9">
      <w:pPr>
        <w:widowControl/>
        <w:jc w:val="left"/>
        <w:rPr>
          <w:color w:val="auto"/>
          <w:szCs w:val="21"/>
          <w:highlight w:val="none"/>
        </w:rPr>
      </w:pPr>
    </w:p>
    <w:p w14:paraId="783A8098">
      <w:pPr>
        <w:pStyle w:val="25"/>
        <w:rPr>
          <w:color w:val="auto"/>
          <w:highlight w:val="none"/>
        </w:rPr>
      </w:pPr>
    </w:p>
    <w:p w14:paraId="77645222">
      <w:pPr>
        <w:widowControl/>
        <w:jc w:val="left"/>
        <w:rPr>
          <w:color w:val="auto"/>
          <w:szCs w:val="21"/>
          <w:highlight w:val="none"/>
        </w:rPr>
      </w:pPr>
    </w:p>
    <w:p w14:paraId="5EAFD990">
      <w:pPr>
        <w:widowControl/>
        <w:jc w:val="left"/>
        <w:rPr>
          <w:color w:val="auto"/>
          <w:szCs w:val="21"/>
          <w:highlight w:val="none"/>
        </w:rPr>
      </w:pPr>
    </w:p>
    <w:p w14:paraId="1B3A42DB">
      <w:pPr>
        <w:widowControl/>
        <w:jc w:val="left"/>
        <w:rPr>
          <w:color w:val="auto"/>
          <w:szCs w:val="21"/>
          <w:highlight w:val="none"/>
        </w:rPr>
      </w:pPr>
    </w:p>
    <w:p w14:paraId="2523815C">
      <w:pPr>
        <w:widowControl/>
        <w:jc w:val="left"/>
        <w:rPr>
          <w:color w:val="auto"/>
          <w:szCs w:val="21"/>
          <w:highlight w:val="none"/>
        </w:rPr>
      </w:pPr>
    </w:p>
    <w:p w14:paraId="5E2669EE">
      <w:pPr>
        <w:widowControl/>
        <w:jc w:val="left"/>
        <w:rPr>
          <w:color w:val="auto"/>
          <w:szCs w:val="21"/>
          <w:highlight w:val="none"/>
        </w:rPr>
      </w:pPr>
    </w:p>
    <w:p w14:paraId="02BAC28E">
      <w:pPr>
        <w:widowControl/>
        <w:jc w:val="left"/>
        <w:outlineLvl w:val="1"/>
        <w:rPr>
          <w:rFonts w:asciiTheme="minorEastAsia" w:hAnsiTheme="minorEastAsia" w:eastAsiaTheme="minorEastAsia" w:cstheme="minorEastAsia"/>
          <w:color w:val="auto"/>
          <w:sz w:val="24"/>
          <w:highlight w:val="none"/>
        </w:rPr>
      </w:pPr>
      <w:bookmarkStart w:id="17" w:name="_Toc141279401"/>
      <w:r>
        <w:rPr>
          <w:rFonts w:hint="eastAsia" w:asciiTheme="minorEastAsia" w:hAnsiTheme="minorEastAsia" w:eastAsiaTheme="minorEastAsia" w:cstheme="minorEastAsia"/>
          <w:color w:val="auto"/>
          <w:sz w:val="24"/>
          <w:highlight w:val="none"/>
        </w:rPr>
        <w:t>附件1：投标函</w:t>
      </w:r>
      <w:bookmarkEnd w:id="16"/>
      <w:bookmarkEnd w:id="17"/>
    </w:p>
    <w:p w14:paraId="51C67510">
      <w:pPr>
        <w:jc w:val="center"/>
        <w:rPr>
          <w:rFonts w:ascii="宋体" w:hAnsi="宋体"/>
          <w:b/>
          <w:bCs/>
          <w:color w:val="auto"/>
          <w:sz w:val="44"/>
          <w:highlight w:val="none"/>
        </w:rPr>
      </w:pPr>
    </w:p>
    <w:p w14:paraId="4585B87D">
      <w:pPr>
        <w:jc w:val="center"/>
        <w:rPr>
          <w:rFonts w:ascii="宋体"/>
          <w:color w:val="auto"/>
          <w:highlight w:val="none"/>
        </w:rPr>
      </w:pPr>
      <w:r>
        <w:rPr>
          <w:rFonts w:hint="eastAsia" w:ascii="宋体" w:hAnsi="宋体"/>
          <w:b/>
          <w:bCs/>
          <w:color w:val="auto"/>
          <w:sz w:val="44"/>
          <w:highlight w:val="none"/>
        </w:rPr>
        <w:t>投</w:t>
      </w:r>
      <w:r>
        <w:rPr>
          <w:rFonts w:ascii="宋体" w:hAnsi="宋体"/>
          <w:b/>
          <w:bCs/>
          <w:color w:val="auto"/>
          <w:sz w:val="44"/>
          <w:highlight w:val="none"/>
        </w:rPr>
        <w:t xml:space="preserve">    </w:t>
      </w:r>
      <w:r>
        <w:rPr>
          <w:rFonts w:hint="eastAsia" w:ascii="宋体" w:hAnsi="宋体"/>
          <w:b/>
          <w:bCs/>
          <w:color w:val="auto"/>
          <w:sz w:val="44"/>
          <w:highlight w:val="none"/>
        </w:rPr>
        <w:t>标</w:t>
      </w:r>
      <w:r>
        <w:rPr>
          <w:rFonts w:ascii="宋体" w:hAnsi="宋体"/>
          <w:b/>
          <w:bCs/>
          <w:color w:val="auto"/>
          <w:sz w:val="44"/>
          <w:highlight w:val="none"/>
        </w:rPr>
        <w:t xml:space="preserve">    </w:t>
      </w:r>
      <w:r>
        <w:rPr>
          <w:rFonts w:hint="eastAsia" w:ascii="宋体" w:hAnsi="宋体"/>
          <w:b/>
          <w:bCs/>
          <w:color w:val="auto"/>
          <w:sz w:val="44"/>
          <w:highlight w:val="none"/>
        </w:rPr>
        <w:t>函</w:t>
      </w:r>
    </w:p>
    <w:p w14:paraId="36035D71">
      <w:pPr>
        <w:spacing w:line="360" w:lineRule="auto"/>
        <w:rPr>
          <w:color w:val="auto"/>
          <w:sz w:val="24"/>
          <w:highlight w:val="none"/>
        </w:rPr>
      </w:pPr>
    </w:p>
    <w:p w14:paraId="3A247D36">
      <w:pPr>
        <w:spacing w:line="360" w:lineRule="auto"/>
        <w:rPr>
          <w:color w:val="auto"/>
          <w:sz w:val="24"/>
          <w:highlight w:val="none"/>
        </w:rPr>
      </w:pPr>
      <w:r>
        <w:rPr>
          <w:rFonts w:hint="eastAsia"/>
          <w:color w:val="auto"/>
          <w:sz w:val="24"/>
          <w:highlight w:val="none"/>
        </w:rPr>
        <w:t>江苏医药职业学院：</w:t>
      </w:r>
    </w:p>
    <w:p w14:paraId="24E44D32">
      <w:pPr>
        <w:spacing w:line="360" w:lineRule="auto"/>
        <w:ind w:left="1" w:firstLine="564" w:firstLineChars="235"/>
        <w:rPr>
          <w:color w:val="auto"/>
          <w:sz w:val="24"/>
          <w:highlight w:val="none"/>
        </w:rPr>
      </w:pPr>
      <w:r>
        <w:rPr>
          <w:rFonts w:hint="eastAsia"/>
          <w:color w:val="auto"/>
          <w:sz w:val="24"/>
          <w:highlight w:val="none"/>
        </w:rPr>
        <w:t>我方经仔细阅读研究</w:t>
      </w:r>
      <w:r>
        <w:rPr>
          <w:color w:val="auto"/>
          <w:sz w:val="24"/>
          <w:highlight w:val="none"/>
          <w:u w:val="single"/>
        </w:rPr>
        <w:t xml:space="preserve">              </w:t>
      </w:r>
      <w:r>
        <w:rPr>
          <w:rFonts w:hint="eastAsia"/>
          <w:color w:val="auto"/>
          <w:sz w:val="24"/>
          <w:highlight w:val="none"/>
        </w:rPr>
        <w:t>项目询价文件（项目编号</w:t>
      </w:r>
      <w:r>
        <w:rPr>
          <w:color w:val="auto"/>
          <w:sz w:val="24"/>
          <w:highlight w:val="none"/>
          <w:u w:val="single"/>
        </w:rPr>
        <w:t xml:space="preserve">           </w:t>
      </w:r>
      <w:r>
        <w:rPr>
          <w:rFonts w:hint="eastAsia"/>
          <w:color w:val="auto"/>
          <w:sz w:val="24"/>
          <w:highlight w:val="none"/>
        </w:rPr>
        <w:t>），已完全了解询价文件中的所有条款及要求，决定参加投标，同时做出如下承诺：</w:t>
      </w:r>
    </w:p>
    <w:p w14:paraId="65724311">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、我公司与本询价项目及该项目相关人员之间均不存在可能影响询价公正性的任何利害关系。</w:t>
      </w:r>
    </w:p>
    <w:p w14:paraId="6B83BD1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、愿按询价文件的要求提供货物和服务，投标货物及服务的投标价详见</w:t>
      </w:r>
      <w:r>
        <w:rPr>
          <w:rFonts w:hint="eastAsia" w:ascii="宋体" w:hAnsi="宋体"/>
          <w:color w:val="auto"/>
          <w:spacing w:val="4"/>
          <w:sz w:val="24"/>
          <w:highlight w:val="none"/>
        </w:rPr>
        <w:t>投标报价表</w:t>
      </w:r>
      <w:r>
        <w:rPr>
          <w:rFonts w:hint="eastAsia"/>
          <w:color w:val="auto"/>
          <w:sz w:val="24"/>
          <w:highlight w:val="none"/>
        </w:rPr>
        <w:t>。</w:t>
      </w:r>
    </w:p>
    <w:p w14:paraId="37F9F3FF">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、接受询价文件的所有条款、条件和</w:t>
      </w:r>
      <w:r>
        <w:rPr>
          <w:rFonts w:hint="eastAsia" w:ascii="宋体" w:hAnsi="宋体"/>
          <w:bCs/>
          <w:color w:val="auto"/>
          <w:sz w:val="24"/>
          <w:highlight w:val="none"/>
        </w:rPr>
        <w:t>规定</w:t>
      </w:r>
      <w:r>
        <w:rPr>
          <w:rFonts w:hint="eastAsia"/>
          <w:color w:val="auto"/>
          <w:sz w:val="24"/>
          <w:highlight w:val="none"/>
        </w:rPr>
        <w:t>，</w:t>
      </w:r>
      <w:r>
        <w:rPr>
          <w:rFonts w:hint="eastAsia" w:ascii="宋体" w:hAnsi="宋体"/>
          <w:bCs/>
          <w:color w:val="auto"/>
          <w:sz w:val="24"/>
          <w:highlight w:val="none"/>
        </w:rPr>
        <w:t>放弃对询价文件提出质疑的权利。</w:t>
      </w:r>
    </w:p>
    <w:p w14:paraId="0B1252FC">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、同意按照询价文件的要求提供所有资料、数据或信息。</w:t>
      </w:r>
    </w:p>
    <w:p w14:paraId="59063CC0">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rPr>
        <w:t>、</w:t>
      </w:r>
      <w:r>
        <w:rPr>
          <w:rFonts w:hint="eastAsia" w:ascii="宋体" w:hAnsi="宋体"/>
          <w:bCs/>
          <w:color w:val="auto"/>
          <w:sz w:val="24"/>
          <w:highlight w:val="none"/>
        </w:rPr>
        <w:t>认可</w:t>
      </w:r>
      <w:r>
        <w:rPr>
          <w:rFonts w:hint="eastAsia"/>
          <w:color w:val="auto"/>
          <w:sz w:val="24"/>
          <w:highlight w:val="none"/>
        </w:rPr>
        <w:t>贵方有权决定中标人或否决所有投标，并理解最低报价只是中标的重要条件，贵方没有义务必须接受最低报价的投标。</w:t>
      </w:r>
    </w:p>
    <w:p w14:paraId="5F557C39">
      <w:pPr>
        <w:spacing w:line="360" w:lineRule="auto"/>
        <w:ind w:firstLine="480" w:firstLineChars="200"/>
        <w:rPr>
          <w:color w:val="auto"/>
          <w:sz w:val="24"/>
          <w:highlight w:val="none"/>
        </w:rPr>
      </w:pPr>
      <w:r>
        <w:rPr>
          <w:color w:val="auto"/>
          <w:sz w:val="24"/>
          <w:highlight w:val="none"/>
        </w:rPr>
        <w:t>6</w:t>
      </w:r>
      <w:r>
        <w:rPr>
          <w:rFonts w:hint="eastAsia"/>
          <w:color w:val="auto"/>
          <w:sz w:val="24"/>
          <w:highlight w:val="none"/>
        </w:rPr>
        <w:t>、我方如中标，将保证遵守询价文件对投标人的所有要求和规定，履行自己在投标文件中承诺的全部责任和义务。</w:t>
      </w:r>
    </w:p>
    <w:p w14:paraId="6D8B74D1">
      <w:pPr>
        <w:spacing w:line="360" w:lineRule="auto"/>
        <w:ind w:firstLine="480" w:firstLineChars="200"/>
        <w:rPr>
          <w:color w:val="auto"/>
          <w:sz w:val="24"/>
          <w:highlight w:val="none"/>
        </w:rPr>
      </w:pPr>
      <w:r>
        <w:rPr>
          <w:color w:val="auto"/>
          <w:sz w:val="24"/>
          <w:highlight w:val="none"/>
        </w:rPr>
        <w:t>7</w:t>
      </w:r>
      <w:r>
        <w:rPr>
          <w:rFonts w:hint="eastAsia"/>
          <w:color w:val="auto"/>
          <w:sz w:val="24"/>
          <w:highlight w:val="none"/>
        </w:rPr>
        <w:t>、本投标文件的有效期为投标截止日后</w:t>
      </w:r>
      <w:r>
        <w:rPr>
          <w:color w:val="auto"/>
          <w:sz w:val="24"/>
          <w:highlight w:val="none"/>
        </w:rPr>
        <w:t>90</w:t>
      </w:r>
      <w:r>
        <w:rPr>
          <w:rFonts w:hint="eastAsia"/>
          <w:color w:val="auto"/>
          <w:sz w:val="24"/>
          <w:highlight w:val="none"/>
        </w:rPr>
        <w:t>天内，如我方中标，有效期将延至合同有效期终止日为止。</w:t>
      </w:r>
    </w:p>
    <w:p w14:paraId="1A0D552A">
      <w:pPr>
        <w:pStyle w:val="21"/>
        <w:ind w:left="0" w:leftChars="0" w:firstLine="480" w:firstLineChars="200"/>
        <w:rPr>
          <w:color w:val="auto"/>
          <w:sz w:val="24"/>
          <w:highlight w:val="none"/>
        </w:rPr>
      </w:pPr>
      <w:r>
        <w:rPr>
          <w:rFonts w:hint="eastAsia"/>
          <w:color w:val="auto"/>
          <w:sz w:val="24"/>
          <w:highlight w:val="none"/>
        </w:rPr>
        <w:t>8、与本次招投标有关的事宜请按以下信息联系：</w:t>
      </w:r>
    </w:p>
    <w:p w14:paraId="0C88DAA4">
      <w:pPr>
        <w:rPr>
          <w:color w:val="auto"/>
          <w:highlight w:val="none"/>
        </w:rPr>
      </w:pPr>
    </w:p>
    <w:p w14:paraId="793889C2">
      <w:pPr>
        <w:adjustRightInd w:val="0"/>
        <w:snapToGrid w:val="0"/>
        <w:spacing w:line="560" w:lineRule="exact"/>
        <w:ind w:firstLine="5520" w:firstLineChars="2300"/>
        <w:rPr>
          <w:rFonts w:ascii="宋体" w:hAnsi="宋体" w:cs="宋体"/>
          <w:color w:val="auto"/>
          <w:sz w:val="24"/>
          <w:highlight w:val="none"/>
        </w:rPr>
      </w:pPr>
    </w:p>
    <w:p w14:paraId="0909E2EC">
      <w:pPr>
        <w:adjustRightInd w:val="0"/>
        <w:snapToGrid w:val="0"/>
        <w:spacing w:line="56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供应商(单位公章)：</w:t>
      </w:r>
    </w:p>
    <w:p w14:paraId="5B532C8F">
      <w:pPr>
        <w:adjustRightInd w:val="0"/>
        <w:snapToGrid w:val="0"/>
        <w:spacing w:line="56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法定代表人或授权代表(盖章或签字)：</w:t>
      </w:r>
    </w:p>
    <w:p w14:paraId="20E145F7">
      <w:pPr>
        <w:adjustRightInd w:val="0"/>
        <w:snapToGrid w:val="0"/>
        <w:spacing w:line="56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电话：</w:t>
      </w:r>
    </w:p>
    <w:p w14:paraId="7D45CA4D">
      <w:pPr>
        <w:adjustRightInd w:val="0"/>
        <w:snapToGrid w:val="0"/>
        <w:spacing w:line="56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年      月      日</w:t>
      </w:r>
    </w:p>
    <w:p w14:paraId="796EE74D">
      <w:pPr>
        <w:pStyle w:val="21"/>
        <w:ind w:left="0" w:leftChars="0"/>
        <w:rPr>
          <w:color w:val="auto"/>
          <w:highlight w:val="none"/>
        </w:rPr>
      </w:pPr>
    </w:p>
    <w:p w14:paraId="2EAC7494">
      <w:pPr>
        <w:rPr>
          <w:color w:val="auto"/>
          <w:highlight w:val="none"/>
        </w:rPr>
      </w:pPr>
    </w:p>
    <w:p w14:paraId="29011221">
      <w:pPr>
        <w:rPr>
          <w:color w:val="auto"/>
          <w:highlight w:val="none"/>
        </w:rPr>
      </w:pPr>
    </w:p>
    <w:p w14:paraId="292156F4">
      <w:pPr>
        <w:rPr>
          <w:color w:val="auto"/>
          <w:highlight w:val="none"/>
        </w:rPr>
      </w:pPr>
    </w:p>
    <w:p w14:paraId="7F1195BE">
      <w:pPr>
        <w:rPr>
          <w:color w:val="auto"/>
          <w:highlight w:val="none"/>
        </w:rPr>
      </w:pPr>
    </w:p>
    <w:p w14:paraId="60AAA8AF">
      <w:pPr>
        <w:rPr>
          <w:color w:val="auto"/>
          <w:highlight w:val="none"/>
        </w:rPr>
      </w:pPr>
    </w:p>
    <w:p w14:paraId="0E163BC9">
      <w:pPr>
        <w:rPr>
          <w:color w:val="auto"/>
          <w:highlight w:val="none"/>
        </w:rPr>
      </w:pPr>
    </w:p>
    <w:p w14:paraId="06004B51">
      <w:pPr>
        <w:rPr>
          <w:color w:val="auto"/>
          <w:highlight w:val="none"/>
        </w:rPr>
      </w:pPr>
    </w:p>
    <w:p w14:paraId="545605DE">
      <w:pPr>
        <w:rPr>
          <w:color w:val="auto"/>
          <w:highlight w:val="none"/>
        </w:rPr>
      </w:pPr>
    </w:p>
    <w:p w14:paraId="032BEC45">
      <w:pPr>
        <w:pStyle w:val="21"/>
        <w:ind w:left="3360"/>
        <w:rPr>
          <w:color w:val="auto"/>
          <w:highlight w:val="none"/>
        </w:rPr>
      </w:pPr>
    </w:p>
    <w:p w14:paraId="4713C5A5">
      <w:pPr>
        <w:widowControl/>
        <w:jc w:val="left"/>
        <w:outlineLvl w:val="1"/>
        <w:rPr>
          <w:rFonts w:asciiTheme="minorEastAsia" w:hAnsiTheme="minorEastAsia" w:eastAsiaTheme="minorEastAsia" w:cstheme="minorEastAsia"/>
          <w:color w:val="auto"/>
          <w:sz w:val="24"/>
          <w:highlight w:val="none"/>
        </w:rPr>
      </w:pPr>
      <w:bookmarkStart w:id="18" w:name="_Toc141279402"/>
      <w:r>
        <w:rPr>
          <w:rFonts w:hint="eastAsia" w:asciiTheme="minorEastAsia" w:hAnsiTheme="minorEastAsia" w:eastAsiaTheme="minorEastAsia" w:cstheme="minorEastAsia"/>
          <w:color w:val="auto"/>
          <w:sz w:val="24"/>
          <w:highlight w:val="none"/>
        </w:rPr>
        <w:t>附件2：法定代表人授权委托书</w:t>
      </w:r>
      <w:bookmarkEnd w:id="18"/>
    </w:p>
    <w:p w14:paraId="5C9215B9">
      <w:pPr>
        <w:jc w:val="center"/>
        <w:rPr>
          <w:rFonts w:ascii="宋体" w:hAnsi="宋体"/>
          <w:b/>
          <w:bCs/>
          <w:color w:val="auto"/>
          <w:sz w:val="36"/>
          <w:highlight w:val="none"/>
        </w:rPr>
      </w:pPr>
    </w:p>
    <w:p w14:paraId="6B582F53">
      <w:pPr>
        <w:spacing w:line="560" w:lineRule="exact"/>
        <w:jc w:val="center"/>
        <w:rPr>
          <w:rFonts w:ascii="微软雅黑" w:hAnsi="仿宋" w:eastAsia="微软雅黑"/>
          <w:color w:val="auto"/>
          <w:sz w:val="36"/>
          <w:szCs w:val="36"/>
          <w:highlight w:val="none"/>
        </w:rPr>
      </w:pPr>
      <w:r>
        <w:rPr>
          <w:rFonts w:hint="eastAsia" w:ascii="微软雅黑" w:hAnsi="仿宋" w:eastAsia="微软雅黑"/>
          <w:color w:val="auto"/>
          <w:sz w:val="36"/>
          <w:szCs w:val="36"/>
          <w:highlight w:val="none"/>
        </w:rPr>
        <w:t>法定代表人授权书</w:t>
      </w:r>
    </w:p>
    <w:p w14:paraId="311C6A2E">
      <w:pPr>
        <w:spacing w:line="560" w:lineRule="exact"/>
        <w:rPr>
          <w:rFonts w:ascii="仿宋" w:hAnsi="仿宋" w:eastAsia="仿宋"/>
          <w:color w:val="auto"/>
          <w:sz w:val="32"/>
          <w:szCs w:val="32"/>
          <w:highlight w:val="none"/>
        </w:rPr>
      </w:pPr>
    </w:p>
    <w:p w14:paraId="2A223743">
      <w:pPr>
        <w:spacing w:line="560" w:lineRule="exact"/>
        <w:rPr>
          <w:rFonts w:ascii="宋体" w:hAnsi="宋体" w:cs="宋体"/>
          <w:color w:val="auto"/>
          <w:sz w:val="24"/>
          <w:highlight w:val="none"/>
        </w:rPr>
      </w:pPr>
      <w:r>
        <w:rPr>
          <w:rFonts w:hint="eastAsia" w:ascii="宋体" w:hAnsi="宋体" w:cs="宋体"/>
          <w:color w:val="auto"/>
          <w:sz w:val="24"/>
          <w:highlight w:val="none"/>
        </w:rPr>
        <w:t>江苏医药职业学院：</w:t>
      </w:r>
    </w:p>
    <w:p w14:paraId="7DAEC2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同志为我公司参加贵单位组织的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采购项目的投标/报价代表人，全权代表我公司处理在该项目投标/报价活动中的一切事宜。</w:t>
      </w:r>
    </w:p>
    <w:p w14:paraId="34790A2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授权单位（盖章）：</w:t>
      </w:r>
      <w:r>
        <w:rPr>
          <w:rFonts w:hint="eastAsia" w:ascii="宋体" w:hAnsi="宋体" w:cs="宋体"/>
          <w:color w:val="auto"/>
          <w:sz w:val="24"/>
          <w:highlight w:val="none"/>
          <w:u w:val="single"/>
        </w:rPr>
        <w:t xml:space="preserve">                         </w:t>
      </w:r>
    </w:p>
    <w:p w14:paraId="2286CD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法定代表人（签字或签章）：</w:t>
      </w:r>
      <w:r>
        <w:rPr>
          <w:rFonts w:hint="eastAsia" w:ascii="宋体" w:hAnsi="宋体" w:cs="宋体"/>
          <w:color w:val="auto"/>
          <w:sz w:val="24"/>
          <w:highlight w:val="none"/>
          <w:u w:val="single"/>
        </w:rPr>
        <w:t xml:space="preserve">                 </w:t>
      </w:r>
    </w:p>
    <w:p w14:paraId="287E4AE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签发日期：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00D4509">
      <w:pPr>
        <w:spacing w:line="560" w:lineRule="exact"/>
        <w:ind w:firstLine="480" w:firstLineChars="200"/>
        <w:rPr>
          <w:rFonts w:ascii="宋体" w:hAnsi="宋体" w:cs="宋体"/>
          <w:color w:val="auto"/>
          <w:sz w:val="24"/>
          <w:highlight w:val="none"/>
        </w:rPr>
      </w:pPr>
    </w:p>
    <w:p w14:paraId="681E231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附：被授权人工作单位：</w:t>
      </w:r>
      <w:r>
        <w:rPr>
          <w:rFonts w:hint="eastAsia" w:ascii="宋体" w:hAnsi="宋体" w:cs="宋体"/>
          <w:color w:val="auto"/>
          <w:sz w:val="24"/>
          <w:highlight w:val="none"/>
          <w:u w:val="single"/>
        </w:rPr>
        <w:t xml:space="preserve">                    </w:t>
      </w:r>
    </w:p>
    <w:p w14:paraId="673410E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p>
    <w:p w14:paraId="5378491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89846BA">
      <w:pPr>
        <w:pStyle w:val="13"/>
        <w:spacing w:line="560" w:lineRule="exact"/>
        <w:rPr>
          <w:rFonts w:hAnsi="宋体" w:cs="宋体"/>
          <w:color w:val="auto"/>
          <w:sz w:val="24"/>
          <w:szCs w:val="24"/>
          <w:highlight w:val="none"/>
          <w:u w:val="single"/>
        </w:rPr>
      </w:pPr>
    </w:p>
    <w:tbl>
      <w:tblPr>
        <w:tblStyle w:val="26"/>
        <w:tblW w:w="4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5"/>
      </w:tblGrid>
      <w:tr w14:paraId="0C3F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000" w:type="pct"/>
          </w:tcPr>
          <w:p w14:paraId="14DE2BD5">
            <w:pPr>
              <w:spacing w:line="560" w:lineRule="exact"/>
              <w:rPr>
                <w:rFonts w:ascii="宋体" w:hAnsi="宋体" w:cs="宋体"/>
                <w:color w:val="auto"/>
                <w:sz w:val="24"/>
                <w:highlight w:val="none"/>
              </w:rPr>
            </w:pPr>
            <w:r>
              <w:rPr>
                <w:rFonts w:hint="eastAsia" w:ascii="宋体" w:hAnsi="宋体" w:cs="宋体"/>
                <w:color w:val="auto"/>
                <w:sz w:val="24"/>
                <w:highlight w:val="none"/>
              </w:rPr>
              <w:t>粘贴被授权人身份证（正反面复印件）</w:t>
            </w:r>
          </w:p>
          <w:p w14:paraId="2A445130">
            <w:pPr>
              <w:spacing w:line="560" w:lineRule="exact"/>
              <w:rPr>
                <w:rFonts w:ascii="宋体" w:hAnsi="宋体" w:cs="宋体"/>
                <w:color w:val="auto"/>
                <w:sz w:val="24"/>
                <w:highlight w:val="none"/>
              </w:rPr>
            </w:pPr>
          </w:p>
          <w:p w14:paraId="19EB6ADE">
            <w:pPr>
              <w:spacing w:line="560" w:lineRule="exact"/>
              <w:rPr>
                <w:rFonts w:ascii="宋体" w:hAnsi="宋体" w:cs="宋体"/>
                <w:color w:val="auto"/>
                <w:sz w:val="24"/>
                <w:highlight w:val="none"/>
              </w:rPr>
            </w:pPr>
          </w:p>
          <w:p w14:paraId="776F849C">
            <w:pPr>
              <w:spacing w:line="560" w:lineRule="exact"/>
              <w:rPr>
                <w:rFonts w:ascii="宋体" w:hAnsi="宋体" w:cs="宋体"/>
                <w:color w:val="auto"/>
                <w:sz w:val="24"/>
                <w:highlight w:val="none"/>
              </w:rPr>
            </w:pPr>
          </w:p>
        </w:tc>
      </w:tr>
      <w:tr w14:paraId="14B7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exact"/>
          <w:jc w:val="center"/>
        </w:trPr>
        <w:tc>
          <w:tcPr>
            <w:tcW w:w="5000" w:type="pct"/>
          </w:tcPr>
          <w:p w14:paraId="75E6F8D7">
            <w:pPr>
              <w:spacing w:line="560" w:lineRule="exact"/>
              <w:rPr>
                <w:rFonts w:ascii="宋体" w:hAnsi="宋体" w:cs="宋体"/>
                <w:color w:val="auto"/>
                <w:sz w:val="24"/>
                <w:highlight w:val="none"/>
              </w:rPr>
            </w:pPr>
            <w:r>
              <w:rPr>
                <w:rFonts w:hint="eastAsia" w:ascii="宋体" w:hAnsi="宋体" w:cs="宋体"/>
                <w:color w:val="auto"/>
                <w:sz w:val="24"/>
                <w:highlight w:val="none"/>
              </w:rPr>
              <w:t>粘贴法定代表人身份证（正反面复印件）</w:t>
            </w:r>
          </w:p>
          <w:p w14:paraId="38E53A5B">
            <w:pPr>
              <w:spacing w:line="560" w:lineRule="exact"/>
              <w:rPr>
                <w:rFonts w:ascii="宋体" w:hAnsi="宋体" w:cs="宋体"/>
                <w:color w:val="auto"/>
                <w:sz w:val="24"/>
                <w:highlight w:val="none"/>
              </w:rPr>
            </w:pPr>
          </w:p>
          <w:p w14:paraId="4CFC7E6A">
            <w:pPr>
              <w:spacing w:line="560" w:lineRule="exact"/>
              <w:rPr>
                <w:rFonts w:ascii="宋体" w:hAnsi="宋体" w:cs="宋体"/>
                <w:color w:val="auto"/>
                <w:sz w:val="24"/>
                <w:highlight w:val="none"/>
              </w:rPr>
            </w:pPr>
          </w:p>
          <w:p w14:paraId="0D8A7BAE">
            <w:pPr>
              <w:spacing w:line="560" w:lineRule="exact"/>
              <w:rPr>
                <w:rFonts w:ascii="宋体" w:hAnsi="宋体" w:cs="宋体"/>
                <w:color w:val="auto"/>
                <w:sz w:val="24"/>
                <w:highlight w:val="none"/>
              </w:rPr>
            </w:pPr>
          </w:p>
        </w:tc>
      </w:tr>
    </w:tbl>
    <w:p w14:paraId="60BCC97B">
      <w:pPr>
        <w:rPr>
          <w:rFonts w:ascii="宋体" w:hAnsi="宋体" w:cs="宋体"/>
          <w:color w:val="auto"/>
          <w:sz w:val="28"/>
          <w:szCs w:val="28"/>
          <w:highlight w:val="none"/>
        </w:rPr>
      </w:pPr>
    </w:p>
    <w:p w14:paraId="458A6D4B">
      <w:pPr>
        <w:spacing w:line="360" w:lineRule="auto"/>
        <w:rPr>
          <w:rFonts w:ascii="宋体" w:hAnsi="宋体" w:cs="宋体"/>
          <w:color w:val="auto"/>
          <w:sz w:val="28"/>
          <w:szCs w:val="28"/>
          <w:highlight w:val="none"/>
        </w:rPr>
      </w:pPr>
    </w:p>
    <w:p w14:paraId="6A8FA884">
      <w:pPr>
        <w:pStyle w:val="25"/>
        <w:rPr>
          <w:color w:val="auto"/>
          <w:highlight w:val="none"/>
        </w:rPr>
      </w:pPr>
    </w:p>
    <w:p w14:paraId="2440BABA">
      <w:pPr>
        <w:widowControl/>
        <w:jc w:val="left"/>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附件3：投标人的资格证明文件</w:t>
      </w:r>
    </w:p>
    <w:p w14:paraId="62484530">
      <w:pPr>
        <w:spacing w:line="696"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投标人的资格证明文件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400"/>
        <w:gridCol w:w="645"/>
        <w:gridCol w:w="714"/>
      </w:tblGrid>
      <w:tr w14:paraId="6240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0993378E">
            <w:pPr>
              <w:spacing w:line="38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8400" w:type="dxa"/>
            <w:tcBorders>
              <w:top w:val="single" w:color="auto" w:sz="4" w:space="0"/>
              <w:left w:val="single" w:color="auto" w:sz="4" w:space="0"/>
              <w:bottom w:val="single" w:color="auto" w:sz="4" w:space="0"/>
              <w:right w:val="single" w:color="auto" w:sz="4" w:space="0"/>
            </w:tcBorders>
            <w:noWrap/>
            <w:vAlign w:val="center"/>
          </w:tcPr>
          <w:p w14:paraId="6FC6F263">
            <w:pPr>
              <w:spacing w:line="380" w:lineRule="exact"/>
              <w:ind w:firstLine="361"/>
              <w:jc w:val="center"/>
              <w:rPr>
                <w:rFonts w:ascii="宋体" w:hAnsi="宋体"/>
                <w:b/>
                <w:color w:val="auto"/>
                <w:szCs w:val="21"/>
                <w:highlight w:val="none"/>
              </w:rPr>
            </w:pPr>
            <w:r>
              <w:rPr>
                <w:rFonts w:hint="eastAsia" w:ascii="宋体" w:hAnsi="宋体"/>
                <w:b/>
                <w:color w:val="auto"/>
                <w:szCs w:val="21"/>
                <w:highlight w:val="none"/>
              </w:rPr>
              <w:t>资格证明文件</w:t>
            </w:r>
          </w:p>
        </w:tc>
        <w:tc>
          <w:tcPr>
            <w:tcW w:w="645" w:type="dxa"/>
            <w:tcBorders>
              <w:top w:val="single" w:color="auto" w:sz="4" w:space="0"/>
              <w:left w:val="single" w:color="auto" w:sz="4" w:space="0"/>
              <w:bottom w:val="single" w:color="auto" w:sz="4" w:space="0"/>
              <w:right w:val="single" w:color="auto" w:sz="4" w:space="0"/>
            </w:tcBorders>
            <w:noWrap/>
            <w:vAlign w:val="center"/>
          </w:tcPr>
          <w:p w14:paraId="3E4DBBD2">
            <w:pPr>
              <w:rPr>
                <w:rFonts w:ascii="宋体" w:hAnsi="宋体"/>
                <w:b/>
                <w:color w:val="auto"/>
                <w:szCs w:val="21"/>
                <w:highlight w:val="none"/>
              </w:rPr>
            </w:pPr>
            <w:r>
              <w:rPr>
                <w:rFonts w:hint="eastAsia" w:ascii="宋体" w:hAnsi="宋体"/>
                <w:b/>
                <w:color w:val="auto"/>
                <w:szCs w:val="21"/>
                <w:highlight w:val="none"/>
              </w:rPr>
              <w:t>所在</w:t>
            </w:r>
          </w:p>
          <w:p w14:paraId="472B4ADE">
            <w:pPr>
              <w:rPr>
                <w:rFonts w:ascii="宋体" w:hAnsi="宋体"/>
                <w:b/>
                <w:color w:val="auto"/>
                <w:szCs w:val="21"/>
                <w:highlight w:val="none"/>
              </w:rPr>
            </w:pPr>
            <w:r>
              <w:rPr>
                <w:rFonts w:hint="eastAsia" w:ascii="宋体" w:hAnsi="宋体"/>
                <w:b/>
                <w:color w:val="auto"/>
                <w:szCs w:val="21"/>
                <w:highlight w:val="none"/>
              </w:rPr>
              <w:t>页码</w:t>
            </w:r>
          </w:p>
        </w:tc>
        <w:tc>
          <w:tcPr>
            <w:tcW w:w="714" w:type="dxa"/>
            <w:tcBorders>
              <w:top w:val="single" w:color="auto" w:sz="4" w:space="0"/>
              <w:left w:val="single" w:color="auto" w:sz="4" w:space="0"/>
              <w:bottom w:val="single" w:color="auto" w:sz="4" w:space="0"/>
              <w:right w:val="single" w:color="auto" w:sz="4" w:space="0"/>
            </w:tcBorders>
            <w:noWrap/>
            <w:vAlign w:val="center"/>
          </w:tcPr>
          <w:p w14:paraId="62E40FD9">
            <w:pPr>
              <w:spacing w:line="380" w:lineRule="exact"/>
              <w:rPr>
                <w:rFonts w:ascii="宋体" w:hAnsi="宋体"/>
                <w:b/>
                <w:color w:val="auto"/>
                <w:szCs w:val="21"/>
                <w:highlight w:val="none"/>
              </w:rPr>
            </w:pPr>
            <w:r>
              <w:rPr>
                <w:rFonts w:hint="eastAsia" w:ascii="宋体" w:hAnsi="宋体"/>
                <w:b/>
                <w:color w:val="auto"/>
                <w:szCs w:val="21"/>
                <w:highlight w:val="none"/>
              </w:rPr>
              <w:t>备注</w:t>
            </w:r>
          </w:p>
        </w:tc>
      </w:tr>
      <w:tr w14:paraId="6F51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60" w:type="dxa"/>
            <w:vMerge w:val="restart"/>
            <w:tcBorders>
              <w:top w:val="single" w:color="auto" w:sz="4" w:space="0"/>
              <w:left w:val="single" w:color="auto" w:sz="4" w:space="0"/>
              <w:right w:val="single" w:color="auto" w:sz="4" w:space="0"/>
            </w:tcBorders>
            <w:noWrap/>
            <w:vAlign w:val="center"/>
          </w:tcPr>
          <w:p w14:paraId="6BDB039A">
            <w:pPr>
              <w:spacing w:line="360" w:lineRule="auto"/>
              <w:jc w:val="center"/>
              <w:rPr>
                <w:rFonts w:ascii="宋体" w:hAnsi="宋体"/>
                <w:color w:val="auto"/>
                <w:szCs w:val="21"/>
                <w:highlight w:val="none"/>
              </w:rPr>
            </w:pPr>
            <w:r>
              <w:rPr>
                <w:rFonts w:hint="eastAsia" w:ascii="宋体" w:hAnsi="宋体"/>
                <w:b/>
                <w:color w:val="auto"/>
                <w:szCs w:val="21"/>
                <w:highlight w:val="none"/>
              </w:rPr>
              <w:t>1</w:t>
            </w:r>
          </w:p>
        </w:tc>
        <w:tc>
          <w:tcPr>
            <w:tcW w:w="8400" w:type="dxa"/>
            <w:tcBorders>
              <w:top w:val="single" w:color="auto" w:sz="4" w:space="0"/>
              <w:left w:val="single" w:color="auto" w:sz="4" w:space="0"/>
              <w:bottom w:val="single" w:color="auto" w:sz="4" w:space="0"/>
              <w:right w:val="single" w:color="auto" w:sz="4" w:space="0"/>
            </w:tcBorders>
            <w:noWrap/>
            <w:vAlign w:val="center"/>
          </w:tcPr>
          <w:p w14:paraId="4C261F9C">
            <w:pPr>
              <w:spacing w:line="360" w:lineRule="auto"/>
              <w:ind w:firstLine="361"/>
              <w:rPr>
                <w:rFonts w:ascii="宋体" w:hAnsi="宋体"/>
                <w:b/>
                <w:color w:val="auto"/>
                <w:szCs w:val="21"/>
                <w:highlight w:val="none"/>
              </w:rPr>
            </w:pPr>
            <w:r>
              <w:rPr>
                <w:rFonts w:hint="eastAsia" w:ascii="宋体" w:hAnsi="宋体"/>
                <w:b/>
                <w:color w:val="auto"/>
                <w:szCs w:val="21"/>
                <w:highlight w:val="none"/>
              </w:rPr>
              <w:t>满足《中华人民共和国政府采购法》第二十二条规定</w:t>
            </w:r>
          </w:p>
        </w:tc>
        <w:tc>
          <w:tcPr>
            <w:tcW w:w="645" w:type="dxa"/>
            <w:tcBorders>
              <w:top w:val="single" w:color="auto" w:sz="4" w:space="0"/>
              <w:left w:val="single" w:color="auto" w:sz="4" w:space="0"/>
              <w:bottom w:val="single" w:color="auto" w:sz="4" w:space="0"/>
              <w:right w:val="single" w:color="auto" w:sz="4" w:space="0"/>
            </w:tcBorders>
            <w:noWrap/>
            <w:vAlign w:val="center"/>
          </w:tcPr>
          <w:p w14:paraId="6D977677">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66A8A86B">
            <w:pPr>
              <w:spacing w:line="360" w:lineRule="auto"/>
              <w:ind w:firstLine="360"/>
              <w:rPr>
                <w:rFonts w:ascii="宋体" w:hAnsi="宋体"/>
                <w:color w:val="auto"/>
                <w:szCs w:val="21"/>
                <w:highlight w:val="none"/>
              </w:rPr>
            </w:pPr>
          </w:p>
        </w:tc>
      </w:tr>
      <w:tr w14:paraId="46E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60" w:type="dxa"/>
            <w:vMerge w:val="continue"/>
            <w:tcBorders>
              <w:left w:val="single" w:color="auto" w:sz="4" w:space="0"/>
              <w:right w:val="single" w:color="auto" w:sz="4" w:space="0"/>
            </w:tcBorders>
            <w:noWrap/>
            <w:vAlign w:val="center"/>
          </w:tcPr>
          <w:p w14:paraId="3524941A">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575267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（1.1）具有独立承担民事责任的能力</w:t>
            </w:r>
          </w:p>
          <w:p w14:paraId="0F4A89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（提供法人或者其他组织的营业执照，提供复印件加盖公章）</w:t>
            </w:r>
          </w:p>
        </w:tc>
        <w:tc>
          <w:tcPr>
            <w:tcW w:w="645" w:type="dxa"/>
            <w:tcBorders>
              <w:top w:val="single" w:color="auto" w:sz="4" w:space="0"/>
              <w:left w:val="single" w:color="auto" w:sz="4" w:space="0"/>
              <w:bottom w:val="single" w:color="auto" w:sz="4" w:space="0"/>
              <w:right w:val="single" w:color="auto" w:sz="4" w:space="0"/>
            </w:tcBorders>
            <w:noWrap/>
            <w:vAlign w:val="center"/>
          </w:tcPr>
          <w:p w14:paraId="3995FF4D">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4A7007C9">
            <w:pPr>
              <w:spacing w:line="360" w:lineRule="auto"/>
              <w:ind w:firstLine="360"/>
              <w:rPr>
                <w:rFonts w:ascii="宋体" w:hAnsi="宋体"/>
                <w:color w:val="auto"/>
                <w:szCs w:val="21"/>
                <w:highlight w:val="none"/>
              </w:rPr>
            </w:pPr>
          </w:p>
        </w:tc>
      </w:tr>
      <w:tr w14:paraId="04D9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vMerge w:val="continue"/>
            <w:tcBorders>
              <w:left w:val="single" w:color="auto" w:sz="4" w:space="0"/>
              <w:right w:val="single" w:color="auto" w:sz="4" w:space="0"/>
            </w:tcBorders>
            <w:noWrap/>
            <w:vAlign w:val="center"/>
          </w:tcPr>
          <w:p w14:paraId="3B94D6C4">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57FFF04C">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w:t>
            </w:r>
            <w:r>
              <w:rPr>
                <w:rFonts w:hint="eastAsia" w:ascii="宋体" w:hAnsi="宋体"/>
                <w:b/>
                <w:color w:val="auto"/>
                <w:szCs w:val="21"/>
                <w:highlight w:val="none"/>
              </w:rPr>
              <w:t>具有良好的商业信誉和健全的财务会计制度</w:t>
            </w:r>
          </w:p>
          <w:p w14:paraId="10B27E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提供财务状况报告证明材料（例：审计报告、银行对账单、银行资信证明、财务报表等）</w:t>
            </w:r>
          </w:p>
          <w:p w14:paraId="2AA4695A">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说明：</w:t>
            </w:r>
          </w:p>
          <w:p w14:paraId="006A7492">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1.如是审计报告，须为本单位上年度（如投标截止时间为</w:t>
            </w:r>
            <w:r>
              <w:rPr>
                <w:rFonts w:ascii="宋体" w:hAnsi="宋体"/>
                <w:color w:val="auto"/>
                <w:szCs w:val="21"/>
                <w:highlight w:val="none"/>
              </w:rPr>
              <w:t>1</w:t>
            </w:r>
            <w:r>
              <w:rPr>
                <w:rFonts w:hint="eastAsia" w:ascii="宋体" w:hAnsi="宋体"/>
                <w:color w:val="auto"/>
                <w:szCs w:val="21"/>
                <w:highlight w:val="none"/>
              </w:rPr>
              <w:t>季度，可以提供前一年度）经会计师事务所出具的审计报告（须有会计师事务所的盖章）；</w:t>
            </w:r>
          </w:p>
          <w:p w14:paraId="0F06B479">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2.如是银行对账单，须为近3个月来任意1个月的银行对账单（须银行盖章）；</w:t>
            </w:r>
          </w:p>
          <w:p w14:paraId="0F46389D">
            <w:pPr>
              <w:spacing w:line="360" w:lineRule="auto"/>
              <w:ind w:left="357" w:leftChars="170"/>
              <w:rPr>
                <w:rFonts w:ascii="宋体" w:hAnsi="宋体"/>
                <w:color w:val="auto"/>
                <w:szCs w:val="21"/>
                <w:highlight w:val="none"/>
              </w:rPr>
            </w:pPr>
            <w:r>
              <w:rPr>
                <w:rFonts w:hint="eastAsia" w:ascii="宋体" w:hAnsi="宋体"/>
                <w:color w:val="auto"/>
                <w:szCs w:val="21"/>
                <w:highlight w:val="none"/>
              </w:rPr>
              <w:t>3.银行资信证明等相关证明如有有效期的，须保证其证明在有效期内；</w:t>
            </w:r>
            <w:r>
              <w:rPr>
                <w:rFonts w:hint="eastAsia" w:ascii="宋体" w:hAnsi="宋体"/>
                <w:color w:val="auto"/>
                <w:szCs w:val="21"/>
                <w:highlight w:val="none"/>
              </w:rPr>
              <w:br w:type="textWrapping"/>
            </w:r>
            <w:r>
              <w:rPr>
                <w:rFonts w:hint="eastAsia" w:ascii="宋体" w:hAnsi="宋体"/>
                <w:color w:val="auto"/>
                <w:szCs w:val="21"/>
                <w:highlight w:val="none"/>
              </w:rPr>
              <w:t>4.近半年内任一月的财务报表（至少包括资产负债表和利润表）。</w:t>
            </w:r>
          </w:p>
        </w:tc>
        <w:tc>
          <w:tcPr>
            <w:tcW w:w="645" w:type="dxa"/>
            <w:tcBorders>
              <w:top w:val="single" w:color="auto" w:sz="4" w:space="0"/>
              <w:left w:val="single" w:color="auto" w:sz="4" w:space="0"/>
              <w:bottom w:val="single" w:color="auto" w:sz="4" w:space="0"/>
              <w:right w:val="single" w:color="auto" w:sz="4" w:space="0"/>
            </w:tcBorders>
            <w:noWrap/>
            <w:vAlign w:val="center"/>
          </w:tcPr>
          <w:p w14:paraId="13F695EC">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75E24760">
            <w:pPr>
              <w:spacing w:line="360" w:lineRule="auto"/>
              <w:ind w:firstLine="360"/>
              <w:rPr>
                <w:rFonts w:ascii="宋体" w:hAnsi="宋体"/>
                <w:color w:val="auto"/>
                <w:szCs w:val="21"/>
                <w:highlight w:val="none"/>
              </w:rPr>
            </w:pPr>
          </w:p>
        </w:tc>
      </w:tr>
      <w:tr w14:paraId="721B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vMerge w:val="continue"/>
            <w:tcBorders>
              <w:left w:val="single" w:color="auto" w:sz="4" w:space="0"/>
              <w:right w:val="single" w:color="auto" w:sz="4" w:space="0"/>
            </w:tcBorders>
            <w:noWrap/>
            <w:vAlign w:val="center"/>
          </w:tcPr>
          <w:p w14:paraId="187DB180">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290F37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（1.3）具有履行合同所必需的设备和专业技术能力（投标人根据履行采购项目合同需要，提供履行合同所必需的设备和专业技术能力的证明材料或者加盖投标供应商公章的承诺函）；</w:t>
            </w:r>
          </w:p>
        </w:tc>
        <w:tc>
          <w:tcPr>
            <w:tcW w:w="645" w:type="dxa"/>
            <w:tcBorders>
              <w:top w:val="single" w:color="auto" w:sz="4" w:space="0"/>
              <w:left w:val="single" w:color="auto" w:sz="4" w:space="0"/>
              <w:bottom w:val="single" w:color="auto" w:sz="4" w:space="0"/>
              <w:right w:val="single" w:color="auto" w:sz="4" w:space="0"/>
            </w:tcBorders>
            <w:noWrap/>
            <w:vAlign w:val="center"/>
          </w:tcPr>
          <w:p w14:paraId="47DA4F5C">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1D23665F">
            <w:pPr>
              <w:spacing w:line="360" w:lineRule="auto"/>
              <w:ind w:firstLine="360"/>
              <w:rPr>
                <w:rFonts w:ascii="宋体" w:hAnsi="宋体"/>
                <w:color w:val="auto"/>
                <w:szCs w:val="21"/>
                <w:highlight w:val="none"/>
              </w:rPr>
            </w:pPr>
          </w:p>
        </w:tc>
      </w:tr>
      <w:tr w14:paraId="4D99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vMerge w:val="continue"/>
            <w:tcBorders>
              <w:left w:val="single" w:color="auto" w:sz="4" w:space="0"/>
              <w:right w:val="single" w:color="auto" w:sz="4" w:space="0"/>
            </w:tcBorders>
            <w:noWrap/>
            <w:vAlign w:val="center"/>
          </w:tcPr>
          <w:p w14:paraId="1562ACFA">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05929E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有依法缴纳税收和社会保障资金的良好记录【提供参加本次政府采购活动投标截止时间前三个月以来任意一个月缴纳增值税，或营业税，或企业所得税的凭据；并提供缴纳社会保险的凭据（专用收据或社会保险缴纳清单）】</w:t>
            </w:r>
          </w:p>
        </w:tc>
        <w:tc>
          <w:tcPr>
            <w:tcW w:w="645" w:type="dxa"/>
            <w:tcBorders>
              <w:top w:val="single" w:color="auto" w:sz="4" w:space="0"/>
              <w:left w:val="single" w:color="auto" w:sz="4" w:space="0"/>
              <w:bottom w:val="single" w:color="auto" w:sz="4" w:space="0"/>
              <w:right w:val="single" w:color="auto" w:sz="4" w:space="0"/>
            </w:tcBorders>
            <w:noWrap/>
            <w:vAlign w:val="center"/>
          </w:tcPr>
          <w:p w14:paraId="64D790BB">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3CD835EB">
            <w:pPr>
              <w:spacing w:line="360" w:lineRule="auto"/>
              <w:ind w:firstLine="360"/>
              <w:rPr>
                <w:rFonts w:ascii="宋体" w:hAnsi="宋体"/>
                <w:color w:val="auto"/>
                <w:szCs w:val="21"/>
                <w:highlight w:val="none"/>
              </w:rPr>
            </w:pPr>
          </w:p>
        </w:tc>
      </w:tr>
      <w:tr w14:paraId="4A44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vMerge w:val="continue"/>
            <w:tcBorders>
              <w:left w:val="single" w:color="auto" w:sz="4" w:space="0"/>
              <w:right w:val="single" w:color="auto" w:sz="4" w:space="0"/>
            </w:tcBorders>
            <w:noWrap/>
            <w:vAlign w:val="center"/>
          </w:tcPr>
          <w:p w14:paraId="0C1F285F">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225C8B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（1.5）参加政府采购活动前三年内，在经营活动中没有重大违法记录（提供承诺书）。</w:t>
            </w:r>
          </w:p>
        </w:tc>
        <w:tc>
          <w:tcPr>
            <w:tcW w:w="645" w:type="dxa"/>
            <w:tcBorders>
              <w:top w:val="single" w:color="auto" w:sz="4" w:space="0"/>
              <w:left w:val="single" w:color="auto" w:sz="4" w:space="0"/>
              <w:bottom w:val="single" w:color="auto" w:sz="4" w:space="0"/>
              <w:right w:val="single" w:color="auto" w:sz="4" w:space="0"/>
            </w:tcBorders>
            <w:noWrap/>
            <w:vAlign w:val="center"/>
          </w:tcPr>
          <w:p w14:paraId="5350F59A">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63EB05A3">
            <w:pPr>
              <w:spacing w:line="360" w:lineRule="auto"/>
              <w:ind w:firstLine="360"/>
              <w:rPr>
                <w:rFonts w:ascii="宋体" w:hAnsi="宋体"/>
                <w:color w:val="auto"/>
                <w:szCs w:val="21"/>
                <w:highlight w:val="none"/>
              </w:rPr>
            </w:pPr>
          </w:p>
        </w:tc>
      </w:tr>
      <w:tr w14:paraId="0F12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vMerge w:val="continue"/>
            <w:tcBorders>
              <w:left w:val="single" w:color="auto" w:sz="4" w:space="0"/>
              <w:bottom w:val="single" w:color="auto" w:sz="4" w:space="0"/>
              <w:right w:val="single" w:color="auto" w:sz="4" w:space="0"/>
            </w:tcBorders>
            <w:noWrap/>
            <w:vAlign w:val="center"/>
          </w:tcPr>
          <w:p w14:paraId="326F9658">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7DE77B5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（1.6）法律、行政法规规定的其他条件</w:t>
            </w:r>
          </w:p>
          <w:p w14:paraId="3474B7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提供</w:t>
            </w:r>
            <w:r>
              <w:rPr>
                <w:rFonts w:ascii="宋体" w:hAnsi="宋体"/>
                <w:color w:val="auto"/>
                <w:szCs w:val="21"/>
                <w:highlight w:val="none"/>
              </w:rPr>
              <w:t>具备法律、行政法规规定的其他条件的证明材料</w:t>
            </w:r>
            <w:r>
              <w:rPr>
                <w:rFonts w:hint="eastAsia" w:ascii="宋体" w:hAnsi="宋体"/>
                <w:color w:val="auto"/>
                <w:szCs w:val="21"/>
                <w:highlight w:val="none"/>
              </w:rPr>
              <w:t>（按照采购公告的要求提供）</w:t>
            </w:r>
          </w:p>
        </w:tc>
        <w:tc>
          <w:tcPr>
            <w:tcW w:w="645" w:type="dxa"/>
            <w:tcBorders>
              <w:top w:val="single" w:color="auto" w:sz="4" w:space="0"/>
              <w:left w:val="single" w:color="auto" w:sz="4" w:space="0"/>
              <w:bottom w:val="single" w:color="auto" w:sz="4" w:space="0"/>
              <w:right w:val="single" w:color="auto" w:sz="4" w:space="0"/>
            </w:tcBorders>
            <w:noWrap/>
            <w:vAlign w:val="center"/>
          </w:tcPr>
          <w:p w14:paraId="7CAA578C">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2DED98FC">
            <w:pPr>
              <w:spacing w:line="360" w:lineRule="auto"/>
              <w:ind w:firstLine="360"/>
              <w:rPr>
                <w:rFonts w:ascii="宋体" w:hAnsi="宋体"/>
                <w:color w:val="auto"/>
                <w:szCs w:val="21"/>
                <w:highlight w:val="none"/>
              </w:rPr>
            </w:pPr>
          </w:p>
        </w:tc>
      </w:tr>
      <w:tr w14:paraId="3939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5FD910E9">
            <w:pPr>
              <w:spacing w:line="360" w:lineRule="auto"/>
              <w:jc w:val="center"/>
              <w:rPr>
                <w:rFonts w:ascii="宋体" w:hAnsi="宋体"/>
                <w:b/>
                <w:color w:val="auto"/>
                <w:szCs w:val="21"/>
                <w:highlight w:val="none"/>
              </w:rPr>
            </w:pPr>
            <w:r>
              <w:rPr>
                <w:rFonts w:hint="eastAsia" w:ascii="宋体" w:hAnsi="宋体"/>
                <w:b/>
                <w:color w:val="auto"/>
                <w:szCs w:val="21"/>
                <w:highlight w:val="none"/>
              </w:rPr>
              <w:t>2</w:t>
            </w:r>
          </w:p>
        </w:tc>
        <w:tc>
          <w:tcPr>
            <w:tcW w:w="8400" w:type="dxa"/>
            <w:tcBorders>
              <w:top w:val="single" w:color="auto" w:sz="4" w:space="0"/>
              <w:left w:val="single" w:color="auto" w:sz="4" w:space="0"/>
              <w:bottom w:val="single" w:color="auto" w:sz="4" w:space="0"/>
              <w:right w:val="single" w:color="auto" w:sz="4" w:space="0"/>
            </w:tcBorders>
            <w:noWrap/>
            <w:vAlign w:val="center"/>
          </w:tcPr>
          <w:p w14:paraId="256AB59B">
            <w:pPr>
              <w:spacing w:line="360" w:lineRule="auto"/>
              <w:ind w:firstLine="361"/>
              <w:rPr>
                <w:rFonts w:ascii="宋体" w:hAnsi="宋体"/>
                <w:b/>
                <w:color w:val="auto"/>
                <w:szCs w:val="21"/>
                <w:highlight w:val="none"/>
              </w:rPr>
            </w:pPr>
            <w:r>
              <w:rPr>
                <w:rFonts w:hint="eastAsia" w:ascii="宋体" w:hAnsi="宋体"/>
                <w:b/>
                <w:color w:val="auto"/>
                <w:szCs w:val="21"/>
                <w:highlight w:val="none"/>
              </w:rPr>
              <w:t>落实政府采购政策需满足的资格要求（按照采购公告的要求提供）</w:t>
            </w:r>
          </w:p>
        </w:tc>
        <w:tc>
          <w:tcPr>
            <w:tcW w:w="645" w:type="dxa"/>
            <w:tcBorders>
              <w:top w:val="single" w:color="auto" w:sz="4" w:space="0"/>
              <w:left w:val="single" w:color="auto" w:sz="4" w:space="0"/>
              <w:bottom w:val="single" w:color="auto" w:sz="4" w:space="0"/>
              <w:right w:val="single" w:color="auto" w:sz="4" w:space="0"/>
            </w:tcBorders>
            <w:noWrap/>
            <w:vAlign w:val="center"/>
          </w:tcPr>
          <w:p w14:paraId="09C5B18F">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003981E9">
            <w:pPr>
              <w:spacing w:line="360" w:lineRule="auto"/>
              <w:ind w:firstLine="360"/>
              <w:rPr>
                <w:rFonts w:ascii="宋体" w:hAnsi="宋体"/>
                <w:color w:val="auto"/>
                <w:szCs w:val="21"/>
                <w:highlight w:val="none"/>
              </w:rPr>
            </w:pPr>
          </w:p>
        </w:tc>
      </w:tr>
      <w:tr w14:paraId="1017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6D494507">
            <w:pPr>
              <w:spacing w:line="360" w:lineRule="auto"/>
              <w:jc w:val="center"/>
              <w:rPr>
                <w:rFonts w:ascii="宋体" w:hAnsi="宋体"/>
                <w:b/>
                <w:color w:val="auto"/>
                <w:szCs w:val="21"/>
                <w:highlight w:val="none"/>
              </w:rPr>
            </w:pPr>
            <w:r>
              <w:rPr>
                <w:rFonts w:hint="eastAsia" w:ascii="宋体" w:hAnsi="宋体"/>
                <w:b/>
                <w:color w:val="auto"/>
                <w:szCs w:val="21"/>
                <w:highlight w:val="none"/>
              </w:rPr>
              <w:t>3</w:t>
            </w:r>
          </w:p>
        </w:tc>
        <w:tc>
          <w:tcPr>
            <w:tcW w:w="8400" w:type="dxa"/>
            <w:tcBorders>
              <w:top w:val="single" w:color="auto" w:sz="4" w:space="0"/>
              <w:left w:val="single" w:color="auto" w:sz="4" w:space="0"/>
              <w:bottom w:val="single" w:color="auto" w:sz="4" w:space="0"/>
              <w:right w:val="single" w:color="auto" w:sz="4" w:space="0"/>
            </w:tcBorders>
            <w:noWrap/>
            <w:vAlign w:val="center"/>
          </w:tcPr>
          <w:p w14:paraId="2EEA0ED6">
            <w:pPr>
              <w:spacing w:line="360" w:lineRule="auto"/>
              <w:ind w:firstLine="361"/>
              <w:rPr>
                <w:rFonts w:ascii="宋体" w:hAnsi="宋体"/>
                <w:b/>
                <w:color w:val="auto"/>
                <w:szCs w:val="21"/>
                <w:highlight w:val="none"/>
              </w:rPr>
            </w:pPr>
            <w:r>
              <w:rPr>
                <w:rFonts w:hint="eastAsia" w:ascii="宋体" w:hAnsi="宋体"/>
                <w:b/>
                <w:color w:val="auto"/>
                <w:szCs w:val="21"/>
                <w:highlight w:val="none"/>
              </w:rPr>
              <w:t>本项目的特定资格要求（按照采购公告的要求提供）</w:t>
            </w:r>
          </w:p>
        </w:tc>
        <w:tc>
          <w:tcPr>
            <w:tcW w:w="645" w:type="dxa"/>
            <w:tcBorders>
              <w:top w:val="single" w:color="auto" w:sz="4" w:space="0"/>
              <w:left w:val="single" w:color="auto" w:sz="4" w:space="0"/>
              <w:bottom w:val="single" w:color="auto" w:sz="4" w:space="0"/>
              <w:right w:val="single" w:color="auto" w:sz="4" w:space="0"/>
            </w:tcBorders>
            <w:noWrap/>
            <w:vAlign w:val="center"/>
          </w:tcPr>
          <w:p w14:paraId="6447F3CB">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37609A99">
            <w:pPr>
              <w:spacing w:line="360" w:lineRule="auto"/>
              <w:ind w:firstLine="360"/>
              <w:rPr>
                <w:rFonts w:ascii="宋体" w:hAnsi="宋体"/>
                <w:color w:val="auto"/>
                <w:szCs w:val="21"/>
                <w:highlight w:val="none"/>
              </w:rPr>
            </w:pPr>
          </w:p>
        </w:tc>
      </w:tr>
      <w:tr w14:paraId="6ED7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77C70633">
            <w:pPr>
              <w:spacing w:line="360" w:lineRule="auto"/>
              <w:jc w:val="center"/>
              <w:rPr>
                <w:rFonts w:ascii="宋体" w:hAnsi="宋体"/>
                <w:b/>
                <w:color w:val="auto"/>
                <w:szCs w:val="21"/>
                <w:highlight w:val="none"/>
              </w:rPr>
            </w:pPr>
            <w:r>
              <w:rPr>
                <w:rFonts w:hint="eastAsia" w:ascii="宋体" w:hAnsi="宋体"/>
                <w:b/>
                <w:color w:val="auto"/>
                <w:szCs w:val="21"/>
                <w:highlight w:val="none"/>
              </w:rPr>
              <w:t>4</w:t>
            </w:r>
          </w:p>
        </w:tc>
        <w:tc>
          <w:tcPr>
            <w:tcW w:w="8400" w:type="dxa"/>
            <w:tcBorders>
              <w:top w:val="single" w:color="auto" w:sz="4" w:space="0"/>
              <w:left w:val="single" w:color="auto" w:sz="4" w:space="0"/>
              <w:bottom w:val="single" w:color="auto" w:sz="4" w:space="0"/>
              <w:right w:val="single" w:color="auto" w:sz="4" w:space="0"/>
            </w:tcBorders>
            <w:noWrap/>
            <w:vAlign w:val="center"/>
          </w:tcPr>
          <w:p w14:paraId="2945C073">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供应商被“信用中国”网站(www.creditchina.gov.cn)、“中国政府采购网”(www.ccgp.gov.cn)列入失信被执行人、重大税收违法案件当事人名单、政府采购严重违法失信行为记录名单。</w:t>
            </w:r>
          </w:p>
        </w:tc>
        <w:tc>
          <w:tcPr>
            <w:tcW w:w="645" w:type="dxa"/>
            <w:tcBorders>
              <w:top w:val="single" w:color="auto" w:sz="4" w:space="0"/>
              <w:left w:val="single" w:color="auto" w:sz="4" w:space="0"/>
              <w:bottom w:val="single" w:color="auto" w:sz="4" w:space="0"/>
              <w:right w:val="single" w:color="auto" w:sz="4" w:space="0"/>
            </w:tcBorders>
            <w:noWrap/>
            <w:vAlign w:val="center"/>
          </w:tcPr>
          <w:p w14:paraId="73F4C13C">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0FA60340">
            <w:pPr>
              <w:spacing w:line="360" w:lineRule="auto"/>
              <w:ind w:firstLine="360"/>
              <w:rPr>
                <w:rFonts w:ascii="宋体" w:hAnsi="宋体"/>
                <w:color w:val="auto"/>
                <w:szCs w:val="21"/>
                <w:highlight w:val="none"/>
              </w:rPr>
            </w:pPr>
          </w:p>
        </w:tc>
      </w:tr>
      <w:tr w14:paraId="5EB4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59036046">
            <w:pPr>
              <w:spacing w:line="360" w:lineRule="auto"/>
              <w:ind w:firstLine="360"/>
              <w:jc w:val="center"/>
              <w:rPr>
                <w:rFonts w:ascii="宋体" w:hAnsi="宋体"/>
                <w:color w:val="auto"/>
                <w:szCs w:val="21"/>
                <w:highlight w:val="none"/>
              </w:rPr>
            </w:pPr>
          </w:p>
        </w:tc>
        <w:tc>
          <w:tcPr>
            <w:tcW w:w="8400" w:type="dxa"/>
            <w:tcBorders>
              <w:top w:val="single" w:color="auto" w:sz="4" w:space="0"/>
              <w:left w:val="single" w:color="auto" w:sz="4" w:space="0"/>
              <w:bottom w:val="single" w:color="auto" w:sz="4" w:space="0"/>
              <w:right w:val="single" w:color="auto" w:sz="4" w:space="0"/>
            </w:tcBorders>
            <w:noWrap/>
            <w:vAlign w:val="center"/>
          </w:tcPr>
          <w:p w14:paraId="71914640">
            <w:pPr>
              <w:spacing w:line="360" w:lineRule="auto"/>
              <w:ind w:firstLine="360"/>
              <w:jc w:val="center"/>
              <w:rPr>
                <w:rFonts w:ascii="宋体" w:hAnsi="宋体"/>
                <w:i/>
                <w:color w:val="auto"/>
                <w:szCs w:val="21"/>
                <w:highlight w:val="none"/>
                <w:u w:val="single"/>
              </w:rPr>
            </w:pPr>
            <w:r>
              <w:rPr>
                <w:rFonts w:hint="eastAsia" w:ascii="宋体" w:hAnsi="宋体"/>
                <w:i/>
                <w:color w:val="auto"/>
                <w:szCs w:val="21"/>
                <w:highlight w:val="none"/>
                <w:u w:val="single"/>
              </w:rPr>
              <w:t>行数不够，可按本表格式自行添加</w:t>
            </w:r>
          </w:p>
        </w:tc>
        <w:tc>
          <w:tcPr>
            <w:tcW w:w="645" w:type="dxa"/>
            <w:tcBorders>
              <w:top w:val="single" w:color="auto" w:sz="4" w:space="0"/>
              <w:left w:val="single" w:color="auto" w:sz="4" w:space="0"/>
              <w:bottom w:val="single" w:color="auto" w:sz="4" w:space="0"/>
              <w:right w:val="single" w:color="auto" w:sz="4" w:space="0"/>
            </w:tcBorders>
            <w:noWrap/>
            <w:vAlign w:val="center"/>
          </w:tcPr>
          <w:p w14:paraId="6D4109DF">
            <w:pPr>
              <w:spacing w:line="360" w:lineRule="auto"/>
              <w:ind w:firstLine="360"/>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ign w:val="center"/>
          </w:tcPr>
          <w:p w14:paraId="73249D54">
            <w:pPr>
              <w:spacing w:line="360" w:lineRule="auto"/>
              <w:ind w:firstLine="360"/>
              <w:rPr>
                <w:rFonts w:ascii="宋体" w:hAnsi="宋体"/>
                <w:color w:val="auto"/>
                <w:szCs w:val="21"/>
                <w:highlight w:val="none"/>
              </w:rPr>
            </w:pPr>
          </w:p>
        </w:tc>
      </w:tr>
      <w:tr w14:paraId="19CD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419" w:type="dxa"/>
            <w:gridSpan w:val="4"/>
            <w:tcBorders>
              <w:top w:val="single" w:color="auto" w:sz="4" w:space="0"/>
              <w:left w:val="single" w:color="auto" w:sz="4" w:space="0"/>
              <w:bottom w:val="single" w:color="auto" w:sz="4" w:space="0"/>
              <w:right w:val="single" w:color="auto" w:sz="4" w:space="0"/>
            </w:tcBorders>
            <w:noWrap/>
            <w:vAlign w:val="center"/>
          </w:tcPr>
          <w:p w14:paraId="5277268E">
            <w:pPr>
              <w:spacing w:line="360" w:lineRule="auto"/>
              <w:ind w:firstLine="360"/>
              <w:rPr>
                <w:rFonts w:ascii="宋体" w:hAnsi="宋体"/>
                <w:color w:val="auto"/>
                <w:szCs w:val="21"/>
                <w:highlight w:val="none"/>
              </w:rPr>
            </w:pPr>
            <w:r>
              <w:rPr>
                <w:rFonts w:hint="eastAsia" w:ascii="宋体" w:hAnsi="宋体"/>
                <w:color w:val="auto"/>
                <w:szCs w:val="21"/>
                <w:highlight w:val="none"/>
              </w:rPr>
              <w:t>特别提醒：</w:t>
            </w:r>
            <w:r>
              <w:rPr>
                <w:rFonts w:hint="eastAsia" w:ascii="宋体" w:hAnsi="宋体"/>
                <w:b/>
                <w:color w:val="auto"/>
                <w:szCs w:val="21"/>
                <w:highlight w:val="none"/>
                <w:u w:val="single"/>
              </w:rPr>
              <w:t>1.如无特殊说明，提供复印件即可</w:t>
            </w:r>
            <w:r>
              <w:rPr>
                <w:rFonts w:hint="eastAsia" w:ascii="宋体" w:hAnsi="宋体"/>
                <w:b/>
                <w:color w:val="auto"/>
                <w:szCs w:val="21"/>
                <w:highlight w:val="none"/>
              </w:rPr>
              <w:t>，</w:t>
            </w:r>
            <w:r>
              <w:rPr>
                <w:rFonts w:hint="eastAsia" w:ascii="宋体" w:hAnsi="宋体"/>
                <w:color w:val="auto"/>
                <w:szCs w:val="21"/>
                <w:highlight w:val="none"/>
              </w:rPr>
              <w:t>复印件上请加盖本单位章。</w:t>
            </w:r>
          </w:p>
          <w:p w14:paraId="400EFB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2.如供应商资格证明文件提供为原件的，视为一次性证明材料（如：社保证明原件），恕不退回。</w:t>
            </w:r>
          </w:p>
        </w:tc>
      </w:tr>
    </w:tbl>
    <w:p w14:paraId="6960C712">
      <w:pPr>
        <w:spacing w:line="276" w:lineRule="auto"/>
        <w:ind w:firstLine="422"/>
        <w:jc w:val="left"/>
        <w:rPr>
          <w:b/>
          <w:color w:val="auto"/>
          <w:highlight w:val="none"/>
        </w:rPr>
      </w:pPr>
    </w:p>
    <w:p w14:paraId="40C1E0F8">
      <w:pPr>
        <w:pStyle w:val="25"/>
        <w:rPr>
          <w:color w:val="auto"/>
          <w:highlight w:val="none"/>
        </w:rPr>
      </w:pPr>
    </w:p>
    <w:p w14:paraId="68E0655B">
      <w:pPr>
        <w:spacing w:line="276" w:lineRule="auto"/>
        <w:ind w:firstLine="422"/>
        <w:jc w:val="left"/>
        <w:rPr>
          <w:b/>
          <w:color w:val="auto"/>
          <w:highlight w:val="none"/>
        </w:rPr>
      </w:pPr>
    </w:p>
    <w:p w14:paraId="039D370B">
      <w:pPr>
        <w:spacing w:line="276" w:lineRule="auto"/>
        <w:ind w:firstLine="422"/>
        <w:jc w:val="left"/>
        <w:rPr>
          <w:b/>
          <w:color w:val="auto"/>
          <w:highlight w:val="none"/>
        </w:rPr>
      </w:pPr>
      <w:r>
        <w:rPr>
          <w:rFonts w:hint="eastAsia"/>
          <w:b/>
          <w:color w:val="auto"/>
          <w:highlight w:val="none"/>
        </w:rPr>
        <w:t>一、满足《中华人民共和国政府采购法》第二十二条规定</w:t>
      </w:r>
    </w:p>
    <w:p w14:paraId="41555273">
      <w:pPr>
        <w:spacing w:line="276"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1.1 </w:t>
      </w:r>
      <w:r>
        <w:rPr>
          <w:rFonts w:hint="eastAsia" w:ascii="宋体" w:hAnsi="宋体"/>
          <w:color w:val="auto"/>
          <w:szCs w:val="21"/>
          <w:highlight w:val="none"/>
        </w:rPr>
        <w:t>具有独立承担民事责任的能力；</w:t>
      </w:r>
    </w:p>
    <w:p w14:paraId="0148DB20">
      <w:pPr>
        <w:ind w:firstLine="560"/>
        <w:rPr>
          <w:rFonts w:ascii="楷体_GB2312" w:hAnsi="Arial" w:eastAsia="楷体_GB2312"/>
          <w:color w:val="auto"/>
          <w:kern w:val="0"/>
          <w:sz w:val="28"/>
          <w:szCs w:val="20"/>
          <w:highlight w:val="none"/>
        </w:rPr>
      </w:pPr>
    </w:p>
    <w:p w14:paraId="630B09D4">
      <w:pPr>
        <w:spacing w:line="276" w:lineRule="auto"/>
        <w:ind w:firstLine="422" w:firstLineChars="200"/>
        <w:rPr>
          <w:rFonts w:ascii="宋体" w:hAnsi="宋体"/>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2</w:t>
      </w:r>
      <w:r>
        <w:rPr>
          <w:rFonts w:hint="eastAsia" w:ascii="宋体" w:hAnsi="宋体"/>
          <w:color w:val="auto"/>
          <w:szCs w:val="21"/>
          <w:highlight w:val="none"/>
        </w:rPr>
        <w:t>上一年度的财务报表（成立不满一年不需提供）；</w:t>
      </w:r>
    </w:p>
    <w:p w14:paraId="3984F47E">
      <w:pPr>
        <w:ind w:firstLine="560"/>
        <w:rPr>
          <w:rFonts w:ascii="楷体_GB2312" w:hAnsi="Arial" w:eastAsia="楷体_GB2312"/>
          <w:color w:val="auto"/>
          <w:kern w:val="0"/>
          <w:sz w:val="28"/>
          <w:szCs w:val="20"/>
          <w:highlight w:val="none"/>
        </w:rPr>
      </w:pPr>
    </w:p>
    <w:p w14:paraId="3CA448FC">
      <w:pPr>
        <w:spacing w:line="276" w:lineRule="auto"/>
        <w:ind w:firstLine="422" w:firstLineChars="200"/>
        <w:rPr>
          <w:rFonts w:ascii="宋体" w:hAnsi="宋体"/>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3</w:t>
      </w:r>
      <w:r>
        <w:rPr>
          <w:rFonts w:hint="eastAsia" w:ascii="宋体" w:hAnsi="宋体"/>
          <w:color w:val="auto"/>
          <w:szCs w:val="21"/>
          <w:highlight w:val="none"/>
        </w:rPr>
        <w:t>有履行合同所必需的设备和专业技术能力；</w:t>
      </w:r>
    </w:p>
    <w:p w14:paraId="0590C2C4">
      <w:pPr>
        <w:ind w:firstLine="560"/>
        <w:rPr>
          <w:rFonts w:ascii="楷体_GB2312" w:hAnsi="Arial" w:eastAsia="楷体_GB2312"/>
          <w:color w:val="auto"/>
          <w:kern w:val="0"/>
          <w:sz w:val="28"/>
          <w:szCs w:val="20"/>
          <w:highlight w:val="none"/>
        </w:rPr>
      </w:pPr>
    </w:p>
    <w:p w14:paraId="1D8C9D2A">
      <w:pPr>
        <w:spacing w:line="276" w:lineRule="auto"/>
        <w:ind w:firstLine="422" w:firstLineChars="200"/>
        <w:rPr>
          <w:rFonts w:ascii="宋体" w:hAnsi="宋体"/>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4</w:t>
      </w:r>
      <w:r>
        <w:rPr>
          <w:rFonts w:hint="eastAsia" w:ascii="宋体" w:hAnsi="宋体"/>
          <w:color w:val="auto"/>
          <w:szCs w:val="21"/>
          <w:highlight w:val="none"/>
        </w:rPr>
        <w:t>有依法缴纳税收和社会保障资金的良好记录；</w:t>
      </w:r>
    </w:p>
    <w:p w14:paraId="3676246F">
      <w:pPr>
        <w:ind w:firstLine="560"/>
        <w:rPr>
          <w:rFonts w:ascii="楷体_GB2312" w:hAnsi="Arial" w:eastAsia="楷体_GB2312"/>
          <w:color w:val="auto"/>
          <w:kern w:val="0"/>
          <w:sz w:val="28"/>
          <w:szCs w:val="20"/>
          <w:highlight w:val="none"/>
        </w:rPr>
      </w:pPr>
    </w:p>
    <w:p w14:paraId="6D60776F">
      <w:pPr>
        <w:spacing w:line="276" w:lineRule="auto"/>
        <w:ind w:firstLine="422" w:firstLineChars="200"/>
        <w:rPr>
          <w:rFonts w:ascii="宋体" w:hAnsi="宋体"/>
          <w:b/>
          <w:color w:val="auto"/>
          <w:highlight w:val="none"/>
        </w:rPr>
      </w:pPr>
      <w:r>
        <w:rPr>
          <w:rFonts w:hint="eastAsia" w:ascii="宋体" w:hAnsi="宋体"/>
          <w:b/>
          <w:color w:val="auto"/>
          <w:szCs w:val="21"/>
          <w:highlight w:val="none"/>
        </w:rPr>
        <w:t>1.</w:t>
      </w:r>
      <w:r>
        <w:rPr>
          <w:rFonts w:ascii="宋体" w:hAnsi="宋体"/>
          <w:b/>
          <w:color w:val="auto"/>
          <w:szCs w:val="21"/>
          <w:highlight w:val="none"/>
        </w:rPr>
        <w:t>5</w:t>
      </w:r>
      <w:r>
        <w:rPr>
          <w:rFonts w:hint="eastAsia" w:ascii="宋体" w:hAnsi="宋体"/>
          <w:color w:val="auto"/>
          <w:szCs w:val="21"/>
          <w:highlight w:val="none"/>
        </w:rPr>
        <w:t>参加政府采购活动前三年内，在经营活动中没有重大违法记录（提供承诺书）。</w:t>
      </w:r>
    </w:p>
    <w:p w14:paraId="28D2D79C">
      <w:pPr>
        <w:ind w:firstLine="422" w:firstLineChars="200"/>
        <w:rPr>
          <w:rFonts w:ascii="宋体" w:hAnsi="宋体"/>
          <w:b/>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14:paraId="73EF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534" w:type="dxa"/>
            <w:noWrap/>
          </w:tcPr>
          <w:p w14:paraId="3BA63FEF">
            <w:pPr>
              <w:spacing w:line="360" w:lineRule="auto"/>
              <w:ind w:firstLine="422"/>
              <w:jc w:val="center"/>
              <w:rPr>
                <w:b/>
                <w:color w:val="auto"/>
                <w:highlight w:val="none"/>
              </w:rPr>
            </w:pPr>
            <w:r>
              <w:rPr>
                <w:rFonts w:hint="eastAsia"/>
                <w:b/>
                <w:color w:val="auto"/>
                <w:highlight w:val="none"/>
              </w:rPr>
              <w:t>1.3、1.5资质要求的响应声明（格式）</w:t>
            </w:r>
          </w:p>
        </w:tc>
      </w:tr>
      <w:tr w14:paraId="539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noWrap/>
          </w:tcPr>
          <w:p w14:paraId="45154738">
            <w:pPr>
              <w:spacing w:line="360" w:lineRule="auto"/>
              <w:jc w:val="left"/>
              <w:rPr>
                <w:rFonts w:ascii="宋体" w:hAnsi="宋体"/>
                <w:bCs/>
                <w:color w:val="auto"/>
                <w:szCs w:val="21"/>
                <w:highlight w:val="none"/>
              </w:rPr>
            </w:pPr>
            <w:r>
              <w:rPr>
                <w:rFonts w:hint="eastAsia" w:ascii="宋体" w:hAnsi="宋体"/>
                <w:bCs/>
                <w:color w:val="auto"/>
                <w:szCs w:val="21"/>
                <w:highlight w:val="none"/>
              </w:rPr>
              <w:t>我方郑重声明：</w:t>
            </w:r>
          </w:p>
          <w:p w14:paraId="5C5A04D6">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1、我方具备履行本项采购合同所必需的设备和专业技术能力，为履行本项采购合同我公司具备如下主要设备和主要专业技术能力：</w:t>
            </w:r>
          </w:p>
          <w:p w14:paraId="04786940">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主要设备有：</w:t>
            </w:r>
            <w:r>
              <w:rPr>
                <w:rFonts w:hint="eastAsia" w:ascii="宋体" w:hAnsi="宋体"/>
                <w:bCs/>
                <w:color w:val="auto"/>
                <w:szCs w:val="21"/>
                <w:highlight w:val="none"/>
                <w:u w:val="single"/>
              </w:rPr>
              <w:t xml:space="preserve">                  （一个即可）</w:t>
            </w:r>
            <w:r>
              <w:rPr>
                <w:rFonts w:hint="eastAsia" w:ascii="宋体" w:hAnsi="宋体"/>
                <w:bCs/>
                <w:color w:val="auto"/>
                <w:szCs w:val="21"/>
                <w:highlight w:val="none"/>
              </w:rPr>
              <w:t>。</w:t>
            </w:r>
          </w:p>
          <w:p w14:paraId="1A6A781F">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主要专业技术能力有：</w:t>
            </w:r>
            <w:r>
              <w:rPr>
                <w:rFonts w:hint="eastAsia" w:ascii="宋体" w:hAnsi="宋体"/>
                <w:bCs/>
                <w:color w:val="auto"/>
                <w:szCs w:val="21"/>
                <w:highlight w:val="none"/>
                <w:u w:val="single"/>
              </w:rPr>
              <w:t xml:space="preserve">          （一项即可）</w:t>
            </w:r>
            <w:r>
              <w:rPr>
                <w:rFonts w:hint="eastAsia" w:ascii="宋体" w:hAnsi="宋体"/>
                <w:bCs/>
                <w:color w:val="auto"/>
                <w:szCs w:val="21"/>
                <w:highlight w:val="none"/>
              </w:rPr>
              <w:t>。</w:t>
            </w:r>
          </w:p>
          <w:p w14:paraId="018EF5C3">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2、我方参加本次政府采购活动前 3 年内，我方在经营活动中没有因违法经营受到刑事处罚或者责令停产停业、吊销许可证或者执照、较大数额罚款等行政处罚。</w:t>
            </w:r>
          </w:p>
          <w:p w14:paraId="6476EBA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3、我方承诺：单位负责人为同一人或者存在直接控股、管理关系的不同供应商，不得参加同一合同项下的政府采购活动。</w:t>
            </w:r>
          </w:p>
          <w:p w14:paraId="413BD0F2">
            <w:pPr>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我方就此承诺真实性负责，如有虚假，贵方可视为我方提供虚假材料处理。</w:t>
            </w:r>
          </w:p>
          <w:p w14:paraId="2ECBA058">
            <w:pPr>
              <w:spacing w:line="360" w:lineRule="auto"/>
              <w:jc w:val="left"/>
              <w:rPr>
                <w:rFonts w:ascii="宋体" w:hAnsi="宋体"/>
                <w:bCs/>
                <w:color w:val="auto"/>
                <w:szCs w:val="21"/>
                <w:highlight w:val="none"/>
                <w:u w:val="single"/>
              </w:rPr>
            </w:pPr>
            <w:r>
              <w:rPr>
                <w:rFonts w:hint="eastAsia" w:ascii="宋体" w:hAnsi="宋体"/>
                <w:bCs/>
                <w:color w:val="auto"/>
                <w:szCs w:val="21"/>
                <w:highlight w:val="none"/>
              </w:rPr>
              <w:t xml:space="preserve">     供应商名称（公章）：</w:t>
            </w:r>
          </w:p>
          <w:p w14:paraId="54D30DEF">
            <w:pPr>
              <w:spacing w:line="360" w:lineRule="auto"/>
              <w:jc w:val="left"/>
              <w:rPr>
                <w:rFonts w:ascii="宋体" w:hAnsi="宋体"/>
                <w:bCs/>
                <w:color w:val="auto"/>
                <w:szCs w:val="21"/>
                <w:highlight w:val="none"/>
                <w:u w:val="single"/>
              </w:rPr>
            </w:pPr>
            <w:r>
              <w:rPr>
                <w:rFonts w:hint="eastAsia" w:ascii="宋体" w:hAnsi="宋体" w:cs="宋体"/>
                <w:color w:val="auto"/>
                <w:highlight w:val="none"/>
              </w:rPr>
              <w:t>法定代表人或其委托代理人</w:t>
            </w:r>
            <w:r>
              <w:rPr>
                <w:rFonts w:hint="eastAsia" w:ascii="宋体" w:hAnsi="宋体"/>
                <w:bCs/>
                <w:color w:val="auto"/>
                <w:szCs w:val="21"/>
                <w:highlight w:val="none"/>
              </w:rPr>
              <w:t>签字：</w:t>
            </w:r>
          </w:p>
          <w:p w14:paraId="3FCA6BFB">
            <w:pPr>
              <w:spacing w:line="360" w:lineRule="auto"/>
              <w:ind w:firstLine="4578" w:firstLineChars="2180"/>
              <w:jc w:val="left"/>
              <w:rPr>
                <w:rFonts w:ascii="宋体" w:hAnsi="宋体"/>
                <w:bCs/>
                <w:color w:val="auto"/>
                <w:szCs w:val="21"/>
                <w:highlight w:val="none"/>
                <w:u w:val="single"/>
              </w:rPr>
            </w:pPr>
            <w:r>
              <w:rPr>
                <w:rFonts w:hint="eastAsia" w:ascii="宋体" w:hAnsi="宋体"/>
                <w:bCs/>
                <w:color w:val="auto"/>
                <w:szCs w:val="21"/>
                <w:highlight w:val="none"/>
                <w:u w:val="single"/>
              </w:rPr>
              <w:t>日期：         年    月    日</w:t>
            </w:r>
          </w:p>
        </w:tc>
      </w:tr>
      <w:tr w14:paraId="3CA6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noWrap/>
          </w:tcPr>
          <w:p w14:paraId="55AF3937">
            <w:pPr>
              <w:spacing w:line="360" w:lineRule="auto"/>
              <w:rPr>
                <w:color w:val="auto"/>
                <w:highlight w:val="none"/>
              </w:rPr>
            </w:pPr>
            <w:r>
              <w:rPr>
                <w:rFonts w:hint="eastAsia"/>
                <w:color w:val="auto"/>
                <w:highlight w:val="none"/>
              </w:rPr>
              <w:t>说明：1.应按本表格式制作，</w:t>
            </w:r>
            <w:r>
              <w:rPr>
                <w:rFonts w:hint="eastAsia"/>
                <w:b/>
                <w:color w:val="auto"/>
                <w:highlight w:val="none"/>
                <w:u w:val="single"/>
              </w:rPr>
              <w:t>并在正本中提供原件</w:t>
            </w:r>
            <w:r>
              <w:rPr>
                <w:rFonts w:hint="eastAsia" w:ascii="宋体" w:hAnsi="宋体"/>
                <w:b/>
                <w:color w:val="auto"/>
                <w:highlight w:val="none"/>
                <w:u w:val="single"/>
              </w:rPr>
              <w:t>（★未在</w:t>
            </w:r>
            <w:r>
              <w:rPr>
                <w:rFonts w:hint="eastAsia"/>
                <w:b/>
                <w:color w:val="auto"/>
                <w:highlight w:val="none"/>
                <w:u w:val="single"/>
              </w:rPr>
              <w:t>正本中提供原件按无效处理</w:t>
            </w:r>
            <w:r>
              <w:rPr>
                <w:rFonts w:hint="eastAsia" w:ascii="宋体" w:hAnsi="宋体"/>
                <w:b/>
                <w:color w:val="auto"/>
                <w:highlight w:val="none"/>
                <w:u w:val="single"/>
              </w:rPr>
              <w:t>）</w:t>
            </w:r>
            <w:r>
              <w:rPr>
                <w:rFonts w:hint="eastAsia"/>
                <w:color w:val="auto"/>
                <w:highlight w:val="none"/>
              </w:rPr>
              <w:t>。</w:t>
            </w:r>
          </w:p>
          <w:p w14:paraId="3E32C46E">
            <w:pPr>
              <w:spacing w:line="360" w:lineRule="auto"/>
              <w:ind w:firstLine="630" w:firstLineChars="300"/>
              <w:rPr>
                <w:color w:val="auto"/>
                <w:highlight w:val="none"/>
              </w:rPr>
            </w:pPr>
            <w:r>
              <w:rPr>
                <w:rFonts w:hint="eastAsia"/>
                <w:color w:val="auto"/>
                <w:highlight w:val="none"/>
              </w:rPr>
              <w:t>2. 如果是联合体投标，联合体各方均需提供上述证明。</w:t>
            </w:r>
          </w:p>
        </w:tc>
      </w:tr>
    </w:tbl>
    <w:p w14:paraId="58CE1400">
      <w:pPr>
        <w:spacing w:line="276" w:lineRule="auto"/>
        <w:ind w:firstLine="632" w:firstLineChars="301"/>
        <w:jc w:val="left"/>
        <w:rPr>
          <w:rFonts w:ascii="宋体" w:hAnsi="宋体"/>
          <w:color w:val="auto"/>
          <w:szCs w:val="21"/>
          <w:highlight w:val="none"/>
        </w:rPr>
      </w:pPr>
    </w:p>
    <w:p w14:paraId="74E234FD">
      <w:pPr>
        <w:spacing w:line="276" w:lineRule="auto"/>
        <w:jc w:val="left"/>
        <w:rPr>
          <w:rFonts w:ascii="宋体" w:hAnsi="宋体"/>
          <w:color w:val="auto"/>
          <w:szCs w:val="21"/>
          <w:highlight w:val="none"/>
        </w:rPr>
      </w:pPr>
    </w:p>
    <w:p w14:paraId="2517CAD1">
      <w:pPr>
        <w:spacing w:line="276" w:lineRule="auto"/>
        <w:ind w:firstLine="420" w:firstLineChars="200"/>
        <w:jc w:val="left"/>
        <w:rPr>
          <w:rFonts w:ascii="宋体" w:hAnsi="宋体"/>
          <w:color w:val="auto"/>
          <w:szCs w:val="21"/>
          <w:highlight w:val="none"/>
        </w:rPr>
      </w:pPr>
    </w:p>
    <w:p w14:paraId="1CCC85FA">
      <w:pPr>
        <w:spacing w:line="276" w:lineRule="auto"/>
        <w:ind w:firstLine="420" w:firstLineChars="200"/>
        <w:jc w:val="left"/>
        <w:rPr>
          <w:rFonts w:ascii="宋体" w:hAnsi="宋体"/>
          <w:color w:val="auto"/>
          <w:szCs w:val="21"/>
          <w:highlight w:val="none"/>
        </w:rPr>
      </w:pPr>
    </w:p>
    <w:p w14:paraId="6D3C7753">
      <w:pPr>
        <w:spacing w:line="276" w:lineRule="auto"/>
        <w:ind w:firstLine="420" w:firstLineChars="200"/>
        <w:jc w:val="left"/>
        <w:rPr>
          <w:rFonts w:ascii="宋体" w:hAnsi="宋体"/>
          <w:color w:val="auto"/>
          <w:szCs w:val="21"/>
          <w:highlight w:val="none"/>
        </w:rPr>
      </w:pPr>
    </w:p>
    <w:p w14:paraId="43BA8B23">
      <w:pPr>
        <w:pStyle w:val="25"/>
        <w:rPr>
          <w:color w:val="auto"/>
          <w:szCs w:val="21"/>
          <w:highlight w:val="none"/>
        </w:rPr>
      </w:pPr>
    </w:p>
    <w:p w14:paraId="66788B6A">
      <w:pPr>
        <w:rPr>
          <w:rFonts w:ascii="宋体" w:hAnsi="宋体"/>
          <w:color w:val="auto"/>
          <w:szCs w:val="21"/>
          <w:highlight w:val="none"/>
        </w:rPr>
      </w:pPr>
    </w:p>
    <w:p w14:paraId="39894936">
      <w:pPr>
        <w:pStyle w:val="25"/>
        <w:rPr>
          <w:color w:val="auto"/>
          <w:szCs w:val="21"/>
          <w:highlight w:val="none"/>
        </w:rPr>
      </w:pPr>
    </w:p>
    <w:p w14:paraId="62CA5F14">
      <w:pPr>
        <w:rPr>
          <w:rFonts w:ascii="宋体" w:hAnsi="宋体"/>
          <w:color w:val="auto"/>
          <w:szCs w:val="21"/>
          <w:highlight w:val="none"/>
        </w:rPr>
      </w:pPr>
    </w:p>
    <w:p w14:paraId="08AE6087">
      <w:pPr>
        <w:pStyle w:val="25"/>
        <w:rPr>
          <w:color w:val="auto"/>
          <w:szCs w:val="21"/>
          <w:highlight w:val="none"/>
        </w:rPr>
      </w:pPr>
    </w:p>
    <w:p w14:paraId="24B9E1DA">
      <w:pPr>
        <w:pStyle w:val="9"/>
        <w:ind w:left="0" w:firstLine="0"/>
        <w:outlineLvl w:val="9"/>
        <w:rPr>
          <w:color w:val="auto"/>
          <w:highlight w:val="none"/>
        </w:rPr>
      </w:pPr>
    </w:p>
    <w:p w14:paraId="0A1A34A0">
      <w:pPr>
        <w:rPr>
          <w:color w:val="auto"/>
          <w:highlight w:val="none"/>
        </w:rPr>
      </w:pPr>
    </w:p>
    <w:p w14:paraId="2A619C1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按采购公告要求提供。</w:t>
      </w:r>
    </w:p>
    <w:p w14:paraId="7DAE0082">
      <w:pPr>
        <w:ind w:firstLine="560"/>
        <w:rPr>
          <w:rFonts w:ascii="楷体_GB2312" w:hAnsi="Arial" w:eastAsia="楷体_GB2312"/>
          <w:color w:val="auto"/>
          <w:kern w:val="0"/>
          <w:sz w:val="28"/>
          <w:szCs w:val="20"/>
          <w:highlight w:val="none"/>
        </w:rPr>
      </w:pPr>
    </w:p>
    <w:p w14:paraId="1756797C">
      <w:pPr>
        <w:pStyle w:val="9"/>
        <w:outlineLvl w:val="9"/>
        <w:rPr>
          <w:color w:val="auto"/>
          <w:highlight w:val="none"/>
        </w:rPr>
      </w:pPr>
    </w:p>
    <w:p w14:paraId="6B7F401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s="宋体"/>
          <w:b/>
          <w:bCs/>
          <w:color w:val="auto"/>
          <w:szCs w:val="21"/>
          <w:highlight w:val="none"/>
        </w:rPr>
        <w:t>按采购公告要求提供。</w:t>
      </w:r>
    </w:p>
    <w:p w14:paraId="0BC9CAF5">
      <w:pPr>
        <w:spacing w:line="400" w:lineRule="exact"/>
        <w:ind w:firstLine="422" w:firstLineChars="200"/>
        <w:jc w:val="left"/>
        <w:rPr>
          <w:rFonts w:ascii="宋体" w:hAnsi="宋体"/>
          <w:b/>
          <w:color w:val="auto"/>
          <w:szCs w:val="21"/>
          <w:highlight w:val="none"/>
        </w:rPr>
      </w:pPr>
    </w:p>
    <w:p w14:paraId="577BD95E">
      <w:pPr>
        <w:pStyle w:val="9"/>
        <w:outlineLvl w:val="9"/>
        <w:rPr>
          <w:color w:val="auto"/>
          <w:highlight w:val="none"/>
        </w:rPr>
      </w:pPr>
    </w:p>
    <w:p w14:paraId="454EC61D">
      <w:pPr>
        <w:ind w:firstLine="420" w:firstLineChars="200"/>
        <w:rPr>
          <w:color w:val="auto"/>
          <w:highlight w:val="none"/>
        </w:rPr>
      </w:pPr>
      <w:r>
        <w:rPr>
          <w:rFonts w:hint="eastAsia" w:ascii="宋体" w:hAnsi="宋体"/>
          <w:color w:val="auto"/>
          <w:szCs w:val="21"/>
          <w:highlight w:val="none"/>
        </w:rPr>
        <w:t>4.供应商被“信用中国”网站(www.creditchina.gov.cn)、“中国政府采购网”(www.ccgp.gov.cn)列入失信被执行人、重大税收违法案件当事人名单、政府采购严重违法失信行为记录名单。</w:t>
      </w:r>
    </w:p>
    <w:p w14:paraId="7A130DA4">
      <w:pPr>
        <w:pageBreakBefore/>
        <w:snapToGrid w:val="0"/>
        <w:spacing w:line="440" w:lineRule="exact"/>
        <w:outlineLvl w:val="1"/>
        <w:rPr>
          <w:rFonts w:ascii="宋体" w:hAnsi="宋体"/>
          <w:b/>
          <w:color w:val="auto"/>
          <w:sz w:val="36"/>
          <w:szCs w:val="36"/>
          <w:highlight w:val="none"/>
        </w:rPr>
      </w:pPr>
      <w:r>
        <w:rPr>
          <w:rFonts w:hint="eastAsia" w:asciiTheme="minorEastAsia" w:hAnsiTheme="minorEastAsia" w:eastAsiaTheme="minorEastAsia" w:cstheme="minorEastAsia"/>
          <w:color w:val="auto"/>
          <w:sz w:val="24"/>
          <w:highlight w:val="none"/>
        </w:rPr>
        <w:t>附件4：投标报价表</w:t>
      </w:r>
    </w:p>
    <w:p w14:paraId="47FF34E1">
      <w:pPr>
        <w:spacing w:line="360" w:lineRule="atLeast"/>
        <w:jc w:val="center"/>
        <w:rPr>
          <w:rFonts w:ascii="宋体" w:hAnsi="宋体"/>
          <w:b/>
          <w:bCs/>
          <w:color w:val="auto"/>
          <w:sz w:val="30"/>
          <w:szCs w:val="30"/>
          <w:highlight w:val="none"/>
        </w:rPr>
      </w:pPr>
    </w:p>
    <w:p w14:paraId="249C6F96">
      <w:pPr>
        <w:spacing w:line="360" w:lineRule="atLeast"/>
        <w:jc w:val="center"/>
        <w:rPr>
          <w:color w:val="auto"/>
          <w:sz w:val="24"/>
          <w:highlight w:val="none"/>
        </w:rPr>
      </w:pPr>
      <w:r>
        <w:rPr>
          <w:rFonts w:hint="eastAsia" w:ascii="宋体" w:hAnsi="宋体"/>
          <w:b/>
          <w:bCs/>
          <w:color w:val="auto"/>
          <w:sz w:val="30"/>
          <w:szCs w:val="30"/>
          <w:highlight w:val="none"/>
        </w:rPr>
        <w:t>投标报价表</w:t>
      </w:r>
    </w:p>
    <w:p w14:paraId="20718AC9">
      <w:pPr>
        <w:spacing w:line="360" w:lineRule="atLeast"/>
        <w:rPr>
          <w:color w:val="auto"/>
          <w:sz w:val="24"/>
          <w:highlight w:val="none"/>
        </w:rPr>
      </w:pPr>
      <w:r>
        <w:rPr>
          <w:rFonts w:hint="eastAsia"/>
          <w:color w:val="auto"/>
          <w:sz w:val="24"/>
          <w:highlight w:val="none"/>
        </w:rPr>
        <w:t xml:space="preserve">         </w:t>
      </w:r>
    </w:p>
    <w:tbl>
      <w:tblPr>
        <w:tblStyle w:val="26"/>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4"/>
        <w:gridCol w:w="6350"/>
      </w:tblGrid>
      <w:tr w14:paraId="073096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53" w:hRule="atLeast"/>
          <w:jc w:val="center"/>
        </w:trPr>
        <w:tc>
          <w:tcPr>
            <w:tcW w:w="2014" w:type="dxa"/>
            <w:tcBorders>
              <w:top w:val="double" w:color="000000" w:sz="6" w:space="0"/>
              <w:left w:val="double" w:color="000000" w:sz="6" w:space="0"/>
              <w:bottom w:val="single" w:color="000000" w:sz="6" w:space="0"/>
              <w:right w:val="single" w:color="000000" w:sz="6" w:space="0"/>
            </w:tcBorders>
            <w:vAlign w:val="center"/>
          </w:tcPr>
          <w:p w14:paraId="3EE60AD3">
            <w:pPr>
              <w:autoSpaceDE w:val="0"/>
              <w:autoSpaceDN w:val="0"/>
              <w:adjustRightInd w:val="0"/>
              <w:snapToGrid w:val="0"/>
              <w:spacing w:after="120"/>
              <w:jc w:val="center"/>
              <w:rPr>
                <w:rFonts w:hAnsi="宋体"/>
                <w:b/>
                <w:caps/>
                <w:snapToGrid w:val="0"/>
                <w:color w:val="auto"/>
                <w:sz w:val="24"/>
                <w:highlight w:val="none"/>
              </w:rPr>
            </w:pPr>
            <w:r>
              <w:rPr>
                <w:rFonts w:hint="eastAsia" w:hAnsi="宋体"/>
                <w:snapToGrid w:val="0"/>
                <w:color w:val="auto"/>
                <w:sz w:val="24"/>
                <w:highlight w:val="none"/>
              </w:rPr>
              <w:t>项目名称</w:t>
            </w:r>
          </w:p>
        </w:tc>
        <w:tc>
          <w:tcPr>
            <w:tcW w:w="6350" w:type="dxa"/>
            <w:tcBorders>
              <w:top w:val="double" w:color="000000" w:sz="6" w:space="0"/>
              <w:left w:val="single" w:color="000000" w:sz="6" w:space="0"/>
              <w:bottom w:val="single" w:color="000000" w:sz="6" w:space="0"/>
              <w:right w:val="double" w:color="000000" w:sz="6" w:space="0"/>
            </w:tcBorders>
            <w:vAlign w:val="center"/>
          </w:tcPr>
          <w:p w14:paraId="1A3A1746">
            <w:pPr>
              <w:autoSpaceDE w:val="0"/>
              <w:autoSpaceDN w:val="0"/>
              <w:adjustRightInd w:val="0"/>
              <w:snapToGrid w:val="0"/>
              <w:spacing w:after="120"/>
              <w:jc w:val="center"/>
              <w:rPr>
                <w:rFonts w:ascii="方正仿宋_GB2312" w:hAnsi="方正仿宋_GB2312" w:eastAsia="方正仿宋_GB2312" w:cs="方正仿宋_GB2312"/>
                <w:b/>
                <w:snapToGrid w:val="0"/>
                <w:color w:val="auto"/>
                <w:sz w:val="24"/>
                <w:highlight w:val="none"/>
              </w:rPr>
            </w:pPr>
            <w:r>
              <w:rPr>
                <w:rFonts w:hint="eastAsia" w:ascii="方正仿宋_GB2312" w:hAnsi="方正仿宋_GB2312" w:eastAsia="方正仿宋_GB2312" w:cs="方正仿宋_GB2312"/>
                <w:b/>
                <w:snapToGrid w:val="0"/>
                <w:color w:val="auto"/>
                <w:sz w:val="24"/>
                <w:highlight w:val="none"/>
              </w:rPr>
              <w:t>江苏医药职业学院</w:t>
            </w:r>
          </w:p>
          <w:p w14:paraId="419B8B02">
            <w:pPr>
              <w:autoSpaceDE w:val="0"/>
              <w:autoSpaceDN w:val="0"/>
              <w:adjustRightInd w:val="0"/>
              <w:snapToGrid w:val="0"/>
              <w:spacing w:after="120"/>
              <w:jc w:val="center"/>
              <w:rPr>
                <w:rFonts w:ascii="方正仿宋_GB2312" w:hAnsi="方正仿宋_GB2312" w:eastAsia="方正仿宋_GB2312" w:cs="方正仿宋_GB2312"/>
                <w:b/>
                <w:snapToGrid w:val="0"/>
                <w:color w:val="auto"/>
                <w:sz w:val="24"/>
                <w:highlight w:val="none"/>
              </w:rPr>
            </w:pPr>
            <w:r>
              <w:rPr>
                <w:rFonts w:hint="eastAsia" w:ascii="方正仿宋_GB2312" w:hAnsi="方正仿宋_GB2312" w:eastAsia="方正仿宋_GB2312" w:cs="方正仿宋_GB2312"/>
                <w:b/>
                <w:snapToGrid w:val="0"/>
                <w:color w:val="auto"/>
                <w:sz w:val="24"/>
                <w:highlight w:val="none"/>
              </w:rPr>
              <w:t>校内电力设备维护保养及抢修服务</w:t>
            </w:r>
          </w:p>
        </w:tc>
      </w:tr>
      <w:tr w14:paraId="2711C6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16" w:hRule="atLeast"/>
          <w:jc w:val="center"/>
        </w:trPr>
        <w:tc>
          <w:tcPr>
            <w:tcW w:w="2014" w:type="dxa"/>
            <w:tcBorders>
              <w:top w:val="single" w:color="000000" w:sz="6" w:space="0"/>
              <w:left w:val="double" w:color="000000" w:sz="6" w:space="0"/>
              <w:bottom w:val="single" w:color="000000" w:sz="6" w:space="0"/>
              <w:right w:val="single" w:color="000000" w:sz="6" w:space="0"/>
            </w:tcBorders>
            <w:vAlign w:val="center"/>
          </w:tcPr>
          <w:p w14:paraId="6E0AB757">
            <w:pPr>
              <w:autoSpaceDE w:val="0"/>
              <w:autoSpaceDN w:val="0"/>
              <w:adjustRightInd w:val="0"/>
              <w:snapToGrid w:val="0"/>
              <w:spacing w:after="120"/>
              <w:jc w:val="center"/>
              <w:rPr>
                <w:rFonts w:hAnsi="宋体"/>
                <w:snapToGrid w:val="0"/>
                <w:color w:val="auto"/>
                <w:sz w:val="24"/>
                <w:highlight w:val="none"/>
              </w:rPr>
            </w:pPr>
            <w:r>
              <w:rPr>
                <w:rFonts w:hint="eastAsia" w:hAnsi="宋体"/>
                <w:snapToGrid w:val="0"/>
                <w:color w:val="auto"/>
                <w:sz w:val="24"/>
                <w:highlight w:val="none"/>
              </w:rPr>
              <w:t>项目编号</w:t>
            </w:r>
          </w:p>
        </w:tc>
        <w:tc>
          <w:tcPr>
            <w:tcW w:w="6350" w:type="dxa"/>
            <w:tcBorders>
              <w:top w:val="single" w:color="000000" w:sz="6" w:space="0"/>
              <w:left w:val="single" w:color="000000" w:sz="6" w:space="0"/>
              <w:bottom w:val="single" w:color="000000" w:sz="6" w:space="0"/>
              <w:right w:val="double" w:color="000000" w:sz="6" w:space="0"/>
            </w:tcBorders>
            <w:vAlign w:val="center"/>
          </w:tcPr>
          <w:p w14:paraId="2C2874B3">
            <w:pPr>
              <w:autoSpaceDE w:val="0"/>
              <w:autoSpaceDN w:val="0"/>
              <w:adjustRightInd w:val="0"/>
              <w:snapToGrid w:val="0"/>
              <w:spacing w:after="120"/>
              <w:jc w:val="center"/>
              <w:rPr>
                <w:rFonts w:ascii="方正仿宋_GB2312" w:hAnsi="方正仿宋_GB2312" w:eastAsia="方正仿宋_GB2312" w:cs="方正仿宋_GB2312"/>
                <w:snapToGrid w:val="0"/>
                <w:color w:val="auto"/>
                <w:sz w:val="24"/>
                <w:highlight w:val="none"/>
              </w:rPr>
            </w:pPr>
            <w:r>
              <w:rPr>
                <w:rFonts w:hint="eastAsia" w:ascii="方正仿宋_GB2312" w:hAnsi="方正仿宋_GB2312" w:eastAsia="方正仿宋_GB2312" w:cs="方正仿宋_GB2312"/>
                <w:b/>
                <w:snapToGrid w:val="0"/>
                <w:color w:val="auto"/>
                <w:sz w:val="24"/>
                <w:highlight w:val="none"/>
              </w:rPr>
              <w:t>SY2026—001-FW-XJ</w:t>
            </w:r>
          </w:p>
        </w:tc>
      </w:tr>
      <w:tr w14:paraId="532324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15" w:hRule="atLeast"/>
          <w:jc w:val="center"/>
        </w:trPr>
        <w:tc>
          <w:tcPr>
            <w:tcW w:w="2014" w:type="dxa"/>
            <w:tcBorders>
              <w:top w:val="single" w:color="000000" w:sz="6" w:space="0"/>
              <w:left w:val="double" w:color="000000" w:sz="6" w:space="0"/>
              <w:bottom w:val="single" w:color="000000" w:sz="6" w:space="0"/>
              <w:right w:val="single" w:color="000000" w:sz="6" w:space="0"/>
            </w:tcBorders>
            <w:vAlign w:val="center"/>
          </w:tcPr>
          <w:p w14:paraId="6FFFB7E8">
            <w:pPr>
              <w:autoSpaceDE w:val="0"/>
              <w:autoSpaceDN w:val="0"/>
              <w:adjustRightInd w:val="0"/>
              <w:snapToGrid w:val="0"/>
              <w:spacing w:after="120"/>
              <w:jc w:val="center"/>
              <w:rPr>
                <w:rFonts w:hAnsi="宋体"/>
                <w:b/>
                <w:snapToGrid w:val="0"/>
                <w:color w:val="auto"/>
                <w:sz w:val="24"/>
                <w:highlight w:val="none"/>
              </w:rPr>
            </w:pPr>
            <w:r>
              <w:rPr>
                <w:rFonts w:hint="eastAsia" w:hAnsi="宋体"/>
                <w:snapToGrid w:val="0"/>
                <w:color w:val="auto"/>
                <w:sz w:val="24"/>
                <w:highlight w:val="none"/>
              </w:rPr>
              <w:t>投标人全称</w:t>
            </w:r>
          </w:p>
        </w:tc>
        <w:tc>
          <w:tcPr>
            <w:tcW w:w="6350" w:type="dxa"/>
            <w:tcBorders>
              <w:top w:val="single" w:color="000000" w:sz="6" w:space="0"/>
              <w:left w:val="single" w:color="000000" w:sz="6" w:space="0"/>
              <w:bottom w:val="single" w:color="000000" w:sz="6" w:space="0"/>
              <w:right w:val="double" w:color="000000" w:sz="6" w:space="0"/>
            </w:tcBorders>
            <w:vAlign w:val="center"/>
          </w:tcPr>
          <w:p w14:paraId="403F300C">
            <w:pPr>
              <w:autoSpaceDE w:val="0"/>
              <w:autoSpaceDN w:val="0"/>
              <w:adjustRightInd w:val="0"/>
              <w:snapToGrid w:val="0"/>
              <w:spacing w:after="120"/>
              <w:jc w:val="center"/>
              <w:rPr>
                <w:rFonts w:hAnsi="宋体"/>
                <w:b/>
                <w:snapToGrid w:val="0"/>
                <w:color w:val="auto"/>
                <w:sz w:val="24"/>
                <w:highlight w:val="none"/>
              </w:rPr>
            </w:pPr>
          </w:p>
        </w:tc>
      </w:tr>
      <w:tr w14:paraId="3127CB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2014" w:type="dxa"/>
            <w:tcBorders>
              <w:top w:val="single" w:color="auto" w:sz="4" w:space="0"/>
              <w:left w:val="double" w:color="000000" w:sz="6" w:space="0"/>
              <w:bottom w:val="double" w:color="000000" w:sz="6" w:space="0"/>
              <w:right w:val="single" w:color="000000" w:sz="6" w:space="0"/>
            </w:tcBorders>
            <w:vAlign w:val="center"/>
          </w:tcPr>
          <w:p w14:paraId="06399BA2">
            <w:pPr>
              <w:autoSpaceDE w:val="0"/>
              <w:autoSpaceDN w:val="0"/>
              <w:adjustRightInd w:val="0"/>
              <w:snapToGrid w:val="0"/>
              <w:spacing w:after="120"/>
              <w:jc w:val="center"/>
              <w:rPr>
                <w:rFonts w:hAnsi="宋体"/>
                <w:bCs/>
                <w:snapToGrid w:val="0"/>
                <w:color w:val="auto"/>
                <w:sz w:val="24"/>
                <w:highlight w:val="none"/>
              </w:rPr>
            </w:pPr>
            <w:r>
              <w:rPr>
                <w:rFonts w:hint="eastAsia" w:hAnsi="宋体"/>
                <w:bCs/>
                <w:snapToGrid w:val="0"/>
                <w:color w:val="auto"/>
                <w:sz w:val="24"/>
                <w:highlight w:val="none"/>
              </w:rPr>
              <w:t>投标金额</w:t>
            </w:r>
          </w:p>
          <w:p w14:paraId="6B143924">
            <w:pPr>
              <w:autoSpaceDE w:val="0"/>
              <w:autoSpaceDN w:val="0"/>
              <w:adjustRightInd w:val="0"/>
              <w:snapToGrid w:val="0"/>
              <w:spacing w:after="120"/>
              <w:jc w:val="center"/>
              <w:rPr>
                <w:rFonts w:hAnsi="宋体"/>
                <w:bCs/>
                <w:snapToGrid w:val="0"/>
                <w:color w:val="auto"/>
                <w:sz w:val="24"/>
                <w:highlight w:val="none"/>
              </w:rPr>
            </w:pPr>
            <w:r>
              <w:rPr>
                <w:rFonts w:hint="eastAsia" w:hAnsi="宋体"/>
                <w:bCs/>
                <w:snapToGrid w:val="0"/>
                <w:color w:val="auto"/>
                <w:sz w:val="24"/>
                <w:highlight w:val="none"/>
              </w:rPr>
              <w:t>（人民币）</w:t>
            </w:r>
          </w:p>
        </w:tc>
        <w:tc>
          <w:tcPr>
            <w:tcW w:w="6350" w:type="dxa"/>
            <w:tcBorders>
              <w:top w:val="single" w:color="000000" w:sz="6" w:space="0"/>
              <w:left w:val="single" w:color="000000" w:sz="6" w:space="0"/>
              <w:bottom w:val="double" w:color="000000" w:sz="6" w:space="0"/>
              <w:right w:val="double" w:color="000000" w:sz="6" w:space="0"/>
            </w:tcBorders>
            <w:vAlign w:val="center"/>
          </w:tcPr>
          <w:p w14:paraId="01E10920">
            <w:pPr>
              <w:autoSpaceDE w:val="0"/>
              <w:autoSpaceDN w:val="0"/>
              <w:adjustRightInd w:val="0"/>
              <w:spacing w:line="440" w:lineRule="exact"/>
              <w:jc w:val="center"/>
              <w:rPr>
                <w:rFonts w:hAnsi="宋体"/>
                <w:bCs/>
                <w:snapToGrid w:val="0"/>
                <w:color w:val="auto"/>
                <w:sz w:val="24"/>
                <w:highlight w:val="none"/>
              </w:rPr>
            </w:pPr>
            <w:r>
              <w:rPr>
                <w:rFonts w:hint="eastAsia" w:hAnsi="宋体"/>
                <w:bCs/>
                <w:snapToGrid w:val="0"/>
                <w:color w:val="auto"/>
                <w:sz w:val="24"/>
                <w:highlight w:val="none"/>
              </w:rPr>
              <w:t>小写：______元      大写：______元</w:t>
            </w:r>
          </w:p>
        </w:tc>
      </w:tr>
    </w:tbl>
    <w:p w14:paraId="5EBA5E2F">
      <w:pPr>
        <w:spacing w:line="360" w:lineRule="atLeast"/>
        <w:rPr>
          <w:color w:val="auto"/>
          <w:sz w:val="24"/>
          <w:highlight w:val="none"/>
        </w:rPr>
      </w:pPr>
    </w:p>
    <w:p w14:paraId="2EBC2B5C">
      <w:pPr>
        <w:spacing w:line="360" w:lineRule="atLeast"/>
        <w:ind w:firstLine="470" w:firstLineChars="196"/>
        <w:rPr>
          <w:color w:val="auto"/>
          <w:sz w:val="24"/>
          <w:highlight w:val="none"/>
        </w:rPr>
      </w:pPr>
      <w:r>
        <w:rPr>
          <w:rFonts w:hint="eastAsia"/>
          <w:color w:val="auto"/>
          <w:sz w:val="24"/>
          <w:highlight w:val="none"/>
        </w:rPr>
        <w:t>注：</w:t>
      </w:r>
    </w:p>
    <w:p w14:paraId="03D82CB0">
      <w:pPr>
        <w:spacing w:line="360" w:lineRule="atLeast"/>
        <w:ind w:firstLine="470" w:firstLineChars="196"/>
        <w:rPr>
          <w:color w:val="auto"/>
          <w:sz w:val="24"/>
          <w:highlight w:val="none"/>
        </w:rPr>
      </w:pPr>
      <w:r>
        <w:rPr>
          <w:rFonts w:hint="eastAsia"/>
          <w:color w:val="auto"/>
          <w:sz w:val="24"/>
          <w:highlight w:val="none"/>
        </w:rPr>
        <w:t>1、投标金额应为文件规定的全部响应内容的报价；</w:t>
      </w:r>
    </w:p>
    <w:p w14:paraId="1736FB43">
      <w:pPr>
        <w:spacing w:line="360" w:lineRule="atLeast"/>
        <w:ind w:firstLine="470" w:firstLineChars="196"/>
        <w:rPr>
          <w:color w:val="auto"/>
          <w:sz w:val="24"/>
          <w:highlight w:val="none"/>
        </w:rPr>
      </w:pPr>
      <w:r>
        <w:rPr>
          <w:rFonts w:hint="eastAsia"/>
          <w:color w:val="auto"/>
          <w:sz w:val="24"/>
          <w:highlight w:val="none"/>
        </w:rPr>
        <w:t>2、报价包含供应商完成本项目的一切费用。</w:t>
      </w:r>
    </w:p>
    <w:p w14:paraId="3351E9F8">
      <w:pPr>
        <w:spacing w:line="360" w:lineRule="atLeast"/>
        <w:ind w:firstLine="470" w:firstLineChars="196"/>
        <w:rPr>
          <w:rFonts w:hAnsi="宋体"/>
          <w:color w:val="auto"/>
          <w:sz w:val="24"/>
          <w:highlight w:val="none"/>
        </w:rPr>
      </w:pPr>
    </w:p>
    <w:p w14:paraId="6889A483">
      <w:pPr>
        <w:spacing w:line="360" w:lineRule="atLeast"/>
        <w:ind w:firstLine="470" w:firstLineChars="196"/>
        <w:rPr>
          <w:color w:val="auto"/>
          <w:sz w:val="24"/>
          <w:highlight w:val="none"/>
        </w:rPr>
      </w:pPr>
    </w:p>
    <w:p w14:paraId="03791221">
      <w:pPr>
        <w:spacing w:line="360" w:lineRule="atLeast"/>
        <w:ind w:firstLine="470" w:firstLineChars="196"/>
        <w:rPr>
          <w:color w:val="auto"/>
          <w:sz w:val="24"/>
          <w:highlight w:val="none"/>
        </w:rPr>
      </w:pPr>
    </w:p>
    <w:p w14:paraId="56B93BFA">
      <w:pPr>
        <w:spacing w:line="360" w:lineRule="atLeast"/>
        <w:rPr>
          <w:color w:val="auto"/>
          <w:sz w:val="24"/>
          <w:highlight w:val="none"/>
        </w:rPr>
      </w:pPr>
    </w:p>
    <w:p w14:paraId="1B3EC44F">
      <w:pPr>
        <w:spacing w:line="360" w:lineRule="atLeast"/>
        <w:ind w:firstLine="470" w:firstLineChars="196"/>
        <w:rPr>
          <w:color w:val="auto"/>
          <w:sz w:val="24"/>
          <w:highlight w:val="none"/>
        </w:rPr>
      </w:pPr>
    </w:p>
    <w:p w14:paraId="51FDC00C">
      <w:pPr>
        <w:spacing w:line="360" w:lineRule="atLeast"/>
        <w:ind w:firstLine="470" w:firstLineChars="196"/>
        <w:rPr>
          <w:color w:val="auto"/>
          <w:sz w:val="24"/>
          <w:highlight w:val="none"/>
        </w:rPr>
      </w:pPr>
      <w:r>
        <w:rPr>
          <w:rFonts w:hint="eastAsia"/>
          <w:color w:val="auto"/>
          <w:sz w:val="24"/>
          <w:highlight w:val="none"/>
        </w:rPr>
        <w:t>供应商名称：XXXX（单位公章）</w:t>
      </w:r>
    </w:p>
    <w:p w14:paraId="0EBD72CA">
      <w:pPr>
        <w:spacing w:line="360" w:lineRule="atLeast"/>
        <w:ind w:firstLine="470" w:firstLineChars="196"/>
        <w:rPr>
          <w:color w:val="auto"/>
          <w:sz w:val="24"/>
          <w:highlight w:val="none"/>
        </w:rPr>
      </w:pPr>
      <w:r>
        <w:rPr>
          <w:rFonts w:hint="eastAsia"/>
          <w:color w:val="auto"/>
          <w:sz w:val="24"/>
          <w:highlight w:val="none"/>
        </w:rPr>
        <w:t>法定代表人或授权代表（签字或加盖个人名章）：XXXX</w:t>
      </w:r>
    </w:p>
    <w:p w14:paraId="14E96E7A">
      <w:pPr>
        <w:spacing w:line="360" w:lineRule="atLeast"/>
        <w:ind w:firstLine="470" w:firstLineChars="196"/>
        <w:rPr>
          <w:color w:val="auto"/>
          <w:sz w:val="24"/>
          <w:highlight w:val="none"/>
        </w:rPr>
      </w:pPr>
      <w:r>
        <w:rPr>
          <w:rFonts w:hint="eastAsia"/>
          <w:color w:val="auto"/>
          <w:sz w:val="24"/>
          <w:highlight w:val="none"/>
        </w:rPr>
        <w:t>联系人：</w:t>
      </w:r>
    </w:p>
    <w:p w14:paraId="5A3FEF8C">
      <w:pPr>
        <w:spacing w:line="360" w:lineRule="atLeast"/>
        <w:ind w:firstLine="470" w:firstLineChars="196"/>
        <w:rPr>
          <w:color w:val="auto"/>
          <w:sz w:val="24"/>
          <w:highlight w:val="none"/>
        </w:rPr>
      </w:pPr>
      <w:r>
        <w:rPr>
          <w:rFonts w:hint="eastAsia"/>
          <w:color w:val="auto"/>
          <w:sz w:val="24"/>
          <w:highlight w:val="none"/>
        </w:rPr>
        <w:t>联系电话：</w:t>
      </w:r>
    </w:p>
    <w:p w14:paraId="61D5B4A9">
      <w:pPr>
        <w:spacing w:line="360" w:lineRule="atLeast"/>
        <w:ind w:firstLine="470" w:firstLineChars="196"/>
        <w:rPr>
          <w:color w:val="auto"/>
          <w:sz w:val="24"/>
          <w:highlight w:val="none"/>
        </w:rPr>
      </w:pPr>
    </w:p>
    <w:p w14:paraId="5E809953">
      <w:pPr>
        <w:spacing w:line="360" w:lineRule="atLeast"/>
        <w:ind w:firstLine="470" w:firstLineChars="196"/>
        <w:rPr>
          <w:color w:val="auto"/>
          <w:sz w:val="24"/>
          <w:highlight w:val="none"/>
        </w:rPr>
      </w:pPr>
    </w:p>
    <w:p w14:paraId="0686EE81">
      <w:pPr>
        <w:spacing w:line="360" w:lineRule="atLeast"/>
        <w:ind w:firstLine="470" w:firstLineChars="196"/>
        <w:rPr>
          <w:color w:val="auto"/>
          <w:sz w:val="24"/>
          <w:highlight w:val="none"/>
        </w:rPr>
      </w:pPr>
    </w:p>
    <w:p w14:paraId="01788D2E">
      <w:pPr>
        <w:spacing w:line="360" w:lineRule="atLeast"/>
        <w:ind w:firstLine="470" w:firstLineChars="196"/>
        <w:rPr>
          <w:color w:val="auto"/>
          <w:sz w:val="24"/>
          <w:highlight w:val="none"/>
        </w:rPr>
      </w:pPr>
    </w:p>
    <w:p w14:paraId="08CCC7AD">
      <w:pPr>
        <w:spacing w:line="360" w:lineRule="auto"/>
        <w:ind w:firstLine="5740" w:firstLineChars="2392"/>
        <w:rPr>
          <w:rFonts w:hAnsi="宋体"/>
          <w:bCs/>
          <w:color w:val="auto"/>
          <w:sz w:val="24"/>
          <w:highlight w:val="none"/>
        </w:rPr>
      </w:pPr>
      <w:r>
        <w:rPr>
          <w:rFonts w:hint="eastAsia"/>
          <w:color w:val="auto"/>
          <w:sz w:val="24"/>
          <w:highlight w:val="none"/>
        </w:rPr>
        <w:t>日期：     年  月  日</w:t>
      </w:r>
    </w:p>
    <w:p w14:paraId="3314E089">
      <w:pPr>
        <w:widowControl/>
        <w:shd w:val="clear" w:color="auto" w:fill="FFFFFF"/>
        <w:snapToGrid w:val="0"/>
        <w:spacing w:line="420" w:lineRule="atLeast"/>
        <w:ind w:firstLine="4620" w:firstLineChars="2200"/>
        <w:jc w:val="left"/>
        <w:rPr>
          <w:color w:val="auto"/>
          <w:highlight w:val="none"/>
        </w:rPr>
      </w:pPr>
    </w:p>
    <w:p w14:paraId="42F6BEF3">
      <w:pPr>
        <w:rPr>
          <w:color w:val="auto"/>
          <w:highlight w:val="none"/>
        </w:rPr>
      </w:pPr>
    </w:p>
    <w:p w14:paraId="0F0843F0">
      <w:pPr>
        <w:snapToGrid w:val="0"/>
        <w:spacing w:before="240" w:beforeLines="100" w:after="240" w:afterLines="100"/>
        <w:rPr>
          <w:rFonts w:ascii="宋体" w:hAnsi="宋体"/>
          <w:bCs/>
          <w:color w:val="auto"/>
          <w:sz w:val="30"/>
          <w:szCs w:val="30"/>
          <w:highlight w:val="none"/>
        </w:rPr>
      </w:pPr>
    </w:p>
    <w:p w14:paraId="4B230D47">
      <w:pPr>
        <w:snapToGrid w:val="0"/>
        <w:spacing w:line="360" w:lineRule="auto"/>
        <w:rPr>
          <w:rFonts w:ascii="宋体" w:hAnsi="宋体"/>
          <w:color w:val="auto"/>
          <w:sz w:val="28"/>
          <w:szCs w:val="28"/>
          <w:highlight w:val="none"/>
        </w:rPr>
      </w:pPr>
    </w:p>
    <w:sectPr>
      <w:headerReference r:id="rId6" w:type="first"/>
      <w:headerReference r:id="rId5" w:type="default"/>
      <w:footerReference r:id="rId7" w:type="default"/>
      <w:footerReference r:id="rId8" w:type="even"/>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63844B-4679-4EE9-9BF1-A0454EA30D61}"/>
  </w:font>
  <w:font w:name="黑体">
    <w:panose1 w:val="02010609060101010101"/>
    <w:charset w:val="86"/>
    <w:family w:val="auto"/>
    <w:pitch w:val="default"/>
    <w:sig w:usb0="800002BF" w:usb1="38CF7CFA" w:usb2="00000016" w:usb3="00000000" w:csb0="00040001" w:csb1="00000000"/>
    <w:embedRegular r:id="rId2" w:fontKey="{57FB3C1C-3E38-438B-A7ED-2326D0C4A0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2EBFA1C-CAAB-4A0C-A24F-3DA3DE14F1CE}"/>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decorative"/>
    <w:pitch w:val="default"/>
    <w:sig w:usb0="00000000" w:usb1="00000000" w:usb2="00000000" w:usb3="00000000" w:csb0="00040000" w:csb1="00000000"/>
    <w:embedRegular r:id="rId4" w:fontKey="{FD8D267E-6177-4560-BBF5-0B4BA0E2CA93}"/>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embedRegular r:id="rId5" w:fontKey="{9D8A1808-7D06-4A3E-8A4B-CA1B081FA737}"/>
  </w:font>
  <w:font w:name="仿宋">
    <w:panose1 w:val="02010609060101010101"/>
    <w:charset w:val="86"/>
    <w:family w:val="modern"/>
    <w:pitch w:val="default"/>
    <w:sig w:usb0="800002BF" w:usb1="38CF7CFA" w:usb2="00000016" w:usb3="00000000" w:csb0="00040001" w:csb1="00000000"/>
    <w:embedRegular r:id="rId6" w:fontKey="{1114F95E-E3F3-4A94-A8BC-D553BC9E2CB2}"/>
  </w:font>
  <w:font w:name="微软雅黑">
    <w:panose1 w:val="020B0503020204020204"/>
    <w:charset w:val="86"/>
    <w:family w:val="swiss"/>
    <w:pitch w:val="default"/>
    <w:sig w:usb0="80000287" w:usb1="2ACF3C50" w:usb2="00000016" w:usb3="00000000" w:csb0="0004001F" w:csb1="00000000"/>
    <w:embedRegular r:id="rId7" w:fontKey="{6006EA34-42F1-4548-BC8D-15B3997A20C0}"/>
  </w:font>
  <w:font w:name="方正仿宋_GB2312">
    <w:panose1 w:val="02000000000000000000"/>
    <w:charset w:val="86"/>
    <w:family w:val="auto"/>
    <w:pitch w:val="default"/>
    <w:sig w:usb0="A00002BF" w:usb1="184F6CFA" w:usb2="00000012" w:usb3="00000000" w:csb0="00040001" w:csb1="00000000"/>
    <w:embedRegular r:id="rId8" w:fontKey="{CA99E35D-5144-4F09-9E36-DCE81FFDED16}"/>
  </w:font>
  <w:font w:name="华文隶书">
    <w:panose1 w:val="02010800040101010101"/>
    <w:charset w:val="86"/>
    <w:family w:val="auto"/>
    <w:pitch w:val="default"/>
    <w:sig w:usb0="00000001" w:usb1="080F0000" w:usb2="00000000" w:usb3="00000000" w:csb0="00040000" w:csb1="00000000"/>
    <w:embedRegular r:id="rId9" w:fontKey="{1CBB4164-26D9-4E4F-8809-045C040EC82B}"/>
  </w:font>
  <w:font w:name="WPSEMBED3">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42C34">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133D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6133D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9102">
    <w:pPr>
      <w:pStyle w:val="17"/>
      <w:tabs>
        <w:tab w:val="left" w:pos="945"/>
        <w:tab w:val="center" w:pos="4819"/>
      </w:tabs>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488B">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A0A488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2152">
    <w:pPr>
      <w:pStyle w:val="17"/>
      <w:jc w:val="center"/>
      <w:rPr>
        <w:sz w:val="24"/>
      </w:rPr>
    </w:pPr>
    <w:r>
      <w:rPr>
        <w:rFonts w:hint="eastAsia"/>
        <w:sz w:val="24"/>
      </w:rPr>
      <w:t>本询价函共</w:t>
    </w:r>
    <w:r>
      <w:rPr>
        <w:sz w:val="24"/>
      </w:rPr>
      <w:t>6</w:t>
    </w:r>
    <w:r>
      <w:rPr>
        <w:rFonts w:hint="eastAsia"/>
        <w:sz w:val="24"/>
      </w:rPr>
      <w:t>页，第</w:t>
    </w:r>
    <w:r>
      <w:rPr>
        <w:rStyle w:val="30"/>
        <w:sz w:val="24"/>
      </w:rPr>
      <w:fldChar w:fldCharType="begin"/>
    </w:r>
    <w:r>
      <w:rPr>
        <w:rStyle w:val="30"/>
        <w:sz w:val="24"/>
      </w:rPr>
      <w:instrText xml:space="preserve"> PAGE </w:instrText>
    </w:r>
    <w:r>
      <w:rPr>
        <w:rStyle w:val="30"/>
        <w:sz w:val="24"/>
      </w:rPr>
      <w:fldChar w:fldCharType="separate"/>
    </w:r>
    <w:r>
      <w:rPr>
        <w:rStyle w:val="30"/>
        <w:sz w:val="24"/>
      </w:rPr>
      <w:t>6</w:t>
    </w:r>
    <w:r>
      <w:rPr>
        <w:rStyle w:val="30"/>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687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5A02">
    <w:pPr>
      <w:pStyle w:val="18"/>
    </w:pPr>
    <w:r>
      <w:rPr>
        <w:rFonts w:hint="eastAsia" w:eastAsia="华文隶书"/>
        <w:sz w:val="21"/>
        <w:szCs w:val="21"/>
      </w:rPr>
      <w:t>江苏医药职业学院SY2022-059-FW-XJ询价文件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6447">
    <w:pPr>
      <w:pStyle w:val="18"/>
      <w:rPr>
        <w:sz w:val="21"/>
        <w:szCs w:val="21"/>
      </w:rPr>
    </w:pPr>
    <w:r>
      <w:rPr>
        <w:rFonts w:hint="eastAsia" w:eastAsia="华文隶书"/>
        <w:sz w:val="21"/>
        <w:szCs w:val="21"/>
      </w:rPr>
      <w:t>江苏医药职业学院SY2022-059-FW-XJ询价文件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documentProtection w:enforcement="0"/>
  <w:defaultTabStop w:val="420"/>
  <w:drawingGridHorizontalSpacing w:val="105"/>
  <w:drawingGridVerticalSpacing w:val="31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Zjc3ZmM0ZDZhYTJjZDcyYmM4N2QxZjk0ZDViYjQifQ=="/>
  </w:docVars>
  <w:rsids>
    <w:rsidRoot w:val="007321A8"/>
    <w:rsid w:val="00000501"/>
    <w:rsid w:val="00001CB3"/>
    <w:rsid w:val="00002648"/>
    <w:rsid w:val="00003395"/>
    <w:rsid w:val="0000418C"/>
    <w:rsid w:val="00004DBF"/>
    <w:rsid w:val="00006484"/>
    <w:rsid w:val="0000725E"/>
    <w:rsid w:val="0000774B"/>
    <w:rsid w:val="00012689"/>
    <w:rsid w:val="00013541"/>
    <w:rsid w:val="000147DD"/>
    <w:rsid w:val="00021AF0"/>
    <w:rsid w:val="0002312F"/>
    <w:rsid w:val="000239CA"/>
    <w:rsid w:val="00024922"/>
    <w:rsid w:val="00024DA7"/>
    <w:rsid w:val="00025263"/>
    <w:rsid w:val="00025837"/>
    <w:rsid w:val="0002793A"/>
    <w:rsid w:val="00031B24"/>
    <w:rsid w:val="00032D17"/>
    <w:rsid w:val="000351C0"/>
    <w:rsid w:val="00036360"/>
    <w:rsid w:val="00041FEE"/>
    <w:rsid w:val="00042A55"/>
    <w:rsid w:val="000434FE"/>
    <w:rsid w:val="00044235"/>
    <w:rsid w:val="000443C4"/>
    <w:rsid w:val="00044B37"/>
    <w:rsid w:val="0004573A"/>
    <w:rsid w:val="00045790"/>
    <w:rsid w:val="000463AF"/>
    <w:rsid w:val="00046E5B"/>
    <w:rsid w:val="00051925"/>
    <w:rsid w:val="00053728"/>
    <w:rsid w:val="000568DD"/>
    <w:rsid w:val="00060724"/>
    <w:rsid w:val="0006183A"/>
    <w:rsid w:val="000628A3"/>
    <w:rsid w:val="0006460E"/>
    <w:rsid w:val="00066248"/>
    <w:rsid w:val="00066555"/>
    <w:rsid w:val="0006658A"/>
    <w:rsid w:val="0007344D"/>
    <w:rsid w:val="00076040"/>
    <w:rsid w:val="0007612C"/>
    <w:rsid w:val="000767E7"/>
    <w:rsid w:val="000822ED"/>
    <w:rsid w:val="00082329"/>
    <w:rsid w:val="00086B43"/>
    <w:rsid w:val="00087074"/>
    <w:rsid w:val="000910A4"/>
    <w:rsid w:val="00093C37"/>
    <w:rsid w:val="000946D6"/>
    <w:rsid w:val="000A1C0E"/>
    <w:rsid w:val="000A2812"/>
    <w:rsid w:val="000A3FA7"/>
    <w:rsid w:val="000A6431"/>
    <w:rsid w:val="000B18C9"/>
    <w:rsid w:val="000B2285"/>
    <w:rsid w:val="000B4318"/>
    <w:rsid w:val="000B493E"/>
    <w:rsid w:val="000B5752"/>
    <w:rsid w:val="000B6342"/>
    <w:rsid w:val="000B79AB"/>
    <w:rsid w:val="000C3FD9"/>
    <w:rsid w:val="000C6B0F"/>
    <w:rsid w:val="000D1EFE"/>
    <w:rsid w:val="000D3588"/>
    <w:rsid w:val="000D36DD"/>
    <w:rsid w:val="000D5221"/>
    <w:rsid w:val="000E1357"/>
    <w:rsid w:val="000E19AE"/>
    <w:rsid w:val="000E24A3"/>
    <w:rsid w:val="000E2834"/>
    <w:rsid w:val="000E3CB4"/>
    <w:rsid w:val="000E56EE"/>
    <w:rsid w:val="000E64C4"/>
    <w:rsid w:val="000F0037"/>
    <w:rsid w:val="000F1DC8"/>
    <w:rsid w:val="000F1EB9"/>
    <w:rsid w:val="000F272D"/>
    <w:rsid w:val="000F3C27"/>
    <w:rsid w:val="000F4601"/>
    <w:rsid w:val="000F4FC4"/>
    <w:rsid w:val="001005CB"/>
    <w:rsid w:val="00100E1E"/>
    <w:rsid w:val="00101B95"/>
    <w:rsid w:val="0010325F"/>
    <w:rsid w:val="00103D20"/>
    <w:rsid w:val="00106025"/>
    <w:rsid w:val="00106C11"/>
    <w:rsid w:val="00114146"/>
    <w:rsid w:val="00116DDF"/>
    <w:rsid w:val="00116FAF"/>
    <w:rsid w:val="00117A0B"/>
    <w:rsid w:val="001207EA"/>
    <w:rsid w:val="001210ED"/>
    <w:rsid w:val="00121B51"/>
    <w:rsid w:val="001256DB"/>
    <w:rsid w:val="001260E1"/>
    <w:rsid w:val="00126F73"/>
    <w:rsid w:val="0013026B"/>
    <w:rsid w:val="001310C3"/>
    <w:rsid w:val="00131983"/>
    <w:rsid w:val="00133398"/>
    <w:rsid w:val="001348D7"/>
    <w:rsid w:val="001350BF"/>
    <w:rsid w:val="00136FBD"/>
    <w:rsid w:val="0014072D"/>
    <w:rsid w:val="00140D31"/>
    <w:rsid w:val="0014199F"/>
    <w:rsid w:val="0014222A"/>
    <w:rsid w:val="0014579D"/>
    <w:rsid w:val="0014760E"/>
    <w:rsid w:val="00147AFB"/>
    <w:rsid w:val="001508D8"/>
    <w:rsid w:val="001528DC"/>
    <w:rsid w:val="00152BA3"/>
    <w:rsid w:val="0015413D"/>
    <w:rsid w:val="00155BB0"/>
    <w:rsid w:val="00155F9B"/>
    <w:rsid w:val="00156E21"/>
    <w:rsid w:val="00157456"/>
    <w:rsid w:val="001612D9"/>
    <w:rsid w:val="00161C3C"/>
    <w:rsid w:val="0016258A"/>
    <w:rsid w:val="001627BC"/>
    <w:rsid w:val="0016280D"/>
    <w:rsid w:val="00163CFE"/>
    <w:rsid w:val="00163DDD"/>
    <w:rsid w:val="00166F0F"/>
    <w:rsid w:val="00170291"/>
    <w:rsid w:val="001705C2"/>
    <w:rsid w:val="00172074"/>
    <w:rsid w:val="001743E2"/>
    <w:rsid w:val="001752B2"/>
    <w:rsid w:val="001765FD"/>
    <w:rsid w:val="001769C9"/>
    <w:rsid w:val="00176B4C"/>
    <w:rsid w:val="00176BCE"/>
    <w:rsid w:val="001775FB"/>
    <w:rsid w:val="00177710"/>
    <w:rsid w:val="001804B0"/>
    <w:rsid w:val="001813E6"/>
    <w:rsid w:val="001826AD"/>
    <w:rsid w:val="001859F7"/>
    <w:rsid w:val="00185BC3"/>
    <w:rsid w:val="00185BF5"/>
    <w:rsid w:val="00187740"/>
    <w:rsid w:val="00190BE9"/>
    <w:rsid w:val="00194EF7"/>
    <w:rsid w:val="0019546B"/>
    <w:rsid w:val="001954A3"/>
    <w:rsid w:val="00195537"/>
    <w:rsid w:val="001963B3"/>
    <w:rsid w:val="00196498"/>
    <w:rsid w:val="001979B6"/>
    <w:rsid w:val="001A10A8"/>
    <w:rsid w:val="001A28E0"/>
    <w:rsid w:val="001A5AB3"/>
    <w:rsid w:val="001A6626"/>
    <w:rsid w:val="001A7B45"/>
    <w:rsid w:val="001B0CD7"/>
    <w:rsid w:val="001B1590"/>
    <w:rsid w:val="001B1DD7"/>
    <w:rsid w:val="001B2CDF"/>
    <w:rsid w:val="001B65F9"/>
    <w:rsid w:val="001B6BCF"/>
    <w:rsid w:val="001B6FF9"/>
    <w:rsid w:val="001B73D4"/>
    <w:rsid w:val="001C00FD"/>
    <w:rsid w:val="001C02FF"/>
    <w:rsid w:val="001C04A2"/>
    <w:rsid w:val="001C23F7"/>
    <w:rsid w:val="001C2555"/>
    <w:rsid w:val="001C41E4"/>
    <w:rsid w:val="001C4A2D"/>
    <w:rsid w:val="001D10C5"/>
    <w:rsid w:val="001D1C36"/>
    <w:rsid w:val="001D28A7"/>
    <w:rsid w:val="001D2AB2"/>
    <w:rsid w:val="001D2BC7"/>
    <w:rsid w:val="001D2C67"/>
    <w:rsid w:val="001D2D19"/>
    <w:rsid w:val="001D344E"/>
    <w:rsid w:val="001D449F"/>
    <w:rsid w:val="001D4984"/>
    <w:rsid w:val="001D739C"/>
    <w:rsid w:val="001D75ED"/>
    <w:rsid w:val="001D7DC1"/>
    <w:rsid w:val="001D7FD7"/>
    <w:rsid w:val="001E1BBF"/>
    <w:rsid w:val="001E6644"/>
    <w:rsid w:val="001E7B3B"/>
    <w:rsid w:val="001F09D7"/>
    <w:rsid w:val="001F2289"/>
    <w:rsid w:val="001F2B74"/>
    <w:rsid w:val="001F2F91"/>
    <w:rsid w:val="001F3D72"/>
    <w:rsid w:val="001F5248"/>
    <w:rsid w:val="001F5C3F"/>
    <w:rsid w:val="001F6675"/>
    <w:rsid w:val="001F6B27"/>
    <w:rsid w:val="001F73B3"/>
    <w:rsid w:val="00200188"/>
    <w:rsid w:val="00201C3F"/>
    <w:rsid w:val="00204794"/>
    <w:rsid w:val="00205C7D"/>
    <w:rsid w:val="00205F34"/>
    <w:rsid w:val="00207F1F"/>
    <w:rsid w:val="00211AB0"/>
    <w:rsid w:val="002147E5"/>
    <w:rsid w:val="00214ED4"/>
    <w:rsid w:val="002150E0"/>
    <w:rsid w:val="0021530C"/>
    <w:rsid w:val="002155B0"/>
    <w:rsid w:val="00215C73"/>
    <w:rsid w:val="0021613B"/>
    <w:rsid w:val="00220323"/>
    <w:rsid w:val="00220377"/>
    <w:rsid w:val="0022181E"/>
    <w:rsid w:val="00222976"/>
    <w:rsid w:val="00222D35"/>
    <w:rsid w:val="0022386C"/>
    <w:rsid w:val="00226002"/>
    <w:rsid w:val="002330D6"/>
    <w:rsid w:val="00234498"/>
    <w:rsid w:val="00234F9D"/>
    <w:rsid w:val="0023593C"/>
    <w:rsid w:val="002362D7"/>
    <w:rsid w:val="00236657"/>
    <w:rsid w:val="002366D5"/>
    <w:rsid w:val="00247E62"/>
    <w:rsid w:val="002502F9"/>
    <w:rsid w:val="002550A5"/>
    <w:rsid w:val="00255ECB"/>
    <w:rsid w:val="00256DF1"/>
    <w:rsid w:val="0026032A"/>
    <w:rsid w:val="0026111E"/>
    <w:rsid w:val="00263424"/>
    <w:rsid w:val="00266B67"/>
    <w:rsid w:val="00266DF6"/>
    <w:rsid w:val="00267F4D"/>
    <w:rsid w:val="002725A7"/>
    <w:rsid w:val="002726E7"/>
    <w:rsid w:val="00274795"/>
    <w:rsid w:val="002805B8"/>
    <w:rsid w:val="00281603"/>
    <w:rsid w:val="00281C1F"/>
    <w:rsid w:val="00281ED2"/>
    <w:rsid w:val="00282443"/>
    <w:rsid w:val="00287B2D"/>
    <w:rsid w:val="00290B72"/>
    <w:rsid w:val="00291780"/>
    <w:rsid w:val="00292B2D"/>
    <w:rsid w:val="00294359"/>
    <w:rsid w:val="002943C7"/>
    <w:rsid w:val="002945D3"/>
    <w:rsid w:val="00295D5F"/>
    <w:rsid w:val="00296DBE"/>
    <w:rsid w:val="002A0227"/>
    <w:rsid w:val="002A6EA6"/>
    <w:rsid w:val="002A7A32"/>
    <w:rsid w:val="002B18A4"/>
    <w:rsid w:val="002B400B"/>
    <w:rsid w:val="002B48A8"/>
    <w:rsid w:val="002B4C8F"/>
    <w:rsid w:val="002B5649"/>
    <w:rsid w:val="002B74CE"/>
    <w:rsid w:val="002C0143"/>
    <w:rsid w:val="002C22D7"/>
    <w:rsid w:val="002C32EC"/>
    <w:rsid w:val="002C3CE1"/>
    <w:rsid w:val="002C4058"/>
    <w:rsid w:val="002C41C5"/>
    <w:rsid w:val="002C58A0"/>
    <w:rsid w:val="002C751A"/>
    <w:rsid w:val="002C7EF9"/>
    <w:rsid w:val="002D0FCA"/>
    <w:rsid w:val="002D1F8E"/>
    <w:rsid w:val="002D2AAC"/>
    <w:rsid w:val="002D2C1C"/>
    <w:rsid w:val="002D32CD"/>
    <w:rsid w:val="002D42BA"/>
    <w:rsid w:val="002D45D2"/>
    <w:rsid w:val="002D4A2A"/>
    <w:rsid w:val="002D78AE"/>
    <w:rsid w:val="002E044F"/>
    <w:rsid w:val="002E0E3E"/>
    <w:rsid w:val="002E129D"/>
    <w:rsid w:val="002E28D2"/>
    <w:rsid w:val="002E414C"/>
    <w:rsid w:val="002F21E3"/>
    <w:rsid w:val="002F3582"/>
    <w:rsid w:val="002F73D8"/>
    <w:rsid w:val="00300181"/>
    <w:rsid w:val="00301136"/>
    <w:rsid w:val="00301796"/>
    <w:rsid w:val="00301B81"/>
    <w:rsid w:val="0030244C"/>
    <w:rsid w:val="00302AD4"/>
    <w:rsid w:val="00304060"/>
    <w:rsid w:val="0030620E"/>
    <w:rsid w:val="00306E39"/>
    <w:rsid w:val="00310976"/>
    <w:rsid w:val="00310BCF"/>
    <w:rsid w:val="00310CBE"/>
    <w:rsid w:val="00311AE5"/>
    <w:rsid w:val="00311AE6"/>
    <w:rsid w:val="00311CE8"/>
    <w:rsid w:val="0031256B"/>
    <w:rsid w:val="00312ABD"/>
    <w:rsid w:val="003155A5"/>
    <w:rsid w:val="0031585B"/>
    <w:rsid w:val="00315FEF"/>
    <w:rsid w:val="00316C53"/>
    <w:rsid w:val="0032019B"/>
    <w:rsid w:val="00320927"/>
    <w:rsid w:val="00321A51"/>
    <w:rsid w:val="00322943"/>
    <w:rsid w:val="00322DB7"/>
    <w:rsid w:val="00323698"/>
    <w:rsid w:val="00324220"/>
    <w:rsid w:val="003278D5"/>
    <w:rsid w:val="003301D8"/>
    <w:rsid w:val="00330484"/>
    <w:rsid w:val="00330F1E"/>
    <w:rsid w:val="00335702"/>
    <w:rsid w:val="003363B9"/>
    <w:rsid w:val="00336965"/>
    <w:rsid w:val="00336E52"/>
    <w:rsid w:val="00337E84"/>
    <w:rsid w:val="00340136"/>
    <w:rsid w:val="00340863"/>
    <w:rsid w:val="00341A43"/>
    <w:rsid w:val="00341B85"/>
    <w:rsid w:val="0034442F"/>
    <w:rsid w:val="0034512C"/>
    <w:rsid w:val="00345908"/>
    <w:rsid w:val="00345C8A"/>
    <w:rsid w:val="003503D7"/>
    <w:rsid w:val="00352CD3"/>
    <w:rsid w:val="00354CA5"/>
    <w:rsid w:val="00355816"/>
    <w:rsid w:val="00361199"/>
    <w:rsid w:val="00362448"/>
    <w:rsid w:val="00362508"/>
    <w:rsid w:val="00362D57"/>
    <w:rsid w:val="00363E13"/>
    <w:rsid w:val="00366925"/>
    <w:rsid w:val="003702ED"/>
    <w:rsid w:val="003704B4"/>
    <w:rsid w:val="00370AB0"/>
    <w:rsid w:val="00373220"/>
    <w:rsid w:val="00374678"/>
    <w:rsid w:val="003776D0"/>
    <w:rsid w:val="00381C98"/>
    <w:rsid w:val="00382F2B"/>
    <w:rsid w:val="00387F3E"/>
    <w:rsid w:val="00390506"/>
    <w:rsid w:val="00390ADE"/>
    <w:rsid w:val="00390D10"/>
    <w:rsid w:val="003915D5"/>
    <w:rsid w:val="00391C4C"/>
    <w:rsid w:val="00393A47"/>
    <w:rsid w:val="00393CBA"/>
    <w:rsid w:val="00395B37"/>
    <w:rsid w:val="003966FF"/>
    <w:rsid w:val="003977BF"/>
    <w:rsid w:val="003A037F"/>
    <w:rsid w:val="003A137D"/>
    <w:rsid w:val="003A1A52"/>
    <w:rsid w:val="003A2F2B"/>
    <w:rsid w:val="003A4CC4"/>
    <w:rsid w:val="003A6E55"/>
    <w:rsid w:val="003A7A7E"/>
    <w:rsid w:val="003B1EF6"/>
    <w:rsid w:val="003B3E2B"/>
    <w:rsid w:val="003C0236"/>
    <w:rsid w:val="003C2315"/>
    <w:rsid w:val="003C34AB"/>
    <w:rsid w:val="003C394B"/>
    <w:rsid w:val="003C7802"/>
    <w:rsid w:val="003C785A"/>
    <w:rsid w:val="003D0F40"/>
    <w:rsid w:val="003D3AD9"/>
    <w:rsid w:val="003D4EFD"/>
    <w:rsid w:val="003D71A7"/>
    <w:rsid w:val="003E2381"/>
    <w:rsid w:val="003E3064"/>
    <w:rsid w:val="003E42FD"/>
    <w:rsid w:val="003E4D8A"/>
    <w:rsid w:val="003E656A"/>
    <w:rsid w:val="003E7BAA"/>
    <w:rsid w:val="003F389A"/>
    <w:rsid w:val="003F4564"/>
    <w:rsid w:val="003F6371"/>
    <w:rsid w:val="003F7F43"/>
    <w:rsid w:val="0040043F"/>
    <w:rsid w:val="00402CD1"/>
    <w:rsid w:val="00405460"/>
    <w:rsid w:val="00405924"/>
    <w:rsid w:val="00407D09"/>
    <w:rsid w:val="00410E6C"/>
    <w:rsid w:val="004175D0"/>
    <w:rsid w:val="00417F11"/>
    <w:rsid w:val="00420018"/>
    <w:rsid w:val="00420FF4"/>
    <w:rsid w:val="00421E54"/>
    <w:rsid w:val="00422AEE"/>
    <w:rsid w:val="004235CB"/>
    <w:rsid w:val="0042767A"/>
    <w:rsid w:val="00427A55"/>
    <w:rsid w:val="00430318"/>
    <w:rsid w:val="0043250B"/>
    <w:rsid w:val="004328F1"/>
    <w:rsid w:val="00432E8A"/>
    <w:rsid w:val="00440341"/>
    <w:rsid w:val="00443318"/>
    <w:rsid w:val="004443FB"/>
    <w:rsid w:val="0044718D"/>
    <w:rsid w:val="00457592"/>
    <w:rsid w:val="00463C05"/>
    <w:rsid w:val="00470720"/>
    <w:rsid w:val="00470B60"/>
    <w:rsid w:val="00471430"/>
    <w:rsid w:val="00471A36"/>
    <w:rsid w:val="00473A4E"/>
    <w:rsid w:val="00473B32"/>
    <w:rsid w:val="004764AA"/>
    <w:rsid w:val="00477EBA"/>
    <w:rsid w:val="00482DC1"/>
    <w:rsid w:val="004843CD"/>
    <w:rsid w:val="00486042"/>
    <w:rsid w:val="00487FF5"/>
    <w:rsid w:val="00490E9C"/>
    <w:rsid w:val="00493183"/>
    <w:rsid w:val="004938C7"/>
    <w:rsid w:val="0049489F"/>
    <w:rsid w:val="00494DD3"/>
    <w:rsid w:val="004966DD"/>
    <w:rsid w:val="00497388"/>
    <w:rsid w:val="004B0083"/>
    <w:rsid w:val="004B287D"/>
    <w:rsid w:val="004B2BC9"/>
    <w:rsid w:val="004B304A"/>
    <w:rsid w:val="004B311C"/>
    <w:rsid w:val="004B4179"/>
    <w:rsid w:val="004B48E2"/>
    <w:rsid w:val="004B51AE"/>
    <w:rsid w:val="004B56C1"/>
    <w:rsid w:val="004B5781"/>
    <w:rsid w:val="004B6343"/>
    <w:rsid w:val="004B6B88"/>
    <w:rsid w:val="004B6B94"/>
    <w:rsid w:val="004C02D2"/>
    <w:rsid w:val="004C2DA5"/>
    <w:rsid w:val="004C354C"/>
    <w:rsid w:val="004C496B"/>
    <w:rsid w:val="004C5020"/>
    <w:rsid w:val="004C5760"/>
    <w:rsid w:val="004C59F1"/>
    <w:rsid w:val="004C5F54"/>
    <w:rsid w:val="004D2F4B"/>
    <w:rsid w:val="004D4590"/>
    <w:rsid w:val="004D4BF1"/>
    <w:rsid w:val="004D58FC"/>
    <w:rsid w:val="004D5DF2"/>
    <w:rsid w:val="004D6AAB"/>
    <w:rsid w:val="004D70F5"/>
    <w:rsid w:val="004E17C3"/>
    <w:rsid w:val="004E2DE6"/>
    <w:rsid w:val="004E3DC9"/>
    <w:rsid w:val="004E3F28"/>
    <w:rsid w:val="004E60E9"/>
    <w:rsid w:val="004F0A40"/>
    <w:rsid w:val="004F0AF3"/>
    <w:rsid w:val="004F0C39"/>
    <w:rsid w:val="004F149E"/>
    <w:rsid w:val="004F2B9D"/>
    <w:rsid w:val="004F3FEB"/>
    <w:rsid w:val="004F53D8"/>
    <w:rsid w:val="004F5CBC"/>
    <w:rsid w:val="004F61C1"/>
    <w:rsid w:val="004F6C83"/>
    <w:rsid w:val="005030BD"/>
    <w:rsid w:val="00510683"/>
    <w:rsid w:val="005118A4"/>
    <w:rsid w:val="005150FE"/>
    <w:rsid w:val="00516462"/>
    <w:rsid w:val="00521ACC"/>
    <w:rsid w:val="005220DA"/>
    <w:rsid w:val="005223D8"/>
    <w:rsid w:val="00522D28"/>
    <w:rsid w:val="00524637"/>
    <w:rsid w:val="0052619B"/>
    <w:rsid w:val="0052773A"/>
    <w:rsid w:val="00527C7C"/>
    <w:rsid w:val="00532285"/>
    <w:rsid w:val="00532C73"/>
    <w:rsid w:val="005359C9"/>
    <w:rsid w:val="00540564"/>
    <w:rsid w:val="00542383"/>
    <w:rsid w:val="00544BCA"/>
    <w:rsid w:val="00545886"/>
    <w:rsid w:val="00545A41"/>
    <w:rsid w:val="005538FC"/>
    <w:rsid w:val="005540FD"/>
    <w:rsid w:val="00554256"/>
    <w:rsid w:val="00555F6E"/>
    <w:rsid w:val="00563B3A"/>
    <w:rsid w:val="0056594E"/>
    <w:rsid w:val="00566901"/>
    <w:rsid w:val="00570871"/>
    <w:rsid w:val="00570E0C"/>
    <w:rsid w:val="005728B8"/>
    <w:rsid w:val="00573F72"/>
    <w:rsid w:val="00575256"/>
    <w:rsid w:val="00580812"/>
    <w:rsid w:val="0058082F"/>
    <w:rsid w:val="005813EB"/>
    <w:rsid w:val="00581D4C"/>
    <w:rsid w:val="00582A99"/>
    <w:rsid w:val="005846F0"/>
    <w:rsid w:val="00585610"/>
    <w:rsid w:val="00586D77"/>
    <w:rsid w:val="0059128F"/>
    <w:rsid w:val="005919FA"/>
    <w:rsid w:val="005952AF"/>
    <w:rsid w:val="00595646"/>
    <w:rsid w:val="00595A15"/>
    <w:rsid w:val="005A0A58"/>
    <w:rsid w:val="005A0B87"/>
    <w:rsid w:val="005A1722"/>
    <w:rsid w:val="005A2A1F"/>
    <w:rsid w:val="005A48EC"/>
    <w:rsid w:val="005A7E1C"/>
    <w:rsid w:val="005B1014"/>
    <w:rsid w:val="005B10A4"/>
    <w:rsid w:val="005B226C"/>
    <w:rsid w:val="005B267E"/>
    <w:rsid w:val="005B5C39"/>
    <w:rsid w:val="005B5F7E"/>
    <w:rsid w:val="005B785B"/>
    <w:rsid w:val="005C10EB"/>
    <w:rsid w:val="005C15F4"/>
    <w:rsid w:val="005C1B53"/>
    <w:rsid w:val="005C3400"/>
    <w:rsid w:val="005C5228"/>
    <w:rsid w:val="005C5487"/>
    <w:rsid w:val="005C7DA2"/>
    <w:rsid w:val="005D143C"/>
    <w:rsid w:val="005D1C32"/>
    <w:rsid w:val="005D37F9"/>
    <w:rsid w:val="005D3FAA"/>
    <w:rsid w:val="005D50D4"/>
    <w:rsid w:val="005D667C"/>
    <w:rsid w:val="005D67EF"/>
    <w:rsid w:val="005E01BF"/>
    <w:rsid w:val="005E0A37"/>
    <w:rsid w:val="005E3639"/>
    <w:rsid w:val="005E4382"/>
    <w:rsid w:val="005E487A"/>
    <w:rsid w:val="005E4891"/>
    <w:rsid w:val="005F0F58"/>
    <w:rsid w:val="005F20CB"/>
    <w:rsid w:val="005F41BF"/>
    <w:rsid w:val="005F5531"/>
    <w:rsid w:val="006013A3"/>
    <w:rsid w:val="00601486"/>
    <w:rsid w:val="006020E1"/>
    <w:rsid w:val="00605144"/>
    <w:rsid w:val="0060605E"/>
    <w:rsid w:val="0060621C"/>
    <w:rsid w:val="006065B7"/>
    <w:rsid w:val="00607591"/>
    <w:rsid w:val="006077B6"/>
    <w:rsid w:val="006079D0"/>
    <w:rsid w:val="006115A9"/>
    <w:rsid w:val="00612BC7"/>
    <w:rsid w:val="00614922"/>
    <w:rsid w:val="00614E31"/>
    <w:rsid w:val="00617879"/>
    <w:rsid w:val="00617EEE"/>
    <w:rsid w:val="00620470"/>
    <w:rsid w:val="00621537"/>
    <w:rsid w:val="00621A02"/>
    <w:rsid w:val="00623470"/>
    <w:rsid w:val="00623611"/>
    <w:rsid w:val="0062418C"/>
    <w:rsid w:val="00624F44"/>
    <w:rsid w:val="0062570E"/>
    <w:rsid w:val="006258FC"/>
    <w:rsid w:val="00636683"/>
    <w:rsid w:val="00636AAA"/>
    <w:rsid w:val="00640AD8"/>
    <w:rsid w:val="00641A7C"/>
    <w:rsid w:val="006428C8"/>
    <w:rsid w:val="00645321"/>
    <w:rsid w:val="006459CD"/>
    <w:rsid w:val="00651487"/>
    <w:rsid w:val="006515D9"/>
    <w:rsid w:val="00652C09"/>
    <w:rsid w:val="00653FB4"/>
    <w:rsid w:val="00655ECA"/>
    <w:rsid w:val="0065635C"/>
    <w:rsid w:val="006624B7"/>
    <w:rsid w:val="006626BB"/>
    <w:rsid w:val="00664355"/>
    <w:rsid w:val="00664995"/>
    <w:rsid w:val="00665505"/>
    <w:rsid w:val="00665ACC"/>
    <w:rsid w:val="00666B6F"/>
    <w:rsid w:val="006702CF"/>
    <w:rsid w:val="006715F2"/>
    <w:rsid w:val="006736D6"/>
    <w:rsid w:val="0067444D"/>
    <w:rsid w:val="0067476C"/>
    <w:rsid w:val="006760B5"/>
    <w:rsid w:val="006765F1"/>
    <w:rsid w:val="00677227"/>
    <w:rsid w:val="00677C16"/>
    <w:rsid w:val="00677FE8"/>
    <w:rsid w:val="00680265"/>
    <w:rsid w:val="00680D07"/>
    <w:rsid w:val="00680F81"/>
    <w:rsid w:val="0069376A"/>
    <w:rsid w:val="0069396D"/>
    <w:rsid w:val="00694276"/>
    <w:rsid w:val="00694F40"/>
    <w:rsid w:val="00695596"/>
    <w:rsid w:val="006956A3"/>
    <w:rsid w:val="00697188"/>
    <w:rsid w:val="006A00DA"/>
    <w:rsid w:val="006A06A4"/>
    <w:rsid w:val="006A313D"/>
    <w:rsid w:val="006A6CC3"/>
    <w:rsid w:val="006A6FEE"/>
    <w:rsid w:val="006A7316"/>
    <w:rsid w:val="006B172C"/>
    <w:rsid w:val="006B2B9F"/>
    <w:rsid w:val="006B3A14"/>
    <w:rsid w:val="006B3AE7"/>
    <w:rsid w:val="006B5518"/>
    <w:rsid w:val="006B5F06"/>
    <w:rsid w:val="006B6D8A"/>
    <w:rsid w:val="006B7049"/>
    <w:rsid w:val="006B7F75"/>
    <w:rsid w:val="006C090D"/>
    <w:rsid w:val="006C1E6A"/>
    <w:rsid w:val="006C1FFD"/>
    <w:rsid w:val="006C466F"/>
    <w:rsid w:val="006C5D74"/>
    <w:rsid w:val="006C6AC6"/>
    <w:rsid w:val="006C6F8B"/>
    <w:rsid w:val="006D23BC"/>
    <w:rsid w:val="006D53A1"/>
    <w:rsid w:val="006D6663"/>
    <w:rsid w:val="006E0CBD"/>
    <w:rsid w:val="006E1107"/>
    <w:rsid w:val="006E2025"/>
    <w:rsid w:val="006E48D8"/>
    <w:rsid w:val="006E5F79"/>
    <w:rsid w:val="006E6395"/>
    <w:rsid w:val="006E6603"/>
    <w:rsid w:val="006E78A2"/>
    <w:rsid w:val="006F42F5"/>
    <w:rsid w:val="006F4EDD"/>
    <w:rsid w:val="006F4F47"/>
    <w:rsid w:val="006F5A2B"/>
    <w:rsid w:val="006F5A80"/>
    <w:rsid w:val="00702D0F"/>
    <w:rsid w:val="00702D3F"/>
    <w:rsid w:val="0070793C"/>
    <w:rsid w:val="00707DF8"/>
    <w:rsid w:val="0071104D"/>
    <w:rsid w:val="007113FF"/>
    <w:rsid w:val="00711AF7"/>
    <w:rsid w:val="00712734"/>
    <w:rsid w:val="007146A8"/>
    <w:rsid w:val="00715BE4"/>
    <w:rsid w:val="007176D5"/>
    <w:rsid w:val="00720A39"/>
    <w:rsid w:val="007217B9"/>
    <w:rsid w:val="00721A03"/>
    <w:rsid w:val="00722F34"/>
    <w:rsid w:val="00723EC7"/>
    <w:rsid w:val="0072733C"/>
    <w:rsid w:val="007316D5"/>
    <w:rsid w:val="00731C64"/>
    <w:rsid w:val="007321A8"/>
    <w:rsid w:val="00733664"/>
    <w:rsid w:val="007338F9"/>
    <w:rsid w:val="00734D1E"/>
    <w:rsid w:val="007361D5"/>
    <w:rsid w:val="0073706D"/>
    <w:rsid w:val="00743B9C"/>
    <w:rsid w:val="00745542"/>
    <w:rsid w:val="0074604C"/>
    <w:rsid w:val="00750C73"/>
    <w:rsid w:val="00753700"/>
    <w:rsid w:val="00754DD8"/>
    <w:rsid w:val="007601BD"/>
    <w:rsid w:val="007622E3"/>
    <w:rsid w:val="0076316B"/>
    <w:rsid w:val="00764C4D"/>
    <w:rsid w:val="00765F40"/>
    <w:rsid w:val="00773E47"/>
    <w:rsid w:val="007741D0"/>
    <w:rsid w:val="00775DEB"/>
    <w:rsid w:val="007773FB"/>
    <w:rsid w:val="007810CE"/>
    <w:rsid w:val="007834A5"/>
    <w:rsid w:val="00784936"/>
    <w:rsid w:val="00791F84"/>
    <w:rsid w:val="007950C2"/>
    <w:rsid w:val="007951A6"/>
    <w:rsid w:val="007956AF"/>
    <w:rsid w:val="00795FE2"/>
    <w:rsid w:val="007963EF"/>
    <w:rsid w:val="007A08C6"/>
    <w:rsid w:val="007A117A"/>
    <w:rsid w:val="007A1D0D"/>
    <w:rsid w:val="007A28E4"/>
    <w:rsid w:val="007A3D70"/>
    <w:rsid w:val="007A6378"/>
    <w:rsid w:val="007A6D86"/>
    <w:rsid w:val="007A780D"/>
    <w:rsid w:val="007B07DB"/>
    <w:rsid w:val="007B1DD5"/>
    <w:rsid w:val="007B2C0A"/>
    <w:rsid w:val="007B579D"/>
    <w:rsid w:val="007C030A"/>
    <w:rsid w:val="007C0636"/>
    <w:rsid w:val="007C6533"/>
    <w:rsid w:val="007D2036"/>
    <w:rsid w:val="007D21F8"/>
    <w:rsid w:val="007D255C"/>
    <w:rsid w:val="007D4700"/>
    <w:rsid w:val="007D59AB"/>
    <w:rsid w:val="007D5E38"/>
    <w:rsid w:val="007E5F01"/>
    <w:rsid w:val="007E68BC"/>
    <w:rsid w:val="007E76E8"/>
    <w:rsid w:val="007F219B"/>
    <w:rsid w:val="007F3A8C"/>
    <w:rsid w:val="007F5248"/>
    <w:rsid w:val="008025AB"/>
    <w:rsid w:val="008044BA"/>
    <w:rsid w:val="008044D4"/>
    <w:rsid w:val="0080538A"/>
    <w:rsid w:val="00807CA5"/>
    <w:rsid w:val="00810817"/>
    <w:rsid w:val="00811354"/>
    <w:rsid w:val="00812341"/>
    <w:rsid w:val="00813BC9"/>
    <w:rsid w:val="00815753"/>
    <w:rsid w:val="008179DD"/>
    <w:rsid w:val="008209B8"/>
    <w:rsid w:val="0082249B"/>
    <w:rsid w:val="00822CE4"/>
    <w:rsid w:val="00823832"/>
    <w:rsid w:val="0082418E"/>
    <w:rsid w:val="00825740"/>
    <w:rsid w:val="00827E33"/>
    <w:rsid w:val="00827F9F"/>
    <w:rsid w:val="008303A1"/>
    <w:rsid w:val="008304A5"/>
    <w:rsid w:val="00832A8B"/>
    <w:rsid w:val="00832DEE"/>
    <w:rsid w:val="008330D3"/>
    <w:rsid w:val="008333E4"/>
    <w:rsid w:val="008336E8"/>
    <w:rsid w:val="00833ABB"/>
    <w:rsid w:val="008343E7"/>
    <w:rsid w:val="008348E0"/>
    <w:rsid w:val="008359E0"/>
    <w:rsid w:val="008401C7"/>
    <w:rsid w:val="0084349B"/>
    <w:rsid w:val="00844ABB"/>
    <w:rsid w:val="00844BA1"/>
    <w:rsid w:val="00845173"/>
    <w:rsid w:val="00845B57"/>
    <w:rsid w:val="00845DD5"/>
    <w:rsid w:val="00846B43"/>
    <w:rsid w:val="00847519"/>
    <w:rsid w:val="008606A8"/>
    <w:rsid w:val="00860EEB"/>
    <w:rsid w:val="00864234"/>
    <w:rsid w:val="008649D3"/>
    <w:rsid w:val="00865BF4"/>
    <w:rsid w:val="00865C24"/>
    <w:rsid w:val="00866A71"/>
    <w:rsid w:val="00867A62"/>
    <w:rsid w:val="00876117"/>
    <w:rsid w:val="008807F0"/>
    <w:rsid w:val="0088144E"/>
    <w:rsid w:val="008833D6"/>
    <w:rsid w:val="00887D17"/>
    <w:rsid w:val="00887DE6"/>
    <w:rsid w:val="00890ABC"/>
    <w:rsid w:val="00890B79"/>
    <w:rsid w:val="00890D15"/>
    <w:rsid w:val="008929AB"/>
    <w:rsid w:val="00893B2D"/>
    <w:rsid w:val="008940E8"/>
    <w:rsid w:val="008A0476"/>
    <w:rsid w:val="008A1E78"/>
    <w:rsid w:val="008A1FBA"/>
    <w:rsid w:val="008A2E72"/>
    <w:rsid w:val="008A4E6A"/>
    <w:rsid w:val="008B16A9"/>
    <w:rsid w:val="008B4557"/>
    <w:rsid w:val="008B4963"/>
    <w:rsid w:val="008B5C62"/>
    <w:rsid w:val="008C1348"/>
    <w:rsid w:val="008C311B"/>
    <w:rsid w:val="008C36AC"/>
    <w:rsid w:val="008C3CD2"/>
    <w:rsid w:val="008C52D5"/>
    <w:rsid w:val="008C580E"/>
    <w:rsid w:val="008C7FD8"/>
    <w:rsid w:val="008D24AE"/>
    <w:rsid w:val="008D27C2"/>
    <w:rsid w:val="008D3054"/>
    <w:rsid w:val="008D30B7"/>
    <w:rsid w:val="008D4BC9"/>
    <w:rsid w:val="008D529D"/>
    <w:rsid w:val="008D68FC"/>
    <w:rsid w:val="008D7BEA"/>
    <w:rsid w:val="008E0D0F"/>
    <w:rsid w:val="008E5071"/>
    <w:rsid w:val="008E6242"/>
    <w:rsid w:val="008E67A3"/>
    <w:rsid w:val="008E71D6"/>
    <w:rsid w:val="008E7467"/>
    <w:rsid w:val="008E7B64"/>
    <w:rsid w:val="008F1F1D"/>
    <w:rsid w:val="008F24D0"/>
    <w:rsid w:val="008F2D95"/>
    <w:rsid w:val="008F304E"/>
    <w:rsid w:val="008F4A55"/>
    <w:rsid w:val="008F7BC2"/>
    <w:rsid w:val="009005E7"/>
    <w:rsid w:val="00900EDE"/>
    <w:rsid w:val="0090172E"/>
    <w:rsid w:val="00902DA8"/>
    <w:rsid w:val="00903337"/>
    <w:rsid w:val="009041D2"/>
    <w:rsid w:val="00906214"/>
    <w:rsid w:val="009128C0"/>
    <w:rsid w:val="00912904"/>
    <w:rsid w:val="009168E1"/>
    <w:rsid w:val="00917F0F"/>
    <w:rsid w:val="009200BB"/>
    <w:rsid w:val="00920122"/>
    <w:rsid w:val="009218C6"/>
    <w:rsid w:val="009230AF"/>
    <w:rsid w:val="00923D29"/>
    <w:rsid w:val="009253A6"/>
    <w:rsid w:val="00926102"/>
    <w:rsid w:val="0092639F"/>
    <w:rsid w:val="009265F7"/>
    <w:rsid w:val="009279B9"/>
    <w:rsid w:val="00934F4B"/>
    <w:rsid w:val="00935175"/>
    <w:rsid w:val="00935589"/>
    <w:rsid w:val="00940993"/>
    <w:rsid w:val="00942BC4"/>
    <w:rsid w:val="00943D9F"/>
    <w:rsid w:val="0094431B"/>
    <w:rsid w:val="00944FDD"/>
    <w:rsid w:val="009451A1"/>
    <w:rsid w:val="00945568"/>
    <w:rsid w:val="00950B39"/>
    <w:rsid w:val="00953455"/>
    <w:rsid w:val="00957BCA"/>
    <w:rsid w:val="00962509"/>
    <w:rsid w:val="00963C2E"/>
    <w:rsid w:val="00965D5C"/>
    <w:rsid w:val="00966ED5"/>
    <w:rsid w:val="0096735A"/>
    <w:rsid w:val="00967C7B"/>
    <w:rsid w:val="00971223"/>
    <w:rsid w:val="00972BC6"/>
    <w:rsid w:val="00974BDF"/>
    <w:rsid w:val="0097578C"/>
    <w:rsid w:val="009757AE"/>
    <w:rsid w:val="00975C3A"/>
    <w:rsid w:val="0097723D"/>
    <w:rsid w:val="0098049C"/>
    <w:rsid w:val="00982498"/>
    <w:rsid w:val="00982B65"/>
    <w:rsid w:val="00983473"/>
    <w:rsid w:val="009842D3"/>
    <w:rsid w:val="00985F92"/>
    <w:rsid w:val="00986E86"/>
    <w:rsid w:val="009906F7"/>
    <w:rsid w:val="009917DD"/>
    <w:rsid w:val="0099185B"/>
    <w:rsid w:val="0099220F"/>
    <w:rsid w:val="00992C4F"/>
    <w:rsid w:val="0099399A"/>
    <w:rsid w:val="009949D2"/>
    <w:rsid w:val="00994A82"/>
    <w:rsid w:val="00996C0B"/>
    <w:rsid w:val="009972E6"/>
    <w:rsid w:val="009974D1"/>
    <w:rsid w:val="009A28EC"/>
    <w:rsid w:val="009A3464"/>
    <w:rsid w:val="009A380D"/>
    <w:rsid w:val="009A4C5B"/>
    <w:rsid w:val="009A79AD"/>
    <w:rsid w:val="009B0E0C"/>
    <w:rsid w:val="009B3242"/>
    <w:rsid w:val="009B366D"/>
    <w:rsid w:val="009B5002"/>
    <w:rsid w:val="009B5041"/>
    <w:rsid w:val="009B580A"/>
    <w:rsid w:val="009B5F55"/>
    <w:rsid w:val="009C0A6E"/>
    <w:rsid w:val="009C1CB1"/>
    <w:rsid w:val="009D2E5E"/>
    <w:rsid w:val="009D4353"/>
    <w:rsid w:val="009D4481"/>
    <w:rsid w:val="009D4584"/>
    <w:rsid w:val="009D5BC8"/>
    <w:rsid w:val="009D5E0A"/>
    <w:rsid w:val="009D6101"/>
    <w:rsid w:val="009D674D"/>
    <w:rsid w:val="009D70D9"/>
    <w:rsid w:val="009D7B7A"/>
    <w:rsid w:val="009E0CB3"/>
    <w:rsid w:val="009E13FE"/>
    <w:rsid w:val="009E1FEF"/>
    <w:rsid w:val="009E2062"/>
    <w:rsid w:val="009E2E53"/>
    <w:rsid w:val="009E3013"/>
    <w:rsid w:val="009F047D"/>
    <w:rsid w:val="009F05A4"/>
    <w:rsid w:val="009F0663"/>
    <w:rsid w:val="009F0A45"/>
    <w:rsid w:val="009F0EEB"/>
    <w:rsid w:val="009F3859"/>
    <w:rsid w:val="009F4DEB"/>
    <w:rsid w:val="009F6932"/>
    <w:rsid w:val="00A004DF"/>
    <w:rsid w:val="00A0067A"/>
    <w:rsid w:val="00A016F9"/>
    <w:rsid w:val="00A026CA"/>
    <w:rsid w:val="00A028BE"/>
    <w:rsid w:val="00A032BA"/>
    <w:rsid w:val="00A036ED"/>
    <w:rsid w:val="00A063DC"/>
    <w:rsid w:val="00A12E4F"/>
    <w:rsid w:val="00A13E0F"/>
    <w:rsid w:val="00A13E70"/>
    <w:rsid w:val="00A14ECA"/>
    <w:rsid w:val="00A1658F"/>
    <w:rsid w:val="00A17621"/>
    <w:rsid w:val="00A22BA5"/>
    <w:rsid w:val="00A24AFC"/>
    <w:rsid w:val="00A2529A"/>
    <w:rsid w:val="00A2675C"/>
    <w:rsid w:val="00A26795"/>
    <w:rsid w:val="00A26F4F"/>
    <w:rsid w:val="00A32F7F"/>
    <w:rsid w:val="00A352DC"/>
    <w:rsid w:val="00A35466"/>
    <w:rsid w:val="00A35A87"/>
    <w:rsid w:val="00A36900"/>
    <w:rsid w:val="00A37F8A"/>
    <w:rsid w:val="00A41273"/>
    <w:rsid w:val="00A41432"/>
    <w:rsid w:val="00A41751"/>
    <w:rsid w:val="00A42223"/>
    <w:rsid w:val="00A45B6C"/>
    <w:rsid w:val="00A461C8"/>
    <w:rsid w:val="00A500FC"/>
    <w:rsid w:val="00A50255"/>
    <w:rsid w:val="00A50A9D"/>
    <w:rsid w:val="00A51A87"/>
    <w:rsid w:val="00A51BF1"/>
    <w:rsid w:val="00A531F2"/>
    <w:rsid w:val="00A54D92"/>
    <w:rsid w:val="00A56C7F"/>
    <w:rsid w:val="00A60225"/>
    <w:rsid w:val="00A60C0F"/>
    <w:rsid w:val="00A61676"/>
    <w:rsid w:val="00A61F23"/>
    <w:rsid w:val="00A65304"/>
    <w:rsid w:val="00A65E9F"/>
    <w:rsid w:val="00A66C85"/>
    <w:rsid w:val="00A66DF9"/>
    <w:rsid w:val="00A67635"/>
    <w:rsid w:val="00A71844"/>
    <w:rsid w:val="00A73353"/>
    <w:rsid w:val="00A762DD"/>
    <w:rsid w:val="00A7698C"/>
    <w:rsid w:val="00A76BAE"/>
    <w:rsid w:val="00A77692"/>
    <w:rsid w:val="00A806B5"/>
    <w:rsid w:val="00A83310"/>
    <w:rsid w:val="00A84CCF"/>
    <w:rsid w:val="00A8627D"/>
    <w:rsid w:val="00A8675F"/>
    <w:rsid w:val="00A8679E"/>
    <w:rsid w:val="00A86946"/>
    <w:rsid w:val="00A91D7F"/>
    <w:rsid w:val="00A93033"/>
    <w:rsid w:val="00A93629"/>
    <w:rsid w:val="00A9426A"/>
    <w:rsid w:val="00A94E60"/>
    <w:rsid w:val="00A96711"/>
    <w:rsid w:val="00A972C0"/>
    <w:rsid w:val="00A9737B"/>
    <w:rsid w:val="00AA0AE1"/>
    <w:rsid w:val="00AA14A9"/>
    <w:rsid w:val="00AA1DE3"/>
    <w:rsid w:val="00AA2B0E"/>
    <w:rsid w:val="00AA2D7F"/>
    <w:rsid w:val="00AA32E0"/>
    <w:rsid w:val="00AA4687"/>
    <w:rsid w:val="00AA5DA8"/>
    <w:rsid w:val="00AA70E0"/>
    <w:rsid w:val="00AB3287"/>
    <w:rsid w:val="00AB3811"/>
    <w:rsid w:val="00AB3B17"/>
    <w:rsid w:val="00AB43A0"/>
    <w:rsid w:val="00AB5886"/>
    <w:rsid w:val="00AB7A44"/>
    <w:rsid w:val="00AC018D"/>
    <w:rsid w:val="00AC1A29"/>
    <w:rsid w:val="00AC27F8"/>
    <w:rsid w:val="00AC336A"/>
    <w:rsid w:val="00AC3407"/>
    <w:rsid w:val="00AC415D"/>
    <w:rsid w:val="00AC5F7F"/>
    <w:rsid w:val="00AD10FF"/>
    <w:rsid w:val="00AD1A3E"/>
    <w:rsid w:val="00AD2730"/>
    <w:rsid w:val="00AD31C2"/>
    <w:rsid w:val="00AD3467"/>
    <w:rsid w:val="00AD45BC"/>
    <w:rsid w:val="00AD53E2"/>
    <w:rsid w:val="00AD6166"/>
    <w:rsid w:val="00AE01F5"/>
    <w:rsid w:val="00AE0BA7"/>
    <w:rsid w:val="00AE0E6A"/>
    <w:rsid w:val="00AE1407"/>
    <w:rsid w:val="00AE167A"/>
    <w:rsid w:val="00AE211D"/>
    <w:rsid w:val="00AE2FC3"/>
    <w:rsid w:val="00AE40D7"/>
    <w:rsid w:val="00AE6448"/>
    <w:rsid w:val="00AE6921"/>
    <w:rsid w:val="00AF0336"/>
    <w:rsid w:val="00AF0F6C"/>
    <w:rsid w:val="00AF149E"/>
    <w:rsid w:val="00AF1DF4"/>
    <w:rsid w:val="00AF674A"/>
    <w:rsid w:val="00AF7949"/>
    <w:rsid w:val="00B02F56"/>
    <w:rsid w:val="00B031EC"/>
    <w:rsid w:val="00B04050"/>
    <w:rsid w:val="00B054D9"/>
    <w:rsid w:val="00B05599"/>
    <w:rsid w:val="00B06C74"/>
    <w:rsid w:val="00B07E67"/>
    <w:rsid w:val="00B10D60"/>
    <w:rsid w:val="00B1104C"/>
    <w:rsid w:val="00B12A06"/>
    <w:rsid w:val="00B13A8C"/>
    <w:rsid w:val="00B158B7"/>
    <w:rsid w:val="00B15C19"/>
    <w:rsid w:val="00B164E7"/>
    <w:rsid w:val="00B169B3"/>
    <w:rsid w:val="00B200B3"/>
    <w:rsid w:val="00B21C17"/>
    <w:rsid w:val="00B265FF"/>
    <w:rsid w:val="00B26CD4"/>
    <w:rsid w:val="00B26D25"/>
    <w:rsid w:val="00B3029F"/>
    <w:rsid w:val="00B33621"/>
    <w:rsid w:val="00B33A8E"/>
    <w:rsid w:val="00B359D8"/>
    <w:rsid w:val="00B36090"/>
    <w:rsid w:val="00B410FD"/>
    <w:rsid w:val="00B411E0"/>
    <w:rsid w:val="00B42553"/>
    <w:rsid w:val="00B42A54"/>
    <w:rsid w:val="00B42C8C"/>
    <w:rsid w:val="00B50AE4"/>
    <w:rsid w:val="00B53D50"/>
    <w:rsid w:val="00B5444E"/>
    <w:rsid w:val="00B544D8"/>
    <w:rsid w:val="00B57180"/>
    <w:rsid w:val="00B604CB"/>
    <w:rsid w:val="00B61680"/>
    <w:rsid w:val="00B61E89"/>
    <w:rsid w:val="00B62147"/>
    <w:rsid w:val="00B64128"/>
    <w:rsid w:val="00B64130"/>
    <w:rsid w:val="00B64163"/>
    <w:rsid w:val="00B65F90"/>
    <w:rsid w:val="00B665AC"/>
    <w:rsid w:val="00B70008"/>
    <w:rsid w:val="00B72AAC"/>
    <w:rsid w:val="00B735C5"/>
    <w:rsid w:val="00B73E72"/>
    <w:rsid w:val="00B75EDF"/>
    <w:rsid w:val="00B77E69"/>
    <w:rsid w:val="00B800C7"/>
    <w:rsid w:val="00B81EB9"/>
    <w:rsid w:val="00B85A4E"/>
    <w:rsid w:val="00B906CF"/>
    <w:rsid w:val="00B9231D"/>
    <w:rsid w:val="00B92ACF"/>
    <w:rsid w:val="00B92DD2"/>
    <w:rsid w:val="00B92F00"/>
    <w:rsid w:val="00B95813"/>
    <w:rsid w:val="00BA1A83"/>
    <w:rsid w:val="00BA37D5"/>
    <w:rsid w:val="00BA43D7"/>
    <w:rsid w:val="00BA51C1"/>
    <w:rsid w:val="00BB1638"/>
    <w:rsid w:val="00BB1B51"/>
    <w:rsid w:val="00BB48B0"/>
    <w:rsid w:val="00BC04B9"/>
    <w:rsid w:val="00BC122F"/>
    <w:rsid w:val="00BC1C7C"/>
    <w:rsid w:val="00BC26D5"/>
    <w:rsid w:val="00BC4287"/>
    <w:rsid w:val="00BC42D9"/>
    <w:rsid w:val="00BC4AF0"/>
    <w:rsid w:val="00BC5853"/>
    <w:rsid w:val="00BC7F4C"/>
    <w:rsid w:val="00BD0189"/>
    <w:rsid w:val="00BD0C0C"/>
    <w:rsid w:val="00BD0E65"/>
    <w:rsid w:val="00BD16DA"/>
    <w:rsid w:val="00BD45CF"/>
    <w:rsid w:val="00BD4D3B"/>
    <w:rsid w:val="00BD5A84"/>
    <w:rsid w:val="00BD63DE"/>
    <w:rsid w:val="00BD669D"/>
    <w:rsid w:val="00BE0CF7"/>
    <w:rsid w:val="00BE6FF0"/>
    <w:rsid w:val="00BE7EF6"/>
    <w:rsid w:val="00BF160B"/>
    <w:rsid w:val="00BF227C"/>
    <w:rsid w:val="00BF2659"/>
    <w:rsid w:val="00BF5651"/>
    <w:rsid w:val="00BF799C"/>
    <w:rsid w:val="00C00A54"/>
    <w:rsid w:val="00C03069"/>
    <w:rsid w:val="00C030FE"/>
    <w:rsid w:val="00C03BFB"/>
    <w:rsid w:val="00C0672F"/>
    <w:rsid w:val="00C068A6"/>
    <w:rsid w:val="00C069B0"/>
    <w:rsid w:val="00C07C00"/>
    <w:rsid w:val="00C1071F"/>
    <w:rsid w:val="00C10915"/>
    <w:rsid w:val="00C12EAA"/>
    <w:rsid w:val="00C13F2D"/>
    <w:rsid w:val="00C171AE"/>
    <w:rsid w:val="00C17E9C"/>
    <w:rsid w:val="00C20EA3"/>
    <w:rsid w:val="00C2117B"/>
    <w:rsid w:val="00C22247"/>
    <w:rsid w:val="00C23361"/>
    <w:rsid w:val="00C23CA4"/>
    <w:rsid w:val="00C23D44"/>
    <w:rsid w:val="00C26F5F"/>
    <w:rsid w:val="00C2715E"/>
    <w:rsid w:val="00C300DD"/>
    <w:rsid w:val="00C30D63"/>
    <w:rsid w:val="00C30E90"/>
    <w:rsid w:val="00C35D44"/>
    <w:rsid w:val="00C35E86"/>
    <w:rsid w:val="00C35EBB"/>
    <w:rsid w:val="00C417C3"/>
    <w:rsid w:val="00C4284E"/>
    <w:rsid w:val="00C44288"/>
    <w:rsid w:val="00C4486C"/>
    <w:rsid w:val="00C44932"/>
    <w:rsid w:val="00C454EA"/>
    <w:rsid w:val="00C459D2"/>
    <w:rsid w:val="00C470AE"/>
    <w:rsid w:val="00C47BAA"/>
    <w:rsid w:val="00C501CB"/>
    <w:rsid w:val="00C5256C"/>
    <w:rsid w:val="00C52848"/>
    <w:rsid w:val="00C52EE2"/>
    <w:rsid w:val="00C53E2E"/>
    <w:rsid w:val="00C55CB1"/>
    <w:rsid w:val="00C56731"/>
    <w:rsid w:val="00C570B7"/>
    <w:rsid w:val="00C57F0E"/>
    <w:rsid w:val="00C602FF"/>
    <w:rsid w:val="00C60397"/>
    <w:rsid w:val="00C605A7"/>
    <w:rsid w:val="00C61790"/>
    <w:rsid w:val="00C65FA5"/>
    <w:rsid w:val="00C67D35"/>
    <w:rsid w:val="00C72FD6"/>
    <w:rsid w:val="00C745F8"/>
    <w:rsid w:val="00C746FA"/>
    <w:rsid w:val="00C7551A"/>
    <w:rsid w:val="00C77BAF"/>
    <w:rsid w:val="00C8053F"/>
    <w:rsid w:val="00C82D5A"/>
    <w:rsid w:val="00C8464D"/>
    <w:rsid w:val="00C84688"/>
    <w:rsid w:val="00C85D16"/>
    <w:rsid w:val="00C90B8E"/>
    <w:rsid w:val="00C91FB1"/>
    <w:rsid w:val="00C92C1C"/>
    <w:rsid w:val="00C93053"/>
    <w:rsid w:val="00C93B75"/>
    <w:rsid w:val="00C93F37"/>
    <w:rsid w:val="00C94320"/>
    <w:rsid w:val="00C95392"/>
    <w:rsid w:val="00C971F5"/>
    <w:rsid w:val="00CA4B55"/>
    <w:rsid w:val="00CA5564"/>
    <w:rsid w:val="00CA6294"/>
    <w:rsid w:val="00CA7EA1"/>
    <w:rsid w:val="00CB01B5"/>
    <w:rsid w:val="00CB25A6"/>
    <w:rsid w:val="00CB2FCD"/>
    <w:rsid w:val="00CB3D10"/>
    <w:rsid w:val="00CB4E7B"/>
    <w:rsid w:val="00CB739B"/>
    <w:rsid w:val="00CC032D"/>
    <w:rsid w:val="00CC0521"/>
    <w:rsid w:val="00CC12C0"/>
    <w:rsid w:val="00CC4BA0"/>
    <w:rsid w:val="00CC5648"/>
    <w:rsid w:val="00CC6060"/>
    <w:rsid w:val="00CC7008"/>
    <w:rsid w:val="00CD0241"/>
    <w:rsid w:val="00CD1693"/>
    <w:rsid w:val="00CD1F8D"/>
    <w:rsid w:val="00CD2A8E"/>
    <w:rsid w:val="00CD2B85"/>
    <w:rsid w:val="00CD2DA7"/>
    <w:rsid w:val="00CD3AF4"/>
    <w:rsid w:val="00CD4382"/>
    <w:rsid w:val="00CD43C2"/>
    <w:rsid w:val="00CD4DA4"/>
    <w:rsid w:val="00CD6F9F"/>
    <w:rsid w:val="00CE4AAA"/>
    <w:rsid w:val="00CE7272"/>
    <w:rsid w:val="00CF06DD"/>
    <w:rsid w:val="00CF1E57"/>
    <w:rsid w:val="00CF5888"/>
    <w:rsid w:val="00CF60D2"/>
    <w:rsid w:val="00CF704D"/>
    <w:rsid w:val="00D000CE"/>
    <w:rsid w:val="00D01B83"/>
    <w:rsid w:val="00D01EB7"/>
    <w:rsid w:val="00D03EAD"/>
    <w:rsid w:val="00D055D8"/>
    <w:rsid w:val="00D057EC"/>
    <w:rsid w:val="00D075C0"/>
    <w:rsid w:val="00D07AA0"/>
    <w:rsid w:val="00D1264D"/>
    <w:rsid w:val="00D13530"/>
    <w:rsid w:val="00D13693"/>
    <w:rsid w:val="00D15957"/>
    <w:rsid w:val="00D17713"/>
    <w:rsid w:val="00D2041A"/>
    <w:rsid w:val="00D21DA7"/>
    <w:rsid w:val="00D22D44"/>
    <w:rsid w:val="00D24103"/>
    <w:rsid w:val="00D258DC"/>
    <w:rsid w:val="00D3072D"/>
    <w:rsid w:val="00D31D1A"/>
    <w:rsid w:val="00D3301B"/>
    <w:rsid w:val="00D35E7E"/>
    <w:rsid w:val="00D3726B"/>
    <w:rsid w:val="00D373E3"/>
    <w:rsid w:val="00D42EA8"/>
    <w:rsid w:val="00D44518"/>
    <w:rsid w:val="00D44AE5"/>
    <w:rsid w:val="00D474B3"/>
    <w:rsid w:val="00D47A2A"/>
    <w:rsid w:val="00D502C7"/>
    <w:rsid w:val="00D519DA"/>
    <w:rsid w:val="00D52CA8"/>
    <w:rsid w:val="00D539B4"/>
    <w:rsid w:val="00D556C6"/>
    <w:rsid w:val="00D56BF5"/>
    <w:rsid w:val="00D5708F"/>
    <w:rsid w:val="00D571C6"/>
    <w:rsid w:val="00D605EB"/>
    <w:rsid w:val="00D62163"/>
    <w:rsid w:val="00D628C2"/>
    <w:rsid w:val="00D66246"/>
    <w:rsid w:val="00D668A1"/>
    <w:rsid w:val="00D707ED"/>
    <w:rsid w:val="00D70B36"/>
    <w:rsid w:val="00D72501"/>
    <w:rsid w:val="00D7368D"/>
    <w:rsid w:val="00D8034C"/>
    <w:rsid w:val="00D81C11"/>
    <w:rsid w:val="00D826F0"/>
    <w:rsid w:val="00D8566A"/>
    <w:rsid w:val="00D8599B"/>
    <w:rsid w:val="00D903AA"/>
    <w:rsid w:val="00D904E7"/>
    <w:rsid w:val="00D90C26"/>
    <w:rsid w:val="00D91009"/>
    <w:rsid w:val="00D913CE"/>
    <w:rsid w:val="00D928F9"/>
    <w:rsid w:val="00D92970"/>
    <w:rsid w:val="00D94059"/>
    <w:rsid w:val="00D94D3E"/>
    <w:rsid w:val="00D95491"/>
    <w:rsid w:val="00D971CA"/>
    <w:rsid w:val="00D9734D"/>
    <w:rsid w:val="00DA0755"/>
    <w:rsid w:val="00DB030E"/>
    <w:rsid w:val="00DB1041"/>
    <w:rsid w:val="00DB292B"/>
    <w:rsid w:val="00DB2E88"/>
    <w:rsid w:val="00DB54E4"/>
    <w:rsid w:val="00DB5F81"/>
    <w:rsid w:val="00DB7440"/>
    <w:rsid w:val="00DC02D1"/>
    <w:rsid w:val="00DC1007"/>
    <w:rsid w:val="00DC13E8"/>
    <w:rsid w:val="00DC2943"/>
    <w:rsid w:val="00DC3584"/>
    <w:rsid w:val="00DC491C"/>
    <w:rsid w:val="00DC5073"/>
    <w:rsid w:val="00DC5076"/>
    <w:rsid w:val="00DC5784"/>
    <w:rsid w:val="00DC78CB"/>
    <w:rsid w:val="00DD234C"/>
    <w:rsid w:val="00DD2610"/>
    <w:rsid w:val="00DD5866"/>
    <w:rsid w:val="00DD5E3F"/>
    <w:rsid w:val="00DD6A0D"/>
    <w:rsid w:val="00DD7896"/>
    <w:rsid w:val="00DD7E79"/>
    <w:rsid w:val="00DE1283"/>
    <w:rsid w:val="00DE3B24"/>
    <w:rsid w:val="00DE408F"/>
    <w:rsid w:val="00DE5D0C"/>
    <w:rsid w:val="00DE74EF"/>
    <w:rsid w:val="00DE765E"/>
    <w:rsid w:val="00DF72BE"/>
    <w:rsid w:val="00E02DD6"/>
    <w:rsid w:val="00E05047"/>
    <w:rsid w:val="00E1084A"/>
    <w:rsid w:val="00E115CF"/>
    <w:rsid w:val="00E127AC"/>
    <w:rsid w:val="00E12BBF"/>
    <w:rsid w:val="00E12F94"/>
    <w:rsid w:val="00E133C5"/>
    <w:rsid w:val="00E13CFD"/>
    <w:rsid w:val="00E150BF"/>
    <w:rsid w:val="00E15B9A"/>
    <w:rsid w:val="00E16DCE"/>
    <w:rsid w:val="00E17905"/>
    <w:rsid w:val="00E17EFC"/>
    <w:rsid w:val="00E21B34"/>
    <w:rsid w:val="00E3415B"/>
    <w:rsid w:val="00E3527B"/>
    <w:rsid w:val="00E35AB7"/>
    <w:rsid w:val="00E35F63"/>
    <w:rsid w:val="00E40B7B"/>
    <w:rsid w:val="00E430AF"/>
    <w:rsid w:val="00E4324B"/>
    <w:rsid w:val="00E434B8"/>
    <w:rsid w:val="00E43975"/>
    <w:rsid w:val="00E43B42"/>
    <w:rsid w:val="00E46797"/>
    <w:rsid w:val="00E547D8"/>
    <w:rsid w:val="00E565F0"/>
    <w:rsid w:val="00E573CE"/>
    <w:rsid w:val="00E6319C"/>
    <w:rsid w:val="00E63FDB"/>
    <w:rsid w:val="00E650E0"/>
    <w:rsid w:val="00E6692B"/>
    <w:rsid w:val="00E70065"/>
    <w:rsid w:val="00E70A23"/>
    <w:rsid w:val="00E7126A"/>
    <w:rsid w:val="00E717F7"/>
    <w:rsid w:val="00E7206A"/>
    <w:rsid w:val="00E729AD"/>
    <w:rsid w:val="00E72B8E"/>
    <w:rsid w:val="00E75295"/>
    <w:rsid w:val="00E759B8"/>
    <w:rsid w:val="00E825A0"/>
    <w:rsid w:val="00E83603"/>
    <w:rsid w:val="00E86023"/>
    <w:rsid w:val="00E925F1"/>
    <w:rsid w:val="00E94334"/>
    <w:rsid w:val="00E94B1B"/>
    <w:rsid w:val="00E9704B"/>
    <w:rsid w:val="00EA0CF1"/>
    <w:rsid w:val="00EA1EA2"/>
    <w:rsid w:val="00EA5103"/>
    <w:rsid w:val="00EA6DB8"/>
    <w:rsid w:val="00EB0CF1"/>
    <w:rsid w:val="00EB4C22"/>
    <w:rsid w:val="00EB6CC8"/>
    <w:rsid w:val="00EC07EA"/>
    <w:rsid w:val="00EC1337"/>
    <w:rsid w:val="00EC1C75"/>
    <w:rsid w:val="00EC1D01"/>
    <w:rsid w:val="00EC314E"/>
    <w:rsid w:val="00EC52FF"/>
    <w:rsid w:val="00EC7402"/>
    <w:rsid w:val="00ED01D1"/>
    <w:rsid w:val="00ED0520"/>
    <w:rsid w:val="00ED1269"/>
    <w:rsid w:val="00ED1335"/>
    <w:rsid w:val="00ED1CE0"/>
    <w:rsid w:val="00ED2EA1"/>
    <w:rsid w:val="00ED48A8"/>
    <w:rsid w:val="00ED4F16"/>
    <w:rsid w:val="00ED5A5B"/>
    <w:rsid w:val="00ED66E6"/>
    <w:rsid w:val="00EE0059"/>
    <w:rsid w:val="00EE1802"/>
    <w:rsid w:val="00EE22B0"/>
    <w:rsid w:val="00EE42A4"/>
    <w:rsid w:val="00EE4340"/>
    <w:rsid w:val="00EE47E7"/>
    <w:rsid w:val="00EE56B7"/>
    <w:rsid w:val="00EE716B"/>
    <w:rsid w:val="00EF1D77"/>
    <w:rsid w:val="00EF2C03"/>
    <w:rsid w:val="00EF559A"/>
    <w:rsid w:val="00F0158F"/>
    <w:rsid w:val="00F01A35"/>
    <w:rsid w:val="00F027EA"/>
    <w:rsid w:val="00F03008"/>
    <w:rsid w:val="00F043BD"/>
    <w:rsid w:val="00F05409"/>
    <w:rsid w:val="00F05690"/>
    <w:rsid w:val="00F062A7"/>
    <w:rsid w:val="00F06F07"/>
    <w:rsid w:val="00F0716C"/>
    <w:rsid w:val="00F072FD"/>
    <w:rsid w:val="00F10FF5"/>
    <w:rsid w:val="00F11193"/>
    <w:rsid w:val="00F1721A"/>
    <w:rsid w:val="00F20D19"/>
    <w:rsid w:val="00F2145C"/>
    <w:rsid w:val="00F21F62"/>
    <w:rsid w:val="00F22D48"/>
    <w:rsid w:val="00F23257"/>
    <w:rsid w:val="00F36CFE"/>
    <w:rsid w:val="00F372A3"/>
    <w:rsid w:val="00F43C02"/>
    <w:rsid w:val="00F442EA"/>
    <w:rsid w:val="00F4493A"/>
    <w:rsid w:val="00F44E20"/>
    <w:rsid w:val="00F562BC"/>
    <w:rsid w:val="00F56419"/>
    <w:rsid w:val="00F578F2"/>
    <w:rsid w:val="00F61269"/>
    <w:rsid w:val="00F61EC2"/>
    <w:rsid w:val="00F62D21"/>
    <w:rsid w:val="00F6438D"/>
    <w:rsid w:val="00F64834"/>
    <w:rsid w:val="00F649DB"/>
    <w:rsid w:val="00F64C5E"/>
    <w:rsid w:val="00F652BE"/>
    <w:rsid w:val="00F66810"/>
    <w:rsid w:val="00F673AB"/>
    <w:rsid w:val="00F716AD"/>
    <w:rsid w:val="00F72939"/>
    <w:rsid w:val="00F74009"/>
    <w:rsid w:val="00F77D99"/>
    <w:rsid w:val="00F817C4"/>
    <w:rsid w:val="00F81AFD"/>
    <w:rsid w:val="00F84BAB"/>
    <w:rsid w:val="00F84DB5"/>
    <w:rsid w:val="00F86140"/>
    <w:rsid w:val="00F87180"/>
    <w:rsid w:val="00F906DD"/>
    <w:rsid w:val="00F94F3E"/>
    <w:rsid w:val="00F9609C"/>
    <w:rsid w:val="00FA0570"/>
    <w:rsid w:val="00FA164C"/>
    <w:rsid w:val="00FA16C2"/>
    <w:rsid w:val="00FA23D2"/>
    <w:rsid w:val="00FA26D5"/>
    <w:rsid w:val="00FA3F9B"/>
    <w:rsid w:val="00FB0017"/>
    <w:rsid w:val="00FB17E5"/>
    <w:rsid w:val="00FB1D21"/>
    <w:rsid w:val="00FB5079"/>
    <w:rsid w:val="00FC0E88"/>
    <w:rsid w:val="00FC211A"/>
    <w:rsid w:val="00FC4D32"/>
    <w:rsid w:val="00FC5503"/>
    <w:rsid w:val="00FC62EC"/>
    <w:rsid w:val="00FC73B3"/>
    <w:rsid w:val="00FD19BC"/>
    <w:rsid w:val="00FD1C5D"/>
    <w:rsid w:val="00FD1F49"/>
    <w:rsid w:val="00FD4465"/>
    <w:rsid w:val="00FD4AFE"/>
    <w:rsid w:val="00FE008B"/>
    <w:rsid w:val="00FE205A"/>
    <w:rsid w:val="00FE33A6"/>
    <w:rsid w:val="00FE417A"/>
    <w:rsid w:val="00FE752F"/>
    <w:rsid w:val="00FE76BE"/>
    <w:rsid w:val="00FE7DFC"/>
    <w:rsid w:val="00FF0A90"/>
    <w:rsid w:val="00FF4303"/>
    <w:rsid w:val="00FF4476"/>
    <w:rsid w:val="00FF5F63"/>
    <w:rsid w:val="00FF6B5D"/>
    <w:rsid w:val="00FF7ED4"/>
    <w:rsid w:val="01105CB5"/>
    <w:rsid w:val="03A51A6B"/>
    <w:rsid w:val="03D21BE7"/>
    <w:rsid w:val="03E226FC"/>
    <w:rsid w:val="05195317"/>
    <w:rsid w:val="08C45664"/>
    <w:rsid w:val="090866F7"/>
    <w:rsid w:val="09B340CA"/>
    <w:rsid w:val="09EE0F32"/>
    <w:rsid w:val="0F3B0EF9"/>
    <w:rsid w:val="10CC0B76"/>
    <w:rsid w:val="13496919"/>
    <w:rsid w:val="13726462"/>
    <w:rsid w:val="1448131A"/>
    <w:rsid w:val="15F07C4A"/>
    <w:rsid w:val="16184154"/>
    <w:rsid w:val="16205ADD"/>
    <w:rsid w:val="16AC5798"/>
    <w:rsid w:val="17956C4B"/>
    <w:rsid w:val="17AF075C"/>
    <w:rsid w:val="1A9A2AF8"/>
    <w:rsid w:val="1BD05C48"/>
    <w:rsid w:val="1CA978FF"/>
    <w:rsid w:val="1D5A03F0"/>
    <w:rsid w:val="1D607CAB"/>
    <w:rsid w:val="1F8C5E4C"/>
    <w:rsid w:val="1FA20B74"/>
    <w:rsid w:val="2025037D"/>
    <w:rsid w:val="20436F19"/>
    <w:rsid w:val="20E43BBA"/>
    <w:rsid w:val="211C2281"/>
    <w:rsid w:val="212F509A"/>
    <w:rsid w:val="220926BF"/>
    <w:rsid w:val="22A95594"/>
    <w:rsid w:val="22B479FE"/>
    <w:rsid w:val="22F807F1"/>
    <w:rsid w:val="276B1A67"/>
    <w:rsid w:val="28596F95"/>
    <w:rsid w:val="293D064A"/>
    <w:rsid w:val="29E559AF"/>
    <w:rsid w:val="2B2D56AC"/>
    <w:rsid w:val="2B764647"/>
    <w:rsid w:val="2BCF07A8"/>
    <w:rsid w:val="2C425E38"/>
    <w:rsid w:val="2CB060E6"/>
    <w:rsid w:val="2CDE7872"/>
    <w:rsid w:val="2D665D1E"/>
    <w:rsid w:val="2E4076F6"/>
    <w:rsid w:val="2F0F4FD5"/>
    <w:rsid w:val="2F14770F"/>
    <w:rsid w:val="2F762DA3"/>
    <w:rsid w:val="2F8D1F5F"/>
    <w:rsid w:val="30F80FFA"/>
    <w:rsid w:val="32107AC5"/>
    <w:rsid w:val="33557A54"/>
    <w:rsid w:val="33856F50"/>
    <w:rsid w:val="346C0227"/>
    <w:rsid w:val="36A61593"/>
    <w:rsid w:val="36BD182A"/>
    <w:rsid w:val="37450ADB"/>
    <w:rsid w:val="379C49B7"/>
    <w:rsid w:val="38561823"/>
    <w:rsid w:val="39EE48F0"/>
    <w:rsid w:val="3ACD2F39"/>
    <w:rsid w:val="3BA71F91"/>
    <w:rsid w:val="3D2B1E37"/>
    <w:rsid w:val="3D727D5E"/>
    <w:rsid w:val="3EE35DE2"/>
    <w:rsid w:val="4136175B"/>
    <w:rsid w:val="4163240A"/>
    <w:rsid w:val="41A45839"/>
    <w:rsid w:val="421E0B0E"/>
    <w:rsid w:val="42460F98"/>
    <w:rsid w:val="42620BB8"/>
    <w:rsid w:val="42BC53BA"/>
    <w:rsid w:val="43595B12"/>
    <w:rsid w:val="45441F8D"/>
    <w:rsid w:val="45CE0650"/>
    <w:rsid w:val="467A2F7F"/>
    <w:rsid w:val="48750319"/>
    <w:rsid w:val="488D30A3"/>
    <w:rsid w:val="48B14E25"/>
    <w:rsid w:val="48C40477"/>
    <w:rsid w:val="48DA1761"/>
    <w:rsid w:val="48E82019"/>
    <w:rsid w:val="495F3616"/>
    <w:rsid w:val="49A63AD4"/>
    <w:rsid w:val="4B9876C0"/>
    <w:rsid w:val="4BB61967"/>
    <w:rsid w:val="4BF321D3"/>
    <w:rsid w:val="4D33552B"/>
    <w:rsid w:val="4D535476"/>
    <w:rsid w:val="4E1E4F62"/>
    <w:rsid w:val="50697B85"/>
    <w:rsid w:val="522607F8"/>
    <w:rsid w:val="533943CC"/>
    <w:rsid w:val="54904838"/>
    <w:rsid w:val="5518566C"/>
    <w:rsid w:val="566043F0"/>
    <w:rsid w:val="56E10C5F"/>
    <w:rsid w:val="5820251B"/>
    <w:rsid w:val="586728A4"/>
    <w:rsid w:val="58C36248"/>
    <w:rsid w:val="594D2B4E"/>
    <w:rsid w:val="5AFB37BF"/>
    <w:rsid w:val="5B6339F0"/>
    <w:rsid w:val="5BAE3E6C"/>
    <w:rsid w:val="5C2F3C0D"/>
    <w:rsid w:val="5C384E7D"/>
    <w:rsid w:val="5D917172"/>
    <w:rsid w:val="5EEF3D22"/>
    <w:rsid w:val="5F603D0B"/>
    <w:rsid w:val="5FBA2F2A"/>
    <w:rsid w:val="5FFC5DFF"/>
    <w:rsid w:val="604575DA"/>
    <w:rsid w:val="613D7C2F"/>
    <w:rsid w:val="61903706"/>
    <w:rsid w:val="62731DFA"/>
    <w:rsid w:val="64B654D9"/>
    <w:rsid w:val="652D4423"/>
    <w:rsid w:val="67411BEA"/>
    <w:rsid w:val="676673EC"/>
    <w:rsid w:val="690F4654"/>
    <w:rsid w:val="6BC642B4"/>
    <w:rsid w:val="6BE41BEC"/>
    <w:rsid w:val="6C015A54"/>
    <w:rsid w:val="6CB51D1C"/>
    <w:rsid w:val="6CFE3C75"/>
    <w:rsid w:val="6DAC6F1E"/>
    <w:rsid w:val="6DE05374"/>
    <w:rsid w:val="6DFB70EF"/>
    <w:rsid w:val="6E214170"/>
    <w:rsid w:val="6E5F7B80"/>
    <w:rsid w:val="71060A7F"/>
    <w:rsid w:val="717E5570"/>
    <w:rsid w:val="753E78FA"/>
    <w:rsid w:val="76184C1F"/>
    <w:rsid w:val="785A5D7C"/>
    <w:rsid w:val="79517D5D"/>
    <w:rsid w:val="799924B3"/>
    <w:rsid w:val="7A4C3378"/>
    <w:rsid w:val="7BC50D6D"/>
    <w:rsid w:val="7C4D5EDC"/>
    <w:rsid w:val="7C501E80"/>
    <w:rsid w:val="7DC03D30"/>
    <w:rsid w:val="7EC23D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qFormat="1" w:uiPriority="99" w:semiHidden="0"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line="360" w:lineRule="auto"/>
      <w:jc w:val="center"/>
      <w:outlineLvl w:val="0"/>
    </w:pPr>
    <w:rPr>
      <w:b/>
      <w:bCs/>
      <w:kern w:val="44"/>
      <w:sz w:val="44"/>
      <w:szCs w:val="44"/>
    </w:rPr>
  </w:style>
  <w:style w:type="paragraph" w:styleId="3">
    <w:name w:val="heading 2"/>
    <w:basedOn w:val="1"/>
    <w:next w:val="1"/>
    <w:link w:val="33"/>
    <w:qFormat/>
    <w:locked/>
    <w:uiPriority w:val="99"/>
    <w:pPr>
      <w:keepNext/>
      <w:keepLines/>
      <w:spacing w:beforeLines="50" w:afterLines="50" w:line="360" w:lineRule="auto"/>
      <w:outlineLvl w:val="1"/>
    </w:pPr>
    <w:rPr>
      <w:rFonts w:ascii="Cambria" w:hAnsi="Cambria"/>
      <w:b/>
      <w:sz w:val="24"/>
      <w:szCs w:val="20"/>
    </w:rPr>
  </w:style>
  <w:style w:type="paragraph" w:styleId="4">
    <w:name w:val="heading 3"/>
    <w:basedOn w:val="1"/>
    <w:next w:val="1"/>
    <w:qFormat/>
    <w:uiPriority w:val="99"/>
    <w:pPr>
      <w:keepNext/>
      <w:keepLines/>
      <w:spacing w:before="260" w:after="260" w:line="416" w:lineRule="auto"/>
      <w:outlineLvl w:val="2"/>
    </w:pPr>
    <w:rPr>
      <w:b/>
      <w:kern w:val="0"/>
      <w:sz w:val="32"/>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0"/>
    <w:qFormat/>
    <w:locked/>
    <w:uiPriority w:val="99"/>
    <w:pPr>
      <w:ind w:firstLine="420"/>
    </w:pPr>
    <w:rPr>
      <w:kern w:val="0"/>
      <w:sz w:val="20"/>
      <w:szCs w:val="20"/>
    </w:rPr>
  </w:style>
  <w:style w:type="paragraph" w:styleId="6">
    <w:name w:val="Document Map"/>
    <w:basedOn w:val="1"/>
    <w:link w:val="34"/>
    <w:semiHidden/>
    <w:qFormat/>
    <w:uiPriority w:val="99"/>
    <w:pPr>
      <w:shd w:val="clear" w:color="auto" w:fill="000080"/>
    </w:pPr>
    <w:rPr>
      <w:rFonts w:ascii="Calibri" w:hAnsi="Calibri"/>
      <w:kern w:val="0"/>
      <w:sz w:val="2"/>
      <w:szCs w:val="20"/>
    </w:rPr>
  </w:style>
  <w:style w:type="paragraph" w:styleId="7">
    <w:name w:val="annotation text"/>
    <w:basedOn w:val="1"/>
    <w:semiHidden/>
    <w:unhideWhenUsed/>
    <w:qFormat/>
    <w:locked/>
    <w:uiPriority w:val="99"/>
    <w:pPr>
      <w:jc w:val="left"/>
    </w:pPr>
  </w:style>
  <w:style w:type="paragraph" w:styleId="8">
    <w:name w:val="Body Text"/>
    <w:basedOn w:val="1"/>
    <w:next w:val="9"/>
    <w:link w:val="35"/>
    <w:qFormat/>
    <w:uiPriority w:val="99"/>
    <w:pPr>
      <w:spacing w:after="120"/>
    </w:pPr>
    <w:rPr>
      <w:rFonts w:ascii="Calibri" w:hAnsi="Calibri"/>
      <w:sz w:val="24"/>
      <w:szCs w:val="20"/>
    </w:rPr>
  </w:style>
  <w:style w:type="paragraph" w:customStyle="1" w:styleId="9">
    <w:name w:val="一级条标题"/>
    <w:next w:val="10"/>
    <w:autoRedefine/>
    <w:qFormat/>
    <w:uiPriority w:val="99"/>
    <w:pPr>
      <w:tabs>
        <w:tab w:val="left" w:pos="810"/>
        <w:tab w:val="left" w:pos="907"/>
        <w:tab w:val="left" w:pos="1265"/>
      </w:tabs>
      <w:ind w:left="907" w:hanging="907"/>
      <w:jc w:val="both"/>
      <w:outlineLvl w:val="2"/>
    </w:pPr>
    <w:rPr>
      <w:rFonts w:ascii="黑体" w:hAnsi="宋体" w:eastAsia="黑体" w:cs="Times New Roman"/>
      <w:lang w:val="en-US" w:eastAsia="zh-CN" w:bidi="ar-SA"/>
    </w:rPr>
  </w:style>
  <w:style w:type="paragraph" w:customStyle="1" w:styleId="10">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11">
    <w:name w:val="Body Text Indent"/>
    <w:basedOn w:val="1"/>
    <w:next w:val="12"/>
    <w:qFormat/>
    <w:locked/>
    <w:uiPriority w:val="0"/>
    <w:pPr>
      <w:ind w:firstLine="645"/>
    </w:pPr>
    <w:rPr>
      <w:rFonts w:ascii="楷体_GB2312" w:eastAsia="楷体_GB2312"/>
      <w:sz w:val="32"/>
      <w:szCs w:val="32"/>
    </w:rPr>
  </w:style>
  <w:style w:type="paragraph" w:styleId="12">
    <w:name w:val="envelope return"/>
    <w:basedOn w:val="1"/>
    <w:unhideWhenUsed/>
    <w:qFormat/>
    <w:locked/>
    <w:uiPriority w:val="99"/>
    <w:pPr>
      <w:snapToGrid w:val="0"/>
    </w:pPr>
    <w:rPr>
      <w:rFonts w:ascii="Arial" w:hAnsi="Arial"/>
    </w:rPr>
  </w:style>
  <w:style w:type="paragraph" w:styleId="13">
    <w:name w:val="Plain Text"/>
    <w:basedOn w:val="1"/>
    <w:link w:val="36"/>
    <w:qFormat/>
    <w:uiPriority w:val="0"/>
    <w:pPr>
      <w:jc w:val="left"/>
    </w:pPr>
    <w:rPr>
      <w:rFonts w:ascii="宋体" w:hAnsi="Courier New"/>
      <w:kern w:val="0"/>
      <w:szCs w:val="20"/>
    </w:rPr>
  </w:style>
  <w:style w:type="paragraph" w:styleId="14">
    <w:name w:val="Date"/>
    <w:basedOn w:val="1"/>
    <w:next w:val="1"/>
    <w:link w:val="37"/>
    <w:qFormat/>
    <w:uiPriority w:val="99"/>
    <w:pPr>
      <w:ind w:left="2500" w:leftChars="2500"/>
    </w:pPr>
    <w:rPr>
      <w:rFonts w:ascii="Calibri" w:hAnsi="Calibri" w:eastAsia="黑体"/>
      <w:kern w:val="0"/>
      <w:sz w:val="24"/>
      <w:szCs w:val="20"/>
    </w:rPr>
  </w:style>
  <w:style w:type="paragraph" w:styleId="15">
    <w:name w:val="Body Text Indent 2"/>
    <w:basedOn w:val="1"/>
    <w:qFormat/>
    <w:locked/>
    <w:uiPriority w:val="0"/>
    <w:pPr>
      <w:spacing w:after="120" w:line="480" w:lineRule="auto"/>
      <w:ind w:left="420" w:leftChars="200"/>
    </w:pPr>
  </w:style>
  <w:style w:type="paragraph" w:styleId="16">
    <w:name w:val="Balloon Text"/>
    <w:basedOn w:val="1"/>
    <w:link w:val="38"/>
    <w:semiHidden/>
    <w:qFormat/>
    <w:uiPriority w:val="99"/>
    <w:rPr>
      <w:rFonts w:ascii="Calibri" w:hAnsi="Calibri"/>
      <w:sz w:val="18"/>
      <w:szCs w:val="20"/>
    </w:rPr>
  </w:style>
  <w:style w:type="paragraph" w:styleId="17">
    <w:name w:val="footer"/>
    <w:basedOn w:val="1"/>
    <w:link w:val="39"/>
    <w:qFormat/>
    <w:uiPriority w:val="99"/>
    <w:pPr>
      <w:tabs>
        <w:tab w:val="center" w:pos="4153"/>
        <w:tab w:val="right" w:pos="8306"/>
      </w:tabs>
      <w:snapToGrid w:val="0"/>
      <w:jc w:val="left"/>
    </w:pPr>
    <w:rPr>
      <w:rFonts w:ascii="Calibri" w:hAnsi="Calibri"/>
      <w:sz w:val="18"/>
      <w:szCs w:val="20"/>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rFonts w:ascii="Calibri" w:hAnsi="Calibri"/>
      <w:sz w:val="18"/>
      <w:szCs w:val="20"/>
    </w:rPr>
  </w:style>
  <w:style w:type="paragraph" w:styleId="19">
    <w:name w:val="toc 1"/>
    <w:basedOn w:val="1"/>
    <w:next w:val="1"/>
    <w:qFormat/>
    <w:uiPriority w:val="39"/>
  </w:style>
  <w:style w:type="paragraph" w:styleId="20">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1">
    <w:name w:val="index 9"/>
    <w:basedOn w:val="1"/>
    <w:next w:val="1"/>
    <w:unhideWhenUsed/>
    <w:qFormat/>
    <w:locked/>
    <w:uiPriority w:val="99"/>
    <w:pPr>
      <w:ind w:left="1600" w:leftChars="1600"/>
    </w:pPr>
  </w:style>
  <w:style w:type="paragraph" w:styleId="22">
    <w:name w:val="toc 2"/>
    <w:basedOn w:val="1"/>
    <w:next w:val="1"/>
    <w:qFormat/>
    <w:uiPriority w:val="39"/>
    <w:pPr>
      <w:ind w:left="420" w:leftChars="200"/>
    </w:pPr>
  </w:style>
  <w:style w:type="paragraph" w:styleId="23">
    <w:name w:val="HTML Preformatted"/>
    <w:basedOn w:val="1"/>
    <w:link w:val="41"/>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0"/>
    </w:rPr>
  </w:style>
  <w:style w:type="paragraph" w:styleId="24">
    <w:name w:val="Normal (Web)"/>
    <w:basedOn w:val="1"/>
    <w:qFormat/>
    <w:locked/>
    <w:uiPriority w:val="99"/>
    <w:pPr>
      <w:widowControl/>
      <w:spacing w:before="100" w:beforeAutospacing="1" w:after="100" w:afterAutospacing="1"/>
      <w:jc w:val="left"/>
    </w:pPr>
    <w:rPr>
      <w:rFonts w:ascii="宋体" w:hAnsi="宋体"/>
      <w:color w:val="000000"/>
      <w:kern w:val="0"/>
      <w:sz w:val="18"/>
      <w:szCs w:val="18"/>
    </w:rPr>
  </w:style>
  <w:style w:type="paragraph" w:styleId="25">
    <w:name w:val="Body Text First Indent 2"/>
    <w:basedOn w:val="11"/>
    <w:next w:val="1"/>
    <w:qFormat/>
    <w:locked/>
    <w:uiPriority w:val="0"/>
    <w:pPr>
      <w:spacing w:line="360" w:lineRule="auto"/>
      <w:ind w:firstLine="420" w:firstLineChars="200"/>
    </w:pPr>
    <w:rPr>
      <w:rFonts w:ascii="宋体" w:hAnsi="宋体" w:eastAsia="宋体"/>
      <w:sz w:val="21"/>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b/>
      <w:bCs/>
    </w:rPr>
  </w:style>
  <w:style w:type="character" w:styleId="30">
    <w:name w:val="page number"/>
    <w:qFormat/>
    <w:uiPriority w:val="99"/>
    <w:rPr>
      <w:rFonts w:cs="Times New Roman"/>
    </w:rPr>
  </w:style>
  <w:style w:type="character" w:styleId="31">
    <w:name w:val="FollowedHyperlink"/>
    <w:qFormat/>
    <w:uiPriority w:val="99"/>
    <w:rPr>
      <w:rFonts w:cs="Times New Roman"/>
      <w:color w:val="800080"/>
      <w:u w:val="single"/>
    </w:rPr>
  </w:style>
  <w:style w:type="character" w:styleId="32">
    <w:name w:val="Hyperlink"/>
    <w:qFormat/>
    <w:uiPriority w:val="99"/>
    <w:rPr>
      <w:rFonts w:cs="Times New Roman"/>
      <w:color w:val="0000FF"/>
      <w:u w:val="single"/>
    </w:rPr>
  </w:style>
  <w:style w:type="character" w:customStyle="1" w:styleId="33">
    <w:name w:val="标题 2 字符"/>
    <w:link w:val="3"/>
    <w:qFormat/>
    <w:locked/>
    <w:uiPriority w:val="99"/>
    <w:rPr>
      <w:rFonts w:ascii="Cambria" w:hAnsi="Cambria"/>
      <w:b/>
      <w:kern w:val="2"/>
      <w:sz w:val="24"/>
    </w:rPr>
  </w:style>
  <w:style w:type="character" w:customStyle="1" w:styleId="34">
    <w:name w:val="文档结构图 字符"/>
    <w:link w:val="6"/>
    <w:semiHidden/>
    <w:qFormat/>
    <w:locked/>
    <w:uiPriority w:val="99"/>
    <w:rPr>
      <w:rFonts w:cs="Times New Roman"/>
      <w:sz w:val="2"/>
    </w:rPr>
  </w:style>
  <w:style w:type="character" w:customStyle="1" w:styleId="35">
    <w:name w:val="正文文本 字符"/>
    <w:link w:val="8"/>
    <w:qFormat/>
    <w:locked/>
    <w:uiPriority w:val="99"/>
    <w:rPr>
      <w:rFonts w:cs="Times New Roman"/>
      <w:kern w:val="2"/>
      <w:sz w:val="24"/>
    </w:rPr>
  </w:style>
  <w:style w:type="character" w:customStyle="1" w:styleId="36">
    <w:name w:val="纯文本 字符"/>
    <w:link w:val="13"/>
    <w:qFormat/>
    <w:locked/>
    <w:uiPriority w:val="0"/>
    <w:rPr>
      <w:rFonts w:ascii="宋体" w:hAnsi="Courier New" w:cs="Times New Roman"/>
      <w:sz w:val="21"/>
    </w:rPr>
  </w:style>
  <w:style w:type="character" w:customStyle="1" w:styleId="37">
    <w:name w:val="日期 字符"/>
    <w:link w:val="14"/>
    <w:qFormat/>
    <w:locked/>
    <w:uiPriority w:val="99"/>
    <w:rPr>
      <w:rFonts w:eastAsia="黑体" w:cs="Times New Roman"/>
      <w:sz w:val="24"/>
    </w:rPr>
  </w:style>
  <w:style w:type="character" w:customStyle="1" w:styleId="38">
    <w:name w:val="批注框文本 字符"/>
    <w:link w:val="16"/>
    <w:semiHidden/>
    <w:qFormat/>
    <w:locked/>
    <w:uiPriority w:val="99"/>
    <w:rPr>
      <w:rFonts w:cs="Times New Roman"/>
      <w:kern w:val="2"/>
      <w:sz w:val="18"/>
    </w:rPr>
  </w:style>
  <w:style w:type="character" w:customStyle="1" w:styleId="39">
    <w:name w:val="页脚 字符"/>
    <w:link w:val="17"/>
    <w:qFormat/>
    <w:locked/>
    <w:uiPriority w:val="99"/>
    <w:rPr>
      <w:rFonts w:cs="Times New Roman"/>
      <w:kern w:val="2"/>
      <w:sz w:val="18"/>
    </w:rPr>
  </w:style>
  <w:style w:type="character" w:customStyle="1" w:styleId="40">
    <w:name w:val="页眉 字符"/>
    <w:link w:val="18"/>
    <w:qFormat/>
    <w:locked/>
    <w:uiPriority w:val="99"/>
    <w:rPr>
      <w:rFonts w:cs="Times New Roman"/>
      <w:kern w:val="2"/>
      <w:sz w:val="18"/>
    </w:rPr>
  </w:style>
  <w:style w:type="character" w:customStyle="1" w:styleId="41">
    <w:name w:val="HTML 预设格式 字符"/>
    <w:link w:val="23"/>
    <w:semiHidden/>
    <w:qFormat/>
    <w:locked/>
    <w:uiPriority w:val="99"/>
    <w:rPr>
      <w:rFonts w:ascii="宋体" w:eastAsia="宋体" w:cs="Times New Roman"/>
      <w:kern w:val="0"/>
      <w:sz w:val="24"/>
    </w:rPr>
  </w:style>
  <w:style w:type="paragraph" w:customStyle="1" w:styleId="42">
    <w:name w:val="此正文"/>
    <w:basedOn w:val="1"/>
    <w:qFormat/>
    <w:uiPriority w:val="99"/>
    <w:pPr>
      <w:spacing w:line="360" w:lineRule="auto"/>
      <w:ind w:firstLine="200" w:firstLineChars="200"/>
    </w:pPr>
    <w:rPr>
      <w:sz w:val="24"/>
      <w:szCs w:val="20"/>
    </w:rPr>
  </w:style>
  <w:style w:type="paragraph" w:customStyle="1" w:styleId="43">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44">
    <w:name w:val="Char Char Char Char Char Char Char"/>
    <w:basedOn w:val="1"/>
    <w:semiHidden/>
    <w:qFormat/>
    <w:uiPriority w:val="99"/>
    <w:rPr>
      <w:rFonts w:ascii="Tahoma" w:hAnsi="Tahoma" w:cs="仿宋_GB2312"/>
      <w:sz w:val="24"/>
      <w:szCs w:val="28"/>
    </w:rPr>
  </w:style>
  <w:style w:type="paragraph" w:customStyle="1" w:styleId="45">
    <w:name w:val="Char Char Char Char"/>
    <w:basedOn w:val="6"/>
    <w:qFormat/>
    <w:uiPriority w:val="99"/>
    <w:pPr>
      <w:adjustRightInd w:val="0"/>
      <w:snapToGrid w:val="0"/>
      <w:spacing w:line="360" w:lineRule="auto"/>
    </w:pPr>
    <w:rPr>
      <w:rFonts w:ascii="Tahoma" w:hAnsi="Tahoma"/>
      <w:sz w:val="24"/>
    </w:rPr>
  </w:style>
  <w:style w:type="character" w:customStyle="1" w:styleId="46">
    <w:name w:val="标题 1 字符"/>
    <w:basedOn w:val="28"/>
    <w:link w:val="2"/>
    <w:qFormat/>
    <w:uiPriority w:val="0"/>
    <w:rPr>
      <w:b/>
      <w:bCs/>
      <w:kern w:val="44"/>
      <w:sz w:val="44"/>
      <w:szCs w:val="44"/>
    </w:rPr>
  </w:style>
  <w:style w:type="paragraph" w:customStyle="1" w:styleId="47">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48">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49">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character" w:customStyle="1" w:styleId="50">
    <w:name w:val="正文缩进 字符"/>
    <w:link w:val="5"/>
    <w:qFormat/>
    <w:uiPriority w:val="99"/>
  </w:style>
  <w:style w:type="paragraph" w:customStyle="1" w:styleId="51">
    <w:name w:val="Char"/>
    <w:basedOn w:val="1"/>
    <w:qFormat/>
    <w:uiPriority w:val="0"/>
    <w:pPr>
      <w:tabs>
        <w:tab w:val="left" w:pos="360"/>
      </w:tabs>
      <w:ind w:firstLine="200" w:firstLineChars="200"/>
    </w:pPr>
    <w:rPr>
      <w:sz w:val="28"/>
      <w:szCs w:val="30"/>
    </w:rPr>
  </w:style>
  <w:style w:type="paragraph" w:customStyle="1" w:styleId="52">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53">
    <w:name w:val="pa-5"/>
    <w:basedOn w:val="1"/>
    <w:qFormat/>
    <w:uiPriority w:val="0"/>
    <w:pPr>
      <w:spacing w:line="360" w:lineRule="atLeast"/>
      <w:ind w:firstLine="48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456A9-0271-4BB8-90A0-3AFB854F95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3804</Words>
  <Characters>3967</Characters>
  <Lines>729</Lines>
  <Paragraphs>599</Paragraphs>
  <TotalTime>2</TotalTime>
  <ScaleCrop>false</ScaleCrop>
  <LinksUpToDate>false</LinksUpToDate>
  <CharactersWithSpaces>4236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2026-03-04T01:49:00Z</dcterms:created>
  <dc:creator>USER</dc:creator>
  <cp:lastModifiedBy>刘伟</cp:lastModifiedBy>
  <cp:lastPrinted>2015-05-19T09:06:00Z</cp:lastPrinted>
  <dcterms:modified xsi:type="dcterms:W3CDTF">2026-03-04T07:32:34Z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F3DAB9D9106D4B2C9424D629DDEE1740_13</vt:lpwstr>
  </property>
  <property fmtid="{D5CDD505-2E9C-101B-9397-08002B2CF9AE}" pid="4" name="KSOTemplateDocerSaveRecord">
    <vt:lpwstr>eyJoZGlkIjoiYTlkYTA5ZWExZWNjNzE4ODNmZTIwZDVmMWU5OTJjYjYiLCJ1c2VySWQiOiIxNTY2MDA5Mjc3In0=</vt:lpwstr>
  </property>
</Properties>
</file>