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项目需求</w:t>
      </w:r>
    </w:p>
    <w:p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一、项目概况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1、项目名称：江苏医药职业学院校园内草坪更换服务项目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2、项目预算及最高限价：33万元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/>
          <w:bCs/>
          <w:sz w:val="24"/>
        </w:rPr>
        <w:t>3、项目说明：在学校东园草坪老化更新种植工程，图书馆北侧面积约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1105平方米，校友园面积约2340.9平方米，天使园面积约1112.4平方米，天使湖周边面积约608.016平方米，新实训中心东侧河堤面积约293.25平方米，铁军园面积约880平方米，具体详见项目清单。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4、服务期限：签订合同之日起20个日历天内完工并交付采购人正常使用。</w:t>
      </w:r>
    </w:p>
    <w:p>
      <w:pPr>
        <w:spacing w:line="5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5、合同履行期限：本项目服务期限为三年，合同一年一签。每年服务期满前一个月，供应商提交继续服务的书面申请，校方管理部</w:t>
      </w:r>
      <w:bookmarkStart w:id="0" w:name="_GoBack"/>
      <w:bookmarkEnd w:id="0"/>
      <w:r>
        <w:rPr>
          <w:rFonts w:hint="eastAsia" w:ascii="宋体" w:hAnsi="宋体"/>
          <w:bCs/>
          <w:sz w:val="24"/>
        </w:rPr>
        <w:t>门验收合格，学校同意后，可续签下一年合同，最多签三年。</w:t>
      </w:r>
    </w:p>
    <w:p>
      <w:pPr>
        <w:pStyle w:val="2"/>
        <w:ind w:firstLine="482"/>
        <w:rPr>
          <w:rFonts w:hint="eastAsia" w:ascii="宋体" w:hAnsi="宋体" w:cs="Times New Roman"/>
          <w:b/>
          <w:sz w:val="24"/>
          <w:szCs w:val="24"/>
        </w:rPr>
      </w:pPr>
      <w:r>
        <w:rPr>
          <w:rFonts w:hint="eastAsia" w:ascii="宋体" w:hAnsi="宋体" w:cs="Times New Roman"/>
          <w:b/>
          <w:sz w:val="24"/>
          <w:szCs w:val="24"/>
        </w:rPr>
        <w:t>二、项目清单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9"/>
        <w:gridCol w:w="3395"/>
        <w:gridCol w:w="31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位置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面积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41" w:firstLineChars="100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草坪种类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图书馆北侧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1105平方米</w:t>
            </w:r>
          </w:p>
        </w:tc>
        <w:tc>
          <w:tcPr>
            <w:tcW w:w="31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铺种草坪为黑麦草与百慕大混播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（清除原有草皮,每年播种2次草种）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校友园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2340.9平方米</w:t>
            </w:r>
          </w:p>
        </w:tc>
        <w:tc>
          <w:tcPr>
            <w:tcW w:w="3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天使园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1112.4平方米</w:t>
            </w:r>
          </w:p>
        </w:tc>
        <w:tc>
          <w:tcPr>
            <w:tcW w:w="3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天使湖周边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608.016平方米</w:t>
            </w:r>
          </w:p>
        </w:tc>
        <w:tc>
          <w:tcPr>
            <w:tcW w:w="3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新实训中心东侧河堤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293.25平方米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满铺麦冬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铁军园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880平方米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铺种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果岭草</w:t>
            </w:r>
          </w:p>
        </w:tc>
      </w:tr>
    </w:tbl>
    <w:p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三、草坪种植养护要求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1、保证草坪一年四季长绿，无病害，长势良好；草坪覆盖率达100%，成活率100%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草坪内杂草控制在5%以内。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2、铺种新草坪时，去除原有草坪，清除时向下深挖40公分以上，去除土里面的杂物（铁军园内清除原有草坪下的沙土），翻土时与营养土融合（5比1）。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3、草坪每年修剪不低于15次，施肥不低于6次，除虫不低于6次。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4、图书馆北侧、校友园、天使园、天使湖周边，铺种黑麦草与百慕大（清除原有草皮,每年播种2次草种）。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新实训中心东侧河堤满铺长叶麦冬。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铁军园内铺种果岭草（清除原有草坪下的沙土）。</w:t>
      </w:r>
    </w:p>
    <w:p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四、施工要求：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1、中标方必须严格按照招标方要求进行施工，不得影响学校的正常秩序，不得损坏原有设备、设施等，如有损坏须照价赔偿。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2、中标方在施工中应注重文明施工、安全施工、卫生施工，无尘土飞扬，校园运输材料时沿途不得洒漏，全面保证施工质量。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3、中标方应服从招标方管理，严格管理施工人员及车辆，不得与师生员工发生任何争执，如有问题应告知招标方予以正常途径解决，否则，招标方有权终止项目合同并追究中标方的有关责任。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4、中标方应按照行业要求规范施工，符合招标方使用要求。中标方必须做好施工中的安全防护工作，安全标志应明显、齐全。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5、该项目实施过程中，一切安全责任与事故均由中标方自行承担全部责任，与招标方无关。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6、项目完工后，中标方负责将施工场地清理干净，一切垃圾清理出校园，否则，招标方方有权要求其他单位清理，清理费用按双倍由中标方承担。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7、其他未尽事宜按照现行施工及验收规范实施。</w:t>
      </w:r>
    </w:p>
    <w:p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五、付款方式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待草坪铺种完毕验收合格后，付至合同价的50%；第二年养护期结束后，验收合格，付至审计价的80%；第三年养护期结束后，验收合格，一次性付清余款，并交由甲方接收。</w:t>
      </w:r>
    </w:p>
    <w:p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六、注意事项：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1、该施工包工包料（包括苗木、运输、人工或机械翻土、铺种、养护、场地清理和税费等费用）；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2、该更换草坪区域的面积测算若有误差，以现场勘查为准。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3、养护期限内，任何质量问题由中标方免费更换（补植）到位；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现场踏勘及技术咨询：为减少相关误差，如投标人需要进行现场踏勘的，请自行联系、组织实施。投标人对考察中获取的现场资料自行负责，无论是否踏勘过现场，均被认为已经对现场做过充分详实了解，并在响应文件中已充分考虑了现场和环境因素，责任和风险自行承担。踏勘现场所发生的费用由投标人自行承担，投标人自行负责在踏勘现场中所发生的人员伤亡和财产损失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技术咨询及现场踏勘联系人：</w:t>
      </w:r>
      <w:r>
        <w:rPr>
          <w:rFonts w:hint="eastAsia" w:ascii="宋体" w:hAnsi="宋体"/>
          <w:b/>
          <w:sz w:val="24"/>
        </w:rPr>
        <w:t>杨老师</w:t>
      </w:r>
      <w:r>
        <w:rPr>
          <w:rFonts w:hint="eastAsia" w:ascii="宋体" w:hAnsi="宋体"/>
          <w:bCs/>
          <w:sz w:val="24"/>
        </w:rPr>
        <w:t>，联系方式：</w:t>
      </w:r>
      <w:r>
        <w:rPr>
          <w:rFonts w:hint="eastAsia" w:ascii="宋体" w:hAnsi="宋体"/>
          <w:b/>
          <w:sz w:val="24"/>
        </w:rPr>
        <w:t>13401728026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5、中标方在承包过程中，中标方应明确养护负责人，如需更换或调整，必须通报学校后勤处并得到同意。否则，按违约处理，招标方有权提前解除合同，没收风险抵押金。</w:t>
      </w:r>
    </w:p>
    <w:p>
      <w:r>
        <w:rPr>
          <w:rFonts w:hint="eastAsia" w:ascii="宋体" w:hAnsi="宋体" w:cs="宋体"/>
          <w:b/>
          <w:sz w:val="24"/>
        </w:rPr>
        <w:t>注：采购标的的所属行业为</w:t>
      </w:r>
      <w:r>
        <w:rPr>
          <w:rFonts w:hint="eastAsia" w:ascii="宋体" w:hAnsi="宋体" w:cs="宋体"/>
          <w:b/>
          <w:sz w:val="24"/>
          <w:u w:val="single"/>
        </w:rPr>
        <w:t>其他未列明行业（公共设施管理业）</w:t>
      </w:r>
      <w:r>
        <w:rPr>
          <w:rFonts w:hint="eastAsia" w:ascii="宋体" w:hAnsi="宋体" w:cs="宋体"/>
          <w:b/>
          <w:sz w:val="24"/>
        </w:rPr>
        <w:t>，根据《工业和信息化部、国家统计局、国家发展和改革委员会、财政部关于印发中小企业划型标准规定的通知》（工信部联企业</w:t>
      </w:r>
      <w:r>
        <w:rPr>
          <w:rFonts w:ascii="宋体" w:hAnsi="宋体" w:cs="宋体"/>
          <w:b/>
          <w:sz w:val="24"/>
        </w:rPr>
        <w:t>[2011]300</w:t>
      </w:r>
      <w:r>
        <w:rPr>
          <w:rFonts w:hint="eastAsia" w:ascii="宋体" w:hAnsi="宋体" w:cs="宋体"/>
          <w:b/>
          <w:sz w:val="24"/>
        </w:rPr>
        <w:t>号）规定的划分标准填写。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50073"/>
    <w:rsid w:val="05A72BD7"/>
    <w:rsid w:val="0B9B0B50"/>
    <w:rsid w:val="1E34184B"/>
    <w:rsid w:val="2C413E10"/>
    <w:rsid w:val="3C257A29"/>
    <w:rsid w:val="4B807A4A"/>
    <w:rsid w:val="5796147C"/>
    <w:rsid w:val="5A7E088E"/>
    <w:rsid w:val="5BFC68F7"/>
    <w:rsid w:val="5C4D76FA"/>
    <w:rsid w:val="6C6359BE"/>
    <w:rsid w:val="7331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qFormat/>
    <w:uiPriority w:val="99"/>
    <w:pPr>
      <w:adjustRightInd w:val="0"/>
      <w:spacing w:before="120" w:after="120" w:line="180" w:lineRule="auto"/>
      <w:ind w:firstLine="200" w:firstLineChars="200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2021-08-24T06:46:00Z</dcterms:created>
  <dc:creator>Lenovo</dc:creator>
  <cp:lastModifiedBy>一念初见</cp:lastModifiedBy>
  <dcterms:modified xsi:type="dcterms:W3CDTF">2022-04-06T07:37:42Z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567C3DD905534D5CBE82ABB29CB728F4</vt:lpwstr>
  </property>
</Properties>
</file>