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BF45F4">
      <w:pPr>
        <w:numPr>
          <w:ilvl w:val="0"/>
          <w:numId w:val="0"/>
        </w:numPr>
        <w:bidi w:val="0"/>
        <w:jc w:val="center"/>
        <w:outlineLvl w:val="0"/>
        <w:rPr>
          <w:rFonts w:hint="eastAsia" w:ascii="宋体" w:hAnsi="宋体" w:eastAsia="宋体" w:cs="宋体"/>
          <w:b w:val="0"/>
          <w:bCs w:val="0"/>
          <w:color w:val="000000"/>
          <w:sz w:val="21"/>
          <w:szCs w:val="21"/>
          <w:highlight w:val="none"/>
          <w:lang w:eastAsia="zh-CN"/>
        </w:rPr>
      </w:pPr>
      <w:bookmarkStart w:id="0" w:name="_GoBack"/>
      <w:bookmarkEnd w:id="0"/>
      <w:r>
        <w:rPr>
          <w:rFonts w:hint="eastAsia" w:asciiTheme="minorEastAsia" w:hAnsiTheme="minorEastAsia" w:eastAsiaTheme="minorEastAsia" w:cstheme="minorEastAsia"/>
          <w:b/>
          <w:bCs/>
          <w:color w:val="auto"/>
          <w:kern w:val="2"/>
          <w:sz w:val="32"/>
          <w:szCs w:val="32"/>
          <w:lang w:val="en-US" w:eastAsia="zh-CN" w:bidi="ar-SA"/>
        </w:rPr>
        <w:t xml:space="preserve"> </w:t>
      </w:r>
      <w:r>
        <w:rPr>
          <w:rFonts w:hint="eastAsia" w:asciiTheme="minorEastAsia" w:hAnsiTheme="minorEastAsia" w:eastAsiaTheme="minorEastAsia" w:cstheme="minorEastAsia"/>
          <w:b/>
          <w:bCs/>
          <w:color w:val="auto"/>
          <w:kern w:val="2"/>
          <w:sz w:val="32"/>
          <w:szCs w:val="32"/>
          <w:highlight w:val="none"/>
          <w:lang w:val="en-US" w:eastAsia="zh-CN" w:bidi="ar-SA"/>
        </w:rPr>
        <w:t>项目需求</w:t>
      </w:r>
    </w:p>
    <w:p w14:paraId="5F9AD5BE">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22" w:firstLineChars="200"/>
        <w:jc w:val="both"/>
        <w:textAlignment w:val="auto"/>
        <w:rPr>
          <w:rFonts w:hint="eastAsia" w:ascii="宋体" w:hAnsi="宋体" w:eastAsia="宋体" w:cs="宋体"/>
          <w:b/>
          <w:bCs/>
          <w:color w:val="000000"/>
          <w:sz w:val="21"/>
          <w:szCs w:val="21"/>
          <w:highlight w:val="none"/>
          <w:lang w:val="en-US" w:eastAsia="zh-CN"/>
        </w:rPr>
      </w:pPr>
      <w:r>
        <w:rPr>
          <w:rFonts w:hint="eastAsia" w:ascii="宋体" w:hAnsi="宋体" w:eastAsia="宋体" w:cs="宋体"/>
          <w:b/>
          <w:bCs/>
          <w:color w:val="000000"/>
          <w:kern w:val="0"/>
          <w:sz w:val="21"/>
          <w:szCs w:val="21"/>
          <w:lang w:val="en-US" w:eastAsia="zh-CN" w:bidi="ar-SA"/>
        </w:rPr>
        <w:t>一、</w:t>
      </w:r>
      <w:r>
        <w:rPr>
          <w:rFonts w:hint="eastAsia" w:ascii="宋体" w:hAnsi="宋体" w:eastAsia="宋体" w:cs="宋体"/>
          <w:b/>
          <w:bCs/>
          <w:color w:val="000000"/>
          <w:sz w:val="21"/>
          <w:szCs w:val="21"/>
          <w:highlight w:val="none"/>
          <w:lang w:val="en-US" w:eastAsia="zh-CN"/>
        </w:rPr>
        <w:t>项目概况</w:t>
      </w:r>
    </w:p>
    <w:p w14:paraId="12B8757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学校学术报告厅日常使用频率较高，内部装修破损严重，局部墙面饰面基层腐烂，有掉落的安全隐患，目前已经不能很好满足举办各种会议活动的要求，现拟对其整体改造装修，详见清单及图纸。</w:t>
      </w:r>
    </w:p>
    <w:p w14:paraId="09BDD6E7">
      <w:pPr>
        <w:pStyle w:val="3"/>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240" w:lineRule="auto"/>
        <w:ind w:firstLine="422" w:firstLineChars="200"/>
        <w:jc w:val="both"/>
        <w:textAlignment w:val="auto"/>
        <w:rPr>
          <w:rFonts w:hint="eastAsia" w:ascii="宋体" w:hAnsi="宋体" w:eastAsia="宋体" w:cs="宋体"/>
          <w:b/>
          <w:bCs/>
          <w:color w:val="000000"/>
          <w:sz w:val="21"/>
          <w:szCs w:val="21"/>
          <w:highlight w:val="none"/>
        </w:rPr>
      </w:pPr>
      <w:r>
        <w:rPr>
          <w:rFonts w:hint="eastAsia" w:ascii="宋体" w:hAnsi="宋体" w:eastAsia="宋体" w:cs="宋体"/>
          <w:b/>
          <w:bCs/>
          <w:color w:val="000000"/>
          <w:sz w:val="21"/>
          <w:szCs w:val="21"/>
          <w:highlight w:val="none"/>
          <w:lang w:val="en-US" w:eastAsia="zh-CN"/>
        </w:rPr>
        <w:t>二、</w:t>
      </w:r>
      <w:r>
        <w:rPr>
          <w:rFonts w:hint="eastAsia" w:cs="宋体"/>
          <w:b/>
          <w:bCs/>
          <w:color w:val="000000"/>
          <w:sz w:val="21"/>
          <w:szCs w:val="21"/>
          <w:highlight w:val="none"/>
          <w:lang w:val="en-US" w:eastAsia="zh-CN"/>
        </w:rPr>
        <w:t>主要需求</w:t>
      </w:r>
    </w:p>
    <w:p w14:paraId="7ED6B10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1、拆除报告厅内原有墙面铝塑板造型，使用免漆装饰板和格栅竹木吸音板等相关材料对墙面进行全部改造；</w:t>
      </w:r>
    </w:p>
    <w:p w14:paraId="32A0F53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2、拆除原有顶面投影仪并修补原有石膏板吊顶；</w:t>
      </w:r>
    </w:p>
    <w:p w14:paraId="1B96D80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3、原有嵌入式萤光灯带造型更换其亚克力盖板，并更换内部LED灯带；</w:t>
      </w:r>
    </w:p>
    <w:p w14:paraId="51F090F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4、原有筒灯全部进行更换并增加功率；</w:t>
      </w:r>
    </w:p>
    <w:p w14:paraId="5C42CA1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5、原有地面及座椅不做改造；</w:t>
      </w:r>
    </w:p>
    <w:p w14:paraId="501B512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6、休息间及音控室墙顶面涂料出新</w:t>
      </w:r>
    </w:p>
    <w:p w14:paraId="10C1369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7、报告厅内所有空间进行强弱电等相关的改造。</w:t>
      </w:r>
    </w:p>
    <w:p w14:paraId="5A0CC9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具体见清单及图纸。</w:t>
      </w:r>
    </w:p>
    <w:p w14:paraId="6F92C386">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PS：项目施工过程中的空气质量检测及主要材料检测等检测服务费用由施工单位承担（检测项目由校方核定，数量参照国家有关标准）。</w:t>
      </w:r>
    </w:p>
    <w:p w14:paraId="486F431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施工过程中造成原建筑设施、室外道路、绿化、墙体等损坏及下水道堵塞的，由中标人进行修复或按实赔偿，或由采购人委托第三方修复，所产生费用由中标人支付。</w:t>
      </w:r>
    </w:p>
    <w:p w14:paraId="2A01AC1E">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三、商务要求</w:t>
      </w:r>
    </w:p>
    <w:p w14:paraId="79E09A1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1.项目内容：</w:t>
      </w:r>
      <w:r>
        <w:rPr>
          <w:rFonts w:hint="eastAsia" w:ascii="宋体" w:hAnsi="宋体" w:cs="宋体"/>
          <w:sz w:val="21"/>
          <w:szCs w:val="21"/>
          <w:lang w:val="en-US" w:eastAsia="zh-CN"/>
        </w:rPr>
        <w:t>东园学术报告厅整体改造项目</w:t>
      </w:r>
      <w:r>
        <w:rPr>
          <w:rFonts w:hint="eastAsia" w:ascii="宋体" w:hAnsi="宋体" w:eastAsia="宋体" w:cs="宋体"/>
          <w:sz w:val="21"/>
          <w:szCs w:val="21"/>
          <w:lang w:val="en-US" w:eastAsia="zh-CN"/>
        </w:rPr>
        <w:t>。</w:t>
      </w:r>
    </w:p>
    <w:p w14:paraId="648AA0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r>
        <w:rPr>
          <w:rFonts w:hint="eastAsia" w:ascii="宋体" w:hAnsi="宋体" w:cs="宋体"/>
          <w:sz w:val="21"/>
          <w:szCs w:val="21"/>
          <w:lang w:val="en-US" w:eastAsia="zh-CN"/>
        </w:rPr>
        <w:t>工程工期</w:t>
      </w:r>
      <w:r>
        <w:rPr>
          <w:rFonts w:hint="eastAsia" w:ascii="宋体" w:hAnsi="宋体" w:eastAsia="宋体" w:cs="宋体"/>
          <w:sz w:val="21"/>
          <w:szCs w:val="21"/>
          <w:lang w:val="en-US" w:eastAsia="zh-CN"/>
        </w:rPr>
        <w:t>：40日历天。</w:t>
      </w:r>
    </w:p>
    <w:p w14:paraId="03C803F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3.质保期要求：</w:t>
      </w:r>
    </w:p>
    <w:p w14:paraId="6C6F365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质保期</w:t>
      </w:r>
      <w:r>
        <w:rPr>
          <w:rFonts w:hint="eastAsia" w:ascii="宋体" w:hAnsi="宋体" w:cs="宋体"/>
          <w:sz w:val="21"/>
          <w:szCs w:val="21"/>
          <w:lang w:val="en-US" w:eastAsia="zh-CN"/>
        </w:rPr>
        <w:t xml:space="preserve"> 2 年。质保期自验收合格之日起算。</w:t>
      </w:r>
    </w:p>
    <w:p w14:paraId="157306A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质保要求：质保期内，中标人免费包维修、保养、安检、调换等。</w:t>
      </w:r>
    </w:p>
    <w:p w14:paraId="261889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4.验收要求：</w:t>
      </w:r>
    </w:p>
    <w:p w14:paraId="17F7E8D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（1）</w:t>
      </w:r>
      <w:r>
        <w:rPr>
          <w:rFonts w:hint="eastAsia" w:ascii="宋体" w:hAnsi="宋体" w:eastAsia="宋体" w:cs="宋体"/>
          <w:sz w:val="21"/>
          <w:szCs w:val="21"/>
          <w:lang w:val="en-US" w:eastAsia="zh-CN"/>
        </w:rPr>
        <w:t>本工程以做法说明、设计变更和《建筑装饰工程施工及验收规范》、《建筑安装工程质量检验评定同意标准》等国家指定的施工及验收规范为质量评定验收标准。</w:t>
      </w:r>
    </w:p>
    <w:p w14:paraId="1E2B5A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本工程质量达到国家质量评定合格标准。</w:t>
      </w:r>
    </w:p>
    <w:p w14:paraId="7FAB7DB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lang w:val="en-US" w:eastAsia="zh-CN"/>
        </w:rPr>
      </w:pPr>
      <w:r>
        <w:rPr>
          <w:rFonts w:hint="eastAsia" w:ascii="宋体" w:hAnsi="宋体" w:cs="宋体"/>
          <w:sz w:val="21"/>
          <w:szCs w:val="21"/>
          <w:lang w:val="en-US" w:eastAsia="zh-CN"/>
        </w:rPr>
        <w:t>（3）</w:t>
      </w:r>
      <w:r>
        <w:rPr>
          <w:rFonts w:hint="eastAsia" w:ascii="宋体" w:hAnsi="宋体" w:eastAsia="宋体" w:cs="宋体"/>
          <w:sz w:val="21"/>
          <w:szCs w:val="21"/>
          <w:lang w:val="en-US" w:eastAsia="zh-CN"/>
        </w:rPr>
        <w:t>由于</w:t>
      </w:r>
      <w:r>
        <w:rPr>
          <w:rFonts w:hint="eastAsia" w:ascii="宋体" w:hAnsi="宋体" w:eastAsia="宋体" w:cs="宋体"/>
          <w:sz w:val="21"/>
          <w:szCs w:val="21"/>
        </w:rPr>
        <w:t>中标人</w:t>
      </w:r>
      <w:r>
        <w:rPr>
          <w:rFonts w:hint="eastAsia" w:ascii="宋体" w:hAnsi="宋体" w:eastAsia="宋体" w:cs="宋体"/>
          <w:sz w:val="21"/>
          <w:szCs w:val="21"/>
          <w:lang w:val="en-US" w:eastAsia="zh-CN"/>
        </w:rPr>
        <w:t>原因造成质量事故，其返工费用由</w:t>
      </w:r>
      <w:r>
        <w:rPr>
          <w:rFonts w:hint="eastAsia" w:ascii="宋体" w:hAnsi="宋体" w:eastAsia="宋体" w:cs="宋体"/>
          <w:sz w:val="21"/>
          <w:szCs w:val="21"/>
        </w:rPr>
        <w:t>中标人</w:t>
      </w:r>
      <w:r>
        <w:rPr>
          <w:rFonts w:hint="eastAsia" w:ascii="宋体" w:hAnsi="宋体" w:eastAsia="宋体" w:cs="宋体"/>
          <w:sz w:val="21"/>
          <w:szCs w:val="21"/>
          <w:lang w:val="en-US" w:eastAsia="zh-CN"/>
        </w:rPr>
        <w:t>承担，工期不顺延。</w:t>
      </w:r>
    </w:p>
    <w:p w14:paraId="241B5EE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宋体" w:hAnsi="宋体" w:eastAsia="宋体" w:cs="宋体"/>
          <w:bCs/>
          <w:sz w:val="21"/>
          <w:szCs w:val="21"/>
          <w:lang w:val="en-US" w:eastAsia="zh-CN"/>
        </w:rPr>
      </w:pPr>
      <w:r>
        <w:rPr>
          <w:rFonts w:hint="eastAsia" w:ascii="宋体" w:hAnsi="宋体" w:cs="宋体"/>
          <w:sz w:val="21"/>
          <w:szCs w:val="21"/>
          <w:lang w:val="en-US" w:eastAsia="zh-CN"/>
        </w:rPr>
        <w:t>（4）</w:t>
      </w:r>
      <w:r>
        <w:rPr>
          <w:rFonts w:hint="eastAsia" w:ascii="宋体" w:hAnsi="宋体" w:eastAsia="宋体" w:cs="宋体"/>
          <w:sz w:val="21"/>
          <w:szCs w:val="21"/>
          <w:lang w:val="en-US" w:eastAsia="zh-CN"/>
        </w:rPr>
        <w:t>工程竣工后，</w:t>
      </w:r>
      <w:r>
        <w:rPr>
          <w:rFonts w:hint="eastAsia" w:ascii="宋体" w:hAnsi="宋体" w:eastAsia="宋体" w:cs="宋体"/>
          <w:sz w:val="21"/>
          <w:szCs w:val="21"/>
        </w:rPr>
        <w:t>中标人</w:t>
      </w:r>
      <w:r>
        <w:rPr>
          <w:rFonts w:hint="eastAsia" w:ascii="宋体" w:hAnsi="宋体" w:eastAsia="宋体" w:cs="宋体"/>
          <w:sz w:val="21"/>
          <w:szCs w:val="21"/>
          <w:lang w:val="en-US" w:eastAsia="zh-CN"/>
        </w:rPr>
        <w:t>应书面通知</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验收，由</w:t>
      </w:r>
      <w:r>
        <w:rPr>
          <w:rFonts w:hint="eastAsia" w:ascii="宋体" w:hAnsi="宋体" w:cs="宋体"/>
          <w:sz w:val="21"/>
          <w:szCs w:val="21"/>
          <w:lang w:val="en-US" w:eastAsia="zh-CN"/>
        </w:rPr>
        <w:t>招标人</w:t>
      </w:r>
      <w:r>
        <w:rPr>
          <w:rFonts w:hint="eastAsia" w:ascii="宋体" w:hAnsi="宋体" w:eastAsia="宋体" w:cs="宋体"/>
          <w:sz w:val="21"/>
          <w:szCs w:val="21"/>
          <w:lang w:val="en-US" w:eastAsia="zh-CN"/>
        </w:rPr>
        <w:t>组织相关部门验收</w:t>
      </w:r>
      <w:r>
        <w:rPr>
          <w:rFonts w:hint="eastAsia" w:ascii="宋体" w:hAnsi="宋体" w:cs="宋体"/>
          <w:sz w:val="21"/>
          <w:szCs w:val="21"/>
          <w:lang w:val="en-US" w:eastAsia="zh-CN"/>
        </w:rPr>
        <w:t>，并填写江苏医药职业学院工程竣工验收单，</w:t>
      </w:r>
      <w:r>
        <w:rPr>
          <w:rFonts w:hint="eastAsia" w:ascii="宋体" w:hAnsi="宋体" w:cs="宋体"/>
          <w:bCs/>
          <w:sz w:val="21"/>
          <w:szCs w:val="21"/>
          <w:lang w:val="en-US" w:eastAsia="zh-CN"/>
        </w:rPr>
        <w:t>详见附件一。</w:t>
      </w:r>
    </w:p>
    <w:p w14:paraId="62057A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lang w:val="en-US" w:eastAsia="zh-CN"/>
        </w:rPr>
      </w:pPr>
      <w:r>
        <w:rPr>
          <w:rFonts w:hint="eastAsia" w:ascii="宋体" w:hAnsi="宋体" w:eastAsia="宋体" w:cs="宋体"/>
          <w:bCs/>
          <w:sz w:val="21"/>
          <w:szCs w:val="21"/>
          <w:lang w:val="en-US" w:eastAsia="zh-CN"/>
        </w:rPr>
        <w:t>5.验收标准：</w:t>
      </w:r>
      <w:r>
        <w:rPr>
          <w:rFonts w:hint="eastAsia" w:ascii="宋体" w:hAnsi="宋体" w:eastAsia="宋体" w:cs="宋体"/>
          <w:sz w:val="21"/>
          <w:szCs w:val="21"/>
        </w:rPr>
        <w:t>国家“合格”标准并满足招标人要求</w:t>
      </w:r>
    </w:p>
    <w:p w14:paraId="68DD5B2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bCs/>
          <w:sz w:val="21"/>
          <w:szCs w:val="21"/>
          <w:lang w:val="en-US" w:eastAsia="zh-CN"/>
        </w:rPr>
        <w:t>6.付款方式：</w:t>
      </w:r>
      <w:r>
        <w:rPr>
          <w:rFonts w:hint="eastAsia" w:ascii="宋体" w:hAnsi="宋体" w:eastAsia="宋体" w:cs="宋体"/>
          <w:sz w:val="21"/>
          <w:szCs w:val="21"/>
        </w:rPr>
        <w:t>项目验收合格后无质量问题支付合同价的60%款项；审计合格后付至审计价的80%，余款待质保结束后无质量问题一次性无息付清。</w:t>
      </w:r>
    </w:p>
    <w:p w14:paraId="0903E237">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四、踏勘</w:t>
      </w:r>
    </w:p>
    <w:p w14:paraId="7CE78E28">
      <w:pPr>
        <w:spacing w:line="360" w:lineRule="auto"/>
        <w:ind w:firstLine="420" w:firstLineChars="200"/>
        <w:rPr>
          <w:rFonts w:hint="eastAsia" w:ascii="宋体" w:hAnsi="宋体" w:eastAsia="宋体" w:cs="宋体"/>
          <w:sz w:val="21"/>
          <w:szCs w:val="21"/>
          <w:lang w:eastAsia="zh-CN"/>
        </w:rPr>
      </w:pPr>
      <w:r>
        <w:rPr>
          <w:rFonts w:hint="eastAsia" w:ascii="宋体" w:hAnsi="宋体" w:eastAsia="宋体" w:cs="宋体"/>
          <w:sz w:val="21"/>
          <w:szCs w:val="21"/>
          <w:lang w:val="en-US" w:eastAsia="zh-CN"/>
        </w:rPr>
        <w:t>1.</w:t>
      </w:r>
      <w:r>
        <w:rPr>
          <w:rFonts w:hint="eastAsia" w:asciiTheme="minorEastAsia" w:hAnsiTheme="minorEastAsia" w:eastAsiaTheme="minorEastAsia" w:cstheme="minorEastAsia"/>
          <w:color w:val="auto"/>
          <w:sz w:val="21"/>
          <w:szCs w:val="21"/>
          <w:highlight w:val="none"/>
          <w:lang w:eastAsia="zh-CN"/>
        </w:rPr>
        <w:t>投标人在投标前</w:t>
      </w:r>
      <w:r>
        <w:rPr>
          <w:rFonts w:hint="eastAsia" w:asciiTheme="minorEastAsia" w:hAnsiTheme="minorEastAsia" w:eastAsiaTheme="minorEastAsia" w:cstheme="minorEastAsia"/>
          <w:color w:val="auto"/>
          <w:sz w:val="21"/>
          <w:szCs w:val="21"/>
          <w:highlight w:val="none"/>
          <w:lang w:val="en-US" w:eastAsia="zh-CN"/>
        </w:rPr>
        <w:t>可自行</w:t>
      </w:r>
      <w:r>
        <w:rPr>
          <w:rFonts w:hint="eastAsia" w:asciiTheme="minorEastAsia" w:hAnsiTheme="minorEastAsia" w:eastAsiaTheme="minorEastAsia" w:cstheme="minorEastAsia"/>
          <w:color w:val="auto"/>
          <w:sz w:val="21"/>
          <w:szCs w:val="21"/>
          <w:highlight w:val="none"/>
          <w:lang w:eastAsia="zh-CN"/>
        </w:rPr>
        <w:t>进行现场踏勘，并对相关数据、要求进行确认，责任和风险自行承担。技术咨询及现场踏勘联系人：</w:t>
      </w:r>
      <w:r>
        <w:rPr>
          <w:rFonts w:hint="eastAsia" w:asciiTheme="minorEastAsia" w:hAnsiTheme="minorEastAsia" w:eastAsiaTheme="minorEastAsia" w:cstheme="minorEastAsia"/>
          <w:color w:val="auto"/>
          <w:sz w:val="21"/>
          <w:szCs w:val="21"/>
          <w:highlight w:val="none"/>
          <w:lang w:val="en-US" w:eastAsia="zh-CN"/>
        </w:rPr>
        <w:t>贾</w:t>
      </w:r>
      <w:r>
        <w:rPr>
          <w:rFonts w:hint="eastAsia" w:asciiTheme="minorEastAsia" w:hAnsiTheme="minorEastAsia" w:eastAsiaTheme="minorEastAsia" w:cstheme="minorEastAsia"/>
          <w:color w:val="auto"/>
          <w:sz w:val="21"/>
          <w:szCs w:val="21"/>
          <w:highlight w:val="none"/>
          <w:lang w:eastAsia="zh-CN"/>
        </w:rPr>
        <w:t>老师，联系方式：18262395908。</w:t>
      </w:r>
    </w:p>
    <w:p w14:paraId="1110DFC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sz w:val="21"/>
          <w:szCs w:val="21"/>
          <w:lang w:val="en-US" w:eastAsia="zh-CN"/>
        </w:rPr>
      </w:pPr>
      <w:r>
        <w:rPr>
          <w:rFonts w:hint="eastAsia" w:ascii="宋体" w:hAnsi="宋体" w:cs="宋体"/>
          <w:sz w:val="21"/>
          <w:szCs w:val="21"/>
          <w:lang w:val="en-US" w:eastAsia="zh-CN"/>
        </w:rPr>
        <w:t>2</w:t>
      </w:r>
      <w:r>
        <w:rPr>
          <w:rFonts w:hint="eastAsia" w:ascii="宋体" w:hAnsi="宋体" w:eastAsia="宋体" w:cs="宋体"/>
          <w:sz w:val="21"/>
          <w:szCs w:val="21"/>
          <w:lang w:val="en-US" w:eastAsia="zh-CN"/>
        </w:rPr>
        <w:t>.</w:t>
      </w:r>
      <w:r>
        <w:rPr>
          <w:rFonts w:hint="eastAsia" w:ascii="宋体" w:hAnsi="宋体" w:eastAsia="宋体" w:cs="宋体"/>
          <w:sz w:val="21"/>
          <w:szCs w:val="21"/>
          <w:lang w:eastAsia="zh-CN"/>
        </w:rPr>
        <w:t>投标人</w:t>
      </w:r>
      <w:r>
        <w:rPr>
          <w:rFonts w:hint="eastAsia" w:ascii="宋体" w:hAnsi="宋体" w:eastAsia="宋体" w:cs="宋体"/>
          <w:sz w:val="21"/>
          <w:szCs w:val="21"/>
        </w:rPr>
        <w:t>踏勘现场发生的费用自理，</w:t>
      </w:r>
      <w:r>
        <w:rPr>
          <w:rFonts w:hint="eastAsia" w:ascii="宋体" w:hAnsi="宋体" w:eastAsia="宋体" w:cs="宋体"/>
          <w:sz w:val="21"/>
          <w:szCs w:val="21"/>
          <w:lang w:val="en-US" w:eastAsia="zh-CN"/>
        </w:rPr>
        <w:t>投标人</w:t>
      </w:r>
      <w:r>
        <w:rPr>
          <w:rFonts w:hint="eastAsia" w:ascii="宋体" w:hAnsi="宋体" w:eastAsia="宋体" w:cs="宋体"/>
          <w:sz w:val="21"/>
          <w:szCs w:val="21"/>
        </w:rPr>
        <w:t>自行负责在踏勘现场中所发生的人员伤亡和财产损失。</w:t>
      </w:r>
    </w:p>
    <w:p w14:paraId="28FB2C8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Theme="minorEastAsia" w:hAnsiTheme="minorEastAsia" w:eastAsiaTheme="minorEastAsia" w:cstheme="minorEastAsia"/>
          <w:b/>
          <w:bCs/>
          <w:sz w:val="21"/>
          <w:szCs w:val="21"/>
          <w:lang w:eastAsia="zh-CN"/>
        </w:rPr>
      </w:pPr>
      <w:r>
        <w:rPr>
          <w:rFonts w:hint="eastAsia" w:asciiTheme="minorEastAsia" w:hAnsiTheme="minorEastAsia" w:eastAsiaTheme="minorEastAsia" w:cstheme="minorEastAsia"/>
          <w:b/>
          <w:bCs/>
          <w:sz w:val="21"/>
          <w:szCs w:val="21"/>
          <w:lang w:val="en-US" w:eastAsia="zh-CN"/>
        </w:rPr>
        <w:t>五</w:t>
      </w:r>
      <w:r>
        <w:rPr>
          <w:rFonts w:hint="eastAsia" w:asciiTheme="minorEastAsia" w:hAnsiTheme="minorEastAsia" w:eastAsiaTheme="minorEastAsia" w:cstheme="minorEastAsia"/>
          <w:b/>
          <w:bCs/>
          <w:sz w:val="21"/>
          <w:szCs w:val="21"/>
        </w:rPr>
        <w:t>、图纸及工程量清单：</w:t>
      </w:r>
      <w:r>
        <w:rPr>
          <w:rFonts w:hint="eastAsia" w:asciiTheme="minorEastAsia" w:hAnsiTheme="minorEastAsia" w:eastAsiaTheme="minorEastAsia" w:cstheme="minorEastAsia"/>
          <w:b/>
          <w:bCs/>
          <w:sz w:val="21"/>
          <w:szCs w:val="21"/>
          <w:lang w:eastAsia="zh-CN"/>
        </w:rPr>
        <w:t>详见公告附件，自行下载</w:t>
      </w:r>
      <w:r>
        <w:rPr>
          <w:rFonts w:hint="eastAsia" w:asciiTheme="minorEastAsia" w:hAnsiTheme="minorEastAsia" w:eastAsiaTheme="minorEastAsia" w:cstheme="minorEastAsia"/>
          <w:b/>
          <w:bCs/>
          <w:sz w:val="21"/>
          <w:szCs w:val="21"/>
        </w:rPr>
        <w:t>图纸及工程量清单（电子版）</w:t>
      </w:r>
      <w:r>
        <w:rPr>
          <w:rFonts w:hint="eastAsia" w:asciiTheme="minorEastAsia" w:hAnsiTheme="minorEastAsia" w:eastAsiaTheme="minorEastAsia" w:cstheme="minorEastAsia"/>
          <w:b/>
          <w:bCs/>
          <w:sz w:val="21"/>
          <w:szCs w:val="21"/>
          <w:lang w:eastAsia="zh-CN"/>
        </w:rPr>
        <w:t>。</w:t>
      </w:r>
    </w:p>
    <w:p w14:paraId="51B482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六</w:t>
      </w:r>
      <w:r>
        <w:rPr>
          <w:rFonts w:hint="eastAsia" w:ascii="宋体" w:hAnsi="宋体" w:eastAsia="宋体" w:cs="宋体"/>
          <w:b/>
          <w:bCs/>
          <w:sz w:val="21"/>
          <w:szCs w:val="21"/>
          <w:lang w:val="en-US" w:eastAsia="zh-CN"/>
        </w:rPr>
        <w:t>、采购标的对应的中小企业划分标准所属行业一览表</w:t>
      </w:r>
    </w:p>
    <w:tbl>
      <w:tblPr>
        <w:tblStyle w:val="4"/>
        <w:tblW w:w="9071" w:type="dxa"/>
        <w:jc w:val="center"/>
        <w:tblCellSpacing w:w="0" w:type="dxa"/>
        <w:tblLayout w:type="fixed"/>
        <w:tblCellMar>
          <w:top w:w="0" w:type="dxa"/>
          <w:left w:w="108" w:type="dxa"/>
          <w:bottom w:w="0" w:type="dxa"/>
          <w:right w:w="108" w:type="dxa"/>
        </w:tblCellMar>
      </w:tblPr>
      <w:tblGrid>
        <w:gridCol w:w="737"/>
        <w:gridCol w:w="4218"/>
        <w:gridCol w:w="4116"/>
      </w:tblGrid>
      <w:tr w14:paraId="5DFDE64F">
        <w:tblPrEx>
          <w:tblCellMar>
            <w:top w:w="0" w:type="dxa"/>
            <w:left w:w="108" w:type="dxa"/>
            <w:bottom w:w="0" w:type="dxa"/>
            <w:right w:w="108" w:type="dxa"/>
          </w:tblCellMar>
        </w:tblPrEx>
        <w:trPr>
          <w:trHeight w:val="546" w:hRule="atLeast"/>
          <w:tblCellSpacing w:w="0" w:type="dxa"/>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3DC7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序号</w:t>
            </w:r>
          </w:p>
        </w:tc>
        <w:tc>
          <w:tcPr>
            <w:tcW w:w="4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C49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采购标的</w:t>
            </w:r>
          </w:p>
        </w:tc>
        <w:tc>
          <w:tcPr>
            <w:tcW w:w="4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C6D5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对应中小企业划分标准所属行业</w:t>
            </w:r>
          </w:p>
        </w:tc>
      </w:tr>
      <w:tr w14:paraId="07EA8424">
        <w:tblPrEx>
          <w:tblCellMar>
            <w:top w:w="0" w:type="dxa"/>
            <w:left w:w="108" w:type="dxa"/>
            <w:bottom w:w="0" w:type="dxa"/>
            <w:right w:w="108" w:type="dxa"/>
          </w:tblCellMar>
        </w:tblPrEx>
        <w:trPr>
          <w:trHeight w:val="646" w:hRule="atLeast"/>
          <w:tblCellSpacing w:w="0" w:type="dxa"/>
          <w:jc w:val="center"/>
        </w:trPr>
        <w:tc>
          <w:tcPr>
            <w:tcW w:w="7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333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4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10F5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Theme="minorEastAsia" w:hAnsiTheme="minorEastAsia" w:eastAsiaTheme="minorEastAsia" w:cstheme="minorEastAsia"/>
                <w:color w:val="auto"/>
                <w:sz w:val="21"/>
                <w:szCs w:val="21"/>
                <w:highlight w:val="none"/>
                <w:lang w:eastAsia="zh-CN"/>
              </w:rPr>
              <w:t>东园学术报告厅整体改造项目</w:t>
            </w:r>
          </w:p>
        </w:tc>
        <w:tc>
          <w:tcPr>
            <w:tcW w:w="4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53D0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建筑业</w:t>
            </w:r>
          </w:p>
        </w:tc>
      </w:tr>
    </w:tbl>
    <w:p w14:paraId="1FB058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七、主要设备材料招标人推荐品牌一览表</w:t>
      </w:r>
    </w:p>
    <w:tbl>
      <w:tblPr>
        <w:tblStyle w:val="4"/>
        <w:tblpPr w:leftFromText="180" w:rightFromText="180" w:vertAnchor="text" w:horzAnchor="page" w:tblpX="1584" w:tblpY="316"/>
        <w:tblOverlap w:val="never"/>
        <w:tblW w:w="919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16"/>
        <w:gridCol w:w="1917"/>
        <w:gridCol w:w="2517"/>
        <w:gridCol w:w="4041"/>
      </w:tblGrid>
      <w:tr w14:paraId="3B2A35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87" w:hRule="atLeast"/>
        </w:trPr>
        <w:tc>
          <w:tcPr>
            <w:tcW w:w="716" w:type="dxa"/>
            <w:tcBorders>
              <w:top w:val="single" w:color="000000" w:sz="4" w:space="0"/>
              <w:left w:val="single" w:color="000000" w:sz="4" w:space="0"/>
              <w:bottom w:val="single" w:color="auto" w:sz="4" w:space="0"/>
              <w:right w:val="single" w:color="auto" w:sz="4" w:space="0"/>
            </w:tcBorders>
            <w:vAlign w:val="center"/>
          </w:tcPr>
          <w:p w14:paraId="77981EBE">
            <w:pPr>
              <w:jc w:val="center"/>
              <w:rPr>
                <w:rFonts w:hint="eastAsia" w:cs="宋体"/>
                <w:b/>
                <w:bCs/>
                <w:sz w:val="21"/>
                <w:szCs w:val="21"/>
                <w:u w:val="none"/>
              </w:rPr>
            </w:pPr>
            <w:r>
              <w:rPr>
                <w:rFonts w:hint="eastAsia" w:cs="宋体"/>
                <w:b/>
                <w:bCs/>
                <w:sz w:val="21"/>
                <w:szCs w:val="21"/>
                <w:u w:val="none"/>
              </w:rPr>
              <w:t>序号</w:t>
            </w:r>
          </w:p>
        </w:tc>
        <w:tc>
          <w:tcPr>
            <w:tcW w:w="1917" w:type="dxa"/>
            <w:tcBorders>
              <w:top w:val="single" w:color="000000" w:sz="4" w:space="0"/>
              <w:left w:val="single" w:color="auto" w:sz="4" w:space="0"/>
              <w:bottom w:val="single" w:color="auto" w:sz="4" w:space="0"/>
              <w:right w:val="single" w:color="000000" w:sz="4" w:space="0"/>
            </w:tcBorders>
            <w:vAlign w:val="center"/>
          </w:tcPr>
          <w:p w14:paraId="11EF60DE">
            <w:pPr>
              <w:jc w:val="center"/>
              <w:rPr>
                <w:rFonts w:hint="eastAsia" w:cs="宋体"/>
                <w:b/>
                <w:bCs/>
                <w:sz w:val="21"/>
                <w:szCs w:val="21"/>
                <w:u w:val="none"/>
              </w:rPr>
            </w:pPr>
            <w:r>
              <w:rPr>
                <w:rFonts w:hint="eastAsia" w:cs="宋体"/>
                <w:b/>
                <w:bCs/>
                <w:sz w:val="21"/>
                <w:szCs w:val="21"/>
                <w:u w:val="none"/>
              </w:rPr>
              <w:t>材料设备名称</w:t>
            </w:r>
          </w:p>
        </w:tc>
        <w:tc>
          <w:tcPr>
            <w:tcW w:w="2517" w:type="dxa"/>
            <w:tcBorders>
              <w:top w:val="single" w:color="000000" w:sz="4" w:space="0"/>
              <w:left w:val="single" w:color="000000" w:sz="4" w:space="0"/>
              <w:bottom w:val="single" w:color="auto" w:sz="4" w:space="0"/>
              <w:right w:val="single" w:color="000000" w:sz="4" w:space="0"/>
            </w:tcBorders>
            <w:vAlign w:val="center"/>
          </w:tcPr>
          <w:p w14:paraId="474643F0">
            <w:pPr>
              <w:jc w:val="center"/>
              <w:rPr>
                <w:rFonts w:hint="eastAsia" w:cs="宋体"/>
                <w:b/>
                <w:bCs/>
                <w:sz w:val="21"/>
                <w:szCs w:val="21"/>
                <w:u w:val="none"/>
              </w:rPr>
            </w:pPr>
            <w:r>
              <w:rPr>
                <w:rFonts w:hint="eastAsia" w:cs="宋体"/>
                <w:b/>
                <w:bCs/>
                <w:sz w:val="21"/>
                <w:szCs w:val="21"/>
                <w:u w:val="none"/>
              </w:rPr>
              <w:t>材料主要性能要求</w:t>
            </w:r>
          </w:p>
        </w:tc>
        <w:tc>
          <w:tcPr>
            <w:tcW w:w="4041" w:type="dxa"/>
            <w:tcBorders>
              <w:top w:val="single" w:color="000000" w:sz="4" w:space="0"/>
              <w:left w:val="single" w:color="000000" w:sz="4" w:space="0"/>
              <w:bottom w:val="single" w:color="auto" w:sz="4" w:space="0"/>
              <w:right w:val="single" w:color="000000" w:sz="4" w:space="0"/>
            </w:tcBorders>
            <w:vAlign w:val="center"/>
          </w:tcPr>
          <w:p w14:paraId="5CBA8C5C">
            <w:pPr>
              <w:jc w:val="center"/>
              <w:rPr>
                <w:rFonts w:hint="eastAsia" w:cs="宋体"/>
                <w:b/>
                <w:bCs/>
                <w:sz w:val="21"/>
                <w:szCs w:val="21"/>
                <w:u w:val="none"/>
              </w:rPr>
            </w:pPr>
            <w:r>
              <w:rPr>
                <w:rFonts w:hint="eastAsia" w:cs="宋体"/>
                <w:b/>
                <w:bCs/>
                <w:sz w:val="21"/>
                <w:szCs w:val="21"/>
                <w:u w:val="none"/>
              </w:rPr>
              <w:t>招标人推荐品牌</w:t>
            </w:r>
          </w:p>
        </w:tc>
      </w:tr>
      <w:tr w14:paraId="1C8737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34" w:hRule="atLeast"/>
        </w:trPr>
        <w:tc>
          <w:tcPr>
            <w:tcW w:w="716" w:type="dxa"/>
            <w:tcBorders>
              <w:top w:val="single" w:color="auto" w:sz="4" w:space="0"/>
              <w:left w:val="single" w:color="000000" w:sz="4" w:space="0"/>
              <w:bottom w:val="single" w:color="000000" w:sz="4" w:space="0"/>
              <w:right w:val="single" w:color="auto" w:sz="4" w:space="0"/>
            </w:tcBorders>
            <w:vAlign w:val="center"/>
          </w:tcPr>
          <w:p w14:paraId="787CB95D">
            <w:pPr>
              <w:jc w:val="center"/>
              <w:rPr>
                <w:rFonts w:hint="eastAsia" w:cs="宋体"/>
                <w:sz w:val="21"/>
                <w:szCs w:val="21"/>
                <w:u w:val="none"/>
              </w:rPr>
            </w:pPr>
            <w:r>
              <w:rPr>
                <w:rFonts w:hint="eastAsia" w:cs="宋体"/>
                <w:sz w:val="21"/>
                <w:szCs w:val="21"/>
                <w:u w:val="none"/>
              </w:rPr>
              <w:t>1</w:t>
            </w:r>
          </w:p>
        </w:tc>
        <w:tc>
          <w:tcPr>
            <w:tcW w:w="1917" w:type="dxa"/>
            <w:tcBorders>
              <w:top w:val="single" w:color="auto" w:sz="4" w:space="0"/>
              <w:left w:val="single" w:color="auto" w:sz="4" w:space="0"/>
              <w:bottom w:val="single" w:color="000000" w:sz="4" w:space="0"/>
              <w:right w:val="single" w:color="000000" w:sz="4" w:space="0"/>
            </w:tcBorders>
            <w:vAlign w:val="center"/>
          </w:tcPr>
          <w:p w14:paraId="0C01E095">
            <w:pPr>
              <w:jc w:val="center"/>
              <w:rPr>
                <w:rFonts w:hint="eastAsia" w:cs="宋体"/>
                <w:sz w:val="21"/>
                <w:szCs w:val="21"/>
                <w:u w:val="none"/>
              </w:rPr>
            </w:pPr>
            <w:r>
              <w:rPr>
                <w:rFonts w:hint="eastAsia" w:cs="宋体"/>
                <w:sz w:val="21"/>
                <w:szCs w:val="21"/>
                <w:u w:val="none"/>
              </w:rPr>
              <w:t>电线电缆</w:t>
            </w:r>
          </w:p>
        </w:tc>
        <w:tc>
          <w:tcPr>
            <w:tcW w:w="2517" w:type="dxa"/>
            <w:tcBorders>
              <w:top w:val="single" w:color="auto" w:sz="4" w:space="0"/>
              <w:left w:val="single" w:color="000000" w:sz="4" w:space="0"/>
              <w:bottom w:val="single" w:color="000000" w:sz="4" w:space="0"/>
              <w:right w:val="single" w:color="000000" w:sz="4" w:space="0"/>
            </w:tcBorders>
            <w:vAlign w:val="center"/>
          </w:tcPr>
          <w:p w14:paraId="36DAEFAD">
            <w:pPr>
              <w:jc w:val="center"/>
              <w:rPr>
                <w:rFonts w:hint="eastAsia" w:cs="宋体"/>
                <w:sz w:val="21"/>
                <w:szCs w:val="21"/>
                <w:u w:val="none"/>
              </w:rPr>
            </w:pPr>
            <w:r>
              <w:rPr>
                <w:rFonts w:hint="eastAsia" w:cs="宋体"/>
                <w:sz w:val="21"/>
                <w:szCs w:val="21"/>
                <w:u w:val="none"/>
              </w:rPr>
              <w:t>合格品及其以上等级</w:t>
            </w:r>
          </w:p>
        </w:tc>
        <w:tc>
          <w:tcPr>
            <w:tcW w:w="4041" w:type="dxa"/>
            <w:tcBorders>
              <w:top w:val="single" w:color="auto" w:sz="4" w:space="0"/>
              <w:left w:val="single" w:color="000000" w:sz="4" w:space="0"/>
              <w:bottom w:val="single" w:color="000000" w:sz="4" w:space="0"/>
              <w:right w:val="single" w:color="000000" w:sz="4" w:space="0"/>
            </w:tcBorders>
            <w:vAlign w:val="center"/>
          </w:tcPr>
          <w:p w14:paraId="71BB3DAA">
            <w:pPr>
              <w:jc w:val="center"/>
              <w:rPr>
                <w:rFonts w:hint="eastAsia" w:cs="宋体"/>
                <w:sz w:val="21"/>
                <w:szCs w:val="21"/>
                <w:u w:val="none"/>
              </w:rPr>
            </w:pPr>
            <w:r>
              <w:rPr>
                <w:rFonts w:hint="eastAsia" w:cs="宋体"/>
                <w:sz w:val="21"/>
                <w:szCs w:val="21"/>
                <w:u w:val="none"/>
              </w:rPr>
              <w:t>远东、江南、上上</w:t>
            </w:r>
          </w:p>
        </w:tc>
      </w:tr>
      <w:tr w14:paraId="1C6206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0" w:hRule="atLeast"/>
        </w:trPr>
        <w:tc>
          <w:tcPr>
            <w:tcW w:w="716" w:type="dxa"/>
            <w:tcBorders>
              <w:top w:val="single" w:color="000000" w:sz="4" w:space="0"/>
              <w:left w:val="single" w:color="000000" w:sz="4" w:space="0"/>
              <w:bottom w:val="single" w:color="000000" w:sz="4" w:space="0"/>
              <w:right w:val="single" w:color="auto" w:sz="4" w:space="0"/>
            </w:tcBorders>
            <w:vAlign w:val="center"/>
          </w:tcPr>
          <w:p w14:paraId="49AB94B5">
            <w:pPr>
              <w:jc w:val="center"/>
              <w:rPr>
                <w:rFonts w:hint="eastAsia" w:cs="宋体"/>
                <w:sz w:val="21"/>
                <w:szCs w:val="21"/>
                <w:u w:val="none"/>
              </w:rPr>
            </w:pPr>
            <w:r>
              <w:rPr>
                <w:rFonts w:hint="eastAsia" w:cs="宋体"/>
                <w:sz w:val="21"/>
                <w:szCs w:val="21"/>
                <w:u w:val="none"/>
              </w:rPr>
              <w:t>2</w:t>
            </w:r>
          </w:p>
        </w:tc>
        <w:tc>
          <w:tcPr>
            <w:tcW w:w="1917" w:type="dxa"/>
            <w:tcBorders>
              <w:top w:val="single" w:color="000000" w:sz="4" w:space="0"/>
              <w:left w:val="single" w:color="auto" w:sz="4" w:space="0"/>
              <w:bottom w:val="single" w:color="000000" w:sz="4" w:space="0"/>
              <w:right w:val="single" w:color="000000" w:sz="4" w:space="0"/>
            </w:tcBorders>
            <w:vAlign w:val="center"/>
          </w:tcPr>
          <w:p w14:paraId="44D127A8">
            <w:pPr>
              <w:jc w:val="center"/>
              <w:rPr>
                <w:rFonts w:hint="eastAsia" w:cs="宋体"/>
                <w:sz w:val="21"/>
                <w:szCs w:val="21"/>
                <w:u w:val="none"/>
              </w:rPr>
            </w:pPr>
            <w:r>
              <w:rPr>
                <w:rFonts w:hint="eastAsia" w:cs="宋体"/>
                <w:sz w:val="21"/>
                <w:szCs w:val="21"/>
                <w:u w:val="none"/>
              </w:rPr>
              <w:t>开关、插座</w:t>
            </w:r>
          </w:p>
        </w:tc>
        <w:tc>
          <w:tcPr>
            <w:tcW w:w="2517" w:type="dxa"/>
            <w:tcBorders>
              <w:top w:val="single" w:color="000000" w:sz="4" w:space="0"/>
              <w:left w:val="single" w:color="000000" w:sz="4" w:space="0"/>
              <w:bottom w:val="single" w:color="000000" w:sz="4" w:space="0"/>
              <w:right w:val="single" w:color="000000" w:sz="4" w:space="0"/>
            </w:tcBorders>
            <w:vAlign w:val="center"/>
          </w:tcPr>
          <w:p w14:paraId="36052764">
            <w:pPr>
              <w:jc w:val="center"/>
              <w:rPr>
                <w:rFonts w:hint="eastAsia" w:cs="宋体"/>
                <w:sz w:val="21"/>
                <w:szCs w:val="21"/>
                <w:u w:val="none"/>
              </w:rPr>
            </w:pPr>
            <w:r>
              <w:rPr>
                <w:rFonts w:hint="eastAsia" w:cs="宋体"/>
                <w:sz w:val="21"/>
                <w:szCs w:val="21"/>
                <w:u w:val="none"/>
              </w:rPr>
              <w:t>合格品及其以上等级</w:t>
            </w:r>
          </w:p>
        </w:tc>
        <w:tc>
          <w:tcPr>
            <w:tcW w:w="4041" w:type="dxa"/>
            <w:tcBorders>
              <w:top w:val="single" w:color="000000" w:sz="4" w:space="0"/>
              <w:left w:val="single" w:color="000000" w:sz="4" w:space="0"/>
              <w:bottom w:val="single" w:color="000000" w:sz="4" w:space="0"/>
              <w:right w:val="single" w:color="000000" w:sz="4" w:space="0"/>
            </w:tcBorders>
            <w:vAlign w:val="center"/>
          </w:tcPr>
          <w:p w14:paraId="45EE13F6">
            <w:pPr>
              <w:jc w:val="center"/>
              <w:rPr>
                <w:rFonts w:hint="eastAsia" w:cs="宋体"/>
                <w:sz w:val="21"/>
                <w:szCs w:val="21"/>
                <w:u w:val="none"/>
              </w:rPr>
            </w:pPr>
            <w:r>
              <w:rPr>
                <w:rFonts w:hint="eastAsia" w:cs="宋体"/>
                <w:sz w:val="21"/>
                <w:szCs w:val="21"/>
                <w:u w:val="none"/>
              </w:rPr>
              <w:t>ABB、施耐德、西门子、松下、西蒙</w:t>
            </w:r>
          </w:p>
        </w:tc>
      </w:tr>
      <w:tr w14:paraId="0CD55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rPr>
        <w:tc>
          <w:tcPr>
            <w:tcW w:w="716" w:type="dxa"/>
            <w:tcBorders>
              <w:top w:val="single" w:color="000000" w:sz="4" w:space="0"/>
              <w:left w:val="single" w:color="000000" w:sz="4" w:space="0"/>
              <w:bottom w:val="single" w:color="000000" w:sz="4" w:space="0"/>
              <w:right w:val="single" w:color="auto" w:sz="4" w:space="0"/>
            </w:tcBorders>
            <w:vAlign w:val="center"/>
          </w:tcPr>
          <w:p w14:paraId="33A1F56D">
            <w:pPr>
              <w:jc w:val="center"/>
              <w:rPr>
                <w:rFonts w:hint="eastAsia" w:cs="宋体"/>
                <w:sz w:val="21"/>
                <w:szCs w:val="21"/>
                <w:u w:val="none"/>
              </w:rPr>
            </w:pPr>
            <w:r>
              <w:rPr>
                <w:rFonts w:hint="eastAsia" w:cs="宋体"/>
                <w:sz w:val="21"/>
                <w:szCs w:val="21"/>
                <w:u w:val="none"/>
              </w:rPr>
              <w:t>4</w:t>
            </w:r>
          </w:p>
        </w:tc>
        <w:tc>
          <w:tcPr>
            <w:tcW w:w="1917" w:type="dxa"/>
            <w:tcBorders>
              <w:top w:val="single" w:color="000000" w:sz="4" w:space="0"/>
              <w:left w:val="single" w:color="auto" w:sz="4" w:space="0"/>
              <w:bottom w:val="single" w:color="000000" w:sz="4" w:space="0"/>
              <w:right w:val="single" w:color="000000" w:sz="4" w:space="0"/>
            </w:tcBorders>
            <w:vAlign w:val="center"/>
          </w:tcPr>
          <w:p w14:paraId="2019D6ED">
            <w:pPr>
              <w:jc w:val="center"/>
              <w:rPr>
                <w:rFonts w:hint="eastAsia" w:cs="宋体"/>
                <w:sz w:val="21"/>
                <w:szCs w:val="21"/>
                <w:u w:val="none"/>
              </w:rPr>
            </w:pPr>
            <w:r>
              <w:rPr>
                <w:rFonts w:hint="eastAsia" w:cs="宋体"/>
                <w:sz w:val="21"/>
                <w:szCs w:val="21"/>
                <w:u w:val="none"/>
              </w:rPr>
              <w:t>灯具</w:t>
            </w:r>
          </w:p>
        </w:tc>
        <w:tc>
          <w:tcPr>
            <w:tcW w:w="2517" w:type="dxa"/>
            <w:tcBorders>
              <w:top w:val="single" w:color="000000" w:sz="4" w:space="0"/>
              <w:left w:val="single" w:color="000000" w:sz="4" w:space="0"/>
              <w:bottom w:val="single" w:color="000000" w:sz="4" w:space="0"/>
              <w:right w:val="single" w:color="000000" w:sz="4" w:space="0"/>
            </w:tcBorders>
            <w:vAlign w:val="center"/>
          </w:tcPr>
          <w:p w14:paraId="409C6E4E">
            <w:pPr>
              <w:jc w:val="center"/>
              <w:rPr>
                <w:rFonts w:hint="eastAsia" w:cs="宋体"/>
                <w:sz w:val="21"/>
                <w:szCs w:val="21"/>
                <w:u w:val="none"/>
              </w:rPr>
            </w:pPr>
            <w:r>
              <w:rPr>
                <w:rFonts w:hint="eastAsia" w:cs="宋体"/>
                <w:sz w:val="21"/>
                <w:szCs w:val="21"/>
                <w:u w:val="none"/>
              </w:rPr>
              <w:t>合格品及其以上等级</w:t>
            </w:r>
          </w:p>
        </w:tc>
        <w:tc>
          <w:tcPr>
            <w:tcW w:w="4041" w:type="dxa"/>
            <w:tcBorders>
              <w:top w:val="single" w:color="000000" w:sz="4" w:space="0"/>
              <w:left w:val="single" w:color="000000" w:sz="4" w:space="0"/>
              <w:bottom w:val="single" w:color="000000" w:sz="4" w:space="0"/>
              <w:right w:val="single" w:color="000000" w:sz="4" w:space="0"/>
            </w:tcBorders>
            <w:vAlign w:val="center"/>
          </w:tcPr>
          <w:p w14:paraId="607F3019">
            <w:pPr>
              <w:jc w:val="center"/>
              <w:rPr>
                <w:rFonts w:hint="eastAsia" w:eastAsia="宋体" w:cs="宋体"/>
                <w:sz w:val="21"/>
                <w:szCs w:val="21"/>
                <w:u w:val="none"/>
                <w:lang w:eastAsia="zh-CN"/>
              </w:rPr>
            </w:pPr>
            <w:r>
              <w:rPr>
                <w:rFonts w:hint="eastAsia" w:cs="宋体"/>
                <w:sz w:val="21"/>
                <w:szCs w:val="21"/>
                <w:u w:val="none"/>
              </w:rPr>
              <w:t>雷士、欧普、飞利浦、松下</w:t>
            </w:r>
            <w:r>
              <w:rPr>
                <w:rFonts w:hint="eastAsia" w:cs="宋体"/>
                <w:sz w:val="21"/>
                <w:szCs w:val="21"/>
                <w:u w:val="none"/>
                <w:lang w:eastAsia="zh-CN"/>
              </w:rPr>
              <w:t>、佛山</w:t>
            </w:r>
          </w:p>
        </w:tc>
      </w:tr>
      <w:tr w14:paraId="181CE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90" w:hRule="atLeast"/>
        </w:trPr>
        <w:tc>
          <w:tcPr>
            <w:tcW w:w="716" w:type="dxa"/>
            <w:tcBorders>
              <w:top w:val="single" w:color="000000" w:sz="4" w:space="0"/>
              <w:left w:val="single" w:color="000000" w:sz="4" w:space="0"/>
              <w:bottom w:val="single" w:color="000000" w:sz="4" w:space="0"/>
              <w:right w:val="single" w:color="auto" w:sz="4" w:space="0"/>
            </w:tcBorders>
            <w:vAlign w:val="center"/>
          </w:tcPr>
          <w:p w14:paraId="30BD7F1C">
            <w:pPr>
              <w:jc w:val="center"/>
              <w:rPr>
                <w:rFonts w:hint="eastAsia" w:cs="宋体"/>
                <w:sz w:val="21"/>
                <w:szCs w:val="21"/>
                <w:u w:val="none"/>
              </w:rPr>
            </w:pPr>
            <w:r>
              <w:rPr>
                <w:rFonts w:hint="eastAsia" w:cs="宋体"/>
                <w:sz w:val="21"/>
                <w:szCs w:val="21"/>
                <w:u w:val="none"/>
              </w:rPr>
              <w:t>5</w:t>
            </w:r>
          </w:p>
        </w:tc>
        <w:tc>
          <w:tcPr>
            <w:tcW w:w="1917" w:type="dxa"/>
            <w:tcBorders>
              <w:top w:val="single" w:color="000000" w:sz="4" w:space="0"/>
              <w:left w:val="single" w:color="auto" w:sz="4" w:space="0"/>
              <w:bottom w:val="single" w:color="000000" w:sz="4" w:space="0"/>
              <w:right w:val="single" w:color="000000" w:sz="4" w:space="0"/>
            </w:tcBorders>
            <w:vAlign w:val="center"/>
          </w:tcPr>
          <w:p w14:paraId="0B2AAC90">
            <w:pPr>
              <w:jc w:val="center"/>
              <w:rPr>
                <w:rFonts w:hint="eastAsia" w:cs="宋体"/>
                <w:sz w:val="21"/>
                <w:szCs w:val="21"/>
                <w:u w:val="none"/>
              </w:rPr>
            </w:pPr>
            <w:r>
              <w:rPr>
                <w:rFonts w:hint="eastAsia" w:cs="宋体"/>
                <w:sz w:val="21"/>
                <w:szCs w:val="21"/>
                <w:u w:val="none"/>
              </w:rPr>
              <w:t>给水管、排水管、电线管</w:t>
            </w:r>
          </w:p>
        </w:tc>
        <w:tc>
          <w:tcPr>
            <w:tcW w:w="2517" w:type="dxa"/>
            <w:tcBorders>
              <w:top w:val="single" w:color="000000" w:sz="4" w:space="0"/>
              <w:left w:val="single" w:color="000000" w:sz="4" w:space="0"/>
              <w:bottom w:val="single" w:color="000000" w:sz="4" w:space="0"/>
              <w:right w:val="single" w:color="000000" w:sz="4" w:space="0"/>
            </w:tcBorders>
            <w:vAlign w:val="center"/>
          </w:tcPr>
          <w:p w14:paraId="3064A5C8">
            <w:pPr>
              <w:jc w:val="center"/>
              <w:rPr>
                <w:rFonts w:hint="eastAsia" w:cs="宋体"/>
                <w:sz w:val="21"/>
                <w:szCs w:val="21"/>
                <w:u w:val="none"/>
              </w:rPr>
            </w:pPr>
            <w:r>
              <w:rPr>
                <w:rFonts w:hint="eastAsia" w:cs="宋体"/>
                <w:sz w:val="21"/>
                <w:szCs w:val="21"/>
                <w:u w:val="none"/>
              </w:rPr>
              <w:t>合格品及其以上等级</w:t>
            </w:r>
          </w:p>
        </w:tc>
        <w:tc>
          <w:tcPr>
            <w:tcW w:w="4041" w:type="dxa"/>
            <w:tcBorders>
              <w:top w:val="single" w:color="000000" w:sz="4" w:space="0"/>
              <w:left w:val="single" w:color="000000" w:sz="4" w:space="0"/>
              <w:bottom w:val="single" w:color="000000" w:sz="4" w:space="0"/>
              <w:right w:val="single" w:color="000000" w:sz="4" w:space="0"/>
            </w:tcBorders>
            <w:vAlign w:val="center"/>
          </w:tcPr>
          <w:p w14:paraId="663381D4">
            <w:pPr>
              <w:jc w:val="center"/>
              <w:rPr>
                <w:rFonts w:hint="eastAsia" w:cs="宋体"/>
                <w:sz w:val="21"/>
                <w:szCs w:val="21"/>
                <w:u w:val="none"/>
              </w:rPr>
            </w:pPr>
            <w:r>
              <w:rPr>
                <w:rFonts w:hint="eastAsia" w:cs="宋体"/>
                <w:sz w:val="21"/>
                <w:szCs w:val="21"/>
                <w:u w:val="none"/>
              </w:rPr>
              <w:t>公元、中财、联塑</w:t>
            </w:r>
          </w:p>
        </w:tc>
      </w:tr>
      <w:tr w14:paraId="033AA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 w:hRule="atLeast"/>
        </w:trPr>
        <w:tc>
          <w:tcPr>
            <w:tcW w:w="716" w:type="dxa"/>
            <w:tcBorders>
              <w:top w:val="single" w:color="000000" w:sz="4" w:space="0"/>
              <w:left w:val="single" w:color="000000" w:sz="4" w:space="0"/>
              <w:bottom w:val="single" w:color="000000" w:sz="4" w:space="0"/>
              <w:right w:val="single" w:color="auto" w:sz="4" w:space="0"/>
            </w:tcBorders>
            <w:vAlign w:val="center"/>
          </w:tcPr>
          <w:p w14:paraId="03FAC0D7">
            <w:pPr>
              <w:jc w:val="center"/>
              <w:rPr>
                <w:rFonts w:hint="eastAsia" w:eastAsia="宋体" w:cs="宋体"/>
                <w:sz w:val="21"/>
                <w:szCs w:val="21"/>
                <w:u w:val="none"/>
                <w:lang w:eastAsia="zh-CN"/>
              </w:rPr>
            </w:pPr>
            <w:r>
              <w:rPr>
                <w:rFonts w:hint="eastAsia" w:cs="宋体"/>
                <w:sz w:val="21"/>
                <w:szCs w:val="21"/>
                <w:u w:val="none"/>
                <w:lang w:val="en-US" w:eastAsia="zh-CN"/>
              </w:rPr>
              <w:t>6</w:t>
            </w:r>
          </w:p>
        </w:tc>
        <w:tc>
          <w:tcPr>
            <w:tcW w:w="1917" w:type="dxa"/>
            <w:tcBorders>
              <w:top w:val="single" w:color="000000" w:sz="4" w:space="0"/>
              <w:left w:val="single" w:color="auto" w:sz="4" w:space="0"/>
              <w:bottom w:val="single" w:color="000000" w:sz="4" w:space="0"/>
              <w:right w:val="single" w:color="000000" w:sz="4" w:space="0"/>
            </w:tcBorders>
            <w:vAlign w:val="center"/>
          </w:tcPr>
          <w:p w14:paraId="32C03376">
            <w:pPr>
              <w:widowControl/>
              <w:jc w:val="center"/>
              <w:rPr>
                <w:rFonts w:hint="eastAsia" w:cs="宋体"/>
                <w:kern w:val="0"/>
                <w:sz w:val="21"/>
                <w:szCs w:val="21"/>
                <w:u w:val="none"/>
              </w:rPr>
            </w:pPr>
            <w:r>
              <w:rPr>
                <w:rFonts w:hint="eastAsia" w:cs="宋体"/>
                <w:kern w:val="0"/>
                <w:sz w:val="21"/>
                <w:szCs w:val="21"/>
                <w:u w:val="none"/>
              </w:rPr>
              <w:t>乳胶漆</w:t>
            </w:r>
          </w:p>
        </w:tc>
        <w:tc>
          <w:tcPr>
            <w:tcW w:w="2517" w:type="dxa"/>
            <w:tcBorders>
              <w:top w:val="single" w:color="000000" w:sz="4" w:space="0"/>
              <w:left w:val="single" w:color="000000" w:sz="4" w:space="0"/>
              <w:bottom w:val="single" w:color="000000" w:sz="4" w:space="0"/>
              <w:right w:val="single" w:color="000000" w:sz="4" w:space="0"/>
            </w:tcBorders>
            <w:vAlign w:val="center"/>
          </w:tcPr>
          <w:p w14:paraId="4E1B21D6">
            <w:pPr>
              <w:widowControl/>
              <w:jc w:val="center"/>
              <w:rPr>
                <w:rFonts w:hint="eastAsia" w:cs="宋体"/>
                <w:sz w:val="21"/>
                <w:szCs w:val="21"/>
                <w:u w:val="none"/>
              </w:rPr>
            </w:pPr>
            <w:r>
              <w:rPr>
                <w:rFonts w:hint="eastAsia" w:cs="宋体"/>
                <w:sz w:val="21"/>
                <w:szCs w:val="21"/>
                <w:u w:val="none"/>
              </w:rPr>
              <w:t>合格品及其以上等级，环保等级达E</w:t>
            </w:r>
            <w:r>
              <w:rPr>
                <w:rFonts w:hint="eastAsia" w:cs="宋体"/>
                <w:sz w:val="21"/>
                <w:szCs w:val="21"/>
                <w:u w:val="none"/>
                <w:lang w:val="en-US" w:eastAsia="zh-CN"/>
              </w:rPr>
              <w:t>0</w:t>
            </w:r>
            <w:r>
              <w:rPr>
                <w:rFonts w:hint="eastAsia" w:cs="宋体"/>
                <w:sz w:val="21"/>
                <w:szCs w:val="21"/>
                <w:u w:val="none"/>
              </w:rPr>
              <w:t>级</w:t>
            </w:r>
          </w:p>
        </w:tc>
        <w:tc>
          <w:tcPr>
            <w:tcW w:w="4041" w:type="dxa"/>
            <w:tcBorders>
              <w:top w:val="single" w:color="000000" w:sz="4" w:space="0"/>
              <w:left w:val="single" w:color="000000" w:sz="4" w:space="0"/>
              <w:bottom w:val="single" w:color="000000" w:sz="4" w:space="0"/>
              <w:right w:val="single" w:color="000000" w:sz="4" w:space="0"/>
            </w:tcBorders>
            <w:vAlign w:val="center"/>
          </w:tcPr>
          <w:p w14:paraId="0C47F564">
            <w:pPr>
              <w:widowControl/>
              <w:jc w:val="center"/>
              <w:rPr>
                <w:rFonts w:hint="eastAsia" w:cs="宋体"/>
                <w:sz w:val="21"/>
                <w:szCs w:val="21"/>
                <w:u w:val="none"/>
              </w:rPr>
            </w:pPr>
            <w:r>
              <w:rPr>
                <w:rFonts w:hint="eastAsia" w:cs="宋体"/>
                <w:sz w:val="21"/>
                <w:szCs w:val="21"/>
                <w:u w:val="none"/>
              </w:rPr>
              <w:t>立邦、多乐士、华润、三棵树</w:t>
            </w:r>
          </w:p>
        </w:tc>
      </w:tr>
      <w:tr w14:paraId="43995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9" w:hRule="atLeast"/>
        </w:trPr>
        <w:tc>
          <w:tcPr>
            <w:tcW w:w="716" w:type="dxa"/>
            <w:tcBorders>
              <w:top w:val="single" w:color="000000" w:sz="4" w:space="0"/>
              <w:left w:val="single" w:color="000000" w:sz="4" w:space="0"/>
              <w:bottom w:val="single" w:color="000000" w:sz="4" w:space="0"/>
              <w:right w:val="single" w:color="auto" w:sz="4" w:space="0"/>
            </w:tcBorders>
            <w:vAlign w:val="center"/>
          </w:tcPr>
          <w:p w14:paraId="3BD72980">
            <w:pPr>
              <w:jc w:val="center"/>
              <w:rPr>
                <w:rFonts w:hint="default" w:cs="宋体"/>
                <w:sz w:val="21"/>
                <w:szCs w:val="21"/>
                <w:u w:val="none"/>
                <w:lang w:val="en-US" w:eastAsia="zh-CN"/>
              </w:rPr>
            </w:pPr>
            <w:r>
              <w:rPr>
                <w:rFonts w:hint="eastAsia" w:cs="宋体"/>
                <w:sz w:val="21"/>
                <w:szCs w:val="21"/>
                <w:u w:val="none"/>
                <w:lang w:val="en-US" w:eastAsia="zh-CN"/>
              </w:rPr>
              <w:t>7</w:t>
            </w:r>
          </w:p>
        </w:tc>
        <w:tc>
          <w:tcPr>
            <w:tcW w:w="1917" w:type="dxa"/>
            <w:tcBorders>
              <w:top w:val="single" w:color="000000" w:sz="4" w:space="0"/>
              <w:left w:val="single" w:color="auto" w:sz="4" w:space="0"/>
              <w:bottom w:val="single" w:color="000000" w:sz="4" w:space="0"/>
              <w:right w:val="single" w:color="000000" w:sz="4" w:space="0"/>
            </w:tcBorders>
            <w:vAlign w:val="center"/>
          </w:tcPr>
          <w:p w14:paraId="1F5EF18C">
            <w:pPr>
              <w:widowControl/>
              <w:jc w:val="center"/>
              <w:rPr>
                <w:rFonts w:hint="eastAsia" w:cs="宋体"/>
                <w:kern w:val="0"/>
                <w:sz w:val="21"/>
                <w:szCs w:val="21"/>
                <w:u w:val="none"/>
              </w:rPr>
            </w:pPr>
            <w:r>
              <w:rPr>
                <w:rFonts w:hint="eastAsia" w:ascii="宋体" w:hAnsi="宋体" w:cs="宋体"/>
                <w:sz w:val="21"/>
                <w:szCs w:val="21"/>
                <w:u w:val="none"/>
              </w:rPr>
              <w:t>纸面石膏板</w:t>
            </w:r>
          </w:p>
        </w:tc>
        <w:tc>
          <w:tcPr>
            <w:tcW w:w="2517" w:type="dxa"/>
            <w:tcBorders>
              <w:top w:val="single" w:color="000000" w:sz="4" w:space="0"/>
              <w:left w:val="single" w:color="000000" w:sz="4" w:space="0"/>
              <w:bottom w:val="single" w:color="000000" w:sz="4" w:space="0"/>
              <w:right w:val="single" w:color="000000" w:sz="4" w:space="0"/>
            </w:tcBorders>
            <w:vAlign w:val="center"/>
          </w:tcPr>
          <w:p w14:paraId="23485DC2">
            <w:pPr>
              <w:widowControl/>
              <w:jc w:val="center"/>
              <w:rPr>
                <w:rFonts w:hint="eastAsia" w:cs="宋体"/>
                <w:sz w:val="21"/>
                <w:szCs w:val="21"/>
                <w:u w:val="none"/>
              </w:rPr>
            </w:pPr>
            <w:r>
              <w:rPr>
                <w:rFonts w:hint="eastAsia" w:cs="宋体"/>
                <w:sz w:val="21"/>
                <w:szCs w:val="21"/>
                <w:u w:val="none"/>
              </w:rPr>
              <w:t>合格品及其以上等级</w:t>
            </w:r>
          </w:p>
        </w:tc>
        <w:tc>
          <w:tcPr>
            <w:tcW w:w="4041" w:type="dxa"/>
            <w:tcBorders>
              <w:top w:val="single" w:color="000000" w:sz="4" w:space="0"/>
              <w:left w:val="single" w:color="000000" w:sz="4" w:space="0"/>
              <w:bottom w:val="single" w:color="000000" w:sz="4" w:space="0"/>
              <w:right w:val="single" w:color="000000" w:sz="4" w:space="0"/>
            </w:tcBorders>
            <w:vAlign w:val="center"/>
          </w:tcPr>
          <w:p w14:paraId="4CBF28E0">
            <w:pPr>
              <w:widowControl/>
              <w:jc w:val="center"/>
              <w:rPr>
                <w:rFonts w:hint="eastAsia" w:cs="宋体"/>
                <w:sz w:val="21"/>
                <w:szCs w:val="21"/>
                <w:u w:val="none"/>
              </w:rPr>
            </w:pPr>
            <w:r>
              <w:rPr>
                <w:rFonts w:hint="eastAsia" w:ascii="宋体" w:hAnsi="宋体" w:cs="宋体"/>
                <w:bCs/>
                <w:spacing w:val="6"/>
                <w:sz w:val="21"/>
                <w:szCs w:val="21"/>
                <w:u w:val="none"/>
                <w:shd w:val="clear" w:color="auto" w:fill="FFFFFF"/>
              </w:rPr>
              <w:t>拉</w:t>
            </w:r>
            <w:r>
              <w:rPr>
                <w:rFonts w:hint="eastAsia" w:ascii="宋体" w:hAnsi="宋体" w:cs="宋体"/>
                <w:sz w:val="21"/>
                <w:szCs w:val="21"/>
                <w:u w:val="none"/>
              </w:rPr>
              <w:t>法基、</w:t>
            </w:r>
            <w:r>
              <w:rPr>
                <w:rFonts w:hint="eastAsia" w:ascii="宋体" w:hAnsi="宋体" w:cs="宋体"/>
                <w:bCs/>
                <w:sz w:val="21"/>
                <w:szCs w:val="21"/>
                <w:u w:val="none"/>
              </w:rPr>
              <w:t>可耐福、</w:t>
            </w:r>
            <w:r>
              <w:rPr>
                <w:rFonts w:hint="eastAsia" w:ascii="宋体" w:hAnsi="宋体" w:cs="宋体"/>
                <w:sz w:val="21"/>
                <w:szCs w:val="21"/>
                <w:u w:val="none"/>
              </w:rPr>
              <w:t>龙牌</w:t>
            </w:r>
          </w:p>
        </w:tc>
      </w:tr>
      <w:tr w14:paraId="67FD5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0" w:hRule="atLeast"/>
        </w:trPr>
        <w:tc>
          <w:tcPr>
            <w:tcW w:w="716" w:type="dxa"/>
            <w:tcBorders>
              <w:top w:val="single" w:color="000000" w:sz="4" w:space="0"/>
              <w:left w:val="single" w:color="000000" w:sz="4" w:space="0"/>
              <w:bottom w:val="single" w:color="000000" w:sz="4" w:space="0"/>
              <w:right w:val="single" w:color="auto" w:sz="4" w:space="0"/>
            </w:tcBorders>
            <w:vAlign w:val="center"/>
          </w:tcPr>
          <w:p w14:paraId="2A82FC31">
            <w:pPr>
              <w:jc w:val="center"/>
              <w:rPr>
                <w:rFonts w:hint="default" w:cs="宋体"/>
                <w:sz w:val="21"/>
                <w:szCs w:val="21"/>
                <w:u w:val="none"/>
                <w:lang w:val="en-US" w:eastAsia="zh-CN"/>
              </w:rPr>
            </w:pPr>
            <w:r>
              <w:rPr>
                <w:rFonts w:hint="eastAsia" w:cs="宋体"/>
                <w:sz w:val="21"/>
                <w:szCs w:val="21"/>
                <w:u w:val="none"/>
                <w:lang w:val="en-US" w:eastAsia="zh-CN"/>
              </w:rPr>
              <w:t>8</w:t>
            </w:r>
          </w:p>
        </w:tc>
        <w:tc>
          <w:tcPr>
            <w:tcW w:w="1917" w:type="dxa"/>
            <w:tcBorders>
              <w:top w:val="single" w:color="000000" w:sz="4" w:space="0"/>
              <w:left w:val="single" w:color="auto" w:sz="4" w:space="0"/>
              <w:bottom w:val="single" w:color="000000" w:sz="4" w:space="0"/>
              <w:right w:val="single" w:color="000000" w:sz="4" w:space="0"/>
            </w:tcBorders>
            <w:vAlign w:val="center"/>
          </w:tcPr>
          <w:p w14:paraId="31C80959">
            <w:pPr>
              <w:widowControl/>
              <w:jc w:val="center"/>
              <w:rPr>
                <w:rFonts w:hint="eastAsia" w:ascii="宋体" w:hAnsi="宋体" w:cs="宋体"/>
                <w:sz w:val="21"/>
                <w:szCs w:val="21"/>
                <w:u w:val="none"/>
              </w:rPr>
            </w:pPr>
            <w:r>
              <w:rPr>
                <w:rFonts w:hint="eastAsia" w:ascii="宋体" w:hAnsi="宋体" w:cs="宋体"/>
                <w:sz w:val="21"/>
                <w:szCs w:val="21"/>
                <w:u w:val="none"/>
              </w:rPr>
              <w:t>A级阻燃多层板</w:t>
            </w:r>
          </w:p>
        </w:tc>
        <w:tc>
          <w:tcPr>
            <w:tcW w:w="2517" w:type="dxa"/>
            <w:tcBorders>
              <w:top w:val="single" w:color="000000" w:sz="4" w:space="0"/>
              <w:left w:val="single" w:color="000000" w:sz="4" w:space="0"/>
              <w:bottom w:val="single" w:color="000000" w:sz="4" w:space="0"/>
              <w:right w:val="single" w:color="000000" w:sz="4" w:space="0"/>
            </w:tcBorders>
            <w:vAlign w:val="center"/>
          </w:tcPr>
          <w:p w14:paraId="21B0CFC9">
            <w:pPr>
              <w:widowControl/>
              <w:jc w:val="center"/>
              <w:rPr>
                <w:rFonts w:hint="eastAsia" w:cs="宋体"/>
                <w:sz w:val="21"/>
                <w:szCs w:val="21"/>
                <w:u w:val="none"/>
              </w:rPr>
            </w:pPr>
            <w:r>
              <w:rPr>
                <w:rFonts w:hint="eastAsia" w:cs="宋体"/>
                <w:sz w:val="21"/>
                <w:szCs w:val="21"/>
                <w:u w:val="none"/>
              </w:rPr>
              <w:t>合格品及其以上等级</w:t>
            </w:r>
          </w:p>
        </w:tc>
        <w:tc>
          <w:tcPr>
            <w:tcW w:w="4041" w:type="dxa"/>
            <w:tcBorders>
              <w:top w:val="single" w:color="000000" w:sz="4" w:space="0"/>
              <w:left w:val="single" w:color="000000" w:sz="4" w:space="0"/>
              <w:bottom w:val="single" w:color="000000" w:sz="4" w:space="0"/>
              <w:right w:val="single" w:color="000000" w:sz="4" w:space="0"/>
            </w:tcBorders>
            <w:vAlign w:val="center"/>
          </w:tcPr>
          <w:p w14:paraId="610421FF">
            <w:pPr>
              <w:widowControl/>
              <w:jc w:val="center"/>
              <w:rPr>
                <w:rFonts w:hint="eastAsia" w:ascii="宋体" w:hAnsi="宋体" w:cs="宋体"/>
                <w:bCs/>
                <w:spacing w:val="6"/>
                <w:sz w:val="21"/>
                <w:szCs w:val="21"/>
                <w:u w:val="none"/>
                <w:shd w:val="clear" w:color="auto" w:fill="FFFFFF"/>
              </w:rPr>
            </w:pPr>
            <w:r>
              <w:rPr>
                <w:rFonts w:hint="eastAsia" w:ascii="宋体" w:hAnsi="宋体" w:cs="宋体"/>
                <w:bCs/>
                <w:spacing w:val="6"/>
                <w:sz w:val="21"/>
                <w:szCs w:val="21"/>
                <w:u w:val="none"/>
                <w:shd w:val="clear" w:color="auto" w:fill="FFFFFF"/>
              </w:rPr>
              <w:t>兔宝宝、莫干山、千年舟</w:t>
            </w:r>
          </w:p>
        </w:tc>
      </w:tr>
    </w:tbl>
    <w:p w14:paraId="46955A5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cs="宋体"/>
          <w:sz w:val="21"/>
          <w:szCs w:val="21"/>
          <w:u w:val="none"/>
        </w:rPr>
      </w:pPr>
      <w:r>
        <w:rPr>
          <w:rFonts w:hint="eastAsia" w:cs="宋体"/>
          <w:sz w:val="21"/>
          <w:szCs w:val="21"/>
          <w:u w:val="none"/>
        </w:rPr>
        <w:t>注：</w:t>
      </w:r>
    </w:p>
    <w:p w14:paraId="0B7280BF">
      <w:pPr>
        <w:keepNext w:val="0"/>
        <w:keepLines w:val="0"/>
        <w:pageBreakBefore w:val="0"/>
        <w:widowControl w:val="0"/>
        <w:kinsoku/>
        <w:wordWrap/>
        <w:overflowPunct/>
        <w:topLinePunct w:val="0"/>
        <w:autoSpaceDE/>
        <w:autoSpaceDN/>
        <w:bidi w:val="0"/>
        <w:adjustRightInd/>
        <w:snapToGrid/>
        <w:spacing w:line="360" w:lineRule="auto"/>
        <w:ind w:firstLine="420" w:firstLineChars="200"/>
        <w:jc w:val="left"/>
        <w:textAlignment w:val="auto"/>
        <w:rPr>
          <w:rFonts w:hint="eastAsia" w:cs="宋体"/>
          <w:sz w:val="21"/>
          <w:szCs w:val="21"/>
          <w:u w:val="none"/>
        </w:rPr>
      </w:pPr>
      <w:r>
        <w:rPr>
          <w:rFonts w:hint="eastAsia" w:cs="宋体"/>
          <w:sz w:val="21"/>
          <w:szCs w:val="21"/>
          <w:u w:val="none"/>
        </w:rPr>
        <w:t>1、以上材料在进场前须经建设单位和设计单位认可，建设单位有权在颜色、样式、用量、材质、配置等方面做出适当调整，但价格不予调整。</w:t>
      </w:r>
    </w:p>
    <w:p w14:paraId="42DC7C0B">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cs="宋体"/>
          <w:sz w:val="21"/>
          <w:szCs w:val="21"/>
          <w:u w:val="none"/>
          <w:lang w:val="zh-CN"/>
        </w:rPr>
      </w:pPr>
      <w:r>
        <w:rPr>
          <w:rFonts w:hint="eastAsia" w:cs="宋体"/>
          <w:sz w:val="21"/>
          <w:szCs w:val="21"/>
          <w:u w:val="none"/>
        </w:rPr>
        <w:t>2、投标人投标时需选择某一具体品牌。如投标人采用推荐品牌以外的其他产品供货的，质量和性能等技术指标必须优于或者相当于推荐品牌。一旦中标，中标人不得以任何理由更换推荐品牌,并于领取中标通知书后三天内向建设单位提供样品，经建设单位认可后方可签订合同。</w:t>
      </w:r>
      <w:r>
        <w:rPr>
          <w:rFonts w:hint="eastAsia" w:cs="宋体"/>
          <w:sz w:val="21"/>
          <w:szCs w:val="21"/>
          <w:u w:val="none"/>
          <w:lang w:val="zh-CN"/>
        </w:rPr>
        <w:t>如选定品牌的产品因停产或特殊原因导致无法采购，投标人需提供书面依据，并补充同档次品牌且必须报招标人确认后采购，优先选择招标文件推荐品牌，投标人不得由此而提出对合同价格进行调整。</w:t>
      </w:r>
    </w:p>
    <w:p w14:paraId="3A4A169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7C128D"/>
    <w:rsid w:val="017C1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customStyle="1" w:styleId="2">
    <w:name w:val="Default"/>
    <w:autoRedefine/>
    <w:qFormat/>
    <w:uiPriority w:val="0"/>
    <w:pPr>
      <w:widowControl w:val="0"/>
    </w:pPr>
    <w:rPr>
      <w:rFonts w:ascii="宋体" w:hAnsi="宋体" w:eastAsia="宋体" w:cs="宋体"/>
      <w:color w:val="000000"/>
      <w:sz w:val="24"/>
      <w:szCs w:val="24"/>
      <w:lang w:val="en-US" w:eastAsia="zh-CN" w:bidi="ar-SA"/>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2026-09-07T03:16:00Z</dcterms:created>
  <dc:creator>17192</dc:creator>
  <cp:lastModifiedBy>17192</cp:lastModifiedBy>
  <dcterms:modified xsi:type="dcterms:W3CDTF">2026-09-07T03:17:14Z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DAAF0E4EF5CE45369762A07E9E3FDEE3_11</vt:lpwstr>
  </property>
  <property fmtid="{D5CDD505-2E9C-101B-9397-08002B2CF9AE}" pid="4" name="KSOTemplateDocerSaveRecord">
    <vt:lpwstr>eyJoZGlkIjoiMjZkNGE1MjRlYzhlZWZlNmJmZDAyYzYzOTYyZjMyNGQiLCJ1c2VySWQiOiIyMzYzOTM2MjQifQ==</vt:lpwstr>
  </property>
</Properties>
</file>