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A86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</w:pPr>
      <w:bookmarkStart w:id="0" w:name="OLE_LINK24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t>项目需求</w:t>
      </w:r>
    </w:p>
    <w:p w14:paraId="515A5C89">
      <w:pPr>
        <w:pStyle w:val="2"/>
        <w:keepNext/>
        <w:spacing w:before="120" w:after="60" w:line="360" w:lineRule="exact"/>
        <w:ind w:left="0" w:right="0" w:firstLine="480"/>
        <w:jc w:val="both"/>
        <w:rPr>
          <w:rFonts w:hint="eastAsia" w:ascii="黑体" w:hAnsi="黑体" w:eastAsia="黑体" w:cs="黑体"/>
        </w:rPr>
      </w:pPr>
      <w:bookmarkStart w:id="1" w:name="OLE_LINK20"/>
      <w:bookmarkStart w:id="2" w:name="OLE_LINK25"/>
      <w:r>
        <w:rPr>
          <w:rFonts w:hint="eastAsia" w:ascii="宋体" w:hAnsi="宋体" w:eastAsia="宋体" w:cs="宋体"/>
          <w:b/>
          <w:color w:val="000000"/>
          <w:sz w:val="24"/>
        </w:rPr>
        <w:t>一、项目概况</w:t>
      </w:r>
    </w:p>
    <w:p w14:paraId="469D9197">
      <w:pPr>
        <w:keepNext w:val="0"/>
        <w:spacing w:before="0" w:after="40" w:line="360" w:lineRule="exact"/>
        <w:ind w:firstLine="480"/>
        <w:jc w:val="both"/>
      </w:pP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1</w:t>
      </w:r>
      <w:r>
        <w:rPr>
          <w:rFonts w:ascii="宋体" w:hAnsi="宋体" w:eastAsia="宋体" w:cs="宋体"/>
          <w:color w:val="000000"/>
          <w:sz w:val="24"/>
        </w:rPr>
        <w:t>、项目名称：</w:t>
      </w:r>
      <w:bookmarkStart w:id="3" w:name="_GoBack"/>
      <w:r>
        <w:rPr>
          <w:rFonts w:ascii="宋体" w:hAnsi="宋体" w:eastAsia="宋体" w:cs="宋体"/>
          <w:color w:val="000000"/>
          <w:sz w:val="24"/>
        </w:rPr>
        <w:t>经穴学及针刺仿真训练系统</w:t>
      </w:r>
      <w:bookmarkEnd w:id="3"/>
      <w:r>
        <w:rPr>
          <w:rFonts w:ascii="宋体" w:hAnsi="宋体" w:eastAsia="宋体" w:cs="宋体"/>
          <w:color w:val="000000"/>
          <w:sz w:val="24"/>
        </w:rPr>
        <w:t>。</w:t>
      </w:r>
    </w:p>
    <w:p w14:paraId="0210EC66">
      <w:pPr>
        <w:keepNext w:val="0"/>
        <w:spacing w:before="0" w:after="40" w:line="360" w:lineRule="exact"/>
        <w:ind w:firstLine="480"/>
        <w:jc w:val="both"/>
      </w:pP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2</w:t>
      </w:r>
      <w:r>
        <w:rPr>
          <w:rFonts w:ascii="宋体" w:hAnsi="宋体" w:eastAsia="宋体" w:cs="宋体"/>
          <w:color w:val="000000"/>
          <w:sz w:val="24"/>
        </w:rPr>
        <w:t>、预算金额：9.68万元。</w:t>
      </w:r>
    </w:p>
    <w:p w14:paraId="2D280FF8">
      <w:pPr>
        <w:keepNext w:val="0"/>
        <w:spacing w:before="0" w:after="40" w:line="360" w:lineRule="exact"/>
        <w:ind w:firstLine="480"/>
        <w:jc w:val="both"/>
      </w:pP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3、</w:t>
      </w:r>
      <w:r>
        <w:rPr>
          <w:rFonts w:ascii="宋体" w:hAnsi="宋体" w:eastAsia="宋体" w:cs="宋体"/>
          <w:color w:val="000000"/>
          <w:sz w:val="24"/>
        </w:rPr>
        <w:t>质保期：不少于2年，自</w:t>
      </w:r>
      <w:r>
        <w:rPr>
          <w:rFonts w:hint="eastAsia" w:cs="宋体"/>
          <w:color w:val="000000"/>
          <w:sz w:val="24"/>
          <w:lang w:val="en-US" w:eastAsia="zh-CN"/>
        </w:rPr>
        <w:t>项目整体</w:t>
      </w:r>
      <w:r>
        <w:rPr>
          <w:rFonts w:ascii="宋体" w:hAnsi="宋体" w:eastAsia="宋体" w:cs="宋体"/>
          <w:color w:val="000000"/>
          <w:sz w:val="24"/>
        </w:rPr>
        <w:t>验收合格之日起计算。</w:t>
      </w:r>
    </w:p>
    <w:p w14:paraId="16DCFA42">
      <w:pPr>
        <w:keepNext w:val="0"/>
        <w:spacing w:before="0" w:after="40" w:line="360" w:lineRule="exact"/>
        <w:ind w:firstLine="480"/>
        <w:jc w:val="both"/>
      </w:pP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4、</w:t>
      </w:r>
      <w:r>
        <w:rPr>
          <w:rFonts w:ascii="宋体" w:hAnsi="宋体" w:eastAsia="宋体" w:cs="宋体"/>
          <w:color w:val="000000"/>
          <w:sz w:val="24"/>
        </w:rPr>
        <w:t>是否含有进口产品：否，不接受进口产品。</w:t>
      </w:r>
    </w:p>
    <w:p w14:paraId="22AAEBBC">
      <w:pPr>
        <w:keepNext w:val="0"/>
        <w:spacing w:before="0" w:after="40" w:line="360" w:lineRule="exact"/>
        <w:ind w:firstLine="480"/>
        <w:jc w:val="both"/>
      </w:pP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5</w:t>
      </w:r>
      <w:r>
        <w:rPr>
          <w:rFonts w:ascii="宋体" w:hAnsi="宋体" w:eastAsia="宋体" w:cs="宋体"/>
          <w:color w:val="000000"/>
          <w:sz w:val="24"/>
        </w:rPr>
        <w:t>、是否自行踏勘现场：否。</w:t>
      </w:r>
    </w:p>
    <w:p w14:paraId="4C0093BA">
      <w:pPr>
        <w:keepNext w:val="0"/>
        <w:spacing w:before="0" w:after="40" w:line="360" w:lineRule="exact"/>
        <w:ind w:firstLine="480"/>
        <w:jc w:val="both"/>
      </w:pP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6</w:t>
      </w:r>
      <w:r>
        <w:rPr>
          <w:rFonts w:ascii="宋体" w:hAnsi="宋体" w:eastAsia="宋体" w:cs="宋体"/>
          <w:color w:val="000000"/>
          <w:sz w:val="24"/>
        </w:rPr>
        <w:t>、核心产品：无，本项目为单一产品采购。</w:t>
      </w:r>
    </w:p>
    <w:p w14:paraId="5227DCCF">
      <w:pPr>
        <w:spacing w:before="0" w:after="0" w:line="360" w:lineRule="exact"/>
        <w:ind w:left="0" w:right="0" w:firstLine="480"/>
        <w:jc w:val="both"/>
      </w:pP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>7、采购内容：</w:t>
      </w:r>
      <w:r>
        <w:rPr>
          <w:rFonts w:ascii="宋体" w:hAnsi="宋体" w:eastAsia="宋体" w:cs="宋体"/>
          <w:color w:val="000000"/>
          <w:sz w:val="24"/>
        </w:rPr>
        <w:t>拟购置经穴学及针刺仿真训练系统1台，用于针灸推拿、中医学等专业教学。通过仿真模型、穴位检测及配套教学软件，开展腧穴定位、针刺训练和技能考核，补充现有静态模型的教学功能。</w:t>
      </w:r>
    </w:p>
    <w:p w14:paraId="0EE572B1">
      <w:pPr>
        <w:pStyle w:val="2"/>
        <w:keepNext/>
        <w:spacing w:before="120" w:after="60" w:line="360" w:lineRule="exact"/>
        <w:ind w:left="0" w:right="0" w:firstLine="480"/>
        <w:jc w:val="both"/>
      </w:pPr>
      <w:r>
        <w:rPr>
          <w:rFonts w:hint="eastAsia" w:ascii="宋体" w:hAnsi="宋体" w:eastAsia="宋体" w:cs="宋体"/>
          <w:b/>
          <w:color w:val="000000"/>
          <w:sz w:val="24"/>
        </w:rPr>
        <w:t>二、主要技术参数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1134"/>
        <w:gridCol w:w="5357"/>
        <w:gridCol w:w="679"/>
        <w:gridCol w:w="783"/>
        <w:gridCol w:w="1259"/>
      </w:tblGrid>
      <w:tr w14:paraId="2D014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25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9ACCED">
            <w:pPr>
              <w:keepLines/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/>
                <w:color w:val="000000"/>
                <w:sz w:val="24"/>
              </w:rPr>
              <w:t>序号</w:t>
            </w:r>
          </w:p>
        </w:tc>
        <w:tc>
          <w:tcPr>
            <w:tcW w:w="1134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E7A7F7">
            <w:pPr>
              <w:keepLines/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/>
                <w:color w:val="000000"/>
                <w:sz w:val="24"/>
              </w:rPr>
              <w:t>名称</w:t>
            </w:r>
          </w:p>
        </w:tc>
        <w:tc>
          <w:tcPr>
            <w:tcW w:w="5357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67E90C">
            <w:pPr>
              <w:keepLines/>
              <w:spacing w:before="0" w:after="0" w:line="360" w:lineRule="exact"/>
              <w:ind w:left="0" w:right="0" w:firstLine="0"/>
              <w:jc w:val="center"/>
            </w:pPr>
            <w:r>
              <w:rPr>
                <w:rFonts w:hint="eastAsia" w:ascii="宋体" w:hAnsi="宋体" w:cs="宋体"/>
                <w:b/>
                <w:color w:val="000000"/>
                <w:sz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 w:cs="宋体"/>
                <w:b/>
                <w:color w:val="000000"/>
                <w:sz w:val="24"/>
                <w:lang w:val="en-US" w:eastAsia="zh-CN"/>
              </w:rPr>
              <w:t>技术参数及要求</w:t>
            </w:r>
          </w:p>
        </w:tc>
        <w:tc>
          <w:tcPr>
            <w:tcW w:w="679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103FBB3">
            <w:pPr>
              <w:keepLines/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/>
                <w:color w:val="000000"/>
                <w:sz w:val="24"/>
              </w:rPr>
              <w:t>数量</w:t>
            </w:r>
          </w:p>
        </w:tc>
        <w:tc>
          <w:tcPr>
            <w:tcW w:w="783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B871F36">
            <w:pPr>
              <w:keepLines/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/>
                <w:color w:val="000000"/>
                <w:sz w:val="24"/>
              </w:rPr>
              <w:t>单位</w:t>
            </w:r>
          </w:p>
        </w:tc>
        <w:tc>
          <w:tcPr>
            <w:tcW w:w="1259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A980B7">
            <w:pPr>
              <w:keepLines/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/>
                <w:color w:val="000000"/>
                <w:sz w:val="24"/>
              </w:rPr>
              <w:t>备注</w:t>
            </w:r>
          </w:p>
        </w:tc>
      </w:tr>
      <w:tr w14:paraId="5F07A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C6D9F70">
            <w:pPr>
              <w:keepLines/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</w:t>
            </w:r>
          </w:p>
        </w:tc>
        <w:tc>
          <w:tcPr>
            <w:tcW w:w="1134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55FC00">
            <w:pPr>
              <w:keepLines/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经穴学及针刺仿真训练系统</w:t>
            </w:r>
          </w:p>
        </w:tc>
        <w:tc>
          <w:tcPr>
            <w:tcW w:w="5357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23B4009">
            <w:pPr>
              <w:keepLines/>
              <w:spacing w:before="0" w:after="20" w:line="360" w:lineRule="exact"/>
              <w:ind w:left="0" w:right="0" w:firstLine="480"/>
              <w:jc w:val="both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1、系统组成：包含成人仿真模型、穴位检测装置、配套教学软件，以及运行系统所必需的专用控制和显示部件，各部分可联动使用。</w:t>
            </w:r>
          </w:p>
          <w:p w14:paraId="13AE1D33">
            <w:pPr>
              <w:keepLines/>
              <w:spacing w:before="0" w:after="20" w:line="360" w:lineRule="exact"/>
              <w:ind w:left="0" w:right="0" w:firstLine="480"/>
              <w:jc w:val="both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2、仿真模型：采用成人上半身或全身模型，使用适合反复针刺训练的仿真材料，具有可辨识的体表及解剖标志，满足触摸定位和针刺练习需要。</w:t>
            </w:r>
          </w:p>
          <w:p w14:paraId="27241298">
            <w:pPr>
              <w:keepLines/>
              <w:spacing w:before="0" w:after="20" w:line="360" w:lineRule="exact"/>
              <w:ind w:left="0" w:right="0" w:firstLine="480"/>
              <w:jc w:val="both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★3、穴位检测：可智能识别的不同穴名数量≥5</w:t>
            </w:r>
            <w:r>
              <w:rPr>
                <w:rFonts w:hint="eastAsia" w:ascii="宋体" w:hAnsi="宋体" w:eastAsia="宋体" w:cs="宋体"/>
                <w:b w:val="0"/>
                <w:color w:val="000000"/>
                <w:sz w:val="24"/>
                <w:lang w:val="en-US" w:eastAsia="zh-CN"/>
              </w:rPr>
              <w:t>2</w:t>
            </w: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个，支持毫针刺入识别和结果反馈。穴位目录及计数要求见附件1，投标人应逐项响应。</w:t>
            </w:r>
          </w:p>
          <w:p w14:paraId="6C652EB8">
            <w:pPr>
              <w:keepLines/>
              <w:spacing w:before="0" w:after="20" w:line="360" w:lineRule="exact"/>
              <w:ind w:left="0" w:right="0" w:firstLine="480"/>
              <w:jc w:val="both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4、穴位标记：采用隐性标记或可隐藏提示的方式，能够在不直接显示穴位答案的条件下进行定位、针刺训练及考核。</w:t>
            </w:r>
          </w:p>
          <w:p w14:paraId="2DA50986">
            <w:pPr>
              <w:keepLines/>
              <w:spacing w:before="0" w:after="20" w:line="360" w:lineRule="exact"/>
              <w:ind w:left="0" w:right="0" w:firstLine="480"/>
              <w:jc w:val="both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5、训练模式：支持认穴、定位和刺穴练习，可选择训练穴位，并提供操作提示及结果反馈。</w:t>
            </w:r>
          </w:p>
          <w:p w14:paraId="54EB3DBE">
            <w:pPr>
              <w:keepLines/>
              <w:spacing w:before="0" w:after="20" w:line="360" w:lineRule="exact"/>
              <w:ind w:left="0" w:right="0" w:firstLine="480"/>
              <w:jc w:val="both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6、反馈方式：针刺操作后，能够通过屏幕显示和语音提示反馈相应穴位信息及操作结果。</w:t>
            </w:r>
          </w:p>
          <w:p w14:paraId="7294D9CC">
            <w:pPr>
              <w:keepLines/>
              <w:spacing w:before="0" w:after="20" w:line="360" w:lineRule="exact"/>
              <w:ind w:left="0" w:right="0" w:firstLine="480"/>
              <w:jc w:val="both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7、考核模式：支持选择考核穴位并进行测试，考核过程中可隐藏答案提示，依据学生操作自动判定结果。</w:t>
            </w:r>
          </w:p>
          <w:p w14:paraId="0A313C01">
            <w:pPr>
              <w:keepLines/>
              <w:spacing w:before="0" w:after="20" w:line="360" w:lineRule="exact"/>
              <w:ind w:left="0" w:right="0" w:firstLine="480"/>
              <w:jc w:val="both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8、成绩记录：能够自动记录考核结果及成绩，支持教师查看学生操作完成情况。</w:t>
            </w:r>
          </w:p>
          <w:p w14:paraId="21DB79E4">
            <w:pPr>
              <w:keepLines/>
              <w:spacing w:before="0" w:after="20" w:line="360" w:lineRule="exact"/>
              <w:ind w:left="0" w:right="0" w:firstLine="480"/>
              <w:jc w:val="both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9、穴位知识：配套软件提供穴位名称、代码、所属经络、定位、主治及针刺方法等教学内容，可与模型训练穴位对应查询。</w:t>
            </w:r>
          </w:p>
          <w:p w14:paraId="40571B91">
            <w:pPr>
              <w:keepLines/>
              <w:spacing w:before="0" w:after="20" w:line="360" w:lineRule="exact"/>
              <w:ind w:left="0" w:right="0" w:firstLine="480"/>
              <w:jc w:val="both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10、经络教学：动态展示十二经脉循行及流注，包含经脉表里关系、特定穴分布。</w:t>
            </w:r>
          </w:p>
          <w:p w14:paraId="736C5B47">
            <w:pPr>
              <w:keepLines/>
              <w:spacing w:before="0" w:after="20" w:line="360" w:lineRule="exact"/>
              <w:ind w:left="0" w:right="0" w:firstLine="480"/>
              <w:jc w:val="both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11、解剖图谱：包含穴位表层、浅层及深层解剖图谱，支持图文对应展示。</w:t>
            </w:r>
          </w:p>
          <w:p w14:paraId="2763344C">
            <w:pPr>
              <w:keepLines/>
              <w:spacing w:before="0" w:after="20" w:line="360" w:lineRule="exact"/>
              <w:ind w:left="0" w:right="0" w:firstLine="480"/>
              <w:jc w:val="both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12、选穴查询：按附件2所列常见病提供辨证选穴和随证选穴查询，可查看相应主穴、配穴及针灸处方。</w:t>
            </w:r>
          </w:p>
          <w:p w14:paraId="239AE190">
            <w:pPr>
              <w:keepLines/>
              <w:spacing w:before="0" w:after="20" w:line="360" w:lineRule="exact"/>
              <w:ind w:left="0" w:right="0" w:firstLine="480"/>
              <w:jc w:val="both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13、运行要求：支持单台设备独立完成教学、训练和考核，软件采用中文操作界面，设备、检测装置与软件配套运行。</w:t>
            </w:r>
          </w:p>
          <w:p w14:paraId="38235F4C">
            <w:pPr>
              <w:keepLines/>
              <w:spacing w:before="0" w:after="20" w:line="360" w:lineRule="exact"/>
              <w:ind w:left="0" w:right="0" w:firstLine="480"/>
              <w:jc w:val="both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14、配置要求：提供仿真模型1套、穴位检测装置1套（可集成于模型）、配套教学软件1套及必要的专用控制显示部件、连接线缆、操作说明书和使用维护资料。报价包含整套系统正常运行所需的配置及软件使用费用。</w:t>
            </w:r>
          </w:p>
        </w:tc>
        <w:tc>
          <w:tcPr>
            <w:tcW w:w="679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EB669E">
            <w:pPr>
              <w:keepLines/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</w:t>
            </w:r>
          </w:p>
        </w:tc>
        <w:tc>
          <w:tcPr>
            <w:tcW w:w="783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B0B37A5">
            <w:pPr>
              <w:keepLines/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台</w:t>
            </w:r>
          </w:p>
        </w:tc>
        <w:tc>
          <w:tcPr>
            <w:tcW w:w="1259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F955E50">
            <w:pPr>
              <w:spacing w:before="0" w:after="0" w:line="360" w:lineRule="exact"/>
              <w:ind w:left="0" w:right="0" w:firstLine="480"/>
              <w:jc w:val="both"/>
            </w:pPr>
          </w:p>
        </w:tc>
      </w:tr>
    </w:tbl>
    <w:p w14:paraId="3D7371C9">
      <w:pPr>
        <w:spacing w:before="0" w:after="0" w:line="360" w:lineRule="exact"/>
        <w:ind w:left="0" w:right="0" w:firstLine="480"/>
        <w:jc w:val="both"/>
      </w:pPr>
      <w:r>
        <w:rPr>
          <w:rFonts w:ascii="宋体" w:hAnsi="宋体" w:eastAsia="宋体" w:cs="宋体"/>
          <w:color w:val="000000"/>
          <w:sz w:val="24"/>
        </w:rPr>
        <w:t>注：“★”为核心技术参数。</w:t>
      </w:r>
    </w:p>
    <w:p w14:paraId="107D3E13">
      <w:pPr>
        <w:pStyle w:val="2"/>
        <w:keepNext/>
        <w:spacing w:before="120" w:after="60" w:line="360" w:lineRule="exact"/>
        <w:ind w:left="0" w:right="0" w:firstLine="480"/>
        <w:jc w:val="both"/>
        <w:rPr>
          <w:rFonts w:hint="eastAsia" w:ascii="黑体" w:hAnsi="黑体" w:eastAsia="黑体" w:cs="黑体"/>
        </w:rPr>
      </w:pPr>
      <w:r>
        <w:rPr>
          <w:rFonts w:hint="eastAsia" w:ascii="宋体" w:hAnsi="宋体" w:eastAsia="宋体" w:cs="宋体"/>
          <w:b/>
          <w:color w:val="000000"/>
          <w:sz w:val="24"/>
        </w:rPr>
        <w:t>三、质量和服务要求</w:t>
      </w:r>
    </w:p>
    <w:p w14:paraId="2AD63314">
      <w:pPr>
        <w:keepNext/>
        <w:spacing w:before="120" w:after="60" w:line="360" w:lineRule="exact"/>
        <w:ind w:left="0" w:right="0" w:firstLine="480"/>
        <w:jc w:val="both"/>
      </w:pPr>
      <w:r>
        <w:rPr>
          <w:rFonts w:ascii="宋体" w:hAnsi="宋体" w:eastAsia="宋体" w:cs="宋体"/>
          <w:b/>
          <w:color w:val="000000"/>
          <w:sz w:val="24"/>
        </w:rPr>
        <w:t>1、产品质量</w:t>
      </w:r>
    </w:p>
    <w:p w14:paraId="11FED1AD">
      <w:pPr>
        <w:spacing w:before="0" w:after="0" w:line="360" w:lineRule="exact"/>
        <w:ind w:left="0" w:right="0" w:firstLine="480"/>
        <w:jc w:val="both"/>
      </w:pPr>
      <w:r>
        <w:rPr>
          <w:rFonts w:ascii="宋体" w:hAnsi="宋体" w:eastAsia="宋体" w:cs="宋体"/>
          <w:color w:val="000000"/>
          <w:sz w:val="24"/>
        </w:rPr>
        <w:t>所供设备及配件应为全新原装产品，符合适用的国家标准及相关质量要求。型号、配置和功能应与投标文件及合同约定一致，提供产品合格证明、配置清单、中文操作说明书及维护资料。</w:t>
      </w:r>
    </w:p>
    <w:p w14:paraId="5049354A">
      <w:pPr>
        <w:keepNext/>
        <w:spacing w:before="120" w:after="60" w:line="360" w:lineRule="exact"/>
        <w:ind w:left="0" w:right="0" w:firstLine="480"/>
        <w:jc w:val="both"/>
      </w:pPr>
      <w:r>
        <w:rPr>
          <w:rFonts w:ascii="宋体" w:hAnsi="宋体" w:eastAsia="宋体" w:cs="宋体"/>
          <w:b/>
          <w:color w:val="000000"/>
          <w:sz w:val="24"/>
        </w:rPr>
        <w:t>2、供货及安装</w:t>
      </w:r>
    </w:p>
    <w:p w14:paraId="683DB244">
      <w:pPr>
        <w:spacing w:before="0" w:after="0" w:line="360" w:lineRule="exact"/>
        <w:ind w:left="0" w:right="0" w:firstLine="480"/>
        <w:jc w:val="both"/>
      </w:pPr>
      <w:r>
        <w:rPr>
          <w:rFonts w:ascii="宋体" w:hAnsi="宋体" w:eastAsia="宋体" w:cs="宋体"/>
          <w:color w:val="000000"/>
          <w:sz w:val="24"/>
        </w:rPr>
        <w:t>合同签订后30天内，将设备运抵江苏医药职业学院校内指定地点。接到采购人安装通知后15天内完成安装及调试。运输、搬运、安装、调试及相关费用均包含在报价中。</w:t>
      </w:r>
    </w:p>
    <w:p w14:paraId="25CBEE4A">
      <w:pPr>
        <w:keepNext/>
        <w:spacing w:before="120" w:after="60" w:line="360" w:lineRule="exact"/>
        <w:ind w:left="0" w:right="0" w:firstLine="480"/>
        <w:jc w:val="both"/>
      </w:pPr>
      <w:r>
        <w:rPr>
          <w:rFonts w:ascii="宋体" w:hAnsi="宋体" w:eastAsia="宋体" w:cs="宋体"/>
          <w:b/>
          <w:color w:val="000000"/>
          <w:sz w:val="24"/>
        </w:rPr>
        <w:t>3、操作培训</w:t>
      </w:r>
    </w:p>
    <w:p w14:paraId="72356F01">
      <w:pPr>
        <w:spacing w:before="0" w:after="0" w:line="360" w:lineRule="exact"/>
        <w:ind w:left="0" w:right="0" w:firstLine="480"/>
        <w:jc w:val="both"/>
      </w:pPr>
      <w:r>
        <w:rPr>
          <w:rFonts w:ascii="宋体" w:hAnsi="宋体" w:eastAsia="宋体" w:cs="宋体"/>
          <w:color w:val="000000"/>
          <w:sz w:val="24"/>
        </w:rPr>
        <w:t>安装调试完成后，由中标供应商安排技术人员开展免费现场培训。培训内容包括模型使用、腧穴定位和针刺训练、软件操作、考核设置、成绩查看、日常维护及常见故障处理，直至使用人员能够独立操作。</w:t>
      </w:r>
    </w:p>
    <w:p w14:paraId="1537EB66">
      <w:pPr>
        <w:keepNext/>
        <w:spacing w:before="120" w:after="60" w:line="360" w:lineRule="exact"/>
        <w:ind w:left="0" w:right="0" w:firstLine="480"/>
        <w:jc w:val="both"/>
      </w:pPr>
      <w:r>
        <w:rPr>
          <w:rFonts w:ascii="宋体" w:hAnsi="宋体" w:eastAsia="宋体" w:cs="宋体"/>
          <w:b/>
          <w:color w:val="000000"/>
          <w:sz w:val="24"/>
        </w:rPr>
        <w:t>4、质保及售后</w:t>
      </w:r>
    </w:p>
    <w:p w14:paraId="07540E74">
      <w:pPr>
        <w:spacing w:before="0" w:after="0" w:line="360" w:lineRule="exact"/>
        <w:ind w:left="0" w:right="0" w:firstLine="480"/>
        <w:jc w:val="both"/>
      </w:pPr>
      <w:r>
        <w:rPr>
          <w:rFonts w:ascii="宋体" w:hAnsi="宋体" w:eastAsia="宋体" w:cs="宋体"/>
          <w:color w:val="000000"/>
          <w:sz w:val="24"/>
        </w:rPr>
        <w:t>(1)提供不少于2年的免费质保，自验收合格之日起计算。质保期内因产品质量或设备本身问题发生故障，由中标供应商免费维修或更换，并承担相关费用。</w:t>
      </w:r>
    </w:p>
    <w:p w14:paraId="29A67932">
      <w:pPr>
        <w:spacing w:before="0" w:after="0" w:line="360" w:lineRule="exact"/>
        <w:ind w:left="0" w:right="0" w:firstLine="480"/>
        <w:jc w:val="both"/>
      </w:pPr>
      <w:r>
        <w:rPr>
          <w:rFonts w:ascii="宋体" w:hAnsi="宋体" w:eastAsia="宋体" w:cs="宋体"/>
          <w:color w:val="000000"/>
          <w:sz w:val="24"/>
        </w:rPr>
        <w:t>(2)接到服务通知后4小时内响应；需要现场处理的，8小时内到达现场，48小时内处理完毕。未能在48小时内有效解决的，免费提供同档次设备供采购人临时使用。</w:t>
      </w:r>
    </w:p>
    <w:p w14:paraId="51E6FA60">
      <w:pPr>
        <w:spacing w:before="0" w:after="0" w:line="360" w:lineRule="exact"/>
        <w:ind w:left="0" w:right="0" w:firstLine="480"/>
        <w:jc w:val="both"/>
      </w:pPr>
      <w:r>
        <w:rPr>
          <w:rFonts w:ascii="宋体" w:hAnsi="宋体" w:eastAsia="宋体" w:cs="宋体"/>
          <w:color w:val="000000"/>
          <w:sz w:val="24"/>
        </w:rPr>
        <w:t>(3)提供售后服务人员名单、联系方式及报修途径。质保期外的服务响应时间与质保期内一致，备品备件以合理优惠价格供应，并持续提供技术支持。</w:t>
      </w:r>
    </w:p>
    <w:p w14:paraId="17455C6D">
      <w:pPr>
        <w:keepNext/>
        <w:spacing w:before="120" w:after="60" w:line="360" w:lineRule="exact"/>
        <w:ind w:left="0" w:right="0" w:firstLine="480"/>
        <w:jc w:val="both"/>
      </w:pPr>
      <w:r>
        <w:rPr>
          <w:rFonts w:ascii="宋体" w:hAnsi="宋体" w:eastAsia="宋体" w:cs="宋体"/>
          <w:b/>
          <w:color w:val="000000"/>
          <w:sz w:val="24"/>
        </w:rPr>
        <w:t>5、验收方法及标准</w:t>
      </w:r>
    </w:p>
    <w:p w14:paraId="7F871BAF">
      <w:pPr>
        <w:spacing w:before="0" w:after="0" w:line="360" w:lineRule="exact"/>
        <w:ind w:left="0" w:right="0" w:firstLine="480"/>
        <w:jc w:val="both"/>
      </w:pPr>
      <w:r>
        <w:rPr>
          <w:rFonts w:ascii="宋体" w:hAnsi="宋体" w:eastAsia="宋体" w:cs="宋体"/>
          <w:color w:val="000000"/>
          <w:sz w:val="24"/>
        </w:rPr>
        <w:t>(1)设备发运前，供应商应检查产品质量、配置及运行状态，随设备提供出厂检验合格证明。</w:t>
      </w:r>
    </w:p>
    <w:p w14:paraId="14A5E8C8">
      <w:pPr>
        <w:spacing w:before="0" w:after="0" w:line="360" w:lineRule="exact"/>
        <w:ind w:left="0" w:right="0" w:firstLine="480"/>
        <w:jc w:val="both"/>
      </w:pPr>
      <w:r>
        <w:rPr>
          <w:rFonts w:ascii="宋体" w:hAnsi="宋体" w:eastAsia="宋体" w:cs="宋体"/>
          <w:color w:val="000000"/>
          <w:sz w:val="24"/>
        </w:rPr>
        <w:t>(2)安装调试完成后，采购人依据招标文件、投标文件和合同约定开展验收，核对数量、配置和资料，测试穴位检测、屏幕及语音反馈、训练与考核、成绩记录和教学软件等功能，并形成验收记录。附件1、附件2作为穴位检测及选穴查询功能的核对依据。</w:t>
      </w:r>
    </w:p>
    <w:p w14:paraId="22488909">
      <w:pPr>
        <w:spacing w:before="0" w:after="0" w:line="360" w:lineRule="exact"/>
        <w:ind w:left="0" w:right="0" w:firstLine="480"/>
        <w:jc w:val="both"/>
      </w:pPr>
      <w:r>
        <w:rPr>
          <w:rFonts w:ascii="宋体" w:hAnsi="宋体" w:eastAsia="宋体" w:cs="宋体"/>
          <w:color w:val="000000"/>
          <w:sz w:val="24"/>
        </w:rPr>
        <w:t>(3)验收不合格的，供应商应按采购人要求整改或更换，并承担费用；未达到约定要求的，按合同约定处理。</w:t>
      </w:r>
    </w:p>
    <w:p w14:paraId="5446059A">
      <w:pPr>
        <w:keepNext/>
        <w:spacing w:before="120" w:after="60" w:line="360" w:lineRule="exact"/>
        <w:ind w:left="0" w:right="0" w:firstLine="480"/>
        <w:jc w:val="both"/>
      </w:pPr>
      <w:r>
        <w:rPr>
          <w:rFonts w:ascii="宋体" w:hAnsi="宋体" w:eastAsia="宋体" w:cs="宋体"/>
          <w:b/>
          <w:color w:val="000000"/>
          <w:sz w:val="24"/>
        </w:rPr>
        <w:t>6、其他要求</w:t>
      </w:r>
    </w:p>
    <w:p w14:paraId="296599F2">
      <w:pPr>
        <w:spacing w:before="0" w:after="0" w:line="360" w:lineRule="exact"/>
        <w:ind w:left="0" w:right="0" w:firstLine="480"/>
        <w:jc w:val="both"/>
      </w:pPr>
      <w:r>
        <w:rPr>
          <w:rFonts w:ascii="宋体" w:hAnsi="宋体" w:eastAsia="宋体" w:cs="宋体"/>
          <w:color w:val="000000"/>
          <w:sz w:val="24"/>
        </w:rPr>
        <w:t>提供合法的软件使用权限，保障配套软件在设备正常使用期间持续运行。明确模型皮肤、针刺部件等易损件的维护、更换方式及收费标准，交付系统的使用和维护资料。</w:t>
      </w:r>
    </w:p>
    <w:p w14:paraId="3DC18BEA">
      <w:pPr>
        <w:pStyle w:val="2"/>
        <w:keepNext/>
        <w:pageBreakBefore/>
        <w:spacing w:before="0" w:after="60" w:line="360" w:lineRule="exact"/>
        <w:ind w:left="0" w:right="0" w:firstLine="480"/>
        <w:jc w:val="both"/>
      </w:pPr>
      <w:r>
        <w:rPr>
          <w:rFonts w:ascii="宋体" w:hAnsi="宋体" w:eastAsia="宋体" w:cs="宋体"/>
          <w:b/>
          <w:color w:val="000000"/>
          <w:sz w:val="24"/>
        </w:rPr>
        <w:t>附件1 穴位目录</w:t>
      </w:r>
    </w:p>
    <w:p w14:paraId="2E9A932C">
      <w:pPr>
        <w:keepNext w:val="0"/>
        <w:spacing w:before="0" w:after="80" w:line="360" w:lineRule="exact"/>
        <w:ind w:firstLine="480"/>
        <w:jc w:val="both"/>
      </w:pPr>
      <w:r>
        <w:rPr>
          <w:rFonts w:ascii="宋体" w:hAnsi="宋体" w:eastAsia="宋体" w:cs="宋体"/>
          <w:color w:val="000000"/>
          <w:sz w:val="24"/>
        </w:rPr>
        <w:t>穴位按不同穴名计数，双侧同名穴不重复计数，四神聪按1个穴名计数。下表所列穴位应支持模型实际针刺识别，软件中的文字、图片或动画介绍不能替代模型检测。</w:t>
      </w:r>
    </w:p>
    <w:tbl>
      <w:tblPr>
        <w:tblStyle w:val="3"/>
        <w:tblW w:w="0" w:type="auto"/>
        <w:jc w:val="center"/>
        <w:tblBorders>
          <w:top w:val="single" w:color="D9D9D9" w:sz="6" w:space="0"/>
          <w:left w:val="single" w:color="D9D9D9" w:sz="6" w:space="0"/>
          <w:bottom w:val="single" w:color="D9D9D9" w:sz="6" w:space="0"/>
          <w:right w:val="single" w:color="D9D9D9" w:sz="6" w:space="0"/>
          <w:insideH w:val="single" w:color="D9D9D9" w:sz="6" w:space="0"/>
          <w:insideV w:val="single" w:color="D9D9D9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2551"/>
        <w:gridCol w:w="652"/>
        <w:gridCol w:w="2551"/>
        <w:gridCol w:w="652"/>
        <w:gridCol w:w="2551"/>
      </w:tblGrid>
      <w:tr w14:paraId="4A0F7B2D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5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6B88D36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/>
                <w:color w:val="000000"/>
                <w:sz w:val="24"/>
              </w:rPr>
              <w:t>序号</w:t>
            </w:r>
          </w:p>
        </w:tc>
        <w:tc>
          <w:tcPr>
            <w:tcW w:w="2551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F0DC6E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/>
                <w:color w:val="000000"/>
                <w:sz w:val="24"/>
              </w:rPr>
              <w:t>穴位名称</w:t>
            </w:r>
          </w:p>
        </w:tc>
        <w:tc>
          <w:tcPr>
            <w:tcW w:w="65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B71A50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/>
                <w:color w:val="000000"/>
                <w:sz w:val="24"/>
              </w:rPr>
              <w:t>序号</w:t>
            </w:r>
          </w:p>
        </w:tc>
        <w:tc>
          <w:tcPr>
            <w:tcW w:w="2551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D97DD42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/>
                <w:color w:val="000000"/>
                <w:sz w:val="24"/>
              </w:rPr>
              <w:t>穴位名称</w:t>
            </w:r>
          </w:p>
        </w:tc>
        <w:tc>
          <w:tcPr>
            <w:tcW w:w="652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0DB00F8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/>
                <w:color w:val="000000"/>
                <w:sz w:val="24"/>
              </w:rPr>
              <w:t>序号</w:t>
            </w:r>
          </w:p>
        </w:tc>
        <w:tc>
          <w:tcPr>
            <w:tcW w:w="2551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B03AD5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/>
                <w:color w:val="000000"/>
                <w:sz w:val="24"/>
              </w:rPr>
              <w:t>穴位名称</w:t>
            </w:r>
          </w:p>
        </w:tc>
      </w:tr>
      <w:tr w14:paraId="17E4E3A4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3482273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CE671D2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章门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36ED25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19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FEB0137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天柱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233126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37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952136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颧髎</w:t>
            </w:r>
          </w:p>
        </w:tc>
      </w:tr>
      <w:tr w14:paraId="7141EEF9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F1866A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2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A2BA5B1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中脘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2FD08A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20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EF85183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风池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8F4EBB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38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57D15C9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迎香</w:t>
            </w:r>
          </w:p>
        </w:tc>
      </w:tr>
      <w:tr w14:paraId="2B7CA166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DF9608D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3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774DEDA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期门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3A641DF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21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7F750B6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风府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502331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39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07CED33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水沟</w:t>
            </w:r>
          </w:p>
        </w:tc>
      </w:tr>
      <w:tr w14:paraId="32A8A336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AF9F4D2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4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3220DF6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膻中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EDFF44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22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C15D75D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翳风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64DF04F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40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EC1B6E4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承浆</w:t>
            </w:r>
          </w:p>
        </w:tc>
      </w:tr>
      <w:tr w14:paraId="3394090F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10BE246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5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57C3E3A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天突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78A0A66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23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06BD448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听会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4C4CC38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41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7A90ADE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大椎</w:t>
            </w:r>
          </w:p>
        </w:tc>
      </w:tr>
      <w:tr w14:paraId="515ED157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1B1860E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6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B2AD89E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肾俞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7E535FC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24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178127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听宫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3475EE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42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0FFFF1B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心俞</w:t>
            </w:r>
          </w:p>
        </w:tc>
      </w:tr>
      <w:tr w14:paraId="1C80B365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EB65CB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7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CFA4616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命门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B202BF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25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9C1C30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耳门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D410D3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43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E8622C2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承泣</w:t>
            </w:r>
          </w:p>
        </w:tc>
      </w:tr>
      <w:tr w14:paraId="5102BD87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FCA337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8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A3301E9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胃俞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F22119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26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6F2064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率谷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E4F1B42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44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487FD2B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四白</w:t>
            </w:r>
          </w:p>
        </w:tc>
      </w:tr>
      <w:tr w14:paraId="742224C3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38ACBE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9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98CBCB8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脾俞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A30E0C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27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0DCEDE2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四神聪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86EBB49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45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D980A5B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地仓</w:t>
            </w:r>
          </w:p>
        </w:tc>
      </w:tr>
      <w:tr w14:paraId="2F3DE5C1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D29856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10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A5C6AA5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肝俞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8F1321C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28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166C2D7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百会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B77E82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46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5587DCD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颊车</w:t>
            </w:r>
          </w:p>
        </w:tc>
      </w:tr>
      <w:tr w14:paraId="16D87088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9C06509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11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E9C52C1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膈俞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A18F1D6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29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95BF11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上星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5192421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47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ADD5435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下关</w:t>
            </w:r>
          </w:p>
        </w:tc>
      </w:tr>
      <w:tr w14:paraId="5FC10720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677ECA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12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0312D7A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至阳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09FEE0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30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CB1B33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神庭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C417C2A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48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3D3C334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睛明</w:t>
            </w:r>
          </w:p>
        </w:tc>
      </w:tr>
      <w:tr w14:paraId="45D2C7CE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D1B0853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13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604FE8A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膏肓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AA8F436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31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9EDFFD7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阳白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104F9A2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49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309BC66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攒竹</w:t>
            </w:r>
          </w:p>
        </w:tc>
      </w:tr>
      <w:tr w14:paraId="3D5B2CBA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3BCD160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14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1AB09D3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肺俞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58AAF2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32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6E5551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太阳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7F122CD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50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D9BF79C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头维</w:t>
            </w:r>
          </w:p>
        </w:tc>
      </w:tr>
      <w:tr w14:paraId="5EAF1294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33492AA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15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7E18122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天宗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067DA1B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33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B4C616D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丝竹空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01F6ABF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51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BC28713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中府</w:t>
            </w:r>
          </w:p>
        </w:tc>
      </w:tr>
      <w:tr w14:paraId="569B6D55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AE0A79B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16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D623D69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肩贞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F501B3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34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4EBC7EE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瞳子髎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1B156C1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52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9F0D61A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云门</w:t>
            </w:r>
          </w:p>
        </w:tc>
      </w:tr>
      <w:tr w14:paraId="39107412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9E7AAD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17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1D0DC8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巨骨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E57FD10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35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1022B3B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鱼腰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327B15D">
            <w:pPr>
              <w:spacing w:before="0" w:after="0" w:line="360" w:lineRule="exact"/>
              <w:ind w:left="0" w:right="0" w:firstLine="0"/>
              <w:jc w:val="center"/>
            </w:pP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29E95E9">
            <w:pPr>
              <w:spacing w:before="0" w:after="0" w:line="360" w:lineRule="exact"/>
              <w:ind w:left="0" w:right="0" w:firstLine="0"/>
              <w:jc w:val="center"/>
            </w:pPr>
          </w:p>
        </w:tc>
      </w:tr>
      <w:tr w14:paraId="1B17A030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8761376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18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B75E65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肩井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0523B0B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36</w:t>
            </w: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4E6EED1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印堂</w:t>
            </w:r>
          </w:p>
        </w:tc>
        <w:tc>
          <w:tcPr>
            <w:tcW w:w="652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39697C">
            <w:pPr>
              <w:spacing w:before="0" w:after="0" w:line="360" w:lineRule="exact"/>
              <w:ind w:left="0" w:right="0" w:firstLine="0"/>
              <w:jc w:val="center"/>
            </w:pPr>
          </w:p>
        </w:tc>
        <w:tc>
          <w:tcPr>
            <w:tcW w:w="2551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8952A17">
            <w:pPr>
              <w:spacing w:before="0" w:after="0" w:line="360" w:lineRule="exact"/>
              <w:ind w:left="0" w:right="0" w:firstLine="0"/>
              <w:jc w:val="center"/>
            </w:pPr>
          </w:p>
        </w:tc>
      </w:tr>
    </w:tbl>
    <w:p w14:paraId="09B52F06">
      <w:pPr>
        <w:pStyle w:val="2"/>
        <w:keepNext/>
        <w:pageBreakBefore/>
        <w:spacing w:before="0" w:after="60" w:line="360" w:lineRule="exact"/>
        <w:ind w:left="0" w:right="0" w:firstLine="480"/>
        <w:jc w:val="both"/>
      </w:pPr>
      <w:r>
        <w:rPr>
          <w:rFonts w:ascii="宋体" w:hAnsi="宋体" w:eastAsia="宋体" w:cs="宋体"/>
          <w:b/>
          <w:color w:val="000000"/>
          <w:sz w:val="24"/>
        </w:rPr>
        <w:t>附件2 常见病</w:t>
      </w:r>
    </w:p>
    <w:p w14:paraId="08BA5DC9">
      <w:pPr>
        <w:spacing w:before="0" w:after="0" w:line="360" w:lineRule="exact"/>
        <w:ind w:left="0" w:right="0" w:firstLine="480"/>
        <w:jc w:val="both"/>
      </w:pPr>
      <w:r>
        <w:rPr>
          <w:rFonts w:ascii="宋体" w:hAnsi="宋体" w:eastAsia="宋体" w:cs="宋体"/>
          <w:b w:val="0"/>
          <w:color w:val="000000"/>
          <w:sz w:val="24"/>
        </w:rPr>
        <w:t>1、配套软件应至少包含下表12种常见病的选穴查询内容，用于针灸教学。软件采用不同病名或教学名称的，应在投标文件中说明对应关系。</w:t>
      </w:r>
    </w:p>
    <w:tbl>
      <w:tblPr>
        <w:tblStyle w:val="3"/>
        <w:tblW w:w="0" w:type="auto"/>
        <w:jc w:val="center"/>
        <w:tblBorders>
          <w:top w:val="single" w:color="D9D9D9" w:sz="6" w:space="0"/>
          <w:left w:val="single" w:color="D9D9D9" w:sz="6" w:space="0"/>
          <w:bottom w:val="single" w:color="D9D9D9" w:sz="6" w:space="0"/>
          <w:right w:val="single" w:color="D9D9D9" w:sz="6" w:space="0"/>
          <w:insideH w:val="single" w:color="D9D9D9" w:sz="6" w:space="0"/>
          <w:insideV w:val="single" w:color="D9D9D9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4124"/>
        <w:gridCol w:w="680"/>
        <w:gridCol w:w="4124"/>
      </w:tblGrid>
      <w:tr w14:paraId="3BAF16B0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68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E1E5C9C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/>
                <w:color w:val="000000"/>
                <w:sz w:val="24"/>
              </w:rPr>
              <w:t>序号</w:t>
            </w:r>
          </w:p>
        </w:tc>
        <w:tc>
          <w:tcPr>
            <w:tcW w:w="4124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5AE7ED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/>
                <w:color w:val="000000"/>
                <w:sz w:val="24"/>
              </w:rPr>
              <w:t>常见病名称</w:t>
            </w:r>
          </w:p>
        </w:tc>
        <w:tc>
          <w:tcPr>
            <w:tcW w:w="680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7A1C16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/>
                <w:color w:val="000000"/>
                <w:sz w:val="24"/>
              </w:rPr>
              <w:t>序号</w:t>
            </w:r>
          </w:p>
        </w:tc>
        <w:tc>
          <w:tcPr>
            <w:tcW w:w="4124" w:type="dxa"/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2D22DE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/>
                <w:color w:val="000000"/>
                <w:sz w:val="24"/>
              </w:rPr>
              <w:t>常见病名称</w:t>
            </w:r>
          </w:p>
        </w:tc>
      </w:tr>
      <w:tr w14:paraId="2F62AA51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8BEBF84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</w:t>
            </w:r>
          </w:p>
        </w:tc>
        <w:tc>
          <w:tcPr>
            <w:tcW w:w="4124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47D921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头痛</w:t>
            </w:r>
          </w:p>
        </w:tc>
        <w:tc>
          <w:tcPr>
            <w:tcW w:w="68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E25B7D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7</w:t>
            </w:r>
          </w:p>
        </w:tc>
        <w:tc>
          <w:tcPr>
            <w:tcW w:w="4124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DA74E9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失眠</w:t>
            </w:r>
          </w:p>
        </w:tc>
      </w:tr>
      <w:tr w14:paraId="6A57A737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567BD78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2</w:t>
            </w:r>
          </w:p>
        </w:tc>
        <w:tc>
          <w:tcPr>
            <w:tcW w:w="4124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80D197E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面瘫</w:t>
            </w:r>
          </w:p>
        </w:tc>
        <w:tc>
          <w:tcPr>
            <w:tcW w:w="68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150355F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8</w:t>
            </w:r>
          </w:p>
        </w:tc>
        <w:tc>
          <w:tcPr>
            <w:tcW w:w="4124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706FA2F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胃痛</w:t>
            </w:r>
          </w:p>
        </w:tc>
      </w:tr>
      <w:tr w14:paraId="1F39D99D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EBDFC8F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3</w:t>
            </w:r>
          </w:p>
        </w:tc>
        <w:tc>
          <w:tcPr>
            <w:tcW w:w="4124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56500DB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颈椎病</w:t>
            </w:r>
          </w:p>
        </w:tc>
        <w:tc>
          <w:tcPr>
            <w:tcW w:w="68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E86754D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9</w:t>
            </w:r>
          </w:p>
        </w:tc>
        <w:tc>
          <w:tcPr>
            <w:tcW w:w="4124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ED7105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便秘</w:t>
            </w:r>
          </w:p>
        </w:tc>
      </w:tr>
      <w:tr w14:paraId="531CA659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B6925BF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4</w:t>
            </w:r>
          </w:p>
        </w:tc>
        <w:tc>
          <w:tcPr>
            <w:tcW w:w="4124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E741B63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肩周炎</w:t>
            </w:r>
          </w:p>
        </w:tc>
        <w:tc>
          <w:tcPr>
            <w:tcW w:w="68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0BA7DF3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10</w:t>
            </w:r>
          </w:p>
        </w:tc>
        <w:tc>
          <w:tcPr>
            <w:tcW w:w="4124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41DBB36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泄泻</w:t>
            </w:r>
          </w:p>
        </w:tc>
      </w:tr>
      <w:tr w14:paraId="7598F5D2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4D95C1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5</w:t>
            </w:r>
          </w:p>
        </w:tc>
        <w:tc>
          <w:tcPr>
            <w:tcW w:w="4124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CF1D50A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腰痛</w:t>
            </w:r>
          </w:p>
        </w:tc>
        <w:tc>
          <w:tcPr>
            <w:tcW w:w="68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7AC2B8E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11</w:t>
            </w:r>
          </w:p>
        </w:tc>
        <w:tc>
          <w:tcPr>
            <w:tcW w:w="4124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ED3D288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痛经</w:t>
            </w:r>
          </w:p>
        </w:tc>
      </w:tr>
      <w:tr w14:paraId="5EBF9DE8">
        <w:tblPrEx>
          <w:tblBorders>
            <w:top w:val="single" w:color="D9D9D9" w:sz="6" w:space="0"/>
            <w:left w:val="single" w:color="D9D9D9" w:sz="6" w:space="0"/>
            <w:bottom w:val="single" w:color="D9D9D9" w:sz="6" w:space="0"/>
            <w:right w:val="single" w:color="D9D9D9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8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A5A786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6</w:t>
            </w:r>
          </w:p>
        </w:tc>
        <w:tc>
          <w:tcPr>
            <w:tcW w:w="4124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E3A5290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坐骨神经痛</w:t>
            </w:r>
          </w:p>
        </w:tc>
        <w:tc>
          <w:tcPr>
            <w:tcW w:w="68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841B61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12</w:t>
            </w:r>
          </w:p>
        </w:tc>
        <w:tc>
          <w:tcPr>
            <w:tcW w:w="4124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F324FD">
            <w:pPr>
              <w:spacing w:before="0" w:after="0" w:line="360" w:lineRule="exact"/>
              <w:ind w:left="0" w:right="0" w:firstLine="0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4"/>
              </w:rPr>
              <w:t>中风后遗症</w:t>
            </w:r>
          </w:p>
        </w:tc>
      </w:tr>
    </w:tbl>
    <w:p w14:paraId="0EEBF454">
      <w:pPr>
        <w:spacing w:before="0" w:after="0" w:line="360" w:lineRule="exact"/>
        <w:ind w:left="0" w:right="0" w:firstLine="480"/>
        <w:jc w:val="both"/>
      </w:pPr>
      <w:r>
        <w:rPr>
          <w:rFonts w:ascii="宋体" w:hAnsi="宋体" w:eastAsia="宋体" w:cs="宋体"/>
          <w:b w:val="0"/>
          <w:color w:val="000000"/>
          <w:sz w:val="24"/>
        </w:rPr>
        <w:t>2、查询功能应能够按病名进入相应页面，显示该病的主要证候、辨证选穴信息及相应主穴、配穴；能够根据所选证候查看对应的穴位组合，并显示选穴依据或配穴说明。</w:t>
      </w:r>
    </w:p>
    <w:p w14:paraId="21A00999">
      <w:pPr>
        <w:spacing w:before="0" w:after="0" w:line="360" w:lineRule="exact"/>
        <w:ind w:left="0" w:right="0" w:firstLine="480"/>
        <w:jc w:val="both"/>
      </w:pPr>
    </w:p>
    <w:p w14:paraId="43130663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2DE535E6">
      <w:pPr>
        <w:pStyle w:val="5"/>
        <w:numPr>
          <w:ilvl w:val="0"/>
          <w:numId w:val="0"/>
        </w:numPr>
        <w:spacing w:line="360" w:lineRule="auto"/>
        <w:ind w:left="357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四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项目实施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方案及其他</w:t>
      </w:r>
    </w:p>
    <w:p w14:paraId="7AE1E46B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 xml:space="preserve"> 4.1 投标人应根据采购需求和本项目实际，制定相应的项目实施方案，方案至少包含：</w:t>
      </w:r>
    </w:p>
    <w:p w14:paraId="7DBF93EF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 xml:space="preserve"> 4.1.1 供货总体实施方案</w:t>
      </w:r>
    </w:p>
    <w:p w14:paraId="5E39D4FE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①项目供货组织架构：列明本项目专属项目负责人、供货对接人、安装工程师、售后技术人员名单、联系方式、岗位职责；说明项目内部管控流程、沟通对接机制。</w:t>
      </w:r>
    </w:p>
    <w:p w14:paraId="2D597B19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②供货周期计划：明确承诺总供货周期、到货时间、进场安装时间、调试完成时间，提供细化时间节点计划表，说明保障按期交货的保障措施（货源保障、排产、备货、应急供货预案等），须满足合同签订后 30 日历天内完成供货的项目要求。</w:t>
      </w:r>
    </w:p>
    <w:p w14:paraId="50DF01EE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③供货范围说明：对照采购清单，说明供货范围、原厂供货渠道、货源管控方式，承诺所有货物为全新原厂正品、非翻新、非样机、非贴牌产品；供货包含成人仿真模型、穴位检测装置、配套教学软件、专用控制显示部件、连接线缆、操作说明书及使用维护资料等整套系统全部配置及软件使用授权。</w:t>
      </w:r>
    </w:p>
    <w:p w14:paraId="554B1F6C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 xml:space="preserve"> 4.1.2 包装、运输、到货及开箱验收方案</w:t>
      </w:r>
    </w:p>
    <w:p w14:paraId="09B8C43F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①包装方案：本项目货物为经穴学及针刺仿真训练系统（成人仿真模型、穴位检测装置、专用控制显示部件、配套教学软件介质、各类线缆配件、文档资料等），严格执行政府采购包装标准，采取分级防护包装，全面满足防震、防潮、防磕碰要求，保护仿真模型针刺训练接触面不受挤压损伤。</w:t>
      </w:r>
    </w:p>
    <w:p w14:paraId="164048DB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②运输方案：运输方式、保险安排、到货前通知机制，到货前提前告知采购人到货时间、货物明细、进场条件。</w:t>
      </w:r>
    </w:p>
    <w:p w14:paraId="37A38584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③到货及开箱初验方案：到货后清点核对流程、验收资料同步交付清单（出厂检验合格证明、产品合格证明、配置清单、中文操作说明书、使用维护资料、软件授权资料等）；对短缺、破损、型号不符、模型外观损伤等异常情况的处置方案、更换补货时限及违约责任承诺。</w:t>
      </w:r>
    </w:p>
    <w:p w14:paraId="5232A4AC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 xml:space="preserve"> 4.1.3 安装调试实施方案</w:t>
      </w:r>
    </w:p>
    <w:p w14:paraId="46576ECC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①进场准备：进场前对接实施方案，包含现场勘查、场地空间、供电条件、软硬件运行环境确认、进场实施条件确认、进场安全及实训实验室现场管理措施。乙方提前与采购人对接设备进场时间，确认设备摆放位置、供电条件，确认实验室环境满足设备运行条件；做好进场人员安全管理，遵守采购人实验室管理规章制度，确认全部进场条件满足后方可进场开展实施工作。</w:t>
      </w:r>
    </w:p>
    <w:p w14:paraId="6A8F4133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②硬件安装调试：成人仿真模型、穴位检测装置、专用控制显示部件开箱清点、就位安放、线路连接布线、部件固定；完成穴位检测装置调试校准，保证穴位识别检测信号稳定，仿真模型状态完好，满足针刺实操训练条件。</w:t>
      </w:r>
    </w:p>
    <w:p w14:paraId="1DE64DE2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③软件部署调试：经穴学及针刺仿真配套教学软件安装部署，完成与硬件设备适配调试；调试认穴、定位、刺穴练习训练模式；调试屏幕显示、语音反馈功能；调试考核模式、成绩记录保存、教师查看操作记录功能；调试穴位知识库、十二经脉动态循行演示、解剖图谱展示、常见病辨证选穴查询等全部软件模块，保障软件中文界面完整，全部教学功能稳定正常运行。</w:t>
      </w:r>
    </w:p>
    <w:p w14:paraId="6E3B7A16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④联调测试方案：整套系统整机协同联动测试方法、测试内容、判定标准。整机通电后开展全流程联调；开展≥52 个穴位针刺识别实测验证，逐条核对招标文件全部技术参数，重点对带★核心指标（可智能识别不同穴名数量≥52 个，支持毫针刺入识别和结果反馈）进行实测验证；开展训练模式、考核模式、经络教学、解剖图谱、辨证选穴查询全流程测试；开展系统连续运行稳定性测试，无识别异常、软件卡顿死机、语音反馈失效等问题。所有技术参数全部达标，设备可正常开展腧穴定位、针刺训练、技能考核，具备针灸推拿、中医学专业课程实训教学使用条件。</w:t>
      </w:r>
    </w:p>
    <w:p w14:paraId="1CCB7D68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 xml:space="preserve"> 4.1.4 培训实施方案</w:t>
      </w:r>
    </w:p>
    <w:p w14:paraId="72AE0358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①现场培训方案：培训对象为采购人实训授课教师、实验管理人员及设备操作人员；培训安排在设备安装调试、整机联调验收合格后实施，培训地点为采购人中医药学院实训实验室；由原厂专业技术工程师担任培训讲师，开展免费现场实操培训。</w:t>
      </w:r>
    </w:p>
    <w:p w14:paraId="563640B8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②培训大纲：</w:t>
      </w:r>
    </w:p>
    <w:p w14:paraId="2BA56DB2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・硬件设备操作、安全操作要点：整套系统开关机流程，仿真模型、穴位检测装置、控制显示部件操作；仿真模型针刺使用注意事项，模型皮肤防护、防尘防潮存放维护要求；</w:t>
      </w:r>
    </w:p>
    <w:p w14:paraId="1BE5B848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・训练与考核功能实操：认穴定位练习、刺穴训练操作，考核任务设置、考核实施、成绩查询导出操作；</w:t>
      </w:r>
    </w:p>
    <w:p w14:paraId="4E3914FC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・软件功能模块操作：穴位知识查询、十二经脉循行教学、解剖图谱查阅、常见病辨证选穴查询等软件各功能模块实操；</w:t>
      </w:r>
    </w:p>
    <w:p w14:paraId="09FDB67E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・日常检查、简易故障识别：设备日常巡检内容，穴位识别异常、语音反馈故障、软件通讯类常见故障识别与基础排查；</w:t>
      </w:r>
    </w:p>
    <w:p w14:paraId="5C4875D9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・培训成果交付：提供培训课件、电子操作手册，留存培训签到表；培训后组织实操考核，承诺培训至采购人相关人员可独立熟练操作整套系统开展教学、训练及考核工作。</w:t>
      </w:r>
    </w:p>
    <w:p w14:paraId="768CE2D2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 xml:space="preserve"> 4.1.5 履约验收配合方案</w:t>
      </w:r>
    </w:p>
    <w:p w14:paraId="384E2CB2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①出厂预检验：货物发运前，乙方须完成设备整机出厂自检工作，对照招标文件技术参数逐项开展检测，自检内容包含设备外观、仿真模型完好度、穴位检测识别功能、训练考核功能、全部软件教学模块、整机连续运行稳定性等，形成完整出厂自检记录。乙方须随货提交出厂自检记录，自检记录作为到货验收资料之一。</w:t>
      </w:r>
    </w:p>
    <w:p w14:paraId="3846EEE1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②现场验收配合方案：设备安装调试完毕后，乙方须安排原厂技术人员到场，全程配合甲方履约验收小组开展验收工作。按验收清单逐项开展功能实测，对标注★的关键技术指标进行现场核验；配合验收小组核查全部技术资料、证明文件；根据验收要求开展全流程操作演示，及时提供验收所需佐证材料，配合做好验收记录、数据留存及签字确认工作，附件 1 穴位目录、附件 2 常见病选穴清单作为现场核验依据。</w:t>
      </w:r>
    </w:p>
    <w:p w14:paraId="6C85372D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③验收不合格处置方案：验收如发现技术指标不达标、功能异常、模型损坏、资料缺失等不合格情形，乙方须立即落实整改。属于调试原因的，2 个日历天内完成重新调试；属于设备硬件质量问题的，7 个日历天内完成免费换货，重新供货、安装调试并复测，直至验收合格，由此产生的一切费用由乙方自行承担，并按合同约定承担相应违约责任。</w:t>
      </w:r>
    </w:p>
    <w:p w14:paraId="4EDE22D1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④归档配合承诺：项目验收完成后，乙方须配合甲方完成项目资料归档，按甲方或审计要求及时提供供货台账、出厂检验材料、验收佐证材料、履约相关资料等，配合做好审计、核查等相关工作。</w:t>
      </w:r>
    </w:p>
    <w:p w14:paraId="0989AC88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 xml:space="preserve"> 4.1.6 质量保证及售后服务方案</w:t>
      </w:r>
    </w:p>
    <w:p w14:paraId="56422417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①质保承诺：本项目经穴学及针刺仿真训练系统整机质保期不少于 2 年，自项目履约验收合格之日起计算；仿真模型、穴位检测装置、教学软件、控制显示部件、线缆等全部配套设备、原厂配件质保期限同整机质保期；质保期内提供配套教学软件免费升级服务。</w:t>
      </w:r>
    </w:p>
    <w:p w14:paraId="6E4F1B97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②故障响应机制：乙方提供 7×24 小时报修受理渠道（电话、微信、邮件）；接到甲方服务通知后 4 小时内响应；确需现场处置的，工程师 8 小时内到达现场，48 小时内完成故障处置。若 48 小时内故障未能有效解决，乙方须免费提供同档次设备供甲方临时使用，保障实训教学工作正常开展。</w:t>
      </w:r>
    </w:p>
    <w:p w14:paraId="0C651412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③质保期内服务内容：质保期内提供免费上门维修服务，故障涉及零配件更换的，零配件免费提供；质保期内乙方每半年安排一次主动上门巡检，对仿真模型、穴位检测装置、软件运行状态、线路连接等进行检测，排查潜在隐患，做好巡检记录并提交甲方。</w:t>
      </w:r>
    </w:p>
    <w:p w14:paraId="77FFA670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④质保期满后服务方案：质保期满后，故障响应时效标准与质保期内保持一致，乙方提供本设备终身维修技术支持；明确模型皮肤等易损件维护更换方式与收费标准，备品备件按照合理优惠价格供应，配件报价透明；维修仅收取备品备件成本费用，上门检测、技术指导等技术服务提供优惠支持。</w:t>
      </w:r>
    </w:p>
    <w:p w14:paraId="1A01A5D4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⑤质量跟踪与反馈</w:t>
      </w:r>
    </w:p>
    <w:p w14:paraId="694B36FF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（1）定期回访：乙方每季度对甲方开展使用回访，了解设备运行状况、使用需求及服务满意度，形成书面回访记录提交甲方留存。</w:t>
      </w:r>
    </w:p>
    <w:p w14:paraId="60434CD7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（2）问题闭环：乙方建立服务问题跟踪台账，对所有报修、咨询问题登记建档，实现问题上报、处置、验证全流程可追溯；故障处置完成后 2 个工作日内向甲方反馈处理结果，完成闭环管理。</w:t>
      </w:r>
    </w:p>
    <w:p w14:paraId="4B998BAD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 xml:space="preserve"> 4.1.7 风险应对及保障措施</w:t>
      </w:r>
    </w:p>
    <w:p w14:paraId="16C90C32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投标人结合本项目特点，列明风险预判及应对预案，至少包含：</w:t>
      </w:r>
    </w:p>
    <w:p w14:paraId="5B97960B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供货延期风险、运输造成仿真模型损坏风险、现场安装环境不匹配风险、设备故障影响针灸实训教学使用风险、项目服务人员变动风险等。</w:t>
      </w:r>
    </w:p>
    <w:p w14:paraId="633797CA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/>
          <w:color w:val="auto"/>
          <w:sz w:val="24"/>
          <w:szCs w:val="24"/>
          <w:highlight w:val="none"/>
        </w:rPr>
        <w:t>.2业绩</w:t>
      </w:r>
    </w:p>
    <w:p w14:paraId="63A69AE4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投标人需要具备丰富的采购项目相关承接经验，确保本项目的顺利实施，投标人自2021年7月1日以来（以合同签订时间为准）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承接过</w:t>
      </w:r>
      <w:r>
        <w:rPr>
          <w:rFonts w:hint="eastAsia"/>
          <w:color w:val="auto"/>
          <w:sz w:val="24"/>
          <w:szCs w:val="24"/>
          <w:highlight w:val="none"/>
        </w:rPr>
        <w:t>类似项目的优先。</w:t>
      </w:r>
    </w:p>
    <w:p w14:paraId="0C8B25D9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/>
          <w:color w:val="auto"/>
          <w:sz w:val="24"/>
          <w:szCs w:val="24"/>
          <w:highlight w:val="none"/>
        </w:rPr>
        <w:t>.3体系认证</w:t>
      </w:r>
    </w:p>
    <w:p w14:paraId="7674DDF0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/>
          <w:color w:val="auto"/>
          <w:sz w:val="24"/>
          <w:szCs w:val="24"/>
          <w:highlight w:val="none"/>
        </w:rPr>
        <w:t>.3.1质量管理体系认证</w:t>
      </w:r>
    </w:p>
    <w:p w14:paraId="5D19EAF3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确保注重服务质量、节点处理规范性。投标时提供质量管理体系认证证书的优先。</w:t>
      </w:r>
    </w:p>
    <w:p w14:paraId="2530B86C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/>
          <w:color w:val="auto"/>
          <w:sz w:val="24"/>
          <w:szCs w:val="24"/>
          <w:highlight w:val="none"/>
        </w:rPr>
        <w:t>.3.2环境管理体系认证</w:t>
      </w:r>
    </w:p>
    <w:p w14:paraId="7A3BE770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确保环境保护。投标时提供环境管理体系认证证书的优先。</w:t>
      </w:r>
    </w:p>
    <w:p w14:paraId="2C5CC0CD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/>
          <w:color w:val="auto"/>
          <w:sz w:val="24"/>
          <w:szCs w:val="24"/>
          <w:highlight w:val="none"/>
        </w:rPr>
        <w:t>.3.3职业健康安全管理体系认证</w:t>
      </w:r>
    </w:p>
    <w:p w14:paraId="7F69EE7A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确保安全服务，人员安全等操作。投标时提供职业健康安全管理体系认证证书的优先。</w:t>
      </w:r>
    </w:p>
    <w:p w14:paraId="3820030C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/>
          <w:color w:val="auto"/>
          <w:sz w:val="24"/>
          <w:szCs w:val="24"/>
          <w:highlight w:val="none"/>
        </w:rPr>
        <w:t>.4质保期承诺</w:t>
      </w:r>
    </w:p>
    <w:p w14:paraId="33555127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</w:rPr>
        <w:t>质保期不小于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2</w:t>
      </w:r>
      <w:r>
        <w:rPr>
          <w:rFonts w:hint="eastAsia"/>
          <w:color w:val="auto"/>
          <w:sz w:val="24"/>
          <w:szCs w:val="24"/>
          <w:highlight w:val="none"/>
        </w:rPr>
        <w:t>年，质保期内、外的服务质量满足招标文件要求</w:t>
      </w:r>
      <w:r>
        <w:rPr>
          <w:rFonts w:hint="eastAsia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投标人承诺更优、更长质保期的优先。</w:t>
      </w:r>
    </w:p>
    <w:p w14:paraId="034ACE7B">
      <w:pPr>
        <w:widowControl/>
        <w:spacing w:line="360" w:lineRule="auto"/>
        <w:ind w:firstLine="480" w:firstLineChars="200"/>
        <w:jc w:val="left"/>
        <w:rPr>
          <w:rFonts w:hint="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4.5技术响应</w:t>
      </w:r>
    </w:p>
    <w:p w14:paraId="4D5A13DC">
      <w:pPr>
        <w:widowControl/>
        <w:spacing w:line="360" w:lineRule="auto"/>
        <w:ind w:firstLine="480" w:firstLineChars="200"/>
        <w:jc w:val="left"/>
        <w:rPr>
          <w:rFonts w:hint="default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全部满足招标文件第四章中</w:t>
      </w:r>
      <w:r>
        <w:rPr>
          <w:rFonts w:hint="eastAsia" w:ascii="Times New Roman" w:hAnsi="Times New Roman" w:cs="Times New Roman"/>
          <w:color w:val="auto"/>
          <w:sz w:val="24"/>
          <w:szCs w:val="24"/>
          <w:highlight w:val="none"/>
          <w:lang w:val="en-US" w:eastAsia="zh-CN"/>
        </w:rPr>
        <w:t>的技术参数及要求的优先。</w:t>
      </w:r>
    </w:p>
    <w:bookmarkEnd w:id="0"/>
    <w:bookmarkEnd w:id="1"/>
    <w:bookmarkEnd w:id="2"/>
    <w:p w14:paraId="23E6BA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4621E5"/>
    <w:multiLevelType w:val="multilevel"/>
    <w:tmpl w:val="004621E5"/>
    <w:lvl w:ilvl="0" w:tentative="0">
      <w:start w:val="1"/>
      <w:numFmt w:val="decimal"/>
      <w:pStyle w:val="5"/>
      <w:suff w:val="space"/>
      <w:lvlText w:val="%1"/>
      <w:lvlJc w:val="left"/>
      <w:pPr>
        <w:tabs>
          <w:tab w:val="left" w:pos="7019"/>
        </w:tabs>
        <w:ind w:left="7019" w:hanging="357"/>
      </w:pPr>
      <w:rPr>
        <w:b/>
      </w:rPr>
    </w:lvl>
    <w:lvl w:ilvl="1" w:tentative="0">
      <w:start w:val="1"/>
      <w:numFmt w:val="decimal"/>
      <w:suff w:val="space"/>
      <w:lvlText w:val="%1.%2"/>
      <w:lvlJc w:val="left"/>
      <w:pPr>
        <w:tabs>
          <w:tab w:val="left" w:pos="7019"/>
        </w:tabs>
        <w:ind w:left="7019" w:hanging="357"/>
      </w:pPr>
      <w:rPr>
        <w:b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7019"/>
        </w:tabs>
        <w:ind w:left="7019" w:hanging="357"/>
      </w:pPr>
      <w:rPr>
        <w:b/>
      </w:rPr>
    </w:lvl>
    <w:lvl w:ilvl="3" w:tentative="0">
      <w:start w:val="1"/>
      <w:numFmt w:val="decimal"/>
      <w:suff w:val="space"/>
      <w:lvlText w:val="%1.%2.%3.%4"/>
      <w:lvlJc w:val="left"/>
      <w:pPr>
        <w:tabs>
          <w:tab w:val="left" w:pos="7019"/>
        </w:tabs>
        <w:ind w:left="7019" w:hanging="357"/>
      </w:pPr>
      <w:rPr>
        <w:b/>
      </w:rPr>
    </w:lvl>
    <w:lvl w:ilvl="4" w:tentative="0">
      <w:start w:val="1"/>
      <w:numFmt w:val="decimal"/>
      <w:lvlText w:val="%1.%2.%3.%4.%5"/>
      <w:lvlJc w:val="left"/>
      <w:pPr>
        <w:ind w:left="9213" w:hanging="850"/>
      </w:pPr>
    </w:lvl>
    <w:lvl w:ilvl="5" w:tentative="0">
      <w:start w:val="1"/>
      <w:numFmt w:val="decimal"/>
      <w:lvlText w:val="%1.%2.%3.%4.%5.%6"/>
      <w:lvlJc w:val="left"/>
      <w:pPr>
        <w:ind w:left="9922" w:hanging="1134"/>
      </w:pPr>
    </w:lvl>
    <w:lvl w:ilvl="6" w:tentative="0">
      <w:start w:val="1"/>
      <w:numFmt w:val="decimal"/>
      <w:lvlText w:val="%1.%2.%3.%4.%5.%6.%7"/>
      <w:lvlJc w:val="left"/>
      <w:pPr>
        <w:ind w:left="10489" w:hanging="1276"/>
      </w:pPr>
    </w:lvl>
    <w:lvl w:ilvl="7" w:tentative="0">
      <w:start w:val="1"/>
      <w:numFmt w:val="decimal"/>
      <w:lvlText w:val="%1.%2.%3.%4.%5.%6.%7.%8"/>
      <w:lvlJc w:val="left"/>
      <w:pPr>
        <w:ind w:left="11056" w:hanging="1418"/>
      </w:pPr>
    </w:lvl>
    <w:lvl w:ilvl="8" w:tentative="0">
      <w:start w:val="1"/>
      <w:numFmt w:val="decimal"/>
      <w:lvlText w:val="%1.%2.%3.%4.%5.%6.%7.%8.%9"/>
      <w:lvlJc w:val="left"/>
      <w:pPr>
        <w:ind w:left="11764" w:hanging="17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08445F"/>
    <w:rsid w:val="04AE18FF"/>
    <w:rsid w:val="1AA10814"/>
    <w:rsid w:val="367C09AD"/>
    <w:rsid w:val="3D737B06"/>
    <w:rsid w:val="4708445F"/>
    <w:rsid w:val="490435A1"/>
    <w:rsid w:val="53C45145"/>
    <w:rsid w:val="684A387F"/>
    <w:rsid w:val="6BFC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rFonts w:ascii="楷体_GB2312" w:eastAsia="楷体_GB2312"/>
      <w:sz w:val="28"/>
      <w:szCs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e3fb8205-adf9-4d0d-85d1-1a84f91ab844"/>
    <w:basedOn w:val="2"/>
    <w:next w:val="1"/>
    <w:qFormat/>
    <w:uiPriority w:val="0"/>
    <w:pPr>
      <w:keepLines/>
      <w:numPr>
        <w:ilvl w:val="0"/>
        <w:numId w:val="1"/>
      </w:numPr>
      <w:tabs>
        <w:tab w:val="left" w:pos="360"/>
      </w:tabs>
      <w:adjustRightInd w:val="0"/>
      <w:spacing w:line="288" w:lineRule="auto"/>
      <w:jc w:val="left"/>
    </w:pPr>
    <w:rPr>
      <w:rFonts w:ascii="微软雅黑" w:hAnsi="微软雅黑" w:eastAsia="微软雅黑" w:cstheme="majorBidi"/>
      <w:b/>
      <w:bCs/>
      <w:color w:val="000000"/>
      <w:sz w:val="32"/>
      <w:szCs w:val="4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2026-11-04T07:39:00Z</dcterms:created>
  <dc:creator>中海物业</dc:creator>
  <cp:lastModifiedBy>中海物业</cp:lastModifiedBy>
  <dcterms:modified xsi:type="dcterms:W3CDTF">2026-11-04T07:41:45Z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DF4192165A85407986D70BEB1FC02006_11</vt:lpwstr>
  </property>
  <property fmtid="{D5CDD505-2E9C-101B-9397-08002B2CF9AE}" pid="4" name="KSOTemplateDocerSaveRecord">
    <vt:lpwstr>eyJoZGlkIjoiMjIxNTk2NGNkMjA3MTVlMzA1NWM0YWYyZWU3YzhhYmEiLCJ1c2VySWQiOiIzNzM2NTc5NjYifQ==</vt:lpwstr>
  </property>
</Properties>
</file>