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0D5540">
      <w:pPr>
        <w:numPr>
          <w:ilvl w:val="0"/>
          <w:numId w:val="0"/>
        </w:numPr>
        <w:bidi w:val="0"/>
        <w:jc w:val="center"/>
        <w:outlineLvl w:val="0"/>
        <w:rPr>
          <w:rFonts w:hint="eastAsia" w:asciiTheme="minorEastAsia" w:hAnsiTheme="minorEastAsia" w:eastAsiaTheme="minorEastAsia" w:cstheme="minorEastAsia"/>
          <w:b/>
          <w:bCs/>
          <w:color w:val="auto"/>
          <w:kern w:val="2"/>
          <w:sz w:val="32"/>
          <w:szCs w:val="32"/>
          <w:highlight w:val="none"/>
          <w:lang w:val="en-US" w:eastAsia="zh-CN" w:bidi="ar-SA"/>
        </w:rPr>
      </w:pPr>
      <w:r>
        <w:rPr>
          <w:rFonts w:hint="eastAsia" w:asciiTheme="minorEastAsia" w:hAnsiTheme="minorEastAsia" w:eastAsiaTheme="minorEastAsia" w:cstheme="minorEastAsia"/>
          <w:b/>
          <w:bCs/>
          <w:color w:val="auto"/>
          <w:kern w:val="2"/>
          <w:sz w:val="32"/>
          <w:szCs w:val="32"/>
          <w:highlight w:val="none"/>
          <w:lang w:val="en-US" w:eastAsia="zh-CN" w:bidi="ar-SA"/>
        </w:rPr>
        <w:t>项目需求</w:t>
      </w:r>
    </w:p>
    <w:p w14:paraId="5F9AD5BE">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一、项目概况</w:t>
      </w:r>
      <w:bookmarkStart w:id="0" w:name="_GoBack"/>
      <w:bookmarkEnd w:id="0"/>
    </w:p>
    <w:p w14:paraId="092D6D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2026-2028学年食堂大宗食品原料的代采购、供应、运输、装车、卸货至采购人指定地点、验收交付、售前售后等伴随服务，招标人保留对上述招标范围进行适当调整的权利。</w:t>
      </w:r>
    </w:p>
    <w:p w14:paraId="55FF1B5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kern w:val="2"/>
          <w:sz w:val="21"/>
          <w:szCs w:val="21"/>
          <w:lang w:val="en-US" w:eastAsia="zh-CN" w:bidi="ar-SA"/>
        </w:rPr>
        <w:t>二、</w:t>
      </w:r>
      <w:r>
        <w:rPr>
          <w:rFonts w:hint="eastAsia" w:ascii="宋体" w:hAnsi="宋体" w:eastAsia="宋体" w:cs="宋体"/>
          <w:b/>
          <w:bCs/>
          <w:sz w:val="21"/>
          <w:szCs w:val="21"/>
          <w:lang w:val="en-US" w:eastAsia="zh-CN"/>
        </w:rPr>
        <w:t>标段划分</w:t>
      </w:r>
    </w:p>
    <w:tbl>
      <w:tblPr>
        <w:tblStyle w:val="3"/>
        <w:tblpPr w:leftFromText="180" w:rightFromText="180" w:vertAnchor="text" w:horzAnchor="page" w:tblpX="2296" w:tblpY="56"/>
        <w:tblOverlap w:val="never"/>
        <w:tblW w:w="78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4211"/>
        <w:gridCol w:w="2054"/>
      </w:tblGrid>
      <w:tr w14:paraId="614DC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1" w:hRule="atLeast"/>
        </w:trPr>
        <w:tc>
          <w:tcPr>
            <w:tcW w:w="1588" w:type="dxa"/>
            <w:shd w:val="clear" w:color="auto" w:fill="DBE3F4" w:themeFill="accent1" w:themeFillTint="32"/>
            <w:vAlign w:val="center"/>
          </w:tcPr>
          <w:p w14:paraId="5E2E872F">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宋体"/>
                <w:b/>
                <w:bCs/>
                <w:sz w:val="21"/>
                <w:szCs w:val="21"/>
                <w:lang w:val="zh-CN"/>
              </w:rPr>
            </w:pPr>
            <w:r>
              <w:rPr>
                <w:rFonts w:hint="eastAsia" w:ascii="宋体" w:hAnsi="宋体" w:eastAsia="宋体" w:cs="宋体"/>
                <w:b/>
                <w:bCs/>
                <w:sz w:val="21"/>
                <w:szCs w:val="21"/>
                <w:lang w:val="en-US" w:eastAsia="zh-CN"/>
              </w:rPr>
              <w:t>标段</w:t>
            </w:r>
            <w:r>
              <w:rPr>
                <w:rFonts w:hint="eastAsia" w:ascii="宋体" w:hAnsi="宋体" w:eastAsia="宋体" w:cs="宋体"/>
                <w:b/>
                <w:bCs/>
                <w:sz w:val="21"/>
                <w:szCs w:val="21"/>
                <w:lang w:val="zh-CN"/>
              </w:rPr>
              <w:t>号</w:t>
            </w:r>
          </w:p>
        </w:tc>
        <w:tc>
          <w:tcPr>
            <w:tcW w:w="4211" w:type="dxa"/>
            <w:shd w:val="clear" w:color="auto" w:fill="DBE3F4" w:themeFill="accent1" w:themeFillTint="32"/>
            <w:vAlign w:val="center"/>
          </w:tcPr>
          <w:p w14:paraId="601EC225">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宋体"/>
                <w:b/>
                <w:bCs/>
                <w:sz w:val="21"/>
                <w:szCs w:val="21"/>
                <w:lang w:val="zh-CN"/>
              </w:rPr>
            </w:pPr>
            <w:r>
              <w:rPr>
                <w:rFonts w:hint="eastAsia" w:ascii="宋体" w:hAnsi="宋体" w:eastAsia="宋体" w:cs="宋体"/>
                <w:b/>
                <w:bCs/>
                <w:sz w:val="21"/>
                <w:szCs w:val="21"/>
                <w:lang w:val="zh-CN"/>
              </w:rPr>
              <w:t>采购货物名称</w:t>
            </w:r>
          </w:p>
        </w:tc>
        <w:tc>
          <w:tcPr>
            <w:tcW w:w="2054" w:type="dxa"/>
            <w:shd w:val="clear" w:color="auto" w:fill="DBE3F4" w:themeFill="accent1" w:themeFillTint="32"/>
            <w:vAlign w:val="center"/>
          </w:tcPr>
          <w:p w14:paraId="4C51E8EE">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lang w:val="zh-CN"/>
              </w:rPr>
              <w:t>入围供应商数量</w:t>
            </w:r>
          </w:p>
        </w:tc>
      </w:tr>
      <w:tr w14:paraId="6C3C4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1" w:hRule="atLeast"/>
        </w:trPr>
        <w:tc>
          <w:tcPr>
            <w:tcW w:w="1588" w:type="dxa"/>
            <w:vAlign w:val="center"/>
          </w:tcPr>
          <w:p w14:paraId="245B158B">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宋体"/>
                <w:sz w:val="21"/>
                <w:szCs w:val="21"/>
                <w:lang w:val="zh-CN"/>
              </w:rPr>
            </w:pPr>
            <w:r>
              <w:rPr>
                <w:rFonts w:hint="eastAsia" w:ascii="宋体" w:hAnsi="宋体" w:eastAsia="宋体" w:cs="宋体"/>
                <w:sz w:val="21"/>
                <w:szCs w:val="21"/>
                <w:lang w:val="en-US" w:eastAsia="zh-CN"/>
              </w:rPr>
              <w:t>四标段</w:t>
            </w:r>
          </w:p>
        </w:tc>
        <w:tc>
          <w:tcPr>
            <w:tcW w:w="4211" w:type="dxa"/>
            <w:vAlign w:val="center"/>
          </w:tcPr>
          <w:p w14:paraId="07F15BE8">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豆制品</w:t>
            </w:r>
          </w:p>
        </w:tc>
        <w:tc>
          <w:tcPr>
            <w:tcW w:w="2054" w:type="dxa"/>
            <w:vAlign w:val="center"/>
          </w:tcPr>
          <w:p w14:paraId="13033F89">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2家</w:t>
            </w:r>
          </w:p>
        </w:tc>
      </w:tr>
      <w:tr w14:paraId="618FE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1" w:hRule="atLeast"/>
        </w:trPr>
        <w:tc>
          <w:tcPr>
            <w:tcW w:w="1588" w:type="dxa"/>
            <w:vAlign w:val="center"/>
          </w:tcPr>
          <w:p w14:paraId="00B245FB">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六标段</w:t>
            </w:r>
          </w:p>
        </w:tc>
        <w:tc>
          <w:tcPr>
            <w:tcW w:w="4211" w:type="dxa"/>
            <w:vAlign w:val="center"/>
          </w:tcPr>
          <w:p w14:paraId="04BB0F78">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鸡蛋</w:t>
            </w:r>
          </w:p>
        </w:tc>
        <w:tc>
          <w:tcPr>
            <w:tcW w:w="2054" w:type="dxa"/>
            <w:vAlign w:val="center"/>
          </w:tcPr>
          <w:p w14:paraId="2E0210B3">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2家</w:t>
            </w:r>
          </w:p>
        </w:tc>
      </w:tr>
    </w:tbl>
    <w:p w14:paraId="7EE416F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注：本项目共划分为10个标段，</w:t>
      </w:r>
      <w:r>
        <w:rPr>
          <w:rFonts w:hint="eastAsia" w:ascii="宋体" w:hAnsi="宋体" w:eastAsia="宋体" w:cs="宋体"/>
          <w:b/>
          <w:bCs/>
          <w:sz w:val="21"/>
          <w:szCs w:val="21"/>
          <w:lang w:val="en-US" w:eastAsia="zh-CN"/>
        </w:rPr>
        <w:t>本次招标为四标段：豆制品、六标段：鸡蛋重新招标</w:t>
      </w:r>
      <w:r>
        <w:rPr>
          <w:rFonts w:hint="eastAsia" w:ascii="宋体" w:hAnsi="宋体" w:eastAsia="宋体" w:cs="宋体"/>
          <w:sz w:val="21"/>
          <w:szCs w:val="21"/>
          <w:lang w:val="en-US" w:eastAsia="zh-CN"/>
        </w:rPr>
        <w:t>，</w:t>
      </w:r>
      <w:r>
        <w:rPr>
          <w:rFonts w:hint="eastAsia" w:ascii="宋体" w:hAnsi="宋体" w:eastAsia="宋体" w:cs="宋体"/>
          <w:b/>
          <w:bCs/>
          <w:i/>
          <w:iCs/>
          <w:sz w:val="21"/>
          <w:szCs w:val="21"/>
          <w:u w:val="single"/>
          <w:lang w:val="en-US" w:eastAsia="zh-CN"/>
        </w:rPr>
        <w:t>不接受项目五标段、七标段至十标段的中标人参与投标。本次招标四标段与六标段可兼投但不兼中。如投标人报名多个标段，必须分标段按要求制作投标文件，否则按无效标处理。</w:t>
      </w:r>
    </w:p>
    <w:p w14:paraId="79432F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开标、评标、定标顺序：四标段→六标段。每个标段各确定2名入围中标人，即确定排名第一和第二的为中标人。先开先中，在上一标段评审中被确定为中标候选人的，可继续参与下一标段的评审，但不再被推荐为下一标段的中标候选人。</w:t>
      </w:r>
    </w:p>
    <w:p w14:paraId="367382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三、食材质量及服务要求</w:t>
      </w:r>
    </w:p>
    <w:p w14:paraId="090AF4F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（一）食材要求</w:t>
      </w:r>
    </w:p>
    <w:tbl>
      <w:tblPr>
        <w:tblStyle w:val="3"/>
        <w:tblpPr w:leftFromText="180" w:rightFromText="180" w:vertAnchor="text" w:horzAnchor="page" w:tblpX="1548" w:tblpY="56"/>
        <w:tblOverlap w:val="never"/>
        <w:tblW w:w="93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1863"/>
        <w:gridCol w:w="3923"/>
        <w:gridCol w:w="2487"/>
      </w:tblGrid>
      <w:tr w14:paraId="19371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050" w:type="dxa"/>
            <w:shd w:val="clear" w:color="auto" w:fill="DBE3F4" w:themeFill="accent1" w:themeFillTint="32"/>
            <w:vAlign w:val="center"/>
          </w:tcPr>
          <w:p w14:paraId="6165F19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b/>
                <w:bCs/>
                <w:sz w:val="21"/>
                <w:szCs w:val="21"/>
                <w:lang w:val="zh-CN"/>
              </w:rPr>
            </w:pPr>
            <w:r>
              <w:rPr>
                <w:rFonts w:hint="eastAsia" w:ascii="宋体" w:hAnsi="宋体" w:eastAsia="宋体" w:cs="宋体"/>
                <w:b/>
                <w:bCs/>
                <w:sz w:val="21"/>
                <w:szCs w:val="21"/>
                <w:lang w:val="en-US" w:eastAsia="zh-CN"/>
              </w:rPr>
              <w:t>标段</w:t>
            </w:r>
            <w:r>
              <w:rPr>
                <w:rFonts w:hint="eastAsia" w:ascii="宋体" w:hAnsi="宋体" w:eastAsia="宋体" w:cs="宋体"/>
                <w:b/>
                <w:bCs/>
                <w:sz w:val="21"/>
                <w:szCs w:val="21"/>
                <w:lang w:val="zh-CN"/>
              </w:rPr>
              <w:t>号</w:t>
            </w:r>
          </w:p>
        </w:tc>
        <w:tc>
          <w:tcPr>
            <w:tcW w:w="1863" w:type="dxa"/>
            <w:shd w:val="clear" w:color="auto" w:fill="DBE3F4" w:themeFill="accent1" w:themeFillTint="32"/>
            <w:vAlign w:val="center"/>
          </w:tcPr>
          <w:p w14:paraId="7E9784C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b/>
                <w:bCs/>
                <w:sz w:val="21"/>
                <w:szCs w:val="21"/>
                <w:lang w:val="zh-CN"/>
              </w:rPr>
            </w:pPr>
            <w:r>
              <w:rPr>
                <w:rFonts w:hint="eastAsia" w:ascii="宋体" w:hAnsi="宋体" w:eastAsia="宋体" w:cs="宋体"/>
                <w:b/>
                <w:bCs/>
                <w:sz w:val="21"/>
                <w:szCs w:val="21"/>
                <w:lang w:val="zh-CN"/>
              </w:rPr>
              <w:t>采购货物名称</w:t>
            </w:r>
          </w:p>
        </w:tc>
        <w:tc>
          <w:tcPr>
            <w:tcW w:w="3923" w:type="dxa"/>
            <w:shd w:val="clear" w:color="auto" w:fill="DBE3F4" w:themeFill="accent1" w:themeFillTint="32"/>
            <w:vAlign w:val="center"/>
          </w:tcPr>
          <w:p w14:paraId="4B6CE9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b/>
                <w:bCs/>
                <w:sz w:val="21"/>
                <w:szCs w:val="21"/>
                <w:lang w:eastAsia="zh-CN"/>
              </w:rPr>
            </w:pPr>
            <w:r>
              <w:rPr>
                <w:rFonts w:hint="eastAsia" w:ascii="宋体" w:hAnsi="宋体" w:eastAsia="宋体" w:cs="宋体"/>
                <w:b/>
                <w:bCs/>
                <w:sz w:val="21"/>
                <w:szCs w:val="21"/>
                <w:lang w:val="en-US" w:eastAsia="zh-CN"/>
              </w:rPr>
              <w:t>执行标准</w:t>
            </w:r>
          </w:p>
        </w:tc>
        <w:tc>
          <w:tcPr>
            <w:tcW w:w="2487" w:type="dxa"/>
            <w:shd w:val="clear" w:color="auto" w:fill="DBE3F4" w:themeFill="accent1" w:themeFillTint="32"/>
            <w:vAlign w:val="center"/>
          </w:tcPr>
          <w:p w14:paraId="00E8DD7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宋体" w:hAnsi="宋体" w:eastAsia="宋体" w:cs="宋体"/>
                <w:b/>
                <w:bCs/>
                <w:sz w:val="21"/>
                <w:szCs w:val="21"/>
                <w:lang w:val="en-US" w:eastAsia="zh-CN"/>
              </w:rPr>
            </w:pPr>
            <w:r>
              <w:rPr>
                <w:rFonts w:hint="eastAsia" w:ascii="宋体" w:hAnsi="宋体" w:eastAsia="宋体" w:cs="宋体"/>
                <w:b/>
                <w:bCs/>
                <w:sz w:val="21"/>
                <w:szCs w:val="21"/>
                <w:lang w:val="en-US" w:eastAsia="zh-CN"/>
              </w:rPr>
              <w:t>规格及要求</w:t>
            </w:r>
          </w:p>
        </w:tc>
      </w:tr>
      <w:tr w14:paraId="320ED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050" w:type="dxa"/>
            <w:vAlign w:val="center"/>
          </w:tcPr>
          <w:p w14:paraId="4607C42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sz w:val="21"/>
                <w:szCs w:val="21"/>
                <w:lang w:val="zh-CN"/>
              </w:rPr>
            </w:pPr>
            <w:r>
              <w:rPr>
                <w:rFonts w:hint="eastAsia" w:ascii="宋体" w:hAnsi="宋体" w:eastAsia="宋体" w:cs="宋体"/>
                <w:sz w:val="21"/>
                <w:szCs w:val="21"/>
                <w:lang w:val="en-US" w:eastAsia="zh-CN"/>
              </w:rPr>
              <w:t>四标段</w:t>
            </w:r>
          </w:p>
        </w:tc>
        <w:tc>
          <w:tcPr>
            <w:tcW w:w="1863" w:type="dxa"/>
            <w:vAlign w:val="center"/>
          </w:tcPr>
          <w:p w14:paraId="53F0C6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豆制品</w:t>
            </w:r>
          </w:p>
        </w:tc>
        <w:tc>
          <w:tcPr>
            <w:tcW w:w="3923" w:type="dxa"/>
            <w:vAlign w:val="center"/>
          </w:tcPr>
          <w:p w14:paraId="3B0BC7B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非发酵豆制品，执行标准：GB/T 22106-2008《非发酵豆制品》，2026年12月1日前到货的执行现行 GB/T 22106-2008，2026年12月1日起执行新版 GB/T 22106-2025 《非发酵豆制品质量通则》</w:t>
            </w:r>
          </w:p>
        </w:tc>
        <w:tc>
          <w:tcPr>
            <w:tcW w:w="2487" w:type="dxa"/>
            <w:vAlign w:val="center"/>
          </w:tcPr>
          <w:p w14:paraId="07F2540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cs="宋体"/>
                <w:color w:val="000000" w:themeColor="text1"/>
                <w:szCs w:val="21"/>
                <w:lang w:val="en-US" w:eastAsia="zh-CN"/>
                <w14:textFill>
                  <w14:solidFill>
                    <w14:schemeClr w14:val="tx1"/>
                  </w14:solidFill>
                </w14:textFill>
              </w:rPr>
              <w:t>按</w:t>
            </w:r>
            <w:r>
              <w:rPr>
                <w:rFonts w:hint="eastAsia" w:ascii="宋体" w:hAnsi="宋体" w:cs="宋体"/>
                <w:color w:val="000000" w:themeColor="text1"/>
                <w:szCs w:val="21"/>
                <w14:textFill>
                  <w14:solidFill>
                    <w14:schemeClr w14:val="tx1"/>
                  </w14:solidFill>
                </w14:textFill>
              </w:rPr>
              <w:t>斤</w:t>
            </w:r>
            <w:r>
              <w:rPr>
                <w:rFonts w:hint="eastAsia" w:ascii="宋体" w:hAnsi="宋体" w:cs="宋体"/>
                <w:color w:val="000000" w:themeColor="text1"/>
                <w:szCs w:val="21"/>
                <w:lang w:val="en-US" w:eastAsia="zh-CN"/>
                <w14:textFill>
                  <w14:solidFill>
                    <w14:schemeClr w14:val="tx1"/>
                  </w14:solidFill>
                </w14:textFill>
              </w:rPr>
              <w:t>供货，根据</w:t>
            </w:r>
            <w:r>
              <w:rPr>
                <w:rFonts w:hint="eastAsia" w:ascii="宋体" w:hAnsi="宋体" w:eastAsia="宋体" w:cs="宋体"/>
                <w:color w:val="000000" w:themeColor="text1"/>
                <w:szCs w:val="21"/>
                <w14:textFill>
                  <w14:solidFill>
                    <w14:schemeClr w14:val="tx1"/>
                  </w14:solidFill>
                </w14:textFill>
              </w:rPr>
              <w:t>学校要求执行</w:t>
            </w:r>
            <w:r>
              <w:rPr>
                <w:rFonts w:hint="eastAsia" w:ascii="宋体" w:hAnsi="宋体" w:eastAsia="宋体" w:cs="宋体"/>
                <w:color w:val="000000" w:themeColor="text1"/>
                <w:szCs w:val="21"/>
                <w:lang w:eastAsia="zh-CN"/>
                <w14:textFill>
                  <w14:solidFill>
                    <w14:schemeClr w14:val="tx1"/>
                  </w14:solidFill>
                </w14:textFill>
              </w:rPr>
              <w:t>。</w:t>
            </w:r>
          </w:p>
        </w:tc>
      </w:tr>
      <w:tr w14:paraId="476A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050" w:type="dxa"/>
            <w:vAlign w:val="center"/>
          </w:tcPr>
          <w:p w14:paraId="0C7CF46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六标段</w:t>
            </w:r>
          </w:p>
        </w:tc>
        <w:tc>
          <w:tcPr>
            <w:tcW w:w="1863" w:type="dxa"/>
            <w:vAlign w:val="center"/>
          </w:tcPr>
          <w:p w14:paraId="503B89F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鸡蛋</w:t>
            </w:r>
          </w:p>
        </w:tc>
        <w:tc>
          <w:tcPr>
            <w:tcW w:w="3923" w:type="dxa"/>
            <w:vAlign w:val="center"/>
          </w:tcPr>
          <w:p w14:paraId="1B6ADDF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GB 2749-2015《食品安全国家标准蛋与蛋制品》</w:t>
            </w:r>
          </w:p>
        </w:tc>
        <w:tc>
          <w:tcPr>
            <w:tcW w:w="2487" w:type="dxa"/>
            <w:vAlign w:val="center"/>
          </w:tcPr>
          <w:p w14:paraId="15B5BAE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1、</w:t>
            </w:r>
            <w:r>
              <w:rPr>
                <w:rFonts w:hint="eastAsia" w:ascii="宋体" w:hAnsi="宋体" w:cs="宋体"/>
                <w:color w:val="000000" w:themeColor="text1"/>
                <w:szCs w:val="21"/>
                <w14:textFill>
                  <w14:solidFill>
                    <w14:schemeClr w14:val="tx1"/>
                  </w14:solidFill>
                </w14:textFill>
              </w:rPr>
              <w:t>每箱30斤</w:t>
            </w:r>
          </w:p>
          <w:p w14:paraId="611DF890">
            <w:pPr>
              <w:jc w:val="left"/>
              <w:rPr>
                <w:rFonts w:hint="eastAsia" w:ascii="宋体" w:hAnsi="宋体" w:eastAsia="宋体" w:cs="宋体"/>
                <w:sz w:val="21"/>
                <w:szCs w:val="21"/>
                <w:lang w:val="en-US" w:eastAsia="zh-CN"/>
              </w:rPr>
            </w:pPr>
            <w:r>
              <w:rPr>
                <w:rFonts w:hint="eastAsia" w:ascii="宋体" w:hAnsi="宋体" w:cs="宋体"/>
                <w:color w:val="000000" w:themeColor="text1"/>
                <w:szCs w:val="21"/>
                <w:lang w:val="en-US" w:eastAsia="zh-CN"/>
                <w14:textFill>
                  <w14:solidFill>
                    <w14:schemeClr w14:val="tx1"/>
                  </w14:solidFill>
                </w14:textFill>
              </w:rPr>
              <w:t>2、</w:t>
            </w:r>
            <w:r>
              <w:rPr>
                <w:rFonts w:hint="eastAsia" w:ascii="宋体" w:hAnsi="宋体" w:cs="宋体"/>
                <w:color w:val="000000" w:themeColor="text1"/>
                <w:szCs w:val="21"/>
                <w14:textFill>
                  <w14:solidFill>
                    <w14:schemeClr w14:val="tx1"/>
                  </w14:solidFill>
                </w14:textFill>
              </w:rPr>
              <w:t>报价依据</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中国鸡蛋网江苏盐都报价</w:t>
            </w:r>
          </w:p>
        </w:tc>
      </w:tr>
    </w:tbl>
    <w:p w14:paraId="611BAF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（二）退货依据</w:t>
      </w:r>
    </w:p>
    <w:p w14:paraId="4F3FD9A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1.豆制品类：损耗（破碎）率高于5%，运输途中挤压导致的</w:t>
      </w:r>
      <w:r>
        <w:rPr>
          <w:rFonts w:hint="eastAsia" w:ascii="宋体" w:hAnsi="宋体" w:cs="宋体"/>
          <w:b w:val="0"/>
          <w:bCs w:val="0"/>
          <w:sz w:val="21"/>
          <w:szCs w:val="21"/>
          <w:lang w:val="en-US" w:eastAsia="zh-CN"/>
        </w:rPr>
        <w:t>豆制品</w:t>
      </w:r>
      <w:r>
        <w:rPr>
          <w:rFonts w:hint="eastAsia" w:ascii="宋体" w:hAnsi="宋体" w:eastAsia="宋体" w:cs="宋体"/>
          <w:b w:val="0"/>
          <w:bCs w:val="0"/>
          <w:sz w:val="21"/>
          <w:szCs w:val="21"/>
          <w:lang w:val="en-US" w:eastAsia="zh-CN"/>
        </w:rPr>
        <w:t>碎裂、散块等。</w:t>
      </w:r>
    </w:p>
    <w:p w14:paraId="5672ADE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2.禽蛋类：蛋类与验收标准不符，有异味、破损率超过3%。</w:t>
      </w:r>
    </w:p>
    <w:p w14:paraId="12574EC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val="0"/>
          <w:bCs w:val="0"/>
          <w:sz w:val="21"/>
          <w:szCs w:val="21"/>
          <w:lang w:val="en-US" w:eastAsia="zh-CN"/>
        </w:rPr>
        <w:t>注：（1）学校收货、加工过程中任意环节（如目测验收、切片验收、加工验收）中发现质量问题，均可向投标人发起退（换）货要求。</w:t>
      </w:r>
    </w:p>
    <w:p w14:paraId="38938F5C">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（三）供货时间及供货地点要求</w:t>
      </w:r>
    </w:p>
    <w:p w14:paraId="72D9644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供货时间：招标人（食堂承包商）按实际需求进度将供货清单提供给中标方（供货方），中标人不得以单批次数量多少为由延迟供货。中标人须在接招标人通知后按规定时间送到指定位置。供货时间首期从2026年秋学期开始，具体按照学校开学和放假时间为准。期满后，采购人根据中标人履约情况及自身采购模式决定是否续签。若首次供货期考核合格且采购模式未变化，合同续签1年；若首次供货期考核不合格或采购模式变化，则合同终止。</w:t>
      </w:r>
    </w:p>
    <w:p w14:paraId="2BC43E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供货地点：招标人指定的位置（一般为请购人实际使用现场），运输道路为普通道路，不能因为超重运输,要求学校另行安排道路。卸货时要求在招标人指定的位置堆放整齐。学校东园食堂已配备货梯，西园食堂两层无电梯。供货商在报价时应当考虑无电梯的实际情况，不得在送货时，以任何理由拖延或者要求支付运力费用。</w:t>
      </w:r>
    </w:p>
    <w:p w14:paraId="0A3803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中标人必须按招标的要求完成食品原料的供应及售后服务等工作。按后勤管理处的要求，不得影响正常的伙食保障工作。投标人中标后在履约过程中应服从招标人、请购人的统一管理，严格遵守投标承诺和合同。</w:t>
      </w:r>
    </w:p>
    <w:p w14:paraId="3C2DE5DC">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（四）供应方式及要求</w:t>
      </w:r>
    </w:p>
    <w:p w14:paraId="3490E65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1、供货方式：有计划、分批供货。</w:t>
      </w:r>
    </w:p>
    <w:p w14:paraId="0190B7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中标人应严格按照招标人要求的供应计划按时按量进行供应，除不可抗力原因外，逾时缺量供应由中标人承担相关损失。超量供应招标人有权拒收，造成损失由中标人自行负责。</w:t>
      </w:r>
    </w:p>
    <w:p w14:paraId="492499C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2、中标人必须按照招标人要求或招标人委托单位的供应计划分次逐步供应。投标人应充分考虑供应的跨时性、分散性等因素进行报价。中标人以此为由要求提价或停止供货均视为严重违约行为。</w:t>
      </w:r>
    </w:p>
    <w:p w14:paraId="32E6B1F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3、送货及履约地点：江苏医药职业学院各食堂（按照各食堂指定摆放位置）。</w:t>
      </w:r>
    </w:p>
    <w:p w14:paraId="4E50B1BF">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（五）服务要求</w:t>
      </w:r>
    </w:p>
    <w:p w14:paraId="56407F4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1、中标人应保证所提供的产品是合格安全的产品。一旦发现伪劣假冒产品、以次充好产品或替代产品，取消该中标人的供货资格，并要承担全部经济赔偿责任和相应的法律责任。</w:t>
      </w:r>
    </w:p>
    <w:p w14:paraId="5D1644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2、中标人提供的产品须经过食堂验收人员的感官检验、外观检验和试用检验，若产品外观、包装、形式不符合要求、感官检验达不到食品卫生要求，学校必须当即拒收并要求投标人重新安排送货。</w:t>
      </w:r>
    </w:p>
    <w:p w14:paraId="177FC7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3、中标人不能满足招标人食堂食品的质量及售后服务要求时，招标人有权对中标人进行处罚或终止合同。</w:t>
      </w:r>
    </w:p>
    <w:p w14:paraId="433119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中标人必须按照招标人食堂工作人员通知的时间、数量、品种、品质要求及协定的结算方式准时送货，所送食材经学校食堂工作人员验收合格后签字确认方可交接。中标人不能以任何理由推脱送货，一旦影响到中标人食堂的正常运转，中标人必须承担相应的经济赔偿。</w:t>
      </w:r>
    </w:p>
    <w:p w14:paraId="3758BBA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中标人不能满足供货要求时，应提前一个月书面通知招标人，经招标人同意后方可终止合同；如果未经招标人同意，中标人擅自停止供货，影响招标人食堂的正常运转，招标人有权取消中标人的本次中标供货资格，并扣除该中标人所交的履约保证金，追究其经济赔偿责任，同时取消中标人今后五年内参加招标人的各项投标资格。</w:t>
      </w:r>
    </w:p>
    <w:p w14:paraId="41D280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6、中标人投入本项目的所有带有冷藏功能的厢式货车，不得将食品与有毒有害物品混装配送，运输食品和运输有毒有害物品的车辆不得混用。</w:t>
      </w:r>
    </w:p>
    <w:p w14:paraId="0F60B83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7、中标人所投入的所有送货货车消毒记录（主要包含消毒人员、是否消毒、消毒时间等）。要求每天要对车辆进行消毒，并做好相应记录，以备核查。</w:t>
      </w:r>
    </w:p>
    <w:p w14:paraId="7A0222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8、在送货时，确保所送标注保质期产品的保质期剩余天数大于其总保质期的二分之一。</w:t>
      </w:r>
    </w:p>
    <w:p w14:paraId="2E3AC87E">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 xml:space="preserve"> 四、验收</w:t>
      </w:r>
    </w:p>
    <w:p w14:paraId="011BCA3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食材到达现场后，中标人应在学校工作人员在场情况下当面接受检验，提供产品合格证、装箱单，共同清点、检查外观、查验标签、包装和封口，并做好进货记录（如实记录食材的名称、规格、数量、生产批号、保质期、供货者名称及联系方式、进货日期等内容），双方签字确认。</w:t>
      </w:r>
    </w:p>
    <w:p w14:paraId="16E7572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2.中标人应保证食材到达用户所在地完好无损，如有缺漏、损坏，由中标人负责调换、补齐或赔偿。</w:t>
      </w:r>
    </w:p>
    <w:p w14:paraId="3B0473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3.中标人提供食材未达到本招标文件要求的，如属不合格或劣质产品，且对招标人造成损失的，由中标人承担一切责任，并赔偿所造成的损失。</w:t>
      </w:r>
    </w:p>
    <w:p w14:paraId="7E617C16">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五、质量保证及售后服务</w:t>
      </w:r>
    </w:p>
    <w:p w14:paraId="16D0D0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1.中标人提供的食材在质量期内因食材本身的质量问题发生故障，中标人应负责免费更换。对达不到技术要求者，根据实际情况，经双方协商，可按以下办法处理：</w:t>
      </w:r>
    </w:p>
    <w:p w14:paraId="20A5C3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⑴更换：由中标人承担所发生的全部费用。</w:t>
      </w:r>
    </w:p>
    <w:p w14:paraId="52784A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⑵贬值处理：由双方合议定价。</w:t>
      </w:r>
    </w:p>
    <w:p w14:paraId="3763633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⑶退货处理：中标人应退还招标人支付的合同款，同时应承担该食材的直接费用（储存、保管、检验、运输等）。</w:t>
      </w:r>
    </w:p>
    <w:p w14:paraId="492EBE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2.质保期：</w:t>
      </w:r>
      <w:r>
        <w:rPr>
          <w:rFonts w:hint="eastAsia" w:ascii="宋体" w:hAnsi="宋体" w:eastAsia="宋体" w:cs="宋体"/>
          <w:b w:val="0"/>
          <w:bCs w:val="0"/>
          <w:sz w:val="21"/>
          <w:szCs w:val="21"/>
          <w:u w:val="single"/>
          <w:lang w:val="en-US" w:eastAsia="zh-CN"/>
        </w:rPr>
        <w:t xml:space="preserve"> 1 </w:t>
      </w:r>
      <w:r>
        <w:rPr>
          <w:rFonts w:hint="eastAsia" w:ascii="宋体" w:hAnsi="宋体" w:eastAsia="宋体" w:cs="宋体"/>
          <w:b w:val="0"/>
          <w:bCs w:val="0"/>
          <w:sz w:val="21"/>
          <w:szCs w:val="21"/>
          <w:lang w:val="en-US" w:eastAsia="zh-CN"/>
        </w:rPr>
        <w:t>年。质保期自验收合格之日起算。在质保期内，中标人应对食材出现的质量及安全问题负责处理解决并承担一切费用。</w:t>
      </w:r>
    </w:p>
    <w:p w14:paraId="32E94C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中标人所送食品原料必须符合国家安全卫生及质量检测标准，招标人实行食品原料进货检查验收制度，每有一个细则不符合标准，则招标人扣除总货款的10%，如因中标人的伪劣食品造成安全事故，中标人除承担经济赔偿外，还要承担相应法律责任。招标人有权向中标人索取和查验营业执照、生产许可证、经营许可证、卫生许可证、产品标准登记注册证、商标注册证等相关证照并保存复印件。对进场的食品原料，招标人有权索取质量检验证明、出库凭证等与安全有关的证明。</w:t>
      </w:r>
    </w:p>
    <w:p w14:paraId="6BE0E46B">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五、结算支付</w:t>
      </w:r>
    </w:p>
    <w:p w14:paraId="0E75B2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1、付款方式：货款最终由食堂承包商与供应商统一结算。每自然月为一结算周期，付款日期为次月，分别跨寒暑假两月的账务，按相邻两月账期合并结账。</w:t>
      </w:r>
    </w:p>
    <w:p w14:paraId="237718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注：因乙方不能及时核对供货量造成招标人不能及时核算的，乙方自行承担责任，甲方不承担责任。</w:t>
      </w:r>
    </w:p>
    <w:p w14:paraId="3ECEEBB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2、调价机制：</w:t>
      </w:r>
    </w:p>
    <w:p w14:paraId="454486A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2.1一标段、二标段、三标段、四标段、</w:t>
      </w:r>
      <w:r>
        <w:rPr>
          <w:rFonts w:hint="eastAsia" w:ascii="宋体" w:hAnsi="宋体" w:cs="宋体"/>
          <w:b w:val="0"/>
          <w:bCs w:val="0"/>
          <w:sz w:val="21"/>
          <w:szCs w:val="21"/>
          <w:lang w:val="en-US" w:eastAsia="zh-CN"/>
        </w:rPr>
        <w:t>七标段、</w:t>
      </w:r>
      <w:r>
        <w:rPr>
          <w:rFonts w:hint="eastAsia" w:ascii="宋体" w:hAnsi="宋体" w:eastAsia="宋体" w:cs="宋体"/>
          <w:b w:val="0"/>
          <w:bCs w:val="0"/>
          <w:sz w:val="21"/>
          <w:szCs w:val="21"/>
          <w:lang w:val="en-US" w:eastAsia="zh-CN"/>
        </w:rPr>
        <w:t>八标段：所有食品原料市场价格波动在±2%以上，授权后勤管理处、餐饮公司与中标单位进行议价，以议定的价格执行，若议价不成，另行招标；如价格无变动或变动在±2%以内，则按原价格执行。</w:t>
      </w:r>
    </w:p>
    <w:p w14:paraId="20F513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2.2五标段、六标段、九标段：在协议期内，由后勤管理处定期组织相关餐厅负责人邀请协议供货单位进行议价，以议定的供货价格执行。</w:t>
      </w:r>
    </w:p>
    <w:p w14:paraId="528EDB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2.3十标段：在协议期内，每两周由后勤管理处组织相关餐厅负责人邀请协议供货单位进行议价，以议定的供货价格执行。</w:t>
      </w:r>
    </w:p>
    <w:p w14:paraId="779EFCA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kern w:val="2"/>
          <w:sz w:val="21"/>
          <w:szCs w:val="21"/>
          <w:lang w:val="en-US" w:eastAsia="zh-CN" w:bidi="ar-SA"/>
        </w:rPr>
        <w:t>六、</w:t>
      </w:r>
      <w:r>
        <w:rPr>
          <w:rFonts w:hint="eastAsia" w:ascii="宋体" w:hAnsi="宋体" w:eastAsia="宋体" w:cs="宋体"/>
          <w:b/>
          <w:bCs/>
          <w:sz w:val="21"/>
          <w:szCs w:val="21"/>
          <w:lang w:val="en-US" w:eastAsia="zh-CN"/>
        </w:rPr>
        <w:t>履约保证金</w:t>
      </w:r>
    </w:p>
    <w:p w14:paraId="1B09D8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在签订合同前，中标人需向招标人交纳履约保证金（请将履约保证金汇款凭证发送至QQ邮箱：532223373@qq.com），具体金额为壹万元/每标段。拟中标人应当按照招标人的要求及时、足额缴纳履约保证金，履约保证金待项目验收结束后无质量问题一次性无息退还。</w:t>
      </w:r>
    </w:p>
    <w:p w14:paraId="2193CB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如果拟中标人没有在规定的时间内交纳履约保证金，或放弃中标、或被查实存在影响中标结果的违法行为、或其他供应商对招标项目的质疑（投诉）成立、或拒绝遵守招标文件规定、响应承诺，或拒绝签订合同、或虽签署合同但不予履行等，则取消（拟）中标人资格，已经缴纳的履约保证金作为违约金不予退还。</w:t>
      </w:r>
    </w:p>
    <w:p w14:paraId="2BFDDD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履约保证金退还：中标人缴纳的履约保证金待项目验收结束后无质量问题一次性无息退还，（凭“保证金请退函”到学校国资处办理退款手续）。如果中标人不履行合同约定的义务，未能完全履行合同规定的义务或其履行不符合合同的约定，招标人有权扣除履约保证金取得补偿。</w:t>
      </w:r>
    </w:p>
    <w:p w14:paraId="2AAFCD40">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七、采购清单</w:t>
      </w:r>
    </w:p>
    <w:p w14:paraId="4601E1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详见分项报价表</w:t>
      </w:r>
    </w:p>
    <w:p w14:paraId="51B0CC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kern w:val="2"/>
          <w:sz w:val="21"/>
          <w:szCs w:val="21"/>
          <w:lang w:val="en-US" w:eastAsia="zh-CN" w:bidi="ar-SA"/>
        </w:rPr>
        <w:t>八、</w:t>
      </w:r>
      <w:r>
        <w:rPr>
          <w:rFonts w:hint="eastAsia" w:ascii="宋体" w:hAnsi="宋体" w:eastAsia="宋体" w:cs="宋体"/>
          <w:b/>
          <w:bCs/>
          <w:sz w:val="21"/>
          <w:szCs w:val="21"/>
          <w:lang w:val="en-US" w:eastAsia="zh-CN"/>
        </w:rPr>
        <w:t>报价说明</w:t>
      </w:r>
    </w:p>
    <w:p w14:paraId="3D82743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1、投标人的投标报价是对本次采购及相关服务提出的各项支付金额的总和，包括（但不限于）为完成</w:t>
      </w:r>
      <w:r>
        <w:rPr>
          <w:rFonts w:hint="eastAsia" w:ascii="宋体" w:hAnsi="宋体" w:cs="宋体"/>
          <w:b w:val="0"/>
          <w:bCs w:val="0"/>
          <w:sz w:val="21"/>
          <w:szCs w:val="21"/>
          <w:lang w:val="en-US" w:eastAsia="zh-CN"/>
        </w:rPr>
        <w:t>2026-2028学年食堂大宗食品原料代采购项目（二次）</w:t>
      </w:r>
      <w:r>
        <w:rPr>
          <w:rFonts w:hint="eastAsia" w:ascii="宋体" w:hAnsi="宋体" w:eastAsia="宋体" w:cs="宋体"/>
          <w:b w:val="0"/>
          <w:bCs w:val="0"/>
          <w:sz w:val="21"/>
          <w:szCs w:val="21"/>
          <w:lang w:val="en-US" w:eastAsia="zh-CN"/>
        </w:rPr>
        <w:t>招标文件所确定的供货、验收交付及伴随服务等招标范围内的全部内容，以及为完成上述内容所必须的质量保证与技术支持、采购、加工制造（包括所有制造生产成本、附件、配件等）、装卸、运输、供货、检测检验、技术服务、验收、交付、售前售后服务以及材料、劳务、机械投入、利润、税金、管理费、规费、措施费、风险费用、招标文件规定的各项所需的全部费用、不可预见费及其它一切相关费用。凡漏项或少计均视为已包含在本次投标报价的范围以内，招标人不再另行增加费用，结算时不再调整单价。</w:t>
      </w:r>
    </w:p>
    <w:p w14:paraId="715F4B7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2、投标人在投标报价时，不得进行投标总价或合价的优惠（或降价、让利）或隐性提价；单价与供货数量的乘积应与合价一致。</w:t>
      </w:r>
    </w:p>
    <w:p w14:paraId="59A67D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投标人应充分考虑交货期间各类材料的市场风险和国家政策性调整风险系数，除合同约定可以调整的因素外，在合同实施期间材料价格不因市场变化或其他任何因素变化而变动，投标人在投标报价时应充分考虑本项目合同的风险。</w:t>
      </w:r>
    </w:p>
    <w:p w14:paraId="41D922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 xml:space="preserve">4、除计价规范另有规定外，投标文件使用的度量衡单位，均采用中华人民共和国法定计量单位，投标文件和与投标有关的所有文件均应使用中文，投标报价统一采用人民币作为计量单位。 </w:t>
      </w:r>
    </w:p>
    <w:p w14:paraId="1F49EC01">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FF0000"/>
          <w:sz w:val="21"/>
          <w:szCs w:val="21"/>
          <w:lang w:val="en-US" w:eastAsia="zh-CN"/>
        </w:rPr>
      </w:pPr>
      <w:r>
        <w:rPr>
          <w:rFonts w:hint="eastAsia" w:ascii="宋体" w:hAnsi="宋体" w:eastAsia="宋体" w:cs="宋体"/>
          <w:b/>
          <w:bCs/>
          <w:color w:val="FF0000"/>
          <w:sz w:val="21"/>
          <w:szCs w:val="21"/>
          <w:lang w:val="en-US" w:eastAsia="zh-CN"/>
        </w:rPr>
        <w:t>5、本次招标所有标段为单价报价，投标人按照各品种分别报单价、各品种合计价（单价*权重）、总合计价（各品种合计价总和），评标时以总合计价最低价作为评标基准价并计算各投标人价格分。且无论市场价格如何变化，中标报价执行一个月后，再启动议价机制进行议价。</w:t>
      </w:r>
    </w:p>
    <w:p w14:paraId="65E350D8">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val="0"/>
          <w:bCs w:val="0"/>
          <w:i w:val="0"/>
          <w:iCs w:val="0"/>
          <w:color w:val="FF0000"/>
          <w:sz w:val="21"/>
          <w:szCs w:val="21"/>
          <w:u w:val="none"/>
          <w:lang w:val="en-US" w:eastAsia="zh-CN"/>
        </w:rPr>
      </w:pPr>
      <w:r>
        <w:rPr>
          <w:rFonts w:hint="eastAsia" w:ascii="宋体" w:hAnsi="宋体" w:eastAsia="宋体" w:cs="宋体"/>
          <w:b/>
          <w:bCs/>
          <w:i w:val="0"/>
          <w:iCs w:val="0"/>
          <w:color w:val="FF0000"/>
          <w:sz w:val="21"/>
          <w:szCs w:val="21"/>
          <w:u w:val="none"/>
          <w:lang w:val="en-US" w:eastAsia="zh-CN"/>
        </w:rPr>
        <w:t>6、开标一览表中投标人仅对自己单标段标书所参与的标段打勾填写报价，投标人不得作出选择性报价，否则作无效投标。</w:t>
      </w:r>
    </w:p>
    <w:p w14:paraId="6F138605">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宋体" w:hAnsi="宋体" w:eastAsia="宋体" w:cs="宋体"/>
          <w:b/>
          <w:bCs/>
          <w:i w:val="0"/>
          <w:iCs w:val="0"/>
          <w:color w:val="FF0000"/>
          <w:sz w:val="21"/>
          <w:szCs w:val="21"/>
          <w:u w:val="none"/>
          <w:lang w:val="en-US" w:eastAsia="zh-CN"/>
        </w:rPr>
      </w:pPr>
      <w:r>
        <w:rPr>
          <w:rFonts w:hint="eastAsia" w:ascii="宋体" w:hAnsi="宋体" w:eastAsia="宋体" w:cs="宋体"/>
          <w:b/>
          <w:bCs/>
          <w:i w:val="0"/>
          <w:iCs w:val="0"/>
          <w:color w:val="FF0000"/>
          <w:sz w:val="21"/>
          <w:szCs w:val="21"/>
          <w:u w:val="none"/>
          <w:lang w:val="en-US" w:eastAsia="zh-CN"/>
        </w:rPr>
        <w:t>7、投标人</w:t>
      </w:r>
      <w:r>
        <w:rPr>
          <w:rFonts w:hint="eastAsia" w:ascii="宋体" w:hAnsi="宋体" w:cs="宋体"/>
          <w:b/>
          <w:bCs/>
          <w:i w:val="0"/>
          <w:iCs w:val="0"/>
          <w:color w:val="FF0000"/>
          <w:sz w:val="21"/>
          <w:szCs w:val="21"/>
          <w:u w:val="none"/>
          <w:lang w:val="en-US" w:eastAsia="zh-CN"/>
        </w:rPr>
        <w:t>在</w:t>
      </w:r>
      <w:r>
        <w:rPr>
          <w:rFonts w:hint="eastAsia" w:ascii="宋体" w:hAnsi="宋体" w:eastAsia="宋体" w:cs="宋体"/>
          <w:b/>
          <w:bCs/>
          <w:i w:val="0"/>
          <w:iCs w:val="0"/>
          <w:color w:val="FF0000"/>
          <w:sz w:val="21"/>
          <w:szCs w:val="21"/>
          <w:u w:val="none"/>
          <w:lang w:val="en-US" w:eastAsia="zh-CN"/>
        </w:rPr>
        <w:t>分项报价表中的报价注意</w:t>
      </w:r>
      <w:r>
        <w:rPr>
          <w:rFonts w:hint="eastAsia" w:ascii="宋体" w:hAnsi="宋体" w:cs="宋体"/>
          <w:b/>
          <w:bCs/>
          <w:i w:val="0"/>
          <w:iCs w:val="0"/>
          <w:color w:val="FF0000"/>
          <w:sz w:val="21"/>
          <w:szCs w:val="21"/>
          <w:u w:val="none"/>
          <w:lang w:val="en-US" w:eastAsia="zh-CN"/>
        </w:rPr>
        <w:t>投标</w:t>
      </w:r>
      <w:r>
        <w:rPr>
          <w:rFonts w:hint="eastAsia" w:ascii="宋体" w:hAnsi="宋体" w:eastAsia="宋体" w:cs="宋体"/>
          <w:b/>
          <w:bCs/>
          <w:i w:val="0"/>
          <w:iCs w:val="0"/>
          <w:color w:val="FF0000"/>
          <w:sz w:val="21"/>
          <w:szCs w:val="21"/>
          <w:u w:val="none"/>
          <w:lang w:val="en-US" w:eastAsia="zh-CN"/>
        </w:rPr>
        <w:t>单价为：</w:t>
      </w:r>
      <w:r>
        <w:rPr>
          <w:rFonts w:hint="eastAsia" w:ascii="宋体" w:hAnsi="宋体" w:eastAsia="宋体" w:cs="宋体"/>
          <w:b/>
          <w:bCs/>
          <w:i w:val="0"/>
          <w:iCs w:val="0"/>
          <w:color w:val="0000FF"/>
          <w:sz w:val="21"/>
          <w:szCs w:val="21"/>
          <w:u w:val="none"/>
          <w:lang w:val="en-US" w:eastAsia="zh-CN"/>
        </w:rPr>
        <w:t>元/斤</w:t>
      </w:r>
      <w:r>
        <w:rPr>
          <w:rFonts w:hint="eastAsia" w:ascii="宋体" w:hAnsi="宋体" w:eastAsia="宋体" w:cs="宋体"/>
          <w:b/>
          <w:bCs/>
          <w:i w:val="0"/>
          <w:iCs w:val="0"/>
          <w:color w:val="FF0000"/>
          <w:sz w:val="21"/>
          <w:szCs w:val="21"/>
          <w:u w:val="none"/>
          <w:lang w:val="en-US" w:eastAsia="zh-CN"/>
        </w:rPr>
        <w:t>，因投标人报价</w:t>
      </w:r>
      <w:r>
        <w:rPr>
          <w:rFonts w:hint="eastAsia" w:ascii="宋体" w:hAnsi="宋体" w:cs="宋体"/>
          <w:b/>
          <w:bCs/>
          <w:i w:val="0"/>
          <w:iCs w:val="0"/>
          <w:color w:val="FF0000"/>
          <w:sz w:val="21"/>
          <w:szCs w:val="21"/>
          <w:u w:val="none"/>
          <w:lang w:val="en-US" w:eastAsia="zh-CN"/>
        </w:rPr>
        <w:t>失误</w:t>
      </w:r>
      <w:r>
        <w:rPr>
          <w:rFonts w:hint="eastAsia" w:ascii="宋体" w:hAnsi="宋体" w:eastAsia="宋体" w:cs="宋体"/>
          <w:b/>
          <w:bCs/>
          <w:i w:val="0"/>
          <w:iCs w:val="0"/>
          <w:color w:val="FF0000"/>
          <w:sz w:val="21"/>
          <w:szCs w:val="21"/>
          <w:u w:val="none"/>
          <w:lang w:val="en-US" w:eastAsia="zh-CN"/>
        </w:rPr>
        <w:t>产生的后果，投标人自行承担一切</w:t>
      </w:r>
      <w:r>
        <w:rPr>
          <w:rFonts w:hint="eastAsia" w:ascii="宋体" w:hAnsi="宋体" w:cs="宋体"/>
          <w:b/>
          <w:bCs/>
          <w:i w:val="0"/>
          <w:iCs w:val="0"/>
          <w:color w:val="FF0000"/>
          <w:sz w:val="21"/>
          <w:szCs w:val="21"/>
          <w:u w:val="none"/>
          <w:lang w:val="en-US" w:eastAsia="zh-CN"/>
        </w:rPr>
        <w:t>损失</w:t>
      </w:r>
      <w:r>
        <w:rPr>
          <w:rFonts w:hint="eastAsia" w:ascii="宋体" w:hAnsi="宋体" w:eastAsia="宋体" w:cs="宋体"/>
          <w:b/>
          <w:bCs/>
          <w:i w:val="0"/>
          <w:iCs w:val="0"/>
          <w:color w:val="FF0000"/>
          <w:sz w:val="21"/>
          <w:szCs w:val="21"/>
          <w:u w:val="none"/>
          <w:lang w:val="en-US" w:eastAsia="zh-CN"/>
        </w:rPr>
        <w:t>。</w:t>
      </w:r>
    </w:p>
    <w:p w14:paraId="2B705713">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i w:val="0"/>
          <w:iCs w:val="0"/>
          <w:color w:val="FF0000"/>
          <w:sz w:val="21"/>
          <w:szCs w:val="21"/>
          <w:u w:val="none"/>
          <w:lang w:val="en-US" w:eastAsia="zh-CN"/>
        </w:rPr>
      </w:pPr>
      <w:r>
        <w:rPr>
          <w:rFonts w:hint="eastAsia" w:ascii="宋体" w:hAnsi="宋体" w:cs="宋体"/>
          <w:b/>
          <w:bCs/>
          <w:i w:val="0"/>
          <w:iCs w:val="0"/>
          <w:color w:val="FF0000"/>
          <w:sz w:val="21"/>
          <w:szCs w:val="21"/>
          <w:u w:val="none"/>
          <w:lang w:val="en-US" w:eastAsia="zh-CN"/>
        </w:rPr>
        <w:t>8</w:t>
      </w:r>
      <w:r>
        <w:rPr>
          <w:rFonts w:hint="eastAsia" w:ascii="宋体" w:hAnsi="宋体" w:eastAsia="宋体" w:cs="宋体"/>
          <w:b/>
          <w:bCs/>
          <w:i w:val="0"/>
          <w:iCs w:val="0"/>
          <w:color w:val="FF0000"/>
          <w:sz w:val="21"/>
          <w:szCs w:val="21"/>
          <w:u w:val="none"/>
          <w:lang w:val="en-US" w:eastAsia="zh-CN"/>
        </w:rPr>
        <w:t>、经招标人成本核算，投标人的投标报价明显低于其成本价的，投标人自行承担一切后果。</w:t>
      </w:r>
    </w:p>
    <w:p w14:paraId="08F9304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投标人投标时无需选择某一具体品牌，分项报价表中推荐品牌仅作为参考，如投标人采用推荐品牌以外的其他品牌产品供货的，质量和性能等技术指标必须优于或者相当于推荐品牌。部分食材无推荐品牌的，投标人可自行填写。所提供单品和实际需要相匹配即可。</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634EAD"/>
    <w:rsid w:val="5E634E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2026-10-12T03:39:00Z</dcterms:created>
  <dc:creator>李想</dc:creator>
  <cp:lastModifiedBy>李想</cp:lastModifiedBy>
  <dcterms:modified xsi:type="dcterms:W3CDTF">2026-10-12T03:41:01Z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6C2F12C3726F414AA37D044234498C26_11</vt:lpwstr>
  </property>
  <property fmtid="{D5CDD505-2E9C-101B-9397-08002B2CF9AE}" pid="4" name="KSOTemplateDocerSaveRecord">
    <vt:lpwstr>eyJoZGlkIjoiZjlmZTM0ZGMxZDQ4NTg1YTBhZDhhZGQxYWIwMmZkMGUiLCJ1c2VySWQiOiIxMTc3MDM5MTI1In0=</vt:lpwstr>
  </property>
</Properties>
</file>