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after="120" w:line="300" w:lineRule="auto"/>
        <w:ind w:firstLine="420"/>
        <w:jc w:val="center"/>
        <w:rPr>
          <w:rFonts w:asciiTheme="minorEastAsia" w:hAnsiTheme="minorEastAsia" w:eastAsiaTheme="minorEastAsia"/>
          <w:color w:val="000000" w:themeColor="text1"/>
          <w:sz w:val="72"/>
          <w:szCs w:val="72"/>
          <w:highlight w:val="none"/>
          <w14:textFill>
            <w14:solidFill>
              <w14:schemeClr w14:val="tx1"/>
            </w14:solidFill>
          </w14:textFill>
        </w:rPr>
      </w:pPr>
      <w:bookmarkStart w:id="0" w:name="_Toc141279400"/>
      <w:r>
        <w:rPr>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column">
              <wp:posOffset>431800</wp:posOffset>
            </wp:positionH>
            <wp:positionV relativeFrom="paragraph">
              <wp:posOffset>28575</wp:posOffset>
            </wp:positionV>
            <wp:extent cx="4695825" cy="970280"/>
            <wp:effectExtent l="0" t="0" r="9525" b="1270"/>
            <wp:wrapTight wrapText="bothSides">
              <wp:wrapPolygon>
                <wp:start x="0" y="0"/>
                <wp:lineTo x="0" y="21204"/>
                <wp:lineTo x="21556" y="21204"/>
                <wp:lineTo x="2155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695825" cy="970280"/>
                    </a:xfrm>
                    <a:prstGeom prst="rect">
                      <a:avLst/>
                    </a:prstGeom>
                  </pic:spPr>
                </pic:pic>
              </a:graphicData>
            </a:graphic>
          </wp:anchor>
        </w:drawing>
      </w:r>
      <w:r>
        <w:rPr>
          <w:rFonts w:hint="eastAsia" w:asciiTheme="minorEastAsia" w:hAnsiTheme="minorEastAsia" w:eastAsiaTheme="minorEastAsia"/>
          <w:color w:val="000000" w:themeColor="text1"/>
          <w:sz w:val="72"/>
          <w:szCs w:val="72"/>
          <w:highlight w:val="none"/>
          <w14:textFill>
            <w14:solidFill>
              <w14:schemeClr w14:val="tx1"/>
            </w14:solidFill>
          </w14:textFill>
        </w:rPr>
        <w:t xml:space="preserve"> </w:t>
      </w:r>
    </w:p>
    <w:p>
      <w:pPr>
        <w:snapToGrid w:val="0"/>
        <w:spacing w:before="120" w:after="120" w:line="300" w:lineRule="auto"/>
        <w:jc w:val="center"/>
        <w:rPr>
          <w:rFonts w:asciiTheme="minorEastAsia" w:hAnsiTheme="minorEastAsia" w:eastAsiaTheme="minorEastAsia"/>
          <w:color w:val="000000" w:themeColor="text1"/>
          <w:sz w:val="72"/>
          <w:szCs w:val="72"/>
          <w:highlight w:val="none"/>
          <w14:textFill>
            <w14:solidFill>
              <w14:schemeClr w14:val="tx1"/>
            </w14:solidFill>
          </w14:textFill>
        </w:rPr>
      </w:pPr>
    </w:p>
    <w:p>
      <w:pPr>
        <w:snapToGrid w:val="0"/>
        <w:spacing w:before="120" w:after="120" w:line="300" w:lineRule="auto"/>
        <w:jc w:val="center"/>
        <w:rPr>
          <w:rFonts w:ascii="黑体" w:hAnsi="黑体" w:eastAsia="黑体"/>
          <w:b/>
          <w:color w:val="000000" w:themeColor="text1"/>
          <w:sz w:val="72"/>
          <w:szCs w:val="72"/>
          <w:highlight w:val="none"/>
          <w14:textFill>
            <w14:solidFill>
              <w14:schemeClr w14:val="tx1"/>
            </w14:solidFill>
          </w14:textFill>
        </w:rPr>
      </w:pPr>
      <w:r>
        <w:rPr>
          <w:rFonts w:hint="eastAsia" w:ascii="黑体" w:hAnsi="黑体" w:eastAsia="黑体"/>
          <w:b/>
          <w:color w:val="000000" w:themeColor="text1"/>
          <w:sz w:val="72"/>
          <w:szCs w:val="72"/>
          <w:highlight w:val="none"/>
          <w14:textFill>
            <w14:solidFill>
              <w14:schemeClr w14:val="tx1"/>
            </w14:solidFill>
          </w14:textFill>
        </w:rPr>
        <w:t>询价文件</w:t>
      </w:r>
    </w:p>
    <w:p>
      <w:pPr>
        <w:tabs>
          <w:tab w:val="left" w:pos="8610"/>
        </w:tabs>
        <w:snapToGrid w:val="0"/>
        <w:spacing w:line="300" w:lineRule="auto"/>
        <w:jc w:val="left"/>
        <w:rPr>
          <w:rFonts w:asciiTheme="minorEastAsia" w:hAnsiTheme="minorEastAsia" w:eastAsiaTheme="minorEastAsia"/>
          <w:b/>
          <w:bCs/>
          <w:color w:val="000000" w:themeColor="text1"/>
          <w:sz w:val="28"/>
          <w:highlight w:val="none"/>
          <w14:textFill>
            <w14:solidFill>
              <w14:schemeClr w14:val="tx1"/>
            </w14:solidFill>
          </w14:textFill>
        </w:rPr>
      </w:pPr>
      <w:r>
        <w:rPr>
          <w:rFonts w:asciiTheme="minorEastAsia" w:hAnsiTheme="minorEastAsia" w:eastAsiaTheme="minorEastAsia"/>
          <w:b/>
          <w:bCs/>
          <w:color w:val="000000" w:themeColor="text1"/>
          <w:sz w:val="28"/>
          <w:highlight w:val="none"/>
          <w14:textFill>
            <w14:solidFill>
              <w14:schemeClr w14:val="tx1"/>
            </w14:solidFill>
          </w14:textFill>
        </w:rPr>
        <w:tab/>
      </w: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rPr>
          <w:rFonts w:asciiTheme="minorEastAsia" w:hAnsiTheme="minorEastAsia" w:eastAsiaTheme="minorEastAsia"/>
          <w:b/>
          <w:bCs/>
          <w:color w:val="000000" w:themeColor="text1"/>
          <w:sz w:val="36"/>
          <w:szCs w:val="36"/>
          <w:highlight w:val="none"/>
          <w14:textFill>
            <w14:solidFill>
              <w14:schemeClr w14:val="tx1"/>
            </w14:solidFill>
          </w14:textFill>
        </w:rPr>
      </w:pPr>
    </w:p>
    <w:p>
      <w:pPr>
        <w:snapToGrid w:val="0"/>
        <w:spacing w:line="300" w:lineRule="auto"/>
        <w:ind w:firstLine="1102" w:firstLineChars="343"/>
        <w:rPr>
          <w:rFonts w:asciiTheme="majorEastAsia" w:hAnsiTheme="majorEastAsia" w:eastAsiaTheme="majorEastAsia"/>
          <w:b/>
          <w:bCs/>
          <w:color w:val="000000" w:themeColor="text1"/>
          <w:sz w:val="32"/>
          <w:szCs w:val="32"/>
          <w:highlight w:val="none"/>
          <w14:textFill>
            <w14:solidFill>
              <w14:schemeClr w14:val="tx1"/>
            </w14:solidFill>
          </w14:textFill>
        </w:rPr>
      </w:pPr>
      <w:r>
        <w:rPr>
          <w:rFonts w:hint="eastAsia" w:asciiTheme="majorEastAsia" w:hAnsiTheme="majorEastAsia" w:eastAsiaTheme="majorEastAsia"/>
          <w:b/>
          <w:bCs/>
          <w:color w:val="000000" w:themeColor="text1"/>
          <w:sz w:val="32"/>
          <w:szCs w:val="32"/>
          <w:highlight w:val="none"/>
          <w14:textFill>
            <w14:solidFill>
              <w14:schemeClr w14:val="tx1"/>
            </w14:solidFill>
          </w14:textFill>
        </w:rPr>
        <w:t>项目名称</w:t>
      </w:r>
      <w:r>
        <w:rPr>
          <w:rFonts w:asciiTheme="majorEastAsia" w:hAnsiTheme="majorEastAsia" w:eastAsiaTheme="majorEastAsia"/>
          <w:b/>
          <w:bCs/>
          <w:color w:val="000000" w:themeColor="text1"/>
          <w:sz w:val="32"/>
          <w:szCs w:val="32"/>
          <w:highlight w:val="none"/>
          <w14:textFill>
            <w14:solidFill>
              <w14:schemeClr w14:val="tx1"/>
            </w14:solidFill>
          </w14:textFill>
        </w:rPr>
        <w:t>:</w:t>
      </w:r>
      <w:r>
        <w:rPr>
          <w:rFonts w:hint="eastAsia" w:asciiTheme="majorEastAsia" w:hAnsiTheme="majorEastAsia" w:eastAsiaTheme="majorEastAsia"/>
          <w:b/>
          <w:bCs/>
          <w:color w:val="000000" w:themeColor="text1"/>
          <w:sz w:val="32"/>
          <w:szCs w:val="32"/>
          <w:highlight w:val="none"/>
          <w14:textFill>
            <w14:solidFill>
              <w14:schemeClr w14:val="tx1"/>
            </w14:solidFill>
          </w14:textFill>
        </w:rPr>
        <w:t xml:space="preserve">  实验动物中心采购实验动物用饲料、垫料项目 </w:t>
      </w:r>
    </w:p>
    <w:p>
      <w:pPr>
        <w:snapToGrid w:val="0"/>
        <w:spacing w:line="300" w:lineRule="auto"/>
        <w:ind w:firstLine="1108" w:firstLineChars="345"/>
        <w:rPr>
          <w:rFonts w:asciiTheme="majorEastAsia" w:hAnsiTheme="majorEastAsia" w:eastAsiaTheme="majorEastAsia"/>
          <w:b/>
          <w:bCs/>
          <w:color w:val="000000" w:themeColor="text1"/>
          <w:sz w:val="32"/>
          <w:szCs w:val="32"/>
          <w:highlight w:val="none"/>
          <w14:textFill>
            <w14:solidFill>
              <w14:schemeClr w14:val="tx1"/>
            </w14:solidFill>
          </w14:textFill>
        </w:rPr>
      </w:pPr>
      <w:r>
        <w:rPr>
          <w:rFonts w:hint="eastAsia" w:asciiTheme="majorEastAsia" w:hAnsiTheme="majorEastAsia" w:eastAsiaTheme="majorEastAsia"/>
          <w:b/>
          <w:bCs/>
          <w:color w:val="000000" w:themeColor="text1"/>
          <w:sz w:val="32"/>
          <w:szCs w:val="32"/>
          <w:highlight w:val="none"/>
          <w14:textFill>
            <w14:solidFill>
              <w14:schemeClr w14:val="tx1"/>
            </w14:solidFill>
          </w14:textFill>
        </w:rPr>
        <w:t>项目编号</w:t>
      </w:r>
      <w:r>
        <w:rPr>
          <w:rFonts w:asciiTheme="majorEastAsia" w:hAnsiTheme="majorEastAsia" w:eastAsiaTheme="majorEastAsia"/>
          <w:b/>
          <w:bCs/>
          <w:color w:val="000000" w:themeColor="text1"/>
          <w:sz w:val="32"/>
          <w:szCs w:val="32"/>
          <w:highlight w:val="none"/>
          <w14:textFill>
            <w14:solidFill>
              <w14:schemeClr w14:val="tx1"/>
            </w14:solidFill>
          </w14:textFill>
        </w:rPr>
        <w:t>:</w:t>
      </w:r>
      <w:r>
        <w:rPr>
          <w:rFonts w:hint="eastAsia" w:asciiTheme="majorEastAsia" w:hAnsiTheme="majorEastAsia" w:eastAsiaTheme="majorEastAsia"/>
          <w:b/>
          <w:bCs/>
          <w:color w:val="000000" w:themeColor="text1"/>
          <w:sz w:val="32"/>
          <w:szCs w:val="32"/>
          <w:highlight w:val="none"/>
          <w14:textFill>
            <w14:solidFill>
              <w14:schemeClr w14:val="tx1"/>
            </w14:solidFill>
          </w14:textFill>
        </w:rPr>
        <w:t xml:space="preserve">  BM2023-097</w:t>
      </w:r>
    </w:p>
    <w:p>
      <w:pPr>
        <w:snapToGrid w:val="0"/>
        <w:spacing w:before="120" w:after="120" w:line="300" w:lineRule="auto"/>
        <w:rPr>
          <w:rFonts w:asciiTheme="majorEastAsia" w:hAnsiTheme="majorEastAsia" w:eastAsiaTheme="majorEastAsia"/>
          <w:color w:val="000000" w:themeColor="text1"/>
          <w:sz w:val="36"/>
          <w:szCs w:val="36"/>
          <w:highlight w:val="none"/>
          <w14:textFill>
            <w14:solidFill>
              <w14:schemeClr w14:val="tx1"/>
            </w14:solidFill>
          </w14:textFill>
        </w:rPr>
      </w:pPr>
    </w:p>
    <w:p>
      <w:pPr>
        <w:snapToGrid w:val="0"/>
        <w:spacing w:before="120" w:after="120" w:line="300" w:lineRule="auto"/>
        <w:jc w:val="center"/>
        <w:rPr>
          <w:rFonts w:asciiTheme="majorEastAsia" w:hAnsiTheme="majorEastAsia" w:eastAsiaTheme="majorEastAsia"/>
          <w:color w:val="000000" w:themeColor="text1"/>
          <w:sz w:val="36"/>
          <w:szCs w:val="36"/>
          <w:highlight w:val="none"/>
          <w14:textFill>
            <w14:solidFill>
              <w14:schemeClr w14:val="tx1"/>
            </w14:solidFill>
          </w14:textFill>
        </w:rPr>
      </w:pPr>
    </w:p>
    <w:p>
      <w:pPr>
        <w:pStyle w:val="39"/>
        <w:rPr>
          <w:rFonts w:asciiTheme="majorEastAsia" w:hAnsiTheme="majorEastAsia" w:eastAsiaTheme="majorEastAsia"/>
          <w:color w:val="000000" w:themeColor="text1"/>
          <w:highlight w:val="none"/>
          <w14:textFill>
            <w14:solidFill>
              <w14:schemeClr w14:val="tx1"/>
            </w14:solidFill>
          </w14:textFill>
        </w:rPr>
      </w:pPr>
    </w:p>
    <w:p>
      <w:pPr>
        <w:spacing w:line="440" w:lineRule="exact"/>
        <w:ind w:firstLine="1285" w:firstLineChars="400"/>
        <w:rPr>
          <w:rFonts w:asciiTheme="majorEastAsia" w:hAnsiTheme="majorEastAsia" w:eastAsiaTheme="majorEastAsia"/>
          <w:b/>
          <w:bCs/>
          <w:color w:val="000000" w:themeColor="text1"/>
          <w:sz w:val="32"/>
          <w:highlight w:val="none"/>
          <w14:textFill>
            <w14:solidFill>
              <w14:schemeClr w14:val="tx1"/>
            </w14:solidFill>
          </w14:textFill>
        </w:rPr>
      </w:pPr>
    </w:p>
    <w:p>
      <w:pPr>
        <w:pStyle w:val="21"/>
        <w:rPr>
          <w:rFonts w:asciiTheme="majorEastAsia" w:hAnsiTheme="majorEastAsia" w:eastAsiaTheme="majorEastAsia"/>
          <w:color w:val="000000" w:themeColor="text1"/>
          <w:highlight w:val="none"/>
          <w14:textFill>
            <w14:solidFill>
              <w14:schemeClr w14:val="tx1"/>
            </w14:solidFill>
          </w14:textFill>
        </w:rPr>
      </w:pPr>
    </w:p>
    <w:p>
      <w:pPr>
        <w:pStyle w:val="21"/>
        <w:rPr>
          <w:rFonts w:asciiTheme="majorEastAsia" w:hAnsiTheme="majorEastAsia" w:eastAsiaTheme="majorEastAsia"/>
          <w:color w:val="000000" w:themeColor="text1"/>
          <w:highlight w:val="none"/>
          <w14:textFill>
            <w14:solidFill>
              <w14:schemeClr w14:val="tx1"/>
            </w14:solidFill>
          </w14:textFill>
        </w:rPr>
      </w:pPr>
    </w:p>
    <w:p>
      <w:pPr>
        <w:pStyle w:val="21"/>
        <w:rPr>
          <w:rFonts w:asciiTheme="majorEastAsia" w:hAnsiTheme="majorEastAsia" w:eastAsiaTheme="majorEastAsia"/>
          <w:color w:val="000000" w:themeColor="text1"/>
          <w:highlight w:val="none"/>
          <w14:textFill>
            <w14:solidFill>
              <w14:schemeClr w14:val="tx1"/>
            </w14:solidFill>
          </w14:textFill>
        </w:rPr>
      </w:pPr>
    </w:p>
    <w:p>
      <w:pPr>
        <w:spacing w:line="440" w:lineRule="exact"/>
        <w:jc w:val="center"/>
        <w:rPr>
          <w:rFonts w:ascii="宋体" w:hAnsi="宋体"/>
          <w:b/>
          <w:bCs/>
          <w:color w:val="000000" w:themeColor="text1"/>
          <w:sz w:val="32"/>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spacing w:line="440" w:lineRule="exact"/>
        <w:jc w:val="center"/>
        <w:rPr>
          <w:rFonts w:ascii="宋体" w:hAnsi="宋体"/>
          <w:color w:val="000000" w:themeColor="text1"/>
          <w:kern w:val="0"/>
          <w:sz w:val="28"/>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 xml:space="preserve"> 2023</w:t>
      </w:r>
      <w:r>
        <w:rPr>
          <w:rFonts w:ascii="宋体" w:hAnsi="宋体"/>
          <w:color w:val="000000" w:themeColor="text1"/>
          <w:sz w:val="36"/>
          <w:szCs w:val="36"/>
          <w:highlight w:val="none"/>
          <w14:textFill>
            <w14:solidFill>
              <w14:schemeClr w14:val="tx1"/>
            </w14:solidFill>
          </w14:textFill>
        </w:rPr>
        <w:t>年</w:t>
      </w:r>
      <w:r>
        <w:rPr>
          <w:rFonts w:hint="eastAsia" w:ascii="宋体" w:hAnsi="宋体"/>
          <w:color w:val="000000" w:themeColor="text1"/>
          <w:sz w:val="36"/>
          <w:szCs w:val="36"/>
          <w:highlight w:val="none"/>
          <w14:textFill>
            <w14:solidFill>
              <w14:schemeClr w14:val="tx1"/>
            </w14:solidFill>
          </w14:textFill>
        </w:rPr>
        <w:t>11</w:t>
      </w:r>
      <w:r>
        <w:rPr>
          <w:rFonts w:ascii="宋体" w:hAnsi="宋体"/>
          <w:color w:val="000000" w:themeColor="text1"/>
          <w:sz w:val="36"/>
          <w:szCs w:val="36"/>
          <w:highlight w:val="none"/>
          <w14:textFill>
            <w14:solidFill>
              <w14:schemeClr w14:val="tx1"/>
            </w14:solidFill>
          </w14:textFill>
        </w:rPr>
        <w:t>月</w:t>
      </w:r>
      <w:r>
        <w:rPr>
          <w:rFonts w:hint="eastAsia" w:ascii="宋体" w:hAnsi="宋体"/>
          <w:color w:val="000000" w:themeColor="text1"/>
          <w:sz w:val="36"/>
          <w:szCs w:val="36"/>
          <w:highlight w:val="none"/>
          <w14:textFill>
            <w14:solidFill>
              <w14:schemeClr w14:val="tx1"/>
            </w14:solidFill>
          </w14:textFill>
        </w:rPr>
        <w:t>20</w:t>
      </w:r>
      <w:r>
        <w:rPr>
          <w:rFonts w:ascii="宋体" w:hAnsi="宋体"/>
          <w:color w:val="000000" w:themeColor="text1"/>
          <w:sz w:val="36"/>
          <w:szCs w:val="36"/>
          <w:highlight w:val="none"/>
          <w14:textFill>
            <w14:solidFill>
              <w14:schemeClr w14:val="tx1"/>
            </w14:solidFill>
          </w14:textFill>
        </w:rPr>
        <w:t>日</w:t>
      </w:r>
    </w:p>
    <w:p>
      <w:pPr>
        <w:pStyle w:val="39"/>
        <w:rPr>
          <w:rFonts w:asciiTheme="minorEastAsia" w:hAnsiTheme="minorEastAsia" w:eastAsiaTheme="minorEastAsia"/>
          <w:color w:val="000000" w:themeColor="text1"/>
          <w:highlight w:val="none"/>
          <w14:textFill>
            <w14:solidFill>
              <w14:schemeClr w14:val="tx1"/>
            </w14:solidFill>
          </w14:textFill>
        </w:rPr>
      </w:pPr>
    </w:p>
    <w:p>
      <w:pPr>
        <w:pStyle w:val="39"/>
        <w:rPr>
          <w:rFonts w:asciiTheme="minorEastAsia" w:hAnsiTheme="minorEastAsia" w:eastAsiaTheme="minorEastAsia"/>
          <w:color w:val="000000" w:themeColor="text1"/>
          <w:highlight w:val="none"/>
          <w14:textFill>
            <w14:solidFill>
              <w14:schemeClr w14:val="tx1"/>
            </w14:solidFill>
          </w14:textFill>
        </w:rPr>
      </w:pPr>
    </w:p>
    <w:p>
      <w:pPr>
        <w:pStyle w:val="39"/>
        <w:rPr>
          <w:rFonts w:asciiTheme="minorEastAsia" w:hAnsiTheme="minorEastAsia" w:eastAsiaTheme="minorEastAsia"/>
          <w:color w:val="000000" w:themeColor="text1"/>
          <w:highlight w:val="none"/>
          <w14:textFill>
            <w14:solidFill>
              <w14:schemeClr w14:val="tx1"/>
            </w14:solidFill>
          </w14:textFill>
        </w:rPr>
      </w:pPr>
    </w:p>
    <w:p>
      <w:pPr>
        <w:pStyle w:val="39"/>
        <w:rPr>
          <w:rFonts w:asciiTheme="minorEastAsia" w:hAnsiTheme="minorEastAsia" w:eastAsiaTheme="minorEastAsia"/>
          <w:color w:val="000000" w:themeColor="text1"/>
          <w:highlight w:val="none"/>
          <w14:textFill>
            <w14:solidFill>
              <w14:schemeClr w14:val="tx1"/>
            </w14:solidFill>
          </w14:textFill>
        </w:rPr>
      </w:pPr>
    </w:p>
    <w:p>
      <w:pPr>
        <w:pStyle w:val="39"/>
        <w:rPr>
          <w:rFonts w:asciiTheme="minorEastAsia" w:hAnsiTheme="minorEastAsia" w:eastAsiaTheme="minorEastAsia"/>
          <w:color w:val="000000" w:themeColor="text1"/>
          <w:highlight w:val="none"/>
          <w14:textFill>
            <w14:solidFill>
              <w14:schemeClr w14:val="tx1"/>
            </w14:solidFill>
          </w14:textFill>
        </w:rPr>
      </w:pPr>
    </w:p>
    <w:p>
      <w:pPr>
        <w:pStyle w:val="39"/>
        <w:rPr>
          <w:rFonts w:asciiTheme="minorEastAsia" w:hAnsiTheme="minorEastAsia" w:eastAsiaTheme="minorEastAsia"/>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2"/>
        <w:spacing w:line="520" w:lineRule="exact"/>
        <w:ind w:left="0" w:leftChars="0"/>
        <w:jc w:val="center"/>
        <w:rPr>
          <w:rStyle w:val="27"/>
          <w:bCs/>
          <w:color w:val="000000" w:themeColor="text1"/>
          <w:sz w:val="48"/>
          <w:highlight w:val="none"/>
          <w:u w:val="none"/>
          <w14:textFill>
            <w14:solidFill>
              <w14:schemeClr w14:val="tx1"/>
            </w14:solidFill>
          </w14:textFill>
        </w:rPr>
      </w:pPr>
      <w:r>
        <w:rPr>
          <w:rStyle w:val="27"/>
          <w:rFonts w:hint="eastAsia"/>
          <w:bCs/>
          <w:color w:val="000000" w:themeColor="text1"/>
          <w:sz w:val="48"/>
          <w:highlight w:val="none"/>
          <w:u w:val="none"/>
          <w14:textFill>
            <w14:solidFill>
              <w14:schemeClr w14:val="tx1"/>
            </w14:solidFill>
          </w14:textFill>
        </w:rPr>
        <w:t>目</w:t>
      </w:r>
      <w:r>
        <w:rPr>
          <w:rStyle w:val="27"/>
          <w:bCs/>
          <w:color w:val="000000" w:themeColor="text1"/>
          <w:sz w:val="48"/>
          <w:highlight w:val="none"/>
          <w:u w:val="none"/>
          <w14:textFill>
            <w14:solidFill>
              <w14:schemeClr w14:val="tx1"/>
            </w14:solidFill>
          </w14:textFill>
        </w:rPr>
        <w:t xml:space="preserve">  </w:t>
      </w:r>
      <w:r>
        <w:rPr>
          <w:rStyle w:val="27"/>
          <w:rFonts w:hint="eastAsia"/>
          <w:bCs/>
          <w:color w:val="000000" w:themeColor="text1"/>
          <w:sz w:val="48"/>
          <w:highlight w:val="none"/>
          <w:u w:val="none"/>
          <w14:textFill>
            <w14:solidFill>
              <w14:schemeClr w14:val="tx1"/>
            </w14:solidFill>
          </w14:textFill>
        </w:rPr>
        <w:t>录</w:t>
      </w: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6"/>
        <w:tabs>
          <w:tab w:val="right" w:leader="dot" w:pos="9628"/>
        </w:tabs>
        <w:spacing w:line="480" w:lineRule="auto"/>
        <w:ind w:left="426"/>
        <w:rPr>
          <w:rFonts w:asciiTheme="minorHAnsi" w:hAnsiTheme="minorHAnsi" w:eastAsiaTheme="minorEastAsia" w:cstheme="minorBidi"/>
          <w:color w:val="000000" w:themeColor="text1"/>
          <w:sz w:val="28"/>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TOC \o "1-3" \h \z \u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"_Toc141279351" </w:instrText>
      </w:r>
      <w:r>
        <w:rPr>
          <w:color w:val="000000" w:themeColor="text1"/>
          <w:highlight w:val="none"/>
          <w14:textFill>
            <w14:solidFill>
              <w14:schemeClr w14:val="tx1"/>
            </w14:solidFill>
          </w14:textFill>
        </w:rPr>
        <w:fldChar w:fldCharType="separate"/>
      </w:r>
      <w:r>
        <w:rPr>
          <w:rStyle w:val="28"/>
          <w:rFonts w:hint="eastAsia"/>
          <w:color w:val="000000" w:themeColor="text1"/>
          <w:sz w:val="28"/>
          <w:highlight w:val="none"/>
          <w14:textFill>
            <w14:solidFill>
              <w14:schemeClr w14:val="tx1"/>
            </w14:solidFill>
          </w14:textFill>
        </w:rPr>
        <w:t>第一部分</w:t>
      </w:r>
      <w:r>
        <w:rPr>
          <w:rStyle w:val="28"/>
          <w:color w:val="000000" w:themeColor="text1"/>
          <w:sz w:val="28"/>
          <w:highlight w:val="none"/>
          <w14:textFill>
            <w14:solidFill>
              <w14:schemeClr w14:val="tx1"/>
            </w14:solidFill>
          </w14:textFill>
        </w:rPr>
        <w:t xml:space="preserve"> </w:t>
      </w:r>
      <w:r>
        <w:rPr>
          <w:rStyle w:val="28"/>
          <w:rFonts w:hint="eastAsia"/>
          <w:color w:val="000000" w:themeColor="text1"/>
          <w:sz w:val="28"/>
          <w:highlight w:val="none"/>
          <w14:textFill>
            <w14:solidFill>
              <w14:schemeClr w14:val="tx1"/>
            </w14:solidFill>
          </w14:textFill>
        </w:rPr>
        <w:t>询价采购公告</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_Toc141279351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4</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6"/>
        <w:tabs>
          <w:tab w:val="right" w:leader="dot" w:pos="9628"/>
        </w:tabs>
        <w:spacing w:line="480" w:lineRule="auto"/>
        <w:ind w:firstLine="319" w:firstLineChars="152"/>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"_Toc141279352" </w:instrText>
      </w:r>
      <w:r>
        <w:rPr>
          <w:color w:val="000000" w:themeColor="text1"/>
          <w:highlight w:val="none"/>
          <w14:textFill>
            <w14:solidFill>
              <w14:schemeClr w14:val="tx1"/>
            </w14:solidFill>
          </w14:textFill>
        </w:rPr>
        <w:fldChar w:fldCharType="separate"/>
      </w:r>
      <w:r>
        <w:rPr>
          <w:rStyle w:val="28"/>
          <w:rFonts w:hint="eastAsia"/>
          <w:color w:val="000000" w:themeColor="text1"/>
          <w:spacing w:val="4"/>
          <w:sz w:val="28"/>
          <w:highlight w:val="none"/>
          <w14:textFill>
            <w14:solidFill>
              <w14:schemeClr w14:val="tx1"/>
            </w14:solidFill>
          </w14:textFill>
        </w:rPr>
        <w:t>第二部分</w:t>
      </w:r>
      <w:r>
        <w:rPr>
          <w:rStyle w:val="28"/>
          <w:color w:val="000000" w:themeColor="text1"/>
          <w:spacing w:val="4"/>
          <w:sz w:val="28"/>
          <w:highlight w:val="none"/>
          <w14:textFill>
            <w14:solidFill>
              <w14:schemeClr w14:val="tx1"/>
            </w14:solidFill>
          </w14:textFill>
        </w:rPr>
        <w:t xml:space="preserve"> </w:t>
      </w:r>
      <w:r>
        <w:rPr>
          <w:rStyle w:val="28"/>
          <w:rFonts w:hint="eastAsia"/>
          <w:color w:val="000000" w:themeColor="text1"/>
          <w:sz w:val="28"/>
          <w:highlight w:val="none"/>
          <w14:textFill>
            <w14:solidFill>
              <w14:schemeClr w14:val="tx1"/>
            </w14:solidFill>
          </w14:textFill>
        </w:rPr>
        <w:t>投标人须知</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_Toc141279352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6</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"_Toc141279353"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一、询价文件</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_Toc141279353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6</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"_Toc141279354"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二、投标文件</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_Toc141279354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7</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"_Toc141279355"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三、投标细则</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_Toc141279355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8</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"_Toc141279356"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四、询价方法及评判标准</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_Toc141279356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9</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"_Toc141279357"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五、定标</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_Toc141279357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9</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"_Toc141279358"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六、合同的签订</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_Toc141279358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9</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"_Toc141279359"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七、其他</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_Toc141279359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9</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"_Toc141279360" </w:instrText>
      </w:r>
      <w:r>
        <w:rPr>
          <w:color w:val="000000" w:themeColor="text1"/>
          <w:highlight w:val="none"/>
          <w14:textFill>
            <w14:solidFill>
              <w14:schemeClr w14:val="tx1"/>
            </w14:solidFill>
          </w14:textFill>
        </w:rPr>
        <w:fldChar w:fldCharType="separate"/>
      </w:r>
      <w:r>
        <w:rPr>
          <w:rStyle w:val="28"/>
          <w:rFonts w:hint="eastAsia"/>
          <w:color w:val="000000" w:themeColor="text1"/>
          <w:kern w:val="44"/>
          <w:sz w:val="28"/>
          <w:highlight w:val="none"/>
          <w14:textFill>
            <w14:solidFill>
              <w14:schemeClr w14:val="tx1"/>
            </w14:solidFill>
          </w14:textFill>
        </w:rPr>
        <w:t>第三部分</w:t>
      </w:r>
      <w:r>
        <w:rPr>
          <w:rStyle w:val="28"/>
          <w:color w:val="000000" w:themeColor="text1"/>
          <w:kern w:val="44"/>
          <w:sz w:val="28"/>
          <w:highlight w:val="none"/>
          <w14:textFill>
            <w14:solidFill>
              <w14:schemeClr w14:val="tx1"/>
            </w14:solidFill>
          </w14:textFill>
        </w:rPr>
        <w:t xml:space="preserve"> </w:t>
      </w:r>
      <w:r>
        <w:rPr>
          <w:rStyle w:val="28"/>
          <w:rFonts w:hint="eastAsia"/>
          <w:color w:val="000000" w:themeColor="text1"/>
          <w:kern w:val="44"/>
          <w:sz w:val="28"/>
          <w:highlight w:val="none"/>
          <w14:textFill>
            <w14:solidFill>
              <w14:schemeClr w14:val="tx1"/>
            </w14:solidFill>
          </w14:textFill>
        </w:rPr>
        <w:t>合同条款及格式</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_Toc141279360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10</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"_Toc141279399" </w:instrText>
      </w:r>
      <w:r>
        <w:rPr>
          <w:color w:val="000000" w:themeColor="text1"/>
          <w:highlight w:val="none"/>
          <w14:textFill>
            <w14:solidFill>
              <w14:schemeClr w14:val="tx1"/>
            </w14:solidFill>
          </w14:textFill>
        </w:rPr>
        <w:fldChar w:fldCharType="separate"/>
      </w:r>
      <w:r>
        <w:rPr>
          <w:rStyle w:val="28"/>
          <w:rFonts w:hint="eastAsia"/>
          <w:color w:val="000000" w:themeColor="text1"/>
          <w:kern w:val="44"/>
          <w:sz w:val="28"/>
          <w:highlight w:val="none"/>
          <w14:textFill>
            <w14:solidFill>
              <w14:schemeClr w14:val="tx1"/>
            </w14:solidFill>
          </w14:textFill>
        </w:rPr>
        <w:t>第四部分</w:t>
      </w:r>
      <w:r>
        <w:rPr>
          <w:rStyle w:val="28"/>
          <w:color w:val="000000" w:themeColor="text1"/>
          <w:kern w:val="44"/>
          <w:sz w:val="28"/>
          <w:highlight w:val="none"/>
          <w14:textFill>
            <w14:solidFill>
              <w14:schemeClr w14:val="tx1"/>
            </w14:solidFill>
          </w14:textFill>
        </w:rPr>
        <w:t xml:space="preserve"> </w:t>
      </w:r>
      <w:r>
        <w:rPr>
          <w:rStyle w:val="28"/>
          <w:rFonts w:hint="eastAsia"/>
          <w:color w:val="000000" w:themeColor="text1"/>
          <w:kern w:val="44"/>
          <w:sz w:val="28"/>
          <w:highlight w:val="none"/>
          <w14:textFill>
            <w14:solidFill>
              <w14:schemeClr w14:val="tx1"/>
            </w14:solidFill>
          </w14:textFill>
        </w:rPr>
        <w:t>项目需求</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_Toc141279399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19</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6"/>
        <w:tabs>
          <w:tab w:val="right" w:leader="dot" w:pos="9628"/>
        </w:tabs>
        <w:spacing w:line="480" w:lineRule="auto"/>
        <w:ind w:firstLine="319" w:firstLineChars="152"/>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"_Toc141279400" </w:instrText>
      </w:r>
      <w:r>
        <w:rPr>
          <w:color w:val="000000" w:themeColor="text1"/>
          <w:highlight w:val="none"/>
          <w14:textFill>
            <w14:solidFill>
              <w14:schemeClr w14:val="tx1"/>
            </w14:solidFill>
          </w14:textFill>
        </w:rPr>
        <w:fldChar w:fldCharType="separate"/>
      </w:r>
      <w:r>
        <w:rPr>
          <w:rStyle w:val="28"/>
          <w:rFonts w:hint="eastAsia"/>
          <w:color w:val="000000" w:themeColor="text1"/>
          <w:sz w:val="28"/>
          <w:highlight w:val="none"/>
          <w14:textFill>
            <w14:solidFill>
              <w14:schemeClr w14:val="tx1"/>
            </w14:solidFill>
          </w14:textFill>
        </w:rPr>
        <w:t>第五部分</w:t>
      </w:r>
      <w:r>
        <w:rPr>
          <w:rStyle w:val="28"/>
          <w:color w:val="000000" w:themeColor="text1"/>
          <w:sz w:val="28"/>
          <w:highlight w:val="none"/>
          <w14:textFill>
            <w14:solidFill>
              <w14:schemeClr w14:val="tx1"/>
            </w14:solidFill>
          </w14:textFill>
        </w:rPr>
        <w:t xml:space="preserve"> </w:t>
      </w:r>
      <w:r>
        <w:rPr>
          <w:rStyle w:val="28"/>
          <w:rFonts w:hint="eastAsia"/>
          <w:color w:val="000000" w:themeColor="text1"/>
          <w:sz w:val="28"/>
          <w:highlight w:val="none"/>
          <w14:textFill>
            <w14:solidFill>
              <w14:schemeClr w14:val="tx1"/>
            </w14:solidFill>
          </w14:textFill>
        </w:rPr>
        <w:t>附</w:t>
      </w:r>
      <w:r>
        <w:rPr>
          <w:rStyle w:val="28"/>
          <w:color w:val="000000" w:themeColor="text1"/>
          <w:sz w:val="28"/>
          <w:highlight w:val="none"/>
          <w14:textFill>
            <w14:solidFill>
              <w14:schemeClr w14:val="tx1"/>
            </w14:solidFill>
          </w14:textFill>
        </w:rPr>
        <w:t xml:space="preserve">  </w:t>
      </w:r>
      <w:r>
        <w:rPr>
          <w:rStyle w:val="28"/>
          <w:rFonts w:hint="eastAsia"/>
          <w:color w:val="000000" w:themeColor="text1"/>
          <w:sz w:val="28"/>
          <w:highlight w:val="none"/>
          <w14:textFill>
            <w14:solidFill>
              <w14:schemeClr w14:val="tx1"/>
            </w14:solidFill>
          </w14:textFill>
        </w:rPr>
        <w:t>件</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_Toc141279400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22</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"_Toc141279401"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附件</w:t>
      </w:r>
      <w:r>
        <w:rPr>
          <w:rStyle w:val="28"/>
          <w:rFonts w:asciiTheme="minorEastAsia" w:hAnsiTheme="minorEastAsia" w:cstheme="minorEastAsia"/>
          <w:color w:val="000000" w:themeColor="text1"/>
          <w:sz w:val="28"/>
          <w:highlight w:val="none"/>
          <w14:textFill>
            <w14:solidFill>
              <w14:schemeClr w14:val="tx1"/>
            </w14:solidFill>
          </w14:textFill>
        </w:rPr>
        <w:t>1</w:t>
      </w:r>
      <w:r>
        <w:rPr>
          <w:rStyle w:val="28"/>
          <w:rFonts w:hint="eastAsia" w:asciiTheme="minorEastAsia" w:hAnsiTheme="minorEastAsia" w:cstheme="minorEastAsia"/>
          <w:color w:val="000000" w:themeColor="text1"/>
          <w:sz w:val="28"/>
          <w:highlight w:val="none"/>
          <w14:textFill>
            <w14:solidFill>
              <w14:schemeClr w14:val="tx1"/>
            </w14:solidFill>
          </w14:textFill>
        </w:rPr>
        <w:t>：投标函</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_Toc141279401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23</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"_Toc141279402"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附件</w:t>
      </w:r>
      <w:r>
        <w:rPr>
          <w:rStyle w:val="28"/>
          <w:rFonts w:asciiTheme="minorEastAsia" w:hAnsiTheme="minorEastAsia" w:cstheme="minorEastAsia"/>
          <w:color w:val="000000" w:themeColor="text1"/>
          <w:sz w:val="28"/>
          <w:highlight w:val="none"/>
          <w14:textFill>
            <w14:solidFill>
              <w14:schemeClr w14:val="tx1"/>
            </w14:solidFill>
          </w14:textFill>
        </w:rPr>
        <w:t>2</w:t>
      </w:r>
      <w:r>
        <w:rPr>
          <w:rStyle w:val="28"/>
          <w:rFonts w:hint="eastAsia" w:asciiTheme="minorEastAsia" w:hAnsiTheme="minorEastAsia" w:cstheme="minorEastAsia"/>
          <w:color w:val="000000" w:themeColor="text1"/>
          <w:sz w:val="28"/>
          <w:highlight w:val="none"/>
          <w14:textFill>
            <w14:solidFill>
              <w14:schemeClr w14:val="tx1"/>
            </w14:solidFill>
          </w14:textFill>
        </w:rPr>
        <w:t>：法定代表人授权委托书</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_Toc141279402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24</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color w:val="000000" w:themeColor="text1"/>
          <w:sz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"_Toc141279403"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附件</w:t>
      </w:r>
      <w:r>
        <w:rPr>
          <w:rStyle w:val="28"/>
          <w:rFonts w:asciiTheme="minorEastAsia" w:hAnsiTheme="minorEastAsia" w:cstheme="minorEastAsia"/>
          <w:color w:val="000000" w:themeColor="text1"/>
          <w:sz w:val="28"/>
          <w:highlight w:val="none"/>
          <w14:textFill>
            <w14:solidFill>
              <w14:schemeClr w14:val="tx1"/>
            </w14:solidFill>
          </w14:textFill>
        </w:rPr>
        <w:t>3</w:t>
      </w:r>
      <w:r>
        <w:rPr>
          <w:rStyle w:val="28"/>
          <w:rFonts w:hint="eastAsia" w:asciiTheme="minorEastAsia" w:hAnsiTheme="minorEastAsia" w:cstheme="minorEastAsia"/>
          <w:color w:val="000000" w:themeColor="text1"/>
          <w:sz w:val="28"/>
          <w:highlight w:val="none"/>
          <w14:textFill>
            <w14:solidFill>
              <w14:schemeClr w14:val="tx1"/>
            </w14:solidFill>
          </w14:textFill>
        </w:rPr>
        <w:t>：投标报价表</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_Toc141279403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25</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3"/>
        <w:rPr>
          <w:rFonts w:ascii="黑体" w:eastAsia="黑体"/>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color w:val="000000" w:themeColor="text1"/>
          <w:highlight w:val="none"/>
          <w14:textFill>
            <w14:solidFill>
              <w14:schemeClr w14:val="tx1"/>
            </w14:solidFill>
          </w14:textFill>
        </w:rPr>
        <w:br w:type="page"/>
      </w:r>
      <w:bookmarkStart w:id="1" w:name="_Toc141279351"/>
      <w:r>
        <w:rPr>
          <w:rFonts w:hint="eastAsia"/>
          <w:color w:val="000000" w:themeColor="text1"/>
          <w:highlight w:val="none"/>
          <w14:textFill>
            <w14:solidFill>
              <w14:schemeClr w14:val="tx1"/>
            </w14:solidFill>
          </w14:textFill>
        </w:rPr>
        <w:t>第一部分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询价采购公告</w:t>
      </w:r>
      <w:bookmarkEnd w:id="1"/>
    </w:p>
    <w:p>
      <w:pPr>
        <w:spacing w:line="520" w:lineRule="exact"/>
        <w:ind w:firstLine="576"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江苏医药职业学院拟采取询价方式购买实验动物中心采购实验动物用饲料、垫料项目及相关服务，现就相关事宜公告如下：</w:t>
      </w:r>
    </w:p>
    <w:p>
      <w:pPr>
        <w:spacing w:line="520" w:lineRule="exact"/>
        <w:ind w:firstLine="578"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一、项目名称：</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实验动物中心采购实验动物用饲料、垫料项目</w:t>
      </w:r>
    </w:p>
    <w:p>
      <w:pPr>
        <w:spacing w:line="520" w:lineRule="exact"/>
        <w:ind w:firstLine="578"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二、项目编号：</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BM2023-097</w:t>
      </w:r>
    </w:p>
    <w:p>
      <w:pPr>
        <w:spacing w:line="520" w:lineRule="exact"/>
        <w:ind w:firstLine="578"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三、货物品名、数量及技术规格：</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详见询价文件第四部分“项目需求”。</w:t>
      </w:r>
    </w:p>
    <w:p>
      <w:pPr>
        <w:spacing w:line="520" w:lineRule="exact"/>
        <w:ind w:firstLine="578" w:firstLineChars="200"/>
        <w:rPr>
          <w:rFonts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四、项目预算：</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5万元/年，</w:t>
      </w:r>
    </w:p>
    <w:p>
      <w:pPr>
        <w:spacing w:line="520" w:lineRule="exact"/>
        <w:ind w:firstLine="568"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五、合同期限：两年。学校对协议供应商在协议期内的供货及服务情况进行考核，考核优秀的将优先列为下一协议期供应商。</w:t>
      </w:r>
    </w:p>
    <w:p>
      <w:pPr>
        <w:spacing w:line="520" w:lineRule="exact"/>
        <w:ind w:firstLine="562"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六、合格的投标人</w:t>
      </w:r>
    </w:p>
    <w:p>
      <w:pPr>
        <w:widowControl/>
        <w:spacing w:line="520" w:lineRule="exact"/>
        <w:ind w:firstLine="560"/>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1.满足《中华人民共和国政府采购法》第二十二条规定，并提供下列材料；</w:t>
      </w:r>
    </w:p>
    <w:p>
      <w:pPr>
        <w:widowControl/>
        <w:spacing w:line="520" w:lineRule="exact"/>
        <w:ind w:firstLine="560"/>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(1)法人或者其他组织的营业执照等证明文件，自然人的身份证明；</w:t>
      </w:r>
    </w:p>
    <w:p>
      <w:pPr>
        <w:widowControl/>
        <w:spacing w:line="520" w:lineRule="exact"/>
        <w:ind w:firstLine="560"/>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(2)上一年度的财务状况报告（成立不满一年不需提供）；</w:t>
      </w:r>
    </w:p>
    <w:p>
      <w:pPr>
        <w:widowControl/>
        <w:spacing w:line="520" w:lineRule="exact"/>
        <w:ind w:firstLine="560"/>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(3)依法缴纳税收和社会保障资金的相关材料；</w:t>
      </w:r>
    </w:p>
    <w:p>
      <w:pPr>
        <w:widowControl/>
        <w:spacing w:line="520" w:lineRule="exact"/>
        <w:ind w:firstLine="560"/>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(4)具备履行合同所必需的设备和专业技术能力的书面声明；</w:t>
      </w:r>
    </w:p>
    <w:p>
      <w:pPr>
        <w:widowControl/>
        <w:spacing w:line="520" w:lineRule="exact"/>
        <w:ind w:firstLine="560"/>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 xml:space="preserve">(5)参加政府采购活动前3年内在经营活动中没有重大违法记录的书面声明； </w:t>
      </w:r>
    </w:p>
    <w:p>
      <w:pPr>
        <w:widowControl/>
        <w:spacing w:line="520" w:lineRule="exact"/>
        <w:ind w:firstLine="560" w:firstLineChars="200"/>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本项目的特定资格要求</w:t>
      </w:r>
      <w:r>
        <w:rPr>
          <w:rFonts w:hint="eastAsia" w:ascii="宋体" w:hAnsi="宋体" w:cs="宋体"/>
          <w:color w:val="000000" w:themeColor="text1"/>
          <w:kern w:val="0"/>
          <w:sz w:val="28"/>
          <w:szCs w:val="28"/>
          <w:highlight w:val="none"/>
          <w14:textFill>
            <w14:solidFill>
              <w14:schemeClr w14:val="tx1"/>
            </w14:solidFill>
          </w14:textFill>
        </w:rPr>
        <w:t>：</w:t>
      </w:r>
    </w:p>
    <w:p>
      <w:pPr>
        <w:widowControl/>
        <w:spacing w:line="520" w:lineRule="exact"/>
        <w:ind w:firstLine="564"/>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(1)投标人所投饲料产品应具有有效期内的饲料生产许可证，并提供最近一个季度第三方质量检测报告；保证所供货物在保质期内，质量完全符合GB14924.1-3 2010要求。实验动物垫料无国家标准的产品，需符合江苏省地方标准DB32/T2129-2012的要求，需提供2023年第三方检测报告。</w:t>
      </w:r>
    </w:p>
    <w:p>
      <w:pPr>
        <w:widowControl/>
        <w:spacing w:line="520" w:lineRule="exact"/>
        <w:ind w:firstLine="564"/>
        <w:jc w:val="left"/>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(2)未被“信用中国”网站（www.creditchina.gov.cn）列入失信被执行人、重大税收违法案件当事人名单、政府采购严重失信行为记录名单；</w:t>
      </w:r>
    </w:p>
    <w:p>
      <w:pPr>
        <w:spacing w:line="520" w:lineRule="exact"/>
        <w:ind w:firstLine="560" w:firstLineChars="200"/>
        <w:rPr>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(3)单位负责人为同一人或者存在直接控股、管理关系的不同供应商，不得参加同一合同项下的政府采购活动。</w:t>
      </w:r>
    </w:p>
    <w:p>
      <w:pPr>
        <w:spacing w:line="520" w:lineRule="exact"/>
        <w:ind w:firstLine="578" w:firstLineChars="200"/>
        <w:rPr>
          <w:rFonts w:asciiTheme="minorEastAsia" w:hAnsiTheme="minorEastAsia" w:eastAsiaTheme="minorEastAsia" w:cstheme="minorEastAsia"/>
          <w:b/>
          <w:color w:val="000000" w:themeColor="text1"/>
          <w:spacing w:val="2"/>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七、投标人资格审查方式：</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资格后审。</w:t>
      </w:r>
    </w:p>
    <w:p>
      <w:pPr>
        <w:spacing w:line="520" w:lineRule="exact"/>
        <w:ind w:firstLine="578" w:firstLineChars="200"/>
        <w:rPr>
          <w:rFonts w:asciiTheme="minorEastAsia" w:hAnsiTheme="minorEastAsia" w:eastAsiaTheme="minorEastAsia" w:cstheme="minorEastAsia"/>
          <w:bCs/>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八、询价文件获取：</w:t>
      </w:r>
      <w:r>
        <w:rPr>
          <w:rFonts w:hint="eastAsia" w:asciiTheme="minorEastAsia" w:hAnsiTheme="minorEastAsia" w:eastAsiaTheme="minorEastAsia" w:cstheme="minorEastAsia"/>
          <w:bCs/>
          <w:color w:val="000000" w:themeColor="text1"/>
          <w:spacing w:val="4"/>
          <w:sz w:val="28"/>
          <w:szCs w:val="28"/>
          <w:highlight w:val="none"/>
          <w14:textFill>
            <w14:solidFill>
              <w14:schemeClr w14:val="tx1"/>
            </w14:solidFill>
          </w14:textFill>
        </w:rPr>
        <w:t>自询价公告在“江苏医药职业学院网”发布之日3个工作日。本询价文件在“江苏医药职业学院网”上免费下载，有关本次采购的事项若存在变动和修改，敬请及时关注“江苏医药职业学院网”发布的信息更正公告。</w:t>
      </w:r>
    </w:p>
    <w:p>
      <w:pPr>
        <w:pStyle w:val="20"/>
        <w:shd w:val="clear" w:color="auto" w:fill="FFFFFF"/>
        <w:spacing w:before="0" w:beforeAutospacing="0" w:after="0" w:afterAutospacing="0" w:line="520" w:lineRule="exact"/>
        <w:ind w:firstLine="480"/>
        <w:jc w:val="both"/>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sz w:val="28"/>
          <w:szCs w:val="28"/>
          <w:highlight w:val="none"/>
          <w14:textFill>
            <w14:solidFill>
              <w14:schemeClr w14:val="tx1"/>
            </w14:solidFill>
          </w14:textFill>
        </w:rPr>
        <w:t>九、投标文件递交方式</w:t>
      </w:r>
    </w:p>
    <w:p>
      <w:pPr>
        <w:pStyle w:val="20"/>
        <w:shd w:val="clear" w:color="auto" w:fill="FFFFFF"/>
        <w:spacing w:before="0" w:beforeAutospacing="0" w:after="0" w:afterAutospacing="0" w:line="520" w:lineRule="exact"/>
        <w:ind w:firstLine="480"/>
        <w:jc w:val="both"/>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sz w:val="28"/>
          <w:szCs w:val="28"/>
          <w:highlight w:val="none"/>
          <w14:textFill>
            <w14:solidFill>
              <w14:schemeClr w14:val="tx1"/>
            </w14:solidFill>
          </w14:textFill>
        </w:rPr>
        <w:t>1、现场递交</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w:t>
      </w:r>
    </w:p>
    <w:p>
      <w:pPr>
        <w:spacing w:line="520" w:lineRule="exact"/>
        <w:ind w:firstLine="578"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（1）投标文件接收开始时间：</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2023年11</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月24日9时00</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分</w:t>
      </w:r>
    </w:p>
    <w:p>
      <w:pPr>
        <w:spacing w:line="520" w:lineRule="exact"/>
        <w:ind w:firstLine="578"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（2）投标文件接收截止时间及开标时间：</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2023年11</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月24日9时3</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0分</w:t>
      </w:r>
    </w:p>
    <w:p>
      <w:pPr>
        <w:spacing w:line="520" w:lineRule="exact"/>
        <w:ind w:firstLine="578"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（3）投标文件接收地点：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盐城市解放南路283号行政楼二楼208室</w:t>
      </w:r>
    </w:p>
    <w:p>
      <w:pPr>
        <w:spacing w:line="520" w:lineRule="exact"/>
        <w:ind w:firstLine="576"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（4）</w:t>
      </w: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联系人及联系方式：</w:t>
      </w:r>
      <w:r>
        <w:rPr>
          <w:rFonts w:hint="eastAsia" w:asciiTheme="minorEastAsia" w:hAnsiTheme="minorEastAsia" w:eastAsiaTheme="minorEastAsia" w:cstheme="minorEastAsia"/>
          <w:bCs/>
          <w:color w:val="000000" w:themeColor="text1"/>
          <w:spacing w:val="4"/>
          <w:sz w:val="28"/>
          <w:szCs w:val="28"/>
          <w:highlight w:val="none"/>
          <w14:textFill>
            <w14:solidFill>
              <w14:schemeClr w14:val="tx1"/>
            </w14:solidFill>
          </w14:textFill>
        </w:rPr>
        <w:t>刘老</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师</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0515-88550311</w:t>
      </w:r>
    </w:p>
    <w:p>
      <w:pPr>
        <w:spacing w:line="520" w:lineRule="exact"/>
        <w:ind w:firstLine="578"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2、快递邮寄：</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各供应商以邮寄方式递交投标文件，且必须在递交投标文件截止时间前，将投标文件密封好送达，逾期送达或未密封，将被拒收。快递邮寄地址：盐城市解放南路283号国资处，收件人：刘老师，电话：0515-88550311。</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供应商应充分考虑投标文件邮寄在途时长，以及注重文件包装的严密性、防水性。供应商须自行承担邮寄标书丢失、破损等风险、以及投标被否决的后果。</w:t>
      </w:r>
    </w:p>
    <w:p>
      <w:pPr>
        <w:spacing w:line="520" w:lineRule="exact"/>
        <w:ind w:firstLine="570" w:firstLineChars="200"/>
        <w:jc w:val="left"/>
        <w:rPr>
          <w:rFonts w:asciiTheme="minorEastAsia" w:hAnsiTheme="minorEastAsia" w:eastAsiaTheme="minorEastAsia" w:cstheme="minorEastAsia"/>
          <w:b/>
          <w:color w:val="000000" w:themeColor="text1"/>
          <w:spacing w:val="2"/>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2"/>
          <w:kern w:val="0"/>
          <w:sz w:val="28"/>
          <w:szCs w:val="28"/>
          <w:highlight w:val="none"/>
          <w14:textFill>
            <w14:solidFill>
              <w14:schemeClr w14:val="tx1"/>
            </w14:solidFill>
          </w14:textFill>
        </w:rPr>
        <w:t>十、提醒</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对项目需求部分的询问、质疑请向项目联系人周老师（18205111528）提出，由项目联系人负责答复；对项目招标文件其它部分的询问、质疑向采购人（刘老师0515-88550311）提出。</w:t>
      </w:r>
    </w:p>
    <w:p>
      <w:pPr>
        <w:pStyle w:val="3"/>
        <w:spacing w:line="520" w:lineRule="exact"/>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br w:type="page"/>
      </w:r>
      <w:bookmarkStart w:id="2" w:name="_Toc141279352"/>
      <w:r>
        <w:rPr>
          <w:rFonts w:hint="eastAsia"/>
          <w:color w:val="000000" w:themeColor="text1"/>
          <w:spacing w:val="4"/>
          <w:highlight w:val="none"/>
          <w14:textFill>
            <w14:solidFill>
              <w14:schemeClr w14:val="tx1"/>
            </w14:solidFill>
          </w14:textFill>
        </w:rPr>
        <w:t>第二部分</w:t>
      </w:r>
      <w:r>
        <w:rPr>
          <w:color w:val="000000" w:themeColor="text1"/>
          <w:spacing w:val="4"/>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投标人须知</w:t>
      </w:r>
      <w:bookmarkEnd w:id="2"/>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3" w:name="_Toc141279353"/>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一、询价文件</w:t>
      </w:r>
      <w:bookmarkEnd w:id="3"/>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1.1.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名词定义</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本询价文件中的采购人、投标人、中标人分别指：</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（1）采购人指江苏医药职业学院，亦称买方。</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（2）投标人指响应询价并具备相应资质的参与投标的制造（厂）商、销售商。</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（3）中标人指最后中标的投标人，亦称卖方。</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1.2.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询价文件的组成</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本询价文件由下列部分组成：</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（1）询价采购公告</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（2）投标人须知</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（3）采购货物要求及相关说明</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（4）商务条款</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（5）附件</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1.3.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询价文件的澄清</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如投标人对询价文件的某些内容有疑问，应在投标截止时间1日前以书面形式传真通知采购人，采购人将予以书面答复。采购人认为有必要时，可将答复内容（包括疑问内容，但不包括疑问来源）在江苏医药职业学院招投标信息网站上公开发布。</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1.4.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询价文件的补充和修改</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（1）采购人有权在投标截止时间1日前对询价文件进行补充和修改，补充和修改的内容在江苏医药职业学院招投标信息网站上公开发布。补充和修改的内容作为询价文件的组成部分，对投标人具有同等约束作用。</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（2）如询价文件的补充和修改对投标人准备投标的时间有影响，采购人有权决定推迟投标截止时间和开标时间。</w:t>
      </w:r>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4" w:name="_Toc141279354"/>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二、投标文件</w:t>
      </w:r>
      <w:bookmarkEnd w:id="4"/>
    </w:p>
    <w:p>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2.1.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投标文件的语言</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投标文件及来往函件均应使用中文。</w:t>
      </w:r>
    </w:p>
    <w:p>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2.2.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投标文件的组成</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投标人编写的投标文件必须包括以下部分：</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（1）投标函（格式见附件1）</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（2）投标报价总表（格式见附件2）</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（3）营业执照复印件（复印件盖单位公章）</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（4）投标人认为需要陈述的其他内容</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投标人所投货物超过其经营范围的，则作为废标处理。</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2.3.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投标文件的形式及签署</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（1）投标人需提交投标文件正本1份，副本2份。</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（2）投标文件应使用A4型纸打印，图表等可按同样规格的倍数扩展，且经授权代表签署。</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（3）投标文件不应有涂改、增删之处，但如有错误必须修改时，修改处必须由原授权代表签署。</w:t>
      </w:r>
    </w:p>
    <w:p>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2.4.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投标文件的密封和标记</w:t>
      </w:r>
    </w:p>
    <w:p>
      <w:pPr>
        <w:spacing w:line="520" w:lineRule="exact"/>
        <w:ind w:firstLine="548" w:firstLineChars="196"/>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投标人应将投标文件用封套加以密封，在封口处粘贴密封条，盖骑缝公章，并在封套上标明：</w:t>
      </w:r>
    </w:p>
    <w:p>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（1）收件人：江苏医药职业学院国资处</w:t>
      </w:r>
    </w:p>
    <w:p>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（2）询价项目编号：</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（3）询价项目名称：</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（4）投标人名称：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（5）联系电话（手机）：</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spacing w:line="520" w:lineRule="exact"/>
        <w:ind w:firstLine="1120" w:firstLineChars="4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（6）开标之前不得启封</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没有按上述规定密封和标记的投标文件，采购人将不承担投标文件错放或提前开启的责任。</w:t>
      </w:r>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5" w:name="_Toc141279355"/>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三、投标细则</w:t>
      </w:r>
      <w:bookmarkEnd w:id="5"/>
    </w:p>
    <w:p>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投标报价</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投标总价应是货物完税后的用户地交货价，其中应包含运输、搬运、安装调试、保修等全部费用，以人民币报价。</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投标文件的递交</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（1）投标人应仔细阅读询价文件的所有内容并做出实质性的响应，同时按询价文件规定的要求和格式，提交完整的投标文件。</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（2）投标文件应在投标截止时间前寄至</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江苏医药职业学院国资处，</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逾期送达或未送达指定地点以及未按询价文件要求密封的投标文件，潜在投标人须自行承担相应风险。</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（3）采购人不接受电报、电话、传真及电子邮件投标。</w:t>
      </w:r>
    </w:p>
    <w:p>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3.3.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投标文件的修改和撤回</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（1）投标截止时间后投标文件不得修改。</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（2）投标截止时间前投标人可以撤标，但在投标截止时间后不允许撤标。</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3.4.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投标有效期</w:t>
      </w:r>
    </w:p>
    <w:p>
      <w:pPr>
        <w:spacing w:line="520" w:lineRule="exact"/>
        <w:ind w:firstLine="548"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从投标截止时间起，投标有效期为90天。</w:t>
      </w:r>
    </w:p>
    <w:p>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3.5.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询价终止</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投标截止后，如投标人少于3个，采购人有权选择其他采购方式或终止本次询价。</w:t>
      </w:r>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6" w:name="_Toc141279356"/>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四、询价方法及评判标准</w:t>
      </w:r>
      <w:bookmarkEnd w:id="6"/>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本次询价采用</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最低评标价法</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评标，即在报价文件满足询价文件全部实质性要求且报价最低的由对应的投标人中标。</w:t>
      </w:r>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7" w:name="_Toc141279357"/>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五、定标</w:t>
      </w:r>
      <w:bookmarkEnd w:id="7"/>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5.1.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询价小组根据符合采购需求、质量和服务相等且报价最低的原则确定成交投标人，并将结果通知中标的投标人。</w:t>
      </w:r>
    </w:p>
    <w:p>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5.2.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询价小组认为所有投标报价均不合理或所有投标方案均不能满足采购人要求时，有权否决所有投标。</w:t>
      </w:r>
    </w:p>
    <w:p>
      <w:pPr>
        <w:spacing w:line="520" w:lineRule="exact"/>
        <w:ind w:firstLine="551" w:firstLineChars="196"/>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5.3.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出现下列情形之一的，采购人有权决定本次询价作废标处理：</w:t>
      </w:r>
    </w:p>
    <w:p>
      <w:pPr>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（1）发生影响询价公平、公正的违法、违规行为的；</w:t>
      </w:r>
    </w:p>
    <w:p>
      <w:pPr>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（2）投标人的投标报价均超过了采购预算，学校不能支付的；</w:t>
      </w:r>
    </w:p>
    <w:p>
      <w:pPr>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（3）因重大变故，采购任务取消的。</w:t>
      </w:r>
    </w:p>
    <w:p>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5.4.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对未中标的投标人，采购人不做未中标解释。</w:t>
      </w:r>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8" w:name="_Toc141279358"/>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六、合同的签订</w:t>
      </w:r>
      <w:bookmarkEnd w:id="8"/>
    </w:p>
    <w:p>
      <w:pPr>
        <w:spacing w:line="360" w:lineRule="auto"/>
        <w:ind w:right="-4" w:rightChars="-2" w:firstLine="554" w:firstLineChars="197"/>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6.1. </w:t>
      </w: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中标人确定后，采购人将通过学校招标网公示3天，公示期满无异议，中标人应在15日内与采购人签订采购合同，过期视为放弃中标。</w:t>
      </w:r>
    </w:p>
    <w:p>
      <w:pPr>
        <w:spacing w:line="360" w:lineRule="auto"/>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6.2. </w:t>
      </w: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本询价文件、中标人的投标文件以及中标人所做出的各种书面承诺将作为采购人与中标人双方签订合同的依据，并作为合同的附件与合同具有同等法律效力。</w:t>
      </w:r>
    </w:p>
    <w:p>
      <w:pPr>
        <w:spacing w:line="360" w:lineRule="auto"/>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6.3.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如投标人中标后悔标，采购人将取消该投标人本次中标资格及今后两年内的投标资格。</w:t>
      </w:r>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9" w:name="_Toc141279359"/>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七、其他</w:t>
      </w:r>
      <w:bookmarkEnd w:id="9"/>
    </w:p>
    <w:p>
      <w:pPr>
        <w:spacing w:line="520" w:lineRule="exact"/>
        <w:ind w:firstLine="562"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7.1. 投标人无论中标与否，采购人不承担投标人参加投标的任何费用。</w:t>
      </w:r>
    </w:p>
    <w:p>
      <w:pPr>
        <w:spacing w:line="520" w:lineRule="exact"/>
        <w:jc w:val="center"/>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p>
    <w:p>
      <w:pPr>
        <w:pStyle w:val="2"/>
        <w:ind w:left="336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p>
    <w:p>
      <w:pPr>
        <w:pStyle w:val="2"/>
        <w:ind w:left="336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outlineLvl w:val="0"/>
        <w:rPr>
          <w:color w:val="000000" w:themeColor="text1"/>
          <w:highlight w:val="none"/>
          <w14:textFill>
            <w14:solidFill>
              <w14:schemeClr w14:val="tx1"/>
            </w14:solidFill>
          </w14:textFill>
        </w:rPr>
      </w:pPr>
      <w:bookmarkStart w:id="10" w:name="_Toc141279360"/>
      <w:r>
        <w:rPr>
          <w:rFonts w:hint="eastAsia" w:ascii="Times New Roman" w:hAnsi="Times New Roman" w:cs="Times New Roman"/>
          <w:color w:val="000000" w:themeColor="text1"/>
          <w:kern w:val="44"/>
          <w:sz w:val="44"/>
          <w:szCs w:val="44"/>
          <w:highlight w:val="none"/>
          <w14:textFill>
            <w14:solidFill>
              <w14:schemeClr w14:val="tx1"/>
            </w14:solidFill>
          </w14:textFill>
        </w:rPr>
        <w:t>第三部分 合同条款及格式</w:t>
      </w:r>
      <w:bookmarkEnd w:id="10"/>
    </w:p>
    <w:p>
      <w:pPr>
        <w:spacing w:line="400" w:lineRule="exact"/>
        <w:jc w:val="center"/>
        <w:rPr>
          <w:rFonts w:ascii="黑体" w:hAnsi="黑体" w:eastAsia="黑体" w:cs="Arial Unicode MS"/>
          <w:color w:val="000000" w:themeColor="text1"/>
          <w:sz w:val="32"/>
          <w:szCs w:val="32"/>
          <w:highlight w:val="none"/>
          <w14:textFill>
            <w14:solidFill>
              <w14:schemeClr w14:val="tx1"/>
            </w14:solidFill>
          </w14:textFill>
        </w:rPr>
      </w:pPr>
      <w:bookmarkStart w:id="11" w:name="_Toc141279399"/>
      <w:bookmarkStart w:id="12" w:name="_Toc119595837"/>
      <w:r>
        <w:rPr>
          <w:rFonts w:hint="eastAsia" w:ascii="黑体" w:hAnsi="黑体" w:eastAsia="黑体" w:cs="Arial Unicode MS"/>
          <w:color w:val="000000" w:themeColor="text1"/>
          <w:sz w:val="32"/>
          <w:szCs w:val="32"/>
          <w:highlight w:val="none"/>
          <w14:textFill>
            <w14:solidFill>
              <w14:schemeClr w14:val="tx1"/>
            </w14:solidFill>
          </w14:textFill>
        </w:rPr>
        <w:t>货物采购合同</w:t>
      </w:r>
    </w:p>
    <w:p>
      <w:pPr>
        <w:spacing w:line="520" w:lineRule="exact"/>
        <w:jc w:val="center"/>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pPr>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甲方(需方):</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江苏医药职业学院 </w:t>
      </w:r>
    </w:p>
    <w:p>
      <w:pPr>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乙方(供方):</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pPr>
        <w:spacing w:before="240" w:beforeLines="100" w:line="520" w:lineRule="exact"/>
        <w:ind w:firstLine="560" w:firstLineChars="200"/>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为了维护甲、乙双方合法权益，根据《中华人民共和国民法典》和江苏医药职业学院</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的采购文件、响应文件及其在采购过程中的承诺，经双方协商，同意签定本合同，共同遵守。</w:t>
      </w:r>
    </w:p>
    <w:p>
      <w:pPr>
        <w:autoSpaceDE w:val="0"/>
        <w:autoSpaceDN w:val="0"/>
        <w:adjustRightInd w:val="0"/>
        <w:spacing w:line="520" w:lineRule="exact"/>
        <w:ind w:firstLine="562" w:firstLineChars="200"/>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一、合同文件</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本合同所附下列文件资料为本合同不可分割的部分：</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1、政府采购招标文件（包括澄清、修改）；</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2、乙方投标文件；</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3、中标（成交）通知书；</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4、中标人在评标过程中做出的有关澄清、说明、承诺或者补正文件；</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5、政府采购委托协议书。</w:t>
      </w:r>
    </w:p>
    <w:p>
      <w:pPr>
        <w:autoSpaceDE w:val="0"/>
        <w:autoSpaceDN w:val="0"/>
        <w:adjustRightInd w:val="0"/>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二、合同范围和条件</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本合同的范围和条件应与上述合同文件的规定相一致。</w:t>
      </w:r>
    </w:p>
    <w:p>
      <w:pPr>
        <w:autoSpaceDE w:val="0"/>
        <w:autoSpaceDN w:val="0"/>
        <w:adjustRightInd w:val="0"/>
        <w:spacing w:line="520" w:lineRule="exact"/>
        <w:ind w:firstLine="562" w:firstLineChars="200"/>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 xml:space="preserve">三、采购内容、价格及采购清单： </w:t>
      </w:r>
    </w:p>
    <w:tbl>
      <w:tblPr>
        <w:tblStyle w:val="22"/>
        <w:tblW w:w="10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43"/>
        <w:gridCol w:w="2253"/>
        <w:gridCol w:w="931"/>
        <w:gridCol w:w="773"/>
        <w:gridCol w:w="709"/>
        <w:gridCol w:w="709"/>
        <w:gridCol w:w="962"/>
        <w:gridCol w:w="850"/>
        <w:gridCol w:w="851"/>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7" w:type="dxa"/>
            <w:vAlign w:val="center"/>
          </w:tcPr>
          <w:p>
            <w:pPr>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序号</w:t>
            </w:r>
          </w:p>
        </w:tc>
        <w:tc>
          <w:tcPr>
            <w:tcW w:w="2896" w:type="dxa"/>
            <w:gridSpan w:val="2"/>
            <w:vAlign w:val="center"/>
          </w:tcPr>
          <w:p>
            <w:pPr>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采购货物名称</w:t>
            </w:r>
          </w:p>
        </w:tc>
        <w:tc>
          <w:tcPr>
            <w:tcW w:w="931" w:type="dxa"/>
            <w:vAlign w:val="center"/>
          </w:tcPr>
          <w:p>
            <w:pPr>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品牌</w:t>
            </w:r>
          </w:p>
        </w:tc>
        <w:tc>
          <w:tcPr>
            <w:tcW w:w="773" w:type="dxa"/>
            <w:vAlign w:val="center"/>
          </w:tcPr>
          <w:p>
            <w:pPr>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厂商</w:t>
            </w:r>
          </w:p>
        </w:tc>
        <w:tc>
          <w:tcPr>
            <w:tcW w:w="709" w:type="dxa"/>
            <w:vAlign w:val="center"/>
          </w:tcPr>
          <w:p>
            <w:pPr>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产地</w:t>
            </w:r>
          </w:p>
        </w:tc>
        <w:tc>
          <w:tcPr>
            <w:tcW w:w="709" w:type="dxa"/>
            <w:vAlign w:val="center"/>
          </w:tcPr>
          <w:p>
            <w:pPr>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数量</w:t>
            </w:r>
          </w:p>
        </w:tc>
        <w:tc>
          <w:tcPr>
            <w:tcW w:w="962" w:type="dxa"/>
            <w:vAlign w:val="center"/>
          </w:tcPr>
          <w:p>
            <w:pPr>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单价</w:t>
            </w:r>
          </w:p>
          <w:p>
            <w:pPr>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（元）</w:t>
            </w:r>
          </w:p>
        </w:tc>
        <w:tc>
          <w:tcPr>
            <w:tcW w:w="850" w:type="dxa"/>
            <w:vAlign w:val="center"/>
          </w:tcPr>
          <w:p>
            <w:pPr>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总价</w:t>
            </w:r>
          </w:p>
          <w:p>
            <w:pPr>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（元）</w:t>
            </w:r>
          </w:p>
        </w:tc>
        <w:tc>
          <w:tcPr>
            <w:tcW w:w="851" w:type="dxa"/>
            <w:vAlign w:val="center"/>
          </w:tcPr>
          <w:p>
            <w:pPr>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质保期</w:t>
            </w:r>
          </w:p>
        </w:tc>
        <w:tc>
          <w:tcPr>
            <w:tcW w:w="768" w:type="dxa"/>
            <w:vAlign w:val="center"/>
          </w:tcPr>
          <w:p>
            <w:pPr>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交货</w:t>
            </w:r>
          </w:p>
          <w:p>
            <w:pPr>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7"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1</w:t>
            </w:r>
          </w:p>
        </w:tc>
        <w:tc>
          <w:tcPr>
            <w:tcW w:w="2896" w:type="dxa"/>
            <w:gridSpan w:val="2"/>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c>
          <w:tcPr>
            <w:tcW w:w="931"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c>
          <w:tcPr>
            <w:tcW w:w="773"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09" w:type="dxa"/>
          </w:tcPr>
          <w:p>
            <w:pPr>
              <w:spacing w:line="520" w:lineRule="exact"/>
              <w:jc w:val="center"/>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tc>
        <w:tc>
          <w:tcPr>
            <w:tcW w:w="709"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c>
          <w:tcPr>
            <w:tcW w:w="962"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c>
          <w:tcPr>
            <w:tcW w:w="850"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1"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6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2</w:t>
            </w:r>
          </w:p>
        </w:tc>
        <w:tc>
          <w:tcPr>
            <w:tcW w:w="2896" w:type="dxa"/>
            <w:gridSpan w:val="2"/>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931"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73"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09" w:type="dxa"/>
          </w:tcPr>
          <w:p>
            <w:pPr>
              <w:spacing w:line="520" w:lineRule="exact"/>
              <w:jc w:val="center"/>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tc>
        <w:tc>
          <w:tcPr>
            <w:tcW w:w="709"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962"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0"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1"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6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3</w:t>
            </w:r>
          </w:p>
        </w:tc>
        <w:tc>
          <w:tcPr>
            <w:tcW w:w="2896" w:type="dxa"/>
            <w:gridSpan w:val="2"/>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931"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73"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09" w:type="dxa"/>
          </w:tcPr>
          <w:p>
            <w:pPr>
              <w:spacing w:line="520" w:lineRule="exact"/>
              <w:jc w:val="center"/>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tc>
        <w:tc>
          <w:tcPr>
            <w:tcW w:w="709"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962"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0"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1"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6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66" w:type="dxa"/>
            <w:gridSpan w:val="11"/>
          </w:tcPr>
          <w:p>
            <w:pPr>
              <w:spacing w:line="520" w:lineRule="exact"/>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合计：（大写）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0" w:type="dxa"/>
            <w:gridSpan w:val="2"/>
          </w:tcPr>
          <w:p>
            <w:pPr>
              <w:spacing w:line="520" w:lineRule="exact"/>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甲方</w:t>
            </w:r>
          </w:p>
        </w:tc>
        <w:tc>
          <w:tcPr>
            <w:tcW w:w="8806" w:type="dxa"/>
            <w:gridSpan w:val="9"/>
          </w:tcPr>
          <w:p>
            <w:pPr>
              <w:spacing w:line="520" w:lineRule="exact"/>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联系人：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0" w:type="dxa"/>
            <w:gridSpan w:val="2"/>
          </w:tcPr>
          <w:p>
            <w:pPr>
              <w:spacing w:line="520" w:lineRule="exact"/>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乙方</w:t>
            </w:r>
          </w:p>
        </w:tc>
        <w:tc>
          <w:tcPr>
            <w:tcW w:w="8806" w:type="dxa"/>
            <w:gridSpan w:val="9"/>
          </w:tcPr>
          <w:p>
            <w:pPr>
              <w:spacing w:line="520" w:lineRule="exact"/>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联系人：  联系方式：</w:t>
            </w:r>
          </w:p>
        </w:tc>
      </w:tr>
    </w:tbl>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13" w:name="_Toc141279361"/>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四、合同金额</w:t>
      </w:r>
      <w:bookmarkEnd w:id="13"/>
    </w:p>
    <w:p>
      <w:pPr>
        <w:spacing w:line="520" w:lineRule="exact"/>
        <w:ind w:firstLine="560" w:firstLineChars="200"/>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根据中标通知书中规定，合同总金额为人民币大写:                  ；小写：              。此价款已包括乙方提供本合同约定的全部货物及服务、税费等与本合同相关的一切费用，除乙方不能如约履行合同义务做相应扣减外，结算时不予调整。甲方须向乙方支付的全部款项。除此价款外，甲方无须向乙方支付任何款项。</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14" w:name="_Toc141279362"/>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五、交货期和交货地点</w:t>
      </w:r>
      <w:bookmarkEnd w:id="14"/>
    </w:p>
    <w:p>
      <w:pPr>
        <w:pStyle w:val="11"/>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1、交货期：合同生效后15天内。乙方于交货的同时应向甲方提供货物清单、合格证书等资料。双方在确认交货时间时，已充分考虑了节假日等各种因素，除出现人力不可抗拒因素或重大变更且经甲方书面同意的，否则交货时间不予调整。</w:t>
      </w:r>
    </w:p>
    <w:p>
      <w:pPr>
        <w:pStyle w:val="11"/>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2、交货地点：江苏医药职业学院指定地点</w:t>
      </w:r>
    </w:p>
    <w:p>
      <w:pPr>
        <w:pStyle w:val="11"/>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3、甲方有权对交货地点和时间进行调整，因甲方要求变更交货时间和地点时，乙方不承担违约责任；当甲方的通知到达乙方时，交货地点或时间即相应调整，乙方应予执行并负担因此增加的相关合同价款和费用，即甲方并不因调整交货时间而额外向乙方支付任何费用或进行赔偿，乙方亦放弃因此而向甲方主张任何费用或赔偿的权利。</w:t>
      </w:r>
    </w:p>
    <w:p>
      <w:pPr>
        <w:pStyle w:val="11"/>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4、货物所有权自乙方负责将货物运送至交货地点、交付甲方时起转移，交付给甲方之前的相关的运输、保险、保管等费用及货物灭失、损毁的一切风险由乙方承担，并负责补足、更换、修理及承担相应费用。</w:t>
      </w:r>
    </w:p>
    <w:p>
      <w:pPr>
        <w:pStyle w:val="11"/>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5、乙方应承担由于包装或其防护措施不妥而引起的货物损坏或丢失等的全部责任。</w:t>
      </w:r>
    </w:p>
    <w:p>
      <w:pPr>
        <w:pStyle w:val="11"/>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6、安全责任：货物在运输、装卸、正常使用过程中，因质量问题等造成甲方或第三方人身伤害及财产损失的，由乙方承担全部责任。</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15" w:name="_Toc141279363"/>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六、售后服务承诺</w:t>
      </w:r>
      <w:bookmarkEnd w:id="15"/>
    </w:p>
    <w:p>
      <w:pPr>
        <w:pStyle w:val="43"/>
        <w:spacing w:line="520" w:lineRule="exact"/>
        <w:ind w:firstLine="560"/>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pPr>
      <w:bookmarkStart w:id="16" w:name="_Toc141279364"/>
      <w:r>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t>1.甲方签收时如发现配送动物包装盒有破损等，乙方无条件更换货物；</w:t>
      </w:r>
    </w:p>
    <w:p>
      <w:pPr>
        <w:pStyle w:val="43"/>
        <w:spacing w:line="520" w:lineRule="exact"/>
        <w:ind w:firstLine="560"/>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t>2.甲方进屏障系统拆包后发现动物质量有问题，乙方应给予免费更换，如第二天发现动物质量有问题，双方协商解决；</w:t>
      </w:r>
    </w:p>
    <w:p>
      <w:pPr>
        <w:pStyle w:val="43"/>
        <w:spacing w:line="520" w:lineRule="exact"/>
        <w:ind w:firstLine="560"/>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t>3.合同执行期内，甲方有权按相关规则抽检乙方所供货物送第三方检验（不超过2次），其费用由乙方负责。</w:t>
      </w:r>
    </w:p>
    <w:p>
      <w:pPr>
        <w:pStyle w:val="43"/>
        <w:spacing w:line="520" w:lineRule="exact"/>
        <w:ind w:firstLine="560"/>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t>4. 如在供货期限内，乙方提供的实验动物出现多次（3次及以上）质量问题，且在甲方反映后无明显整改的，甲方有权终止合作，由此产生的损失由乙方承担。</w:t>
      </w:r>
    </w:p>
    <w:p>
      <w:pPr>
        <w:pStyle w:val="43"/>
        <w:spacing w:line="520" w:lineRule="exact"/>
        <w:ind w:firstLine="560"/>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t>5. 乙方所供饲料（垫料）到货后二周内如发现货物本身质量及外包装有问题，免费更换，且时间不得超过1周；</w:t>
      </w:r>
    </w:p>
    <w:p>
      <w:pPr>
        <w:pStyle w:val="43"/>
        <w:wordWrap/>
        <w:spacing w:line="520" w:lineRule="exact"/>
        <w:ind w:firstLine="560"/>
        <w:outlineLvl w:val="9"/>
        <w:rPr>
          <w:rFonts w:asciiTheme="minorEastAsia" w:hAnsiTheme="minorEastAsia" w:eastAsiaTheme="minorEastAsia" w:cstheme="minorEastAsia"/>
          <w:bCs w:val="0"/>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t>6. 货物使用中发现异常，要求乙方    小时响应，    小时内提出解决方案,    小时内技术支持人员必须到达现场；</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七、验收</w:t>
      </w:r>
      <w:bookmarkEnd w:id="16"/>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17" w:name="_Toc141279365"/>
      <w:r>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t>乙方将所供货物运至甲方指定地点后，由甲方组织验收。</w:t>
      </w:r>
      <w:bookmarkEnd w:id="17"/>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18" w:name="_Toc141279373"/>
      <w:r>
        <w:rPr>
          <w:rFonts w:hint="eastAsia" w:asciiTheme="minorEastAsia" w:hAnsiTheme="minorEastAsia" w:eastAsiaTheme="minorEastAsia" w:cstheme="minorEastAsia"/>
          <w:color w:val="000000" w:themeColor="text1"/>
          <w:szCs w:val="28"/>
          <w:highlight w:val="none"/>
          <w14:textFill>
            <w14:solidFill>
              <w14:schemeClr w14:val="tx1"/>
            </w14:solidFill>
          </w14:textFill>
        </w:rPr>
        <w:t>八、双方的权利和义务</w:t>
      </w:r>
      <w:bookmarkEnd w:id="18"/>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19" w:name="_Toc141279374"/>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1、甲方的权利和义务</w:t>
      </w:r>
      <w:bookmarkEnd w:id="19"/>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0" w:name="_Toc141279375"/>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1.1甲方有权向乙方询问工作进展情况；</w:t>
      </w:r>
      <w:bookmarkEnd w:id="20"/>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1" w:name="_Toc141279376"/>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1.2甲方有权对具体本项目全部工作内容提出科学性、合理性建议和意见；</w:t>
      </w:r>
      <w:bookmarkEnd w:id="21"/>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2" w:name="_Toc141279377"/>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1.3甲方有权向乙方索取与委托采购内容有关的成果文件；</w:t>
      </w:r>
      <w:bookmarkEnd w:id="22"/>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3" w:name="_Toc141279378"/>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1.4甲方有权对乙方提供货物及服务过程进行监督、检查、考核；</w:t>
      </w:r>
      <w:bookmarkEnd w:id="23"/>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4" w:name="_Toc141279379"/>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1.5协调乙方在提供货物及服务过程相关的政府部门和单位；</w:t>
      </w:r>
      <w:bookmarkEnd w:id="24"/>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5" w:name="_Toc141279380"/>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1.6甲方须按合同要求支付乙方费用。甲方支付给乙方的合同价款，包含乙方货物及服务本项目所有人员的所有费用、培训学习以及乙方为履行本合同义务所需的全部费用，除此之外，甲方无需再向乙方另行支付任何费用。</w:t>
      </w:r>
      <w:bookmarkEnd w:id="25"/>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26" w:name="_Toc141279381"/>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2、乙方的权利和义务</w:t>
      </w:r>
      <w:bookmarkEnd w:id="26"/>
    </w:p>
    <w:p>
      <w:pPr>
        <w:pStyle w:val="45"/>
        <w:wordWrap/>
        <w:spacing w:line="520" w:lineRule="exact"/>
        <w:ind w:firstLine="560"/>
        <w:outlineLvl w:val="9"/>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2.1.乙方可要求甲方按本合同的约定按时足额支付</w:t>
      </w:r>
      <w:bookmarkStart w:id="27" w:name="_Hlk40975009"/>
      <w:r>
        <w:rPr>
          <w:rFonts w:hint="eastAsia" w:asciiTheme="minorEastAsia" w:hAnsiTheme="minorEastAsia" w:eastAsiaTheme="minorEastAsia" w:cstheme="minorEastAsia"/>
          <w:color w:val="000000" w:themeColor="text1"/>
          <w:highlight w:val="none"/>
          <w14:textFill>
            <w14:solidFill>
              <w14:schemeClr w14:val="tx1"/>
            </w14:solidFill>
          </w14:textFill>
        </w:rPr>
        <w:t>相应费用</w:t>
      </w:r>
      <w:bookmarkEnd w:id="27"/>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45"/>
        <w:wordWrap/>
        <w:spacing w:line="520" w:lineRule="exact"/>
        <w:ind w:firstLine="560"/>
        <w:outlineLvl w:val="9"/>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2.2.乙方在履行合同过程中，不得将本项目委托给第三人，如有违反，甲方有权解除合同，乙方应退还甲方已付全部合同价款，并按照本合同向甲方支付违约金。</w:t>
      </w:r>
    </w:p>
    <w:p>
      <w:pPr>
        <w:pStyle w:val="45"/>
        <w:wordWrap/>
        <w:spacing w:line="520" w:lineRule="exact"/>
        <w:ind w:firstLine="560"/>
        <w:outlineLvl w:val="9"/>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2.3.若乙方认为甲方未能及时或按本合同的约定履行合同义务，或甲方存在其他任何影响乙方履行本合同的情形时，均需在情形发生之日起3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    九、履约保证金、付款方式与结算</w:t>
      </w:r>
    </w:p>
    <w:p>
      <w:pPr>
        <w:pStyle w:val="21"/>
        <w:spacing w:line="520" w:lineRule="exact"/>
        <w:ind w:firstLine="560"/>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在签订合同前，中标人需向招标人交纳履约保证金（请将履约保证金汇款凭证发送至QQ邮箱：532223373@qq.com），具体金额为中标价的5%。验收合格后，合同履约保证金自动转为质保金。质保金退付：合同结束后，在我校收到供应商《质保金支付审批表》等结算资料后一次性向供应商退还。</w:t>
      </w:r>
    </w:p>
    <w:p>
      <w:pPr>
        <w:pStyle w:val="21"/>
        <w:spacing w:line="520" w:lineRule="exact"/>
        <w:ind w:firstLine="560"/>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asciiTheme="minorEastAsia" w:hAnsiTheme="minorEastAsia" w:eastAsiaTheme="minorEastAsia" w:cstheme="minorEastAsia"/>
          <w:bCs/>
          <w:color w:val="000000" w:themeColor="text1"/>
          <w:sz w:val="28"/>
          <w:szCs w:val="28"/>
          <w:highlight w:val="none"/>
          <w14:textFill>
            <w14:solidFill>
              <w14:schemeClr w14:val="tx1"/>
            </w14:solidFill>
          </w14:textFill>
        </w:rPr>
        <w:t>结算以甲方实际使用量为准，乙方将指定货物送达甲方，验收合格，甲方在收到发票后一次性向乙方支付该批次货物的全部货款。</w:t>
      </w:r>
    </w:p>
    <w:p>
      <w:pPr>
        <w:pStyle w:val="21"/>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以上付款均以人民币通过银行支付, 付款前需提供我校财务处认可的增值</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税发票。</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28" w:name="_Toc141279382"/>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十、违约责任</w:t>
      </w:r>
      <w:bookmarkEnd w:id="28"/>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任何一方由于不可抗力原因不能履行合同时，在不可抗力事件结束后1日内向对方通报，以尽量减轻可能给对方造成的损失，在取得有关机构的不可抗力证明或双方谅解确认后，根据情况可部分或全部免于承担违约责任。</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2、甲方应配合乙方的工作，若因甲方原因造成乙方未完成规定采购内容，甲方不得扣除乙方相应费用。</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3、如因乙方自身原因，不履行合同义务或者履行合同义务不符合约定的，应当承担继续履行、采取补救措施或者由甲方扣除相应合同价款作为对甲方造成损失的赔偿。</w:t>
      </w:r>
    </w:p>
    <w:p>
      <w:pPr>
        <w:keepNext w:val="0"/>
        <w:keepLines w:val="0"/>
        <w:pageBreakBefore w:val="0"/>
        <w:widowControl w:val="0"/>
        <w:kinsoku/>
        <w:wordWrap/>
        <w:overflowPunct/>
        <w:topLinePunct w:val="0"/>
        <w:bidi w:val="0"/>
        <w:spacing w:line="500" w:lineRule="exact"/>
        <w:ind w:firstLine="560" w:firstLineChars="200"/>
        <w:textAlignment w:val="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4、如乙方未按照本合同的约定期限交货的，则每迟延1日，应向甲方支付合同总价款1％的违约金；迟延超过10日的，甲方有权单方解除本合同。</w:t>
      </w:r>
    </w:p>
    <w:p>
      <w:pPr>
        <w:keepNext w:val="0"/>
        <w:keepLines w:val="0"/>
        <w:pageBreakBefore w:val="0"/>
        <w:widowControl w:val="0"/>
        <w:kinsoku/>
        <w:wordWrap/>
        <w:overflowPunct/>
        <w:topLinePunct w:val="0"/>
        <w:bidi w:val="0"/>
        <w:spacing w:line="500" w:lineRule="exact"/>
        <w:ind w:firstLine="560" w:firstLineChars="200"/>
        <w:textAlignment w:val="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乙方提供的货物与甲方要求的款式、数量、规格、尺寸不一致或无法通过甲方验收或无法正常使用的，乙方应按合同约定采取退货、换货等方式进行弥补直至通过甲方验收，乙方拒绝弥补或经弥补后仍不能通过甲方验收的，甲方有权解除合同。</w:t>
      </w:r>
    </w:p>
    <w:p>
      <w:pPr>
        <w:keepNext w:val="0"/>
        <w:keepLines w:val="0"/>
        <w:pageBreakBefore w:val="0"/>
        <w:widowControl w:val="0"/>
        <w:kinsoku/>
        <w:wordWrap/>
        <w:overflowPunct/>
        <w:topLinePunct w:val="0"/>
        <w:bidi w:val="0"/>
        <w:spacing w:line="500" w:lineRule="exact"/>
        <w:ind w:firstLine="560" w:firstLineChars="200"/>
        <w:textAlignment w:val="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6、乙方未经甲方书面同意将本合同的全部或部分义务转让给第三方，或者将合同权利、对甲方享有的债权转让给第三方的，该等转让对甲方无效，且甲方有权单方解除本合同。</w:t>
      </w:r>
    </w:p>
    <w:p>
      <w:pPr>
        <w:keepNext w:val="0"/>
        <w:keepLines w:val="0"/>
        <w:pageBreakBefore w:val="0"/>
        <w:widowControl w:val="0"/>
        <w:kinsoku/>
        <w:wordWrap/>
        <w:overflowPunct/>
        <w:topLinePunct w:val="0"/>
        <w:bidi w:val="0"/>
        <w:spacing w:line="500" w:lineRule="exact"/>
        <w:ind w:firstLine="560" w:firstLineChars="200"/>
        <w:textAlignment w:val="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7、乙方提供的货物不属于生产厂家的原装正品的，甲方有权单方解除合同。</w:t>
      </w:r>
    </w:p>
    <w:p>
      <w:pPr>
        <w:keepNext w:val="0"/>
        <w:keepLines w:val="0"/>
        <w:pageBreakBefore w:val="0"/>
        <w:widowControl w:val="0"/>
        <w:kinsoku/>
        <w:wordWrap/>
        <w:overflowPunct/>
        <w:topLinePunct w:val="0"/>
        <w:bidi w:val="0"/>
        <w:spacing w:line="500" w:lineRule="exact"/>
        <w:ind w:firstLine="560" w:firstLineChars="200"/>
        <w:textAlignment w:val="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8、乙方承诺其交付的货物是其有权销售、无任何权利争议或潜在权利争议的货物，乙方承诺其货物无任何他项权利设定，也无著作权、商标权、专利权及其他知识产权方面的权利瑕疵或限制，否则由此产生的纠纷乙方负责处理并承担全部责任，若因此给甲方造成损失的，乙方应赔偿甲方的全部损失。</w:t>
      </w:r>
    </w:p>
    <w:p>
      <w:pPr>
        <w:keepNext w:val="0"/>
        <w:keepLines w:val="0"/>
        <w:pageBreakBefore w:val="0"/>
        <w:widowControl w:val="0"/>
        <w:kinsoku/>
        <w:wordWrap/>
        <w:overflowPunct/>
        <w:topLinePunct w:val="0"/>
        <w:bidi w:val="0"/>
        <w:spacing w:line="500" w:lineRule="exact"/>
        <w:ind w:firstLine="560" w:firstLineChars="200"/>
        <w:textAlignment w:val="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9、因乙方存在其他违约行为或因乙方原因导致合同目的无法实现或合同无法继续履行的，甲方有权解除合同。</w:t>
      </w:r>
    </w:p>
    <w:p>
      <w:pPr>
        <w:keepNext w:val="0"/>
        <w:keepLines w:val="0"/>
        <w:pageBreakBefore w:val="0"/>
        <w:widowControl w:val="0"/>
        <w:kinsoku/>
        <w:wordWrap/>
        <w:overflowPunct/>
        <w:topLinePunct w:val="0"/>
        <w:bidi w:val="0"/>
        <w:spacing w:line="500" w:lineRule="exact"/>
        <w:ind w:firstLine="560" w:firstLineChars="200"/>
        <w:textAlignment w:val="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10、乙方违反本合同的约定，除按本合同的约定承担违约责任外，还应赔偿甲方包括但不限于直接损失、甲方向第三方的违约或赔偿损失、误工费、鉴定费、损失的评估费、律师费、诉讼费或仲裁费、保全费、保险费、公告费、执行费等全部损失。</w:t>
      </w:r>
    </w:p>
    <w:p>
      <w:pPr>
        <w:keepNext w:val="0"/>
        <w:keepLines w:val="0"/>
        <w:pageBreakBefore w:val="0"/>
        <w:widowControl w:val="0"/>
        <w:kinsoku/>
        <w:wordWrap/>
        <w:overflowPunct/>
        <w:topLinePunct w:val="0"/>
        <w:bidi w:val="0"/>
        <w:spacing w:line="500" w:lineRule="exact"/>
        <w:ind w:firstLine="560" w:firstLineChars="200"/>
        <w:textAlignment w:val="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11、本合同所涉及全部违约金，甲方均有权从未付合同价款中扣除，乙方对此无异议。</w:t>
      </w:r>
    </w:p>
    <w:p>
      <w:pPr>
        <w:pStyle w:val="43"/>
        <w:keepNext w:val="0"/>
        <w:keepLines w:val="0"/>
        <w:pageBreakBefore w:val="0"/>
        <w:widowControl w:val="0"/>
        <w:kinsoku/>
        <w:wordWrap/>
        <w:overflowPunct/>
        <w:topLinePunct w:val="0"/>
        <w:bidi w:val="0"/>
        <w:spacing w:line="500" w:lineRule="exact"/>
        <w:ind w:firstLine="562"/>
        <w:textAlignment w:val="auto"/>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29" w:name="_Toc141279383"/>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十一、合同解除</w:t>
      </w:r>
      <w:bookmarkEnd w:id="29"/>
    </w:p>
    <w:p>
      <w:pPr>
        <w:pStyle w:val="43"/>
        <w:keepNext w:val="0"/>
        <w:keepLines w:val="0"/>
        <w:pageBreakBefore w:val="0"/>
        <w:widowControl w:val="0"/>
        <w:kinsoku/>
        <w:wordWrap/>
        <w:overflowPunct/>
        <w:topLinePunct w:val="0"/>
        <w:bidi w:val="0"/>
        <w:spacing w:line="500" w:lineRule="exact"/>
        <w:ind w:firstLine="560"/>
        <w:textAlignment w:val="auto"/>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0" w:name="_Toc141279384"/>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甲方依据本合同约定或法律规定单方解除合同的，自解除合同的通知到达乙方时，合同自行终止。乙方应于合同解除之日起15日内退还甲方全部已支付款项并按一年期贷款市场报价利率四倍计取的资金占用期间的利息，赔偿甲方因此造成的损失，并支付甲方合同总价款30%的违约金。</w:t>
      </w:r>
      <w:bookmarkEnd w:id="30"/>
    </w:p>
    <w:p>
      <w:pPr>
        <w:pStyle w:val="43"/>
        <w:keepNext w:val="0"/>
        <w:keepLines w:val="0"/>
        <w:pageBreakBefore w:val="0"/>
        <w:widowControl w:val="0"/>
        <w:kinsoku/>
        <w:wordWrap/>
        <w:overflowPunct/>
        <w:topLinePunct w:val="0"/>
        <w:bidi w:val="0"/>
        <w:spacing w:line="500" w:lineRule="exact"/>
        <w:ind w:firstLine="560"/>
        <w:textAlignment w:val="auto"/>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1" w:name="_Toc141279385"/>
      <w:r>
        <w:rPr>
          <w:rFonts w:hint="eastAsia" w:asciiTheme="minorEastAsia" w:hAnsiTheme="minorEastAsia" w:eastAsiaTheme="minorEastAsia" w:cstheme="minorEastAsia"/>
          <w:color w:val="000000" w:themeColor="text1"/>
          <w:szCs w:val="28"/>
          <w:highlight w:val="none"/>
          <w14:textFill>
            <w14:solidFill>
              <w14:schemeClr w14:val="tx1"/>
            </w14:solidFill>
          </w14:textFill>
        </w:rPr>
        <w:t>2、按合同约定或法律规定，解除合同的事由发生时，解除权人可以解除合同。享有解除权的一方应当自解除事由发生之日起三年内行使解除权，期限届满不行使的，解除权消灭。</w:t>
      </w:r>
      <w:bookmarkEnd w:id="31"/>
    </w:p>
    <w:p>
      <w:pPr>
        <w:pStyle w:val="43"/>
        <w:keepNext w:val="0"/>
        <w:keepLines w:val="0"/>
        <w:pageBreakBefore w:val="0"/>
        <w:widowControl w:val="0"/>
        <w:kinsoku/>
        <w:wordWrap/>
        <w:overflowPunct/>
        <w:topLinePunct w:val="0"/>
        <w:bidi w:val="0"/>
        <w:spacing w:line="500" w:lineRule="exact"/>
        <w:ind w:firstLine="562"/>
        <w:textAlignment w:val="auto"/>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2" w:name="_Toc141279386"/>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十二、不可抗力</w:t>
      </w:r>
      <w:bookmarkEnd w:id="32"/>
    </w:p>
    <w:p>
      <w:pPr>
        <w:pStyle w:val="43"/>
        <w:keepNext w:val="0"/>
        <w:keepLines w:val="0"/>
        <w:pageBreakBefore w:val="0"/>
        <w:widowControl w:val="0"/>
        <w:kinsoku/>
        <w:wordWrap/>
        <w:overflowPunct/>
        <w:topLinePunct w:val="0"/>
        <w:bidi w:val="0"/>
        <w:spacing w:line="500" w:lineRule="exact"/>
        <w:ind w:firstLine="560"/>
        <w:textAlignment w:val="auto"/>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3" w:name="_Toc141279387"/>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在本合同执行过程中，由于发生战争、洪水、台风、地震、新冠疫情等不可抗力事件，致使本合同的任何一方无法履行本合同规定的义务，遭受不可抗力的一方不承担违约责任。遭受不可抗力的一方应在不可抗力事件发生的48小时内将该不可抗力及其对履约之影响书面通知另一方当事人，并向本合同对方出具有关权威部门的证明。遭受不可抗力之一方或双方当事人须采取一切可能的措施减少或消除前述不可抗力对合同履行的影响，并在该不可抗力事件消除后10天向对方当事人提供该不可抗力及其对履约产生实质性影响的证明。</w:t>
      </w:r>
      <w:bookmarkEnd w:id="33"/>
    </w:p>
    <w:p>
      <w:pPr>
        <w:pStyle w:val="43"/>
        <w:keepNext w:val="0"/>
        <w:keepLines w:val="0"/>
        <w:pageBreakBefore w:val="0"/>
        <w:widowControl w:val="0"/>
        <w:kinsoku/>
        <w:wordWrap/>
        <w:overflowPunct/>
        <w:topLinePunct w:val="0"/>
        <w:bidi w:val="0"/>
        <w:spacing w:line="500" w:lineRule="exact"/>
        <w:ind w:firstLine="560"/>
        <w:textAlignment w:val="auto"/>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4" w:name="_Toc141279388"/>
      <w:r>
        <w:rPr>
          <w:rFonts w:hint="eastAsia" w:asciiTheme="minorEastAsia" w:hAnsiTheme="minorEastAsia" w:eastAsiaTheme="minorEastAsia" w:cstheme="minorEastAsia"/>
          <w:color w:val="000000" w:themeColor="text1"/>
          <w:szCs w:val="28"/>
          <w:highlight w:val="none"/>
          <w14:textFill>
            <w14:solidFill>
              <w14:schemeClr w14:val="tx1"/>
            </w14:solidFill>
          </w14:textFill>
        </w:rPr>
        <w:t>2、双方确定，因发生不可抗力，致使本合同的履行成为不必要或不可能的，一方应当及时通知另一方解除合同。如果一方未及时通知对方或未采取必要措施，责任方须对扩大的损失承担赔偿责任。</w:t>
      </w:r>
      <w:bookmarkEnd w:id="34"/>
    </w:p>
    <w:p>
      <w:pPr>
        <w:pStyle w:val="43"/>
        <w:keepNext w:val="0"/>
        <w:keepLines w:val="0"/>
        <w:pageBreakBefore w:val="0"/>
        <w:widowControl w:val="0"/>
        <w:kinsoku/>
        <w:wordWrap/>
        <w:overflowPunct/>
        <w:topLinePunct w:val="0"/>
        <w:bidi w:val="0"/>
        <w:spacing w:line="500" w:lineRule="exact"/>
        <w:ind w:firstLine="562"/>
        <w:textAlignment w:val="auto"/>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5" w:name="_Toc141279389"/>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十三、通知与送达</w:t>
      </w:r>
      <w:bookmarkEnd w:id="35"/>
    </w:p>
    <w:p>
      <w:pPr>
        <w:pStyle w:val="43"/>
        <w:keepNext w:val="0"/>
        <w:keepLines w:val="0"/>
        <w:pageBreakBefore w:val="0"/>
        <w:widowControl w:val="0"/>
        <w:kinsoku/>
        <w:wordWrap/>
        <w:overflowPunct/>
        <w:topLinePunct w:val="0"/>
        <w:bidi w:val="0"/>
        <w:spacing w:line="500" w:lineRule="exact"/>
        <w:ind w:firstLine="560"/>
        <w:textAlignment w:val="auto"/>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6" w:name="_Toc141279390"/>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1、乙方的通知与送达方式为：</w:t>
      </w:r>
      <w:bookmarkEnd w:id="36"/>
    </w:p>
    <w:p>
      <w:pPr>
        <w:pStyle w:val="43"/>
        <w:keepNext w:val="0"/>
        <w:keepLines w:val="0"/>
        <w:pageBreakBefore w:val="0"/>
        <w:widowControl w:val="0"/>
        <w:kinsoku/>
        <w:wordWrap/>
        <w:overflowPunct/>
        <w:topLinePunct w:val="0"/>
        <w:bidi w:val="0"/>
        <w:spacing w:line="500" w:lineRule="exact"/>
        <w:ind w:firstLine="560"/>
        <w:textAlignment w:val="auto"/>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7" w:name="_Toc141279391"/>
      <w:r>
        <w:rPr>
          <w:rFonts w:hint="eastAsia" w:asciiTheme="minorEastAsia" w:hAnsiTheme="minorEastAsia" w:eastAsiaTheme="minorEastAsia" w:cstheme="minorEastAsia"/>
          <w:color w:val="000000" w:themeColor="text1"/>
          <w:szCs w:val="28"/>
          <w:highlight w:val="none"/>
          <w14:textFill>
            <w14:solidFill>
              <w14:schemeClr w14:val="tx1"/>
            </w14:solidFill>
          </w14:textFill>
        </w:rPr>
        <w:t>乙方：</w:t>
      </w:r>
      <w:bookmarkEnd w:id="37"/>
    </w:p>
    <w:p>
      <w:pPr>
        <w:pStyle w:val="43"/>
        <w:keepNext w:val="0"/>
        <w:keepLines w:val="0"/>
        <w:pageBreakBefore w:val="0"/>
        <w:widowControl w:val="0"/>
        <w:kinsoku/>
        <w:wordWrap/>
        <w:overflowPunct/>
        <w:topLinePunct w:val="0"/>
        <w:bidi w:val="0"/>
        <w:spacing w:line="500" w:lineRule="exact"/>
        <w:ind w:firstLine="560"/>
        <w:textAlignment w:val="auto"/>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8" w:name="_Toc141279392"/>
      <w:r>
        <w:rPr>
          <w:rFonts w:hint="eastAsia" w:asciiTheme="minorEastAsia" w:hAnsiTheme="minorEastAsia" w:eastAsiaTheme="minorEastAsia" w:cstheme="minorEastAsia"/>
          <w:color w:val="000000" w:themeColor="text1"/>
          <w:szCs w:val="28"/>
          <w:highlight w:val="none"/>
          <w14:textFill>
            <w14:solidFill>
              <w14:schemeClr w14:val="tx1"/>
            </w14:solidFill>
          </w14:textFill>
        </w:rPr>
        <w:t>通讯地址：                      ；</w:t>
      </w:r>
      <w:bookmarkEnd w:id="38"/>
    </w:p>
    <w:p>
      <w:pPr>
        <w:pStyle w:val="43"/>
        <w:keepNext w:val="0"/>
        <w:keepLines w:val="0"/>
        <w:pageBreakBefore w:val="0"/>
        <w:widowControl w:val="0"/>
        <w:kinsoku/>
        <w:wordWrap/>
        <w:overflowPunct/>
        <w:topLinePunct w:val="0"/>
        <w:bidi w:val="0"/>
        <w:spacing w:line="500" w:lineRule="exact"/>
        <w:ind w:firstLine="560"/>
        <w:textAlignment w:val="auto"/>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9" w:name="_Toc141279393"/>
      <w:r>
        <w:rPr>
          <w:rFonts w:hint="eastAsia" w:asciiTheme="minorEastAsia" w:hAnsiTheme="minorEastAsia" w:eastAsiaTheme="minorEastAsia" w:cstheme="minorEastAsia"/>
          <w:color w:val="000000" w:themeColor="text1"/>
          <w:szCs w:val="28"/>
          <w:highlight w:val="none"/>
          <w14:textFill>
            <w14:solidFill>
              <w14:schemeClr w14:val="tx1"/>
            </w14:solidFill>
          </w14:textFill>
        </w:rPr>
        <w:t>联系人：                        ；联系电话（手机）：</w:t>
      </w:r>
      <w:bookmarkEnd w:id="39"/>
    </w:p>
    <w:p>
      <w:pPr>
        <w:pStyle w:val="43"/>
        <w:keepNext w:val="0"/>
        <w:keepLines w:val="0"/>
        <w:pageBreakBefore w:val="0"/>
        <w:widowControl w:val="0"/>
        <w:kinsoku/>
        <w:wordWrap/>
        <w:overflowPunct/>
        <w:topLinePunct w:val="0"/>
        <w:bidi w:val="0"/>
        <w:spacing w:line="500" w:lineRule="exact"/>
        <w:ind w:firstLine="560"/>
        <w:textAlignment w:val="auto"/>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0" w:name="_Toc141279394"/>
      <w:r>
        <w:rPr>
          <w:rFonts w:hint="eastAsia" w:asciiTheme="minorEastAsia" w:hAnsiTheme="minorEastAsia" w:eastAsiaTheme="minorEastAsia" w:cstheme="minorEastAsia"/>
          <w:color w:val="000000" w:themeColor="text1"/>
          <w:szCs w:val="28"/>
          <w:highlight w:val="none"/>
          <w14:textFill>
            <w14:solidFill>
              <w14:schemeClr w14:val="tx1"/>
            </w14:solidFill>
          </w14:textFill>
        </w:rPr>
        <w:t>2、本合同涉及有关通知事项可按照本合同中约定的通知与送达方式，采用邮寄、直接送达、致电或发送短信、E-mail、微信等任一方式进行，邮寄到达（拒收、退回）当日、直接送达或致电以及短信息、E-mail、微信发送当时，即视为乙方接到该通知。</w:t>
      </w:r>
      <w:bookmarkEnd w:id="40"/>
    </w:p>
    <w:p>
      <w:pPr>
        <w:pStyle w:val="43"/>
        <w:keepNext w:val="0"/>
        <w:keepLines w:val="0"/>
        <w:pageBreakBefore w:val="0"/>
        <w:widowControl w:val="0"/>
        <w:kinsoku/>
        <w:wordWrap/>
        <w:overflowPunct/>
        <w:topLinePunct w:val="0"/>
        <w:bidi w:val="0"/>
        <w:spacing w:line="500" w:lineRule="exact"/>
        <w:ind w:firstLine="560"/>
        <w:textAlignment w:val="auto"/>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1" w:name="_Toc141279395"/>
      <w:r>
        <w:rPr>
          <w:rFonts w:hint="eastAsia" w:asciiTheme="minorEastAsia" w:hAnsiTheme="minorEastAsia" w:eastAsiaTheme="minorEastAsia" w:cstheme="minorEastAsia"/>
          <w:color w:val="000000" w:themeColor="text1"/>
          <w:szCs w:val="28"/>
          <w:highlight w:val="none"/>
          <w14:textFill>
            <w14:solidFill>
              <w14:schemeClr w14:val="tx1"/>
            </w14:solidFill>
          </w14:textFill>
        </w:rPr>
        <w:t>3、乙方必须保证本合同约定的联络方式真实有效，乙方前述联系方式不真实、不准确或未留联系方式，一切责任均由乙方承担。联系方式如有变更，必须5于变更后3日内书面通知甲方。否则，甲方按照本合同约定的通知与送达方式向其发出的任何通知均视为合法有效。乙方拒收、不在指定地址或联系不上导致通知被退回，均视为通知已经合法有效送达。</w:t>
      </w:r>
      <w:bookmarkEnd w:id="41"/>
    </w:p>
    <w:p>
      <w:pPr>
        <w:pStyle w:val="43"/>
        <w:keepNext w:val="0"/>
        <w:keepLines w:val="0"/>
        <w:pageBreakBefore w:val="0"/>
        <w:widowControl w:val="0"/>
        <w:kinsoku/>
        <w:wordWrap/>
        <w:overflowPunct/>
        <w:topLinePunct w:val="0"/>
        <w:bidi w:val="0"/>
        <w:spacing w:line="500" w:lineRule="exact"/>
        <w:ind w:firstLine="560"/>
        <w:textAlignment w:val="auto"/>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2" w:name="_Toc141279396"/>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视为送达之日。</w:t>
      </w:r>
      <w:bookmarkEnd w:id="42"/>
    </w:p>
    <w:p>
      <w:pPr>
        <w:pStyle w:val="43"/>
        <w:keepNext w:val="0"/>
        <w:keepLines w:val="0"/>
        <w:pageBreakBefore w:val="0"/>
        <w:widowControl w:val="0"/>
        <w:kinsoku/>
        <w:wordWrap/>
        <w:overflowPunct/>
        <w:topLinePunct w:val="0"/>
        <w:bidi w:val="0"/>
        <w:spacing w:line="500" w:lineRule="exact"/>
        <w:ind w:firstLine="562"/>
        <w:textAlignment w:val="auto"/>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43" w:name="_Toc141279397"/>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十四、争议解决方式</w:t>
      </w:r>
      <w:bookmarkEnd w:id="43"/>
    </w:p>
    <w:p>
      <w:pPr>
        <w:pStyle w:val="44"/>
        <w:keepNext w:val="0"/>
        <w:keepLines w:val="0"/>
        <w:pageBreakBefore w:val="0"/>
        <w:widowControl w:val="0"/>
        <w:kinsoku/>
        <w:wordWrap/>
        <w:overflowPunct/>
        <w:topLinePunct w:val="0"/>
        <w:bidi w:val="0"/>
        <w:spacing w:line="500" w:lineRule="exact"/>
        <w:ind w:firstLine="560"/>
        <w:textAlignment w:val="auto"/>
        <w:rPr>
          <w:rFonts w:asciiTheme="minorEastAsia" w:hAnsiTheme="minorEastAsia" w:eastAsiaTheme="minorEastAsia" w:cs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双方因本合同发生争议，由甲、乙方协商解决，协商不成的，应向甲方住所地有管辖权的人民法院诉讼解决。</w:t>
      </w:r>
    </w:p>
    <w:p>
      <w:pPr>
        <w:pStyle w:val="43"/>
        <w:keepNext w:val="0"/>
        <w:keepLines w:val="0"/>
        <w:pageBreakBefore w:val="0"/>
        <w:widowControl w:val="0"/>
        <w:kinsoku/>
        <w:wordWrap/>
        <w:overflowPunct/>
        <w:topLinePunct w:val="0"/>
        <w:bidi w:val="0"/>
        <w:spacing w:line="500" w:lineRule="exact"/>
        <w:ind w:firstLine="562"/>
        <w:textAlignment w:val="auto"/>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44" w:name="_Toc141279398"/>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十五、</w:t>
      </w:r>
      <w:r>
        <w:rPr>
          <w:rFonts w:hint="eastAsia" w:asciiTheme="minorEastAsia" w:hAnsiTheme="minorEastAsia" w:eastAsiaTheme="minorEastAsia" w:cstheme="minorEastAsia"/>
          <w:b/>
          <w:bCs w:val="0"/>
          <w:color w:val="000000" w:themeColor="text1"/>
          <w:szCs w:val="28"/>
          <w:highlight w:val="none"/>
          <w14:textFill>
            <w14:solidFill>
              <w14:schemeClr w14:val="tx1"/>
            </w14:solidFill>
          </w14:textFill>
        </w:rPr>
        <w:t>合同生效及其它</w:t>
      </w:r>
      <w:bookmarkEnd w:id="44"/>
    </w:p>
    <w:p>
      <w:pPr>
        <w:keepNext w:val="0"/>
        <w:keepLines w:val="0"/>
        <w:pageBreakBefore w:val="0"/>
        <w:widowControl w:val="0"/>
        <w:kinsoku/>
        <w:wordWrap/>
        <w:overflowPunct/>
        <w:topLinePunct w:val="0"/>
        <w:autoSpaceDE w:val="0"/>
        <w:autoSpaceDN w:val="0"/>
        <w:bidi w:val="0"/>
        <w:adjustRightInd w:val="0"/>
        <w:spacing w:line="500" w:lineRule="exact"/>
        <w:ind w:firstLine="482"/>
        <w:textAlignment w:val="auto"/>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1、 本合同一式肆份，甲方执叁份、乙方执壹份，经甲乙双方代表签字、加盖公章后生效，合同履行完成后自行终止。招标（采购）和投标（响应性）文件为本合同组成部分。</w:t>
      </w:r>
    </w:p>
    <w:p>
      <w:pPr>
        <w:keepNext w:val="0"/>
        <w:keepLines w:val="0"/>
        <w:pageBreakBefore w:val="0"/>
        <w:widowControl w:val="0"/>
        <w:kinsoku/>
        <w:wordWrap/>
        <w:overflowPunct/>
        <w:topLinePunct w:val="0"/>
        <w:autoSpaceDE w:val="0"/>
        <w:autoSpaceDN w:val="0"/>
        <w:bidi w:val="0"/>
        <w:adjustRightInd w:val="0"/>
        <w:spacing w:line="500" w:lineRule="exact"/>
        <w:ind w:firstLine="482"/>
        <w:textAlignment w:val="auto"/>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2、组成本合同的文件及解释顺序为：本合同及补充条款、中标通知书、投标（响应性）文件及其附件；招标（采购）文件及补充通知。如果乙方的投标（响应性）文件及其附件高于国家行业标准的，以投标文件及其附件为准。</w:t>
      </w:r>
    </w:p>
    <w:p>
      <w:pPr>
        <w:keepNext w:val="0"/>
        <w:keepLines w:val="0"/>
        <w:pageBreakBefore w:val="0"/>
        <w:widowControl w:val="0"/>
        <w:kinsoku/>
        <w:wordWrap/>
        <w:overflowPunct/>
        <w:topLinePunct w:val="0"/>
        <w:autoSpaceDE w:val="0"/>
        <w:autoSpaceDN w:val="0"/>
        <w:bidi w:val="0"/>
        <w:adjustRightInd w:val="0"/>
        <w:spacing w:line="500" w:lineRule="exact"/>
        <w:ind w:firstLine="482"/>
        <w:textAlignment w:val="auto"/>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3、本合同生效之后，任何一方违反本合同规定，除了承担违约金外，还要承担守约方向违约方追究违约责任所支付的一切费用，包括但不限于律师费、诉讼费、保全费、公告费、鉴定费、交通食宿费等。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widowControl w:val="0"/>
        <w:kinsoku/>
        <w:wordWrap/>
        <w:overflowPunct/>
        <w:topLinePunct w:val="0"/>
        <w:autoSpaceDE w:val="0"/>
        <w:autoSpaceDN w:val="0"/>
        <w:bidi w:val="0"/>
        <w:adjustRightInd w:val="0"/>
        <w:spacing w:line="500" w:lineRule="exact"/>
        <w:ind w:firstLine="482"/>
        <w:textAlignment w:val="auto"/>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4、本合同未尽事宜，供需双方可签订补充协议，与本合同具有同等法律效力。</w:t>
      </w:r>
    </w:p>
    <w:p>
      <w:pPr>
        <w:keepNext w:val="0"/>
        <w:keepLines w:val="0"/>
        <w:pageBreakBefore w:val="0"/>
        <w:widowControl w:val="0"/>
        <w:kinsoku/>
        <w:wordWrap/>
        <w:overflowPunct/>
        <w:topLinePunct w:val="0"/>
        <w:autoSpaceDE w:val="0"/>
        <w:autoSpaceDN w:val="0"/>
        <w:bidi w:val="0"/>
        <w:adjustRightInd w:val="0"/>
        <w:spacing w:line="500" w:lineRule="exact"/>
        <w:ind w:firstLine="482"/>
        <w:textAlignment w:val="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5、本合同相关的招投标资料/谈判纪要以及与本合同相关的其他文件均为本合同附件，与本合同具有同等法律效力。若本合同附件与本合同内容存在不一致之处，以本合同约定为准。</w:t>
      </w:r>
    </w:p>
    <w:p>
      <w:pPr>
        <w:keepNext w:val="0"/>
        <w:keepLines w:val="0"/>
        <w:pageBreakBefore w:val="0"/>
        <w:widowControl w:val="0"/>
        <w:kinsoku/>
        <w:wordWrap/>
        <w:overflowPunct/>
        <w:topLinePunct w:val="0"/>
        <w:bidi w:val="0"/>
        <w:spacing w:line="500" w:lineRule="exact"/>
        <w:ind w:firstLine="562" w:firstLineChars="200"/>
        <w:textAlignment w:val="auto"/>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bidi w:val="0"/>
        <w:spacing w:line="500" w:lineRule="exact"/>
        <w:ind w:firstLine="562" w:firstLineChars="200"/>
        <w:textAlignment w:val="auto"/>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附件：货物清单明细</w:t>
      </w:r>
    </w:p>
    <w:p>
      <w:pPr>
        <w:pStyle w:val="21"/>
        <w:keepNext w:val="0"/>
        <w:keepLines w:val="0"/>
        <w:pageBreakBefore w:val="0"/>
        <w:widowControl w:val="0"/>
        <w:kinsoku/>
        <w:wordWrap/>
        <w:overflowPunct/>
        <w:topLinePunct w:val="0"/>
        <w:bidi w:val="0"/>
        <w:spacing w:line="500" w:lineRule="exact"/>
        <w:ind w:firstLine="560"/>
        <w:textAlignment w:val="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bidi w:val="0"/>
        <w:snapToGrid w:val="0"/>
        <w:spacing w:line="500" w:lineRule="exact"/>
        <w:jc w:val="left"/>
        <w:textAlignment w:val="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甲方(印章): 江苏医药职业学院              乙方(印章):                  </w:t>
      </w:r>
    </w:p>
    <w:p>
      <w:pPr>
        <w:keepNext w:val="0"/>
        <w:keepLines w:val="0"/>
        <w:pageBreakBefore w:val="0"/>
        <w:widowControl w:val="0"/>
        <w:kinsoku/>
        <w:wordWrap/>
        <w:overflowPunct/>
        <w:topLinePunct w:val="0"/>
        <w:bidi w:val="0"/>
        <w:snapToGrid w:val="0"/>
        <w:spacing w:line="500" w:lineRule="exact"/>
        <w:jc w:val="left"/>
        <w:textAlignment w:val="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法定代表人或其委托代理人：                法定代表人或其委托代理人：</w:t>
      </w:r>
    </w:p>
    <w:p>
      <w:pPr>
        <w:keepNext w:val="0"/>
        <w:keepLines w:val="0"/>
        <w:pageBreakBefore w:val="0"/>
        <w:widowControl w:val="0"/>
        <w:kinsoku/>
        <w:wordWrap/>
        <w:overflowPunct/>
        <w:topLinePunct w:val="0"/>
        <w:bidi w:val="0"/>
        <w:snapToGrid w:val="0"/>
        <w:spacing w:line="500" w:lineRule="exact"/>
        <w:ind w:firstLine="1120" w:firstLineChars="400"/>
        <w:jc w:val="left"/>
        <w:textAlignment w:val="auto"/>
        <w:rPr>
          <w:rFonts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（签字）:                                (签字):</w:t>
      </w:r>
    </w:p>
    <w:p>
      <w:pPr>
        <w:keepNext w:val="0"/>
        <w:keepLines w:val="0"/>
        <w:pageBreakBefore w:val="0"/>
        <w:widowControl w:val="0"/>
        <w:kinsoku/>
        <w:wordWrap/>
        <w:overflowPunct/>
        <w:topLinePunct w:val="0"/>
        <w:bidi w:val="0"/>
        <w:snapToGrid w:val="0"/>
        <w:spacing w:line="500" w:lineRule="exact"/>
        <w:textAlignment w:val="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地址: 盐城市解放南路283号                地址:                      </w:t>
      </w:r>
    </w:p>
    <w:p>
      <w:pPr>
        <w:keepNext w:val="0"/>
        <w:keepLines w:val="0"/>
        <w:pageBreakBefore w:val="0"/>
        <w:widowControl w:val="0"/>
        <w:kinsoku/>
        <w:wordWrap/>
        <w:overflowPunct/>
        <w:topLinePunct w:val="0"/>
        <w:bidi w:val="0"/>
        <w:snapToGrid w:val="0"/>
        <w:spacing w:line="500" w:lineRule="exact"/>
        <w:textAlignment w:val="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电话:0515-88550311                        电话:</w:t>
      </w:r>
    </w:p>
    <w:p>
      <w:pPr>
        <w:keepNext w:val="0"/>
        <w:keepLines w:val="0"/>
        <w:pageBreakBefore w:val="0"/>
        <w:widowControl w:val="0"/>
        <w:kinsoku/>
        <w:wordWrap/>
        <w:overflowPunct/>
        <w:topLinePunct w:val="0"/>
        <w:bidi w:val="0"/>
        <w:snapToGrid w:val="0"/>
        <w:spacing w:line="500" w:lineRule="exact"/>
        <w:ind w:firstLine="560" w:firstLineChars="200"/>
        <w:jc w:val="right"/>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日期:    年   月   日</w:t>
      </w:r>
    </w:p>
    <w:p>
      <w:pPr>
        <w:pStyle w:val="2"/>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spacing w:line="300" w:lineRule="exact"/>
        <w:outlineLvl w:val="0"/>
        <w:rPr>
          <w:color w:val="000000" w:themeColor="text1"/>
          <w:highlight w:val="none"/>
          <w14:textFill>
            <w14:solidFill>
              <w14:schemeClr w14:val="tx1"/>
            </w14:solidFill>
          </w14:textFill>
        </w:rPr>
      </w:pPr>
      <w:r>
        <w:rPr>
          <w:rFonts w:hint="eastAsia" w:ascii="Times New Roman" w:hAnsi="Times New Roman" w:cs="Times New Roman"/>
          <w:color w:val="000000" w:themeColor="text1"/>
          <w:kern w:val="44"/>
          <w:sz w:val="44"/>
          <w:szCs w:val="44"/>
          <w:highlight w:val="none"/>
          <w14:textFill>
            <w14:solidFill>
              <w14:schemeClr w14:val="tx1"/>
            </w14:solidFill>
          </w14:textFill>
        </w:rPr>
        <w:t>第四部分 项目需求</w:t>
      </w:r>
      <w:bookmarkEnd w:id="11"/>
      <w:bookmarkEnd w:id="12"/>
    </w:p>
    <w:p>
      <w:pPr>
        <w:pStyle w:val="2"/>
        <w:ind w:left="3360"/>
        <w:rPr>
          <w:color w:val="000000" w:themeColor="text1"/>
          <w:highlight w:val="none"/>
          <w14:textFill>
            <w14:solidFill>
              <w14:schemeClr w14:val="tx1"/>
            </w14:solidFill>
          </w14:textFill>
        </w:rPr>
      </w:pPr>
    </w:p>
    <w:p>
      <w:pPr>
        <w:widowControl/>
        <w:jc w:val="left"/>
        <w:rPr>
          <w:b/>
          <w:color w:val="000000" w:themeColor="text1"/>
          <w:sz w:val="28"/>
          <w:szCs w:val="28"/>
          <w:highlight w:val="none"/>
          <w14:textFill>
            <w14:solidFill>
              <w14:schemeClr w14:val="tx1"/>
            </w14:solidFill>
          </w14:textFill>
        </w:rPr>
      </w:pPr>
    </w:p>
    <w:p>
      <w:pPr>
        <w:spacing w:line="520" w:lineRule="exact"/>
        <w:ind w:firstLine="560" w:firstLineChars="200"/>
        <w:jc w:val="left"/>
        <w:rPr>
          <w:rFonts w:asciiTheme="minorEastAsia" w:hAnsiTheme="minorEastAsia" w:eastAsiaTheme="minorEastAsia" w:cstheme="minorEastAsia"/>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根据学校教学科研的不断发展和实际使用需求，实验动物中心每年需采购饲料和垫料。所需采购饲料、垫料的相关要求如下：</w:t>
      </w:r>
    </w:p>
    <w:p>
      <w:pPr>
        <w:numPr>
          <w:ilvl w:val="0"/>
          <w:numId w:val="1"/>
        </w:numPr>
        <w:spacing w:line="520" w:lineRule="exact"/>
        <w:ind w:firstLine="562" w:firstLineChars="200"/>
        <w:jc w:val="left"/>
        <w:rPr>
          <w:rFonts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饲料</w:t>
      </w:r>
    </w:p>
    <w:p>
      <w:pPr>
        <w:numPr>
          <w:ilvl w:val="0"/>
          <w:numId w:val="2"/>
        </w:numPr>
        <w:spacing w:line="520" w:lineRule="exact"/>
        <w:ind w:firstLine="560" w:firstLineChars="200"/>
        <w:jc w:val="left"/>
        <w:rPr>
          <w:rFonts w:asciiTheme="minorEastAsia" w:hAnsiTheme="minorEastAsia" w:eastAsiaTheme="minorEastAsia" w:cstheme="minorEastAsia"/>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实验动物饲料质量：应新鲜、无毒、无害、无霉变，不得掺入抗生素、驱虫剂、防腐剂、色素、促生长剂以及激素等添加刘；颗粒坚硬、不松散；各阶段的饲料营养成分指标符合国家标准（GB14924.3--2010）（不包含模型动物等特殊要求的饲料）；微生物指标和化学污染物指标符合国家标准（GB14924.2--2001）。</w:t>
      </w:r>
    </w:p>
    <w:p>
      <w:pPr>
        <w:numPr>
          <w:ilvl w:val="0"/>
          <w:numId w:val="2"/>
        </w:numPr>
        <w:spacing w:line="520" w:lineRule="exact"/>
        <w:ind w:firstLine="560" w:firstLineChars="200"/>
        <w:jc w:val="left"/>
        <w:rPr>
          <w:rFonts w:asciiTheme="minorEastAsia" w:hAnsiTheme="minorEastAsia" w:eastAsiaTheme="minorEastAsia" w:cstheme="minorEastAsia"/>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采购数量：每年约需辐照大小鼠饲料2吨（维持料+生产繁殖料）。</w:t>
      </w:r>
    </w:p>
    <w:p>
      <w:pPr>
        <w:numPr>
          <w:ilvl w:val="0"/>
          <w:numId w:val="1"/>
        </w:numPr>
        <w:spacing w:line="520" w:lineRule="exact"/>
        <w:ind w:firstLine="562" w:firstLineChars="200"/>
        <w:jc w:val="left"/>
        <w:rPr>
          <w:rFonts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垫料（辐照玉米芯）</w:t>
      </w:r>
    </w:p>
    <w:p>
      <w:pPr>
        <w:numPr>
          <w:ilvl w:val="0"/>
          <w:numId w:val="3"/>
        </w:numPr>
        <w:spacing w:line="520" w:lineRule="exact"/>
        <w:ind w:left="0" w:firstLine="560" w:firstLineChars="200"/>
        <w:jc w:val="left"/>
        <w:rPr>
          <w:rFonts w:asciiTheme="minorEastAsia" w:hAnsiTheme="minorEastAsia" w:eastAsiaTheme="minorEastAsia" w:cstheme="minorEastAsia"/>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实验动物垫料质量：应无杂质、无异味、低粉尘、吸湿性佳、透气性好、无毒、无虫蛀、无鼠咬；玉米芯粒径约6目或8目；相关重金属及黄曲霉素要达标，具体参照江苏省地方标DB32/T2129-2012的相关指标。</w:t>
      </w:r>
    </w:p>
    <w:p>
      <w:pPr>
        <w:numPr>
          <w:ilvl w:val="0"/>
          <w:numId w:val="3"/>
        </w:numPr>
        <w:spacing w:line="520" w:lineRule="exact"/>
        <w:jc w:val="left"/>
        <w:rPr>
          <w:rFonts w:asciiTheme="minorEastAsia" w:hAnsiTheme="minorEastAsia" w:eastAsiaTheme="minorEastAsia" w:cstheme="minorEastAsia"/>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采购数量：每年约需辐照玉米芯垫料3吨。</w:t>
      </w:r>
    </w:p>
    <w:p>
      <w:pPr>
        <w:numPr>
          <w:ilvl w:val="0"/>
          <w:numId w:val="1"/>
        </w:numPr>
        <w:spacing w:line="520" w:lineRule="exact"/>
        <w:ind w:firstLine="562" w:firstLineChars="200"/>
        <w:jc w:val="left"/>
        <w:rPr>
          <w:rFonts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价格及供应商要求</w:t>
      </w:r>
    </w:p>
    <w:p>
      <w:pPr>
        <w:spacing w:line="520" w:lineRule="exact"/>
        <w:ind w:firstLine="560" w:firstLineChars="200"/>
        <w:jc w:val="left"/>
        <w:rPr>
          <w:rFonts w:asciiTheme="minorEastAsia" w:hAnsiTheme="minorEastAsia" w:eastAsiaTheme="minorEastAsia" w:cstheme="minorEastAsia"/>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1、供应商报价应为单价，即：*元/公斤（辐照维持料）、*元/公斤（辐照生长繁殖料）、*元/公斤（辐照玉米芯）；货款采用定期统一结算的方式，一般按自然月和供应商核实实际完成的供货订单并支付相应货款。</w:t>
      </w:r>
    </w:p>
    <w:p>
      <w:pPr>
        <w:spacing w:line="520" w:lineRule="exact"/>
        <w:ind w:firstLine="560" w:firstLineChars="200"/>
        <w:jc w:val="left"/>
        <w:rPr>
          <w:rFonts w:asciiTheme="minorEastAsia" w:hAnsiTheme="minorEastAsia" w:eastAsiaTheme="minorEastAsia" w:cstheme="minorEastAsia"/>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2、供货商应具备相应资质，提供相关的生产</w:t>
      </w:r>
      <w:bookmarkStart w:id="49" w:name="_GoBack"/>
      <w:bookmarkEnd w:id="49"/>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许可资质证明及近期检测报告。</w:t>
      </w:r>
    </w:p>
    <w:p>
      <w:pPr>
        <w:spacing w:line="520" w:lineRule="exact"/>
        <w:ind w:firstLine="560" w:firstLineChars="200"/>
        <w:jc w:val="left"/>
        <w:rPr>
          <w:rFonts w:asciiTheme="minorEastAsia" w:hAnsiTheme="minorEastAsia" w:eastAsiaTheme="minorEastAsia" w:cstheme="minorEastAsia"/>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3.投标人须明确订单应答周期（如2小时内，6小时内，一天内应答等），配送方式（如送货上门、快递配送等），送货周期（如：一天内送达，3天内送达，一周内送达等）并出具如遇质量问题是否无条件退货等书面承诺。</w:t>
      </w:r>
    </w:p>
    <w:p>
      <w:pPr>
        <w:spacing w:line="520" w:lineRule="exact"/>
        <w:ind w:firstLine="560" w:firstLineChars="200"/>
        <w:jc w:val="left"/>
        <w:rPr>
          <w:rFonts w:asciiTheme="minorEastAsia" w:hAnsiTheme="minorEastAsia" w:eastAsiaTheme="minorEastAsia" w:cstheme="minorEastAsia"/>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4、供应商应承诺：在协议期内无条件向校方提供学校抽查或调取指定订单的物流信息及原始凭证，并不为江苏医药职业学院内除实验动物中心以外的其他单位或个人提供相关产品。</w:t>
      </w:r>
    </w:p>
    <w:p>
      <w:pPr>
        <w:spacing w:line="520" w:lineRule="exact"/>
        <w:ind w:firstLine="560" w:firstLineChars="200"/>
        <w:jc w:val="left"/>
        <w:rPr>
          <w:rFonts w:asciiTheme="minorEastAsia" w:hAnsiTheme="minorEastAsia" w:eastAsiaTheme="minorEastAsia" w:cstheme="minorEastAsia"/>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5、货物在质保期间，如发现有明显质量问题（如霉变、脂肪酸败、辐照产品包装漏气等），供应商应负责免费更换，如不能更换，应全额退款，并承担学校因此而造成的损失。</w:t>
      </w:r>
    </w:p>
    <w:p>
      <w:pPr>
        <w:spacing w:line="520" w:lineRule="exact"/>
        <w:ind w:firstLine="560" w:firstLineChars="200"/>
        <w:jc w:val="left"/>
        <w:rPr>
          <w:rFonts w:asciiTheme="minorEastAsia" w:hAnsiTheme="minorEastAsia" w:eastAsiaTheme="minorEastAsia" w:cstheme="minorEastAsia"/>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6、学校对中标供应商将进行不定期的质量抽检，一旦发现严重质量问题将自动取消协议供应商资格。学校将对协议供应商在协议期内的供货及服务情况进行考核，考核优秀的将优先列为下一协议期供应商。</w:t>
      </w:r>
    </w:p>
    <w:p>
      <w:pPr>
        <w:numPr>
          <w:ilvl w:val="0"/>
          <w:numId w:val="1"/>
        </w:numPr>
        <w:spacing w:line="520" w:lineRule="exact"/>
        <w:ind w:firstLine="562" w:firstLineChars="200"/>
        <w:jc w:val="left"/>
        <w:rPr>
          <w:rFonts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特别说明</w:t>
      </w:r>
    </w:p>
    <w:p>
      <w:pPr>
        <w:spacing w:line="520" w:lineRule="exact"/>
        <w:ind w:firstLine="560" w:firstLineChars="200"/>
        <w:jc w:val="left"/>
        <w:rPr>
          <w:rFonts w:asciiTheme="minorEastAsia" w:hAnsiTheme="minorEastAsia" w:eastAsiaTheme="minorEastAsia" w:cstheme="minorEastAsia"/>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取前2名作为中标协议供应商，其中第一名优先供货，整体供货原则上保证两家50%，但甲方根据供应商考核结果有权由考核优秀者优先供货。</w:t>
      </w:r>
    </w:p>
    <w:p>
      <w:pPr>
        <w:rPr>
          <w:color w:val="000000" w:themeColor="text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第五部分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附</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件</w:t>
      </w:r>
      <w:bookmarkEnd w:id="0"/>
    </w:p>
    <w:p>
      <w:pPr>
        <w:snapToGrid w:val="0"/>
        <w:spacing w:line="360" w:lineRule="auto"/>
        <w:ind w:right="-351" w:rightChars="-167"/>
        <w:rPr>
          <w:rFonts w:ascii="宋体" w:hAnsi="宋体"/>
          <w:b/>
          <w:color w:val="000000" w:themeColor="text1"/>
          <w:sz w:val="24"/>
          <w:highlight w:val="none"/>
          <w14:textFill>
            <w14:solidFill>
              <w14:schemeClr w14:val="tx1"/>
            </w14:solidFill>
          </w14:textFill>
        </w:rPr>
      </w:pPr>
    </w:p>
    <w:p>
      <w:pPr>
        <w:spacing w:line="360" w:lineRule="auto"/>
        <w:rPr>
          <w:rFonts w:asci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附件</w:t>
      </w:r>
      <w:r>
        <w:rPr>
          <w:rFonts w:ascii="宋体" w:hAnsi="宋体"/>
          <w:color w:val="000000" w:themeColor="text1"/>
          <w:spacing w:val="4"/>
          <w:sz w:val="24"/>
          <w:highlight w:val="none"/>
          <w14:textFill>
            <w14:solidFill>
              <w14:schemeClr w14:val="tx1"/>
            </w14:solidFill>
          </w14:textFill>
        </w:rPr>
        <w:t>1</w:t>
      </w:r>
      <w:r>
        <w:rPr>
          <w:rFonts w:hint="eastAsia" w:ascii="宋体" w:hAnsi="宋体"/>
          <w:color w:val="000000" w:themeColor="text1"/>
          <w:spacing w:val="4"/>
          <w:sz w:val="24"/>
          <w:highlight w:val="none"/>
          <w14:textFill>
            <w14:solidFill>
              <w14:schemeClr w14:val="tx1"/>
            </w14:solidFill>
          </w14:textFill>
        </w:rPr>
        <w:t>：投标函</w:t>
      </w:r>
    </w:p>
    <w:p>
      <w:pPr>
        <w:spacing w:line="360" w:lineRule="auto"/>
        <w:rPr>
          <w:rFonts w:ascii="宋体" w:hAns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附件</w:t>
      </w:r>
      <w:r>
        <w:rPr>
          <w:rFonts w:ascii="宋体" w:hAnsi="宋体"/>
          <w:color w:val="000000" w:themeColor="text1"/>
          <w:spacing w:val="4"/>
          <w:sz w:val="24"/>
          <w:highlight w:val="none"/>
          <w14:textFill>
            <w14:solidFill>
              <w14:schemeClr w14:val="tx1"/>
            </w14:solidFill>
          </w14:textFill>
        </w:rPr>
        <w:t>2：</w:t>
      </w:r>
      <w:r>
        <w:rPr>
          <w:rFonts w:hint="eastAsia" w:ascii="宋体" w:hAnsi="宋体"/>
          <w:color w:val="000000" w:themeColor="text1"/>
          <w:spacing w:val="4"/>
          <w:sz w:val="24"/>
          <w:highlight w:val="none"/>
          <w14:textFill>
            <w14:solidFill>
              <w14:schemeClr w14:val="tx1"/>
            </w14:solidFill>
          </w14:textFill>
        </w:rPr>
        <w:t>法定代表人授权委托书</w:t>
      </w:r>
    </w:p>
    <w:p>
      <w:pPr>
        <w:spacing w:line="360" w:lineRule="auto"/>
        <w:rPr>
          <w:rFonts w:ascii="宋体" w:hAns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附件3：投标报价表</w:t>
      </w:r>
    </w:p>
    <w:p>
      <w:pPr>
        <w:spacing w:line="360" w:lineRule="auto"/>
        <w:rPr>
          <w:rFonts w:asci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附件4：供应商承诺函（格式自拟）</w:t>
      </w:r>
    </w:p>
    <w:p>
      <w:pPr>
        <w:snapToGrid w:val="0"/>
        <w:spacing w:line="360" w:lineRule="auto"/>
        <w:ind w:right="-351" w:rightChars="-167"/>
        <w:jc w:val="center"/>
        <w:rPr>
          <w:rFonts w:ascii="宋体" w:hAnsi="宋体"/>
          <w:b/>
          <w:color w:val="000000" w:themeColor="text1"/>
          <w:sz w:val="36"/>
          <w:szCs w:val="36"/>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bookmarkStart w:id="45" w:name="_Toc44081674"/>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pStyle w:val="2"/>
        <w:ind w:left="3360"/>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pStyle w:val="2"/>
        <w:ind w:left="3360"/>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pStyle w:val="2"/>
        <w:ind w:left="3360"/>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pStyle w:val="2"/>
        <w:ind w:left="3360"/>
        <w:rPr>
          <w:color w:val="000000" w:themeColor="text1"/>
          <w:szCs w:val="2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outlineLvl w:val="1"/>
        <w:rPr>
          <w:rFonts w:asciiTheme="minorEastAsia" w:hAnsiTheme="minorEastAsia" w:eastAsiaTheme="minorEastAsia" w:cstheme="minorEastAsia"/>
          <w:color w:val="000000" w:themeColor="text1"/>
          <w:sz w:val="24"/>
          <w:highlight w:val="none"/>
          <w14:textFill>
            <w14:solidFill>
              <w14:schemeClr w14:val="tx1"/>
            </w14:solidFill>
          </w14:textFill>
        </w:rPr>
      </w:pPr>
      <w:bookmarkStart w:id="46" w:name="_Toc141279401"/>
      <w:r>
        <w:rPr>
          <w:rFonts w:hint="eastAsia" w:asciiTheme="minorEastAsia" w:hAnsiTheme="minorEastAsia" w:eastAsiaTheme="minorEastAsia" w:cstheme="minorEastAsia"/>
          <w:color w:val="000000" w:themeColor="text1"/>
          <w:sz w:val="24"/>
          <w:highlight w:val="none"/>
          <w14:textFill>
            <w14:solidFill>
              <w14:schemeClr w14:val="tx1"/>
            </w14:solidFill>
          </w14:textFill>
        </w:rPr>
        <w:t>附件1：投标函</w:t>
      </w:r>
      <w:bookmarkEnd w:id="45"/>
      <w:bookmarkEnd w:id="46"/>
    </w:p>
    <w:p>
      <w:pPr>
        <w:jc w:val="center"/>
        <w:rPr>
          <w:rFonts w:ascii="宋体" w:hAnsi="宋体"/>
          <w:b/>
          <w:bCs/>
          <w:color w:val="000000" w:themeColor="text1"/>
          <w:sz w:val="44"/>
          <w:highlight w:val="none"/>
          <w14:textFill>
            <w14:solidFill>
              <w14:schemeClr w14:val="tx1"/>
            </w14:solidFill>
          </w14:textFill>
        </w:rPr>
      </w:pPr>
    </w:p>
    <w:p>
      <w:pPr>
        <w:jc w:val="center"/>
        <w:rPr>
          <w:rFonts w:ascii="宋体"/>
          <w:color w:val="000000" w:themeColor="text1"/>
          <w:highlight w:val="none"/>
          <w14:textFill>
            <w14:solidFill>
              <w14:schemeClr w14:val="tx1"/>
            </w14:solidFill>
          </w14:textFill>
        </w:rPr>
      </w:pPr>
      <w:r>
        <w:rPr>
          <w:rFonts w:hint="eastAsia" w:ascii="宋体" w:hAnsi="宋体"/>
          <w:b/>
          <w:bCs/>
          <w:color w:val="000000" w:themeColor="text1"/>
          <w:sz w:val="44"/>
          <w:highlight w:val="none"/>
          <w14:textFill>
            <w14:solidFill>
              <w14:schemeClr w14:val="tx1"/>
            </w14:solidFill>
          </w14:textFill>
        </w:rPr>
        <w:t>投</w:t>
      </w:r>
      <w:r>
        <w:rPr>
          <w:rFonts w:ascii="宋体" w:hAnsi="宋体"/>
          <w:b/>
          <w:bCs/>
          <w:color w:val="000000" w:themeColor="text1"/>
          <w:sz w:val="44"/>
          <w:highlight w:val="none"/>
          <w14:textFill>
            <w14:solidFill>
              <w14:schemeClr w14:val="tx1"/>
            </w14:solidFill>
          </w14:textFill>
        </w:rPr>
        <w:t xml:space="preserve">    </w:t>
      </w:r>
      <w:r>
        <w:rPr>
          <w:rFonts w:hint="eastAsia" w:ascii="宋体" w:hAnsi="宋体"/>
          <w:b/>
          <w:bCs/>
          <w:color w:val="000000" w:themeColor="text1"/>
          <w:sz w:val="44"/>
          <w:highlight w:val="none"/>
          <w14:textFill>
            <w14:solidFill>
              <w14:schemeClr w14:val="tx1"/>
            </w14:solidFill>
          </w14:textFill>
        </w:rPr>
        <w:t>标</w:t>
      </w:r>
      <w:r>
        <w:rPr>
          <w:rFonts w:ascii="宋体" w:hAnsi="宋体"/>
          <w:b/>
          <w:bCs/>
          <w:color w:val="000000" w:themeColor="text1"/>
          <w:sz w:val="44"/>
          <w:highlight w:val="none"/>
          <w14:textFill>
            <w14:solidFill>
              <w14:schemeClr w14:val="tx1"/>
            </w14:solidFill>
          </w14:textFill>
        </w:rPr>
        <w:t xml:space="preserve">    </w:t>
      </w:r>
      <w:r>
        <w:rPr>
          <w:rFonts w:hint="eastAsia" w:ascii="宋体" w:hAnsi="宋体"/>
          <w:b/>
          <w:bCs/>
          <w:color w:val="000000" w:themeColor="text1"/>
          <w:sz w:val="44"/>
          <w:highlight w:val="none"/>
          <w14:textFill>
            <w14:solidFill>
              <w14:schemeClr w14:val="tx1"/>
            </w14:solidFill>
          </w14:textFill>
        </w:rPr>
        <w:t>函</w:t>
      </w: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江苏医药职业学院：</w:t>
      </w:r>
    </w:p>
    <w:p>
      <w:pPr>
        <w:spacing w:line="360" w:lineRule="auto"/>
        <w:ind w:left="1" w:firstLine="564" w:firstLineChars="23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我方经仔细阅读研究</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项目询价文件（项目编号</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），已完全了解询价文件中的所有条款及要求，决定参加投标，同时做出如下承诺：</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、我公司与本询价项目及该项目相关人员之间均不存在可能影响询价公正性的任何利害关系。</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、愿按询价文件的要求提供货物和服务，投标货物及服务的投标价详见</w:t>
      </w:r>
      <w:r>
        <w:rPr>
          <w:rFonts w:hint="eastAsia" w:ascii="宋体" w:hAnsi="宋体"/>
          <w:color w:val="000000" w:themeColor="text1"/>
          <w:spacing w:val="4"/>
          <w:sz w:val="24"/>
          <w:highlight w:val="none"/>
          <w14:textFill>
            <w14:solidFill>
              <w14:schemeClr w14:val="tx1"/>
            </w14:solidFill>
          </w14:textFill>
        </w:rPr>
        <w:t>投标报价表</w:t>
      </w:r>
      <w:r>
        <w:rPr>
          <w:rFonts w:hint="eastAsia"/>
          <w:color w:val="000000" w:themeColor="text1"/>
          <w:sz w:val="24"/>
          <w:highlight w:val="none"/>
          <w14:textFill>
            <w14:solidFill>
              <w14:schemeClr w14:val="tx1"/>
            </w14:solidFill>
          </w14:textFill>
        </w:rPr>
        <w:t>。</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、接受询价文件的所有条款、条件和</w:t>
      </w:r>
      <w:r>
        <w:rPr>
          <w:rFonts w:hint="eastAsia" w:ascii="宋体" w:hAnsi="宋体"/>
          <w:bCs/>
          <w:color w:val="000000" w:themeColor="text1"/>
          <w:sz w:val="24"/>
          <w:highlight w:val="none"/>
          <w14:textFill>
            <w14:solidFill>
              <w14:schemeClr w14:val="tx1"/>
            </w14:solidFill>
          </w14:textFill>
        </w:rPr>
        <w:t>规定</w:t>
      </w:r>
      <w:r>
        <w:rPr>
          <w:rFonts w:hint="eastAsia"/>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放弃对询价文件提出质疑的权利。</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、同意按照询价文件的要求提供所有资料、数据或信息。</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w:t>
      </w:r>
      <w:r>
        <w:rPr>
          <w:rFonts w:hint="eastAsia"/>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认可</w:t>
      </w:r>
      <w:r>
        <w:rPr>
          <w:rFonts w:hint="eastAsia"/>
          <w:color w:val="000000" w:themeColor="text1"/>
          <w:sz w:val="24"/>
          <w:highlight w:val="none"/>
          <w14:textFill>
            <w14:solidFill>
              <w14:schemeClr w14:val="tx1"/>
            </w14:solidFill>
          </w14:textFill>
        </w:rPr>
        <w:t>贵方有权决定中标人或否决所有投标，并理解最低报价只是中标的重要条件，贵方没有义务必须接受最低报价的投标。</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w:t>
      </w:r>
      <w:r>
        <w:rPr>
          <w:rFonts w:hint="eastAsia"/>
          <w:color w:val="000000" w:themeColor="text1"/>
          <w:sz w:val="24"/>
          <w:highlight w:val="none"/>
          <w14:textFill>
            <w14:solidFill>
              <w14:schemeClr w14:val="tx1"/>
            </w14:solidFill>
          </w14:textFill>
        </w:rPr>
        <w:t>、我方如中标，将保证遵守询价文件对投标人的所有要求和规定，履行自己在投标文件中承诺的全部责任和义务。</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w:t>
      </w:r>
      <w:r>
        <w:rPr>
          <w:rFonts w:hint="eastAsia"/>
          <w:color w:val="000000" w:themeColor="text1"/>
          <w:sz w:val="24"/>
          <w:highlight w:val="none"/>
          <w14:textFill>
            <w14:solidFill>
              <w14:schemeClr w14:val="tx1"/>
            </w14:solidFill>
          </w14:textFill>
        </w:rPr>
        <w:t>、本投标文件的有效期为投标截止日后</w:t>
      </w:r>
      <w:r>
        <w:rPr>
          <w:color w:val="000000" w:themeColor="text1"/>
          <w:sz w:val="24"/>
          <w:highlight w:val="none"/>
          <w14:textFill>
            <w14:solidFill>
              <w14:schemeClr w14:val="tx1"/>
            </w14:solidFill>
          </w14:textFill>
        </w:rPr>
        <w:t>90</w:t>
      </w:r>
      <w:r>
        <w:rPr>
          <w:rFonts w:hint="eastAsia"/>
          <w:color w:val="000000" w:themeColor="text1"/>
          <w:sz w:val="24"/>
          <w:highlight w:val="none"/>
          <w14:textFill>
            <w14:solidFill>
              <w14:schemeClr w14:val="tx1"/>
            </w14:solidFill>
          </w14:textFill>
        </w:rPr>
        <w:t>天内，如我方中标，有效期将延至合同有效期终止日为止。</w:t>
      </w:r>
    </w:p>
    <w:p>
      <w:pPr>
        <w:pStyle w:val="2"/>
        <w:ind w:left="0" w:leftChars="0"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8、与本次招投标有关的事宜请按以下信息联系：</w:t>
      </w:r>
    </w:p>
    <w:p>
      <w:pPr>
        <w:rPr>
          <w:color w:val="000000" w:themeColor="text1"/>
          <w:highlight w:val="none"/>
          <w14:textFill>
            <w14:solidFill>
              <w14:schemeClr w14:val="tx1"/>
            </w14:solidFill>
          </w14:textFill>
        </w:rPr>
      </w:pPr>
    </w:p>
    <w:p>
      <w:pPr>
        <w:adjustRightInd w:val="0"/>
        <w:snapToGrid w:val="0"/>
        <w:spacing w:line="560" w:lineRule="exact"/>
        <w:ind w:firstLine="5520" w:firstLineChars="2300"/>
        <w:rPr>
          <w:rFonts w:ascii="宋体" w:hAnsi="宋体" w:cs="宋体"/>
          <w:color w:val="000000" w:themeColor="text1"/>
          <w:sz w:val="24"/>
          <w:highlight w:val="none"/>
          <w14:textFill>
            <w14:solidFill>
              <w14:schemeClr w14:val="tx1"/>
            </w14:solidFill>
          </w14:textFill>
        </w:rPr>
      </w:pPr>
    </w:p>
    <w:p>
      <w:pPr>
        <w:adjustRightInd w:val="0"/>
        <w:snapToGrid w:val="0"/>
        <w:spacing w:line="560" w:lineRule="exact"/>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供应商(单位公章)：</w:t>
      </w:r>
    </w:p>
    <w:p>
      <w:pPr>
        <w:adjustRightInd w:val="0"/>
        <w:snapToGrid w:val="0"/>
        <w:spacing w:line="560" w:lineRule="exact"/>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法定代表人或授权代表(盖章或签字)：</w:t>
      </w:r>
    </w:p>
    <w:p>
      <w:pPr>
        <w:adjustRightInd w:val="0"/>
        <w:snapToGrid w:val="0"/>
        <w:spacing w:line="560" w:lineRule="exact"/>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pPr>
        <w:adjustRightInd w:val="0"/>
        <w:snapToGrid w:val="0"/>
        <w:spacing w:line="560" w:lineRule="exact"/>
        <w:ind w:firstLine="5040" w:firstLineChars="2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pPr>
        <w:pStyle w:val="2"/>
        <w:ind w:left="0" w:leftChars="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0" w:leftChars="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widowControl/>
        <w:jc w:val="left"/>
        <w:outlineLvl w:val="1"/>
        <w:rPr>
          <w:rFonts w:asciiTheme="minorEastAsia" w:hAnsiTheme="minorEastAsia" w:eastAsiaTheme="minorEastAsia" w:cstheme="minorEastAsia"/>
          <w:color w:val="000000" w:themeColor="text1"/>
          <w:sz w:val="24"/>
          <w:highlight w:val="none"/>
          <w14:textFill>
            <w14:solidFill>
              <w14:schemeClr w14:val="tx1"/>
            </w14:solidFill>
          </w14:textFill>
        </w:rPr>
      </w:pPr>
      <w:bookmarkStart w:id="47" w:name="_Toc141279402"/>
      <w:r>
        <w:rPr>
          <w:rFonts w:hint="eastAsia" w:asciiTheme="minorEastAsia" w:hAnsiTheme="minorEastAsia" w:eastAsiaTheme="minorEastAsia" w:cstheme="minorEastAsia"/>
          <w:color w:val="000000" w:themeColor="text1"/>
          <w:sz w:val="24"/>
          <w:highlight w:val="none"/>
          <w14:textFill>
            <w14:solidFill>
              <w14:schemeClr w14:val="tx1"/>
            </w14:solidFill>
          </w14:textFill>
        </w:rPr>
        <w:t>附件2：法定代表人授权委托书</w:t>
      </w:r>
      <w:bookmarkEnd w:id="47"/>
    </w:p>
    <w:p>
      <w:pPr>
        <w:jc w:val="center"/>
        <w:rPr>
          <w:rFonts w:ascii="宋体" w:hAnsi="宋体"/>
          <w:b/>
          <w:bCs/>
          <w:color w:val="000000" w:themeColor="text1"/>
          <w:sz w:val="36"/>
          <w:highlight w:val="none"/>
          <w14:textFill>
            <w14:solidFill>
              <w14:schemeClr w14:val="tx1"/>
            </w14:solidFill>
          </w14:textFill>
        </w:rPr>
      </w:pPr>
    </w:p>
    <w:p>
      <w:pPr>
        <w:jc w:val="cente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法定代表人授权委托书</w:t>
      </w:r>
    </w:p>
    <w:p>
      <w:pPr>
        <w:pStyle w:val="2"/>
        <w:ind w:left="3360"/>
        <w:rPr>
          <w:color w:val="000000" w:themeColor="text1"/>
          <w:highlight w:val="none"/>
          <w14:textFill>
            <w14:solidFill>
              <w14:schemeClr w14:val="tx1"/>
            </w14:solidFill>
          </w14:textFill>
        </w:rPr>
      </w:pPr>
    </w:p>
    <w:p>
      <w:pPr>
        <w:pStyle w:val="47"/>
        <w:spacing w:line="360" w:lineRule="auto"/>
        <w:ind w:firstLine="480"/>
        <w:rPr>
          <w:color w:val="000000" w:themeColor="text1"/>
          <w:sz w:val="24"/>
          <w:szCs w:val="24"/>
          <w:highlight w:val="none"/>
          <w14:textFill>
            <w14:solidFill>
              <w14:schemeClr w14:val="tx1"/>
            </w14:solidFill>
          </w14:textFill>
        </w:rPr>
      </w:pPr>
    </w:p>
    <w:p>
      <w:pPr>
        <w:pStyle w:val="47"/>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本授权书声明：</w:t>
      </w:r>
      <w:r>
        <w:rPr>
          <w:color w:val="000000" w:themeColor="text1"/>
          <w:sz w:val="24"/>
          <w:szCs w:val="24"/>
          <w:highlight w:val="none"/>
          <w14:textFill>
            <w14:solidFill>
              <w14:schemeClr w14:val="tx1"/>
            </w14:solidFill>
          </w14:textFill>
        </w:rPr>
        <w:t>____________</w:t>
      </w:r>
      <w:r>
        <w:rPr>
          <w:rFonts w:hint="eastAsia"/>
          <w:color w:val="000000" w:themeColor="text1"/>
          <w:sz w:val="24"/>
          <w:szCs w:val="24"/>
          <w:highlight w:val="none"/>
          <w14:textFill>
            <w14:solidFill>
              <w14:schemeClr w14:val="tx1"/>
            </w14:solidFill>
          </w14:textFill>
        </w:rPr>
        <w:t>（供应商名称）授权</w:t>
      </w:r>
      <w:r>
        <w:rPr>
          <w:color w:val="000000" w:themeColor="text1"/>
          <w:sz w:val="24"/>
          <w:szCs w:val="24"/>
          <w:highlight w:val="none"/>
          <w14:textFill>
            <w14:solidFill>
              <w14:schemeClr w14:val="tx1"/>
            </w14:solidFill>
          </w14:textFill>
        </w:rPr>
        <w:t>________________</w:t>
      </w:r>
      <w:r>
        <w:rPr>
          <w:rFonts w:hint="eastAsia"/>
          <w:color w:val="000000" w:themeColor="text1"/>
          <w:sz w:val="24"/>
          <w:szCs w:val="24"/>
          <w:highlight w:val="none"/>
          <w14:textFill>
            <w14:solidFill>
              <w14:schemeClr w14:val="tx1"/>
            </w14:solidFill>
          </w14:textFill>
        </w:rPr>
        <w:t>（被授权人的姓名）为我方就SY2023-047-HW-XJ号项目采购活动的合法代理人，以本公司名义全权处理一切与该项目采购有关的事务。</w:t>
      </w:r>
    </w:p>
    <w:p>
      <w:pPr>
        <w:pStyle w:val="47"/>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本授权书于</w:t>
      </w:r>
      <w:r>
        <w:rPr>
          <w:color w:val="000000" w:themeColor="text1"/>
          <w:sz w:val="24"/>
          <w:szCs w:val="24"/>
          <w:highlight w:val="none"/>
          <w14:textFill>
            <w14:solidFill>
              <w14:schemeClr w14:val="tx1"/>
            </w14:solidFill>
          </w14:textFill>
        </w:rPr>
        <w:t>______</w:t>
      </w:r>
      <w:r>
        <w:rPr>
          <w:rFonts w:hint="eastAsia"/>
          <w:color w:val="000000" w:themeColor="text1"/>
          <w:sz w:val="24"/>
          <w:szCs w:val="24"/>
          <w:highlight w:val="none"/>
          <w14:textFill>
            <w14:solidFill>
              <w14:schemeClr w14:val="tx1"/>
            </w14:solidFill>
          </w14:textFill>
        </w:rPr>
        <w:t>年</w:t>
      </w:r>
      <w:r>
        <w:rPr>
          <w:color w:val="000000" w:themeColor="text1"/>
          <w:sz w:val="24"/>
          <w:szCs w:val="24"/>
          <w:highlight w:val="none"/>
          <w14:textFill>
            <w14:solidFill>
              <w14:schemeClr w14:val="tx1"/>
            </w14:solidFill>
          </w14:textFill>
        </w:rPr>
        <w:t>____</w:t>
      </w:r>
      <w:r>
        <w:rPr>
          <w:rFonts w:hint="eastAsia"/>
          <w:color w:val="000000" w:themeColor="text1"/>
          <w:sz w:val="24"/>
          <w:szCs w:val="24"/>
          <w:highlight w:val="none"/>
          <w14:textFill>
            <w14:solidFill>
              <w14:schemeClr w14:val="tx1"/>
            </w14:solidFill>
          </w14:textFill>
        </w:rPr>
        <w:t>月</w:t>
      </w:r>
      <w:r>
        <w:rPr>
          <w:color w:val="000000" w:themeColor="text1"/>
          <w:sz w:val="24"/>
          <w:szCs w:val="24"/>
          <w:highlight w:val="none"/>
          <w14:textFill>
            <w14:solidFill>
              <w14:schemeClr w14:val="tx1"/>
            </w14:solidFill>
          </w14:textFill>
        </w:rPr>
        <w:t>____</w:t>
      </w:r>
      <w:r>
        <w:rPr>
          <w:rFonts w:hint="eastAsia"/>
          <w:color w:val="000000" w:themeColor="text1"/>
          <w:sz w:val="24"/>
          <w:szCs w:val="24"/>
          <w:highlight w:val="none"/>
          <w14:textFill>
            <w14:solidFill>
              <w14:schemeClr w14:val="tx1"/>
            </w14:solidFill>
          </w14:textFill>
        </w:rPr>
        <w:t>日起生效，特此声明。</w:t>
      </w:r>
    </w:p>
    <w:p>
      <w:pPr>
        <w:pStyle w:val="47"/>
        <w:spacing w:line="360" w:lineRule="auto"/>
        <w:ind w:firstLine="0" w:firstLineChars="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p>
    <w:p>
      <w:pPr>
        <w:pStyle w:val="47"/>
        <w:spacing w:line="360" w:lineRule="auto"/>
        <w:ind w:firstLine="0" w:firstLineChars="0"/>
        <w:rPr>
          <w:color w:val="000000" w:themeColor="text1"/>
          <w:sz w:val="24"/>
          <w:szCs w:val="24"/>
          <w:highlight w:val="none"/>
          <w14:textFill>
            <w14:solidFill>
              <w14:schemeClr w14:val="tx1"/>
            </w14:solidFill>
          </w14:textFill>
        </w:rPr>
      </w:pPr>
    </w:p>
    <w:p>
      <w:pPr>
        <w:pStyle w:val="47"/>
        <w:spacing w:line="360" w:lineRule="auto"/>
        <w:ind w:firstLine="1200" w:firstLineChars="5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代理人（被授权人）：</w:t>
      </w:r>
      <w:r>
        <w:rPr>
          <w:color w:val="000000" w:themeColor="text1"/>
          <w:sz w:val="24"/>
          <w:szCs w:val="24"/>
          <w:highlight w:val="none"/>
          <w14:textFill>
            <w14:solidFill>
              <w14:schemeClr w14:val="tx1"/>
            </w14:solidFill>
          </w14:textFill>
        </w:rPr>
        <w:t>_______________________</w:t>
      </w:r>
    </w:p>
    <w:p>
      <w:pPr>
        <w:pStyle w:val="47"/>
        <w:spacing w:line="360" w:lineRule="auto"/>
        <w:ind w:firstLine="0" w:firstLineChars="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p>
    <w:p>
      <w:pPr>
        <w:pStyle w:val="47"/>
        <w:spacing w:line="360" w:lineRule="auto"/>
        <w:ind w:firstLine="0" w:firstLineChars="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单位名称：</w:t>
      </w:r>
      <w:r>
        <w:rPr>
          <w:color w:val="000000" w:themeColor="text1"/>
          <w:sz w:val="24"/>
          <w:szCs w:val="24"/>
          <w:highlight w:val="none"/>
          <w14:textFill>
            <w14:solidFill>
              <w14:schemeClr w14:val="tx1"/>
            </w14:solidFill>
          </w14:textFill>
        </w:rPr>
        <w:t>_____________________________________</w:t>
      </w:r>
    </w:p>
    <w:p>
      <w:pPr>
        <w:pStyle w:val="47"/>
        <w:spacing w:line="360" w:lineRule="auto"/>
        <w:ind w:firstLine="480"/>
        <w:rPr>
          <w:color w:val="000000" w:themeColor="text1"/>
          <w:sz w:val="24"/>
          <w:szCs w:val="24"/>
          <w:highlight w:val="none"/>
          <w14:textFill>
            <w14:solidFill>
              <w14:schemeClr w14:val="tx1"/>
            </w14:solidFill>
          </w14:textFill>
        </w:rPr>
      </w:pPr>
    </w:p>
    <w:p>
      <w:pPr>
        <w:pStyle w:val="47"/>
        <w:spacing w:line="360" w:lineRule="auto"/>
        <w:ind w:firstLine="0" w:firstLineChars="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授权单位盖章：</w:t>
      </w:r>
      <w:r>
        <w:rPr>
          <w:color w:val="000000" w:themeColor="text1"/>
          <w:sz w:val="24"/>
          <w:szCs w:val="24"/>
          <w:highlight w:val="none"/>
          <w14:textFill>
            <w14:solidFill>
              <w14:schemeClr w14:val="tx1"/>
            </w14:solidFill>
          </w14:textFill>
        </w:rPr>
        <w:t>_________________________________</w:t>
      </w:r>
    </w:p>
    <w:p>
      <w:pPr>
        <w:pStyle w:val="47"/>
        <w:spacing w:line="360" w:lineRule="auto"/>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单位名称：</w:t>
      </w:r>
      <w:r>
        <w:rPr>
          <w:color w:val="000000" w:themeColor="text1"/>
          <w:sz w:val="24"/>
          <w:szCs w:val="24"/>
          <w:highlight w:val="none"/>
          <w14:textFill>
            <w14:solidFill>
              <w14:schemeClr w14:val="tx1"/>
            </w14:solidFill>
          </w14:textFill>
        </w:rPr>
        <w:t>_____________________________________</w:t>
      </w:r>
    </w:p>
    <w:p>
      <w:pPr>
        <w:pStyle w:val="47"/>
        <w:spacing w:line="360" w:lineRule="auto"/>
        <w:ind w:firstLine="48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地址：</w:t>
      </w:r>
      <w:r>
        <w:rPr>
          <w:color w:val="000000" w:themeColor="text1"/>
          <w:sz w:val="24"/>
          <w:szCs w:val="24"/>
          <w:highlight w:val="none"/>
          <w:u w:val="single"/>
          <w14:textFill>
            <w14:solidFill>
              <w14:schemeClr w14:val="tx1"/>
            </w14:solidFill>
          </w14:textFill>
        </w:rPr>
        <w:t xml:space="preserve">                                         </w:t>
      </w:r>
    </w:p>
    <w:p>
      <w:pPr>
        <w:pStyle w:val="47"/>
        <w:spacing w:line="360" w:lineRule="auto"/>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日期：</w:t>
      </w:r>
      <w:r>
        <w:rPr>
          <w:color w:val="000000" w:themeColor="text1"/>
          <w:sz w:val="24"/>
          <w:szCs w:val="24"/>
          <w:highlight w:val="none"/>
          <w14:textFill>
            <w14:solidFill>
              <w14:schemeClr w14:val="tx1"/>
            </w14:solidFill>
          </w14:textFill>
        </w:rPr>
        <w:t xml:space="preserve">                    </w:t>
      </w:r>
    </w:p>
    <w:p>
      <w:pPr>
        <w:spacing w:line="360" w:lineRule="auto"/>
        <w:rPr>
          <w:color w:val="000000" w:themeColor="text1"/>
          <w:highlight w:val="none"/>
          <w14:textFill>
            <w14:solidFill>
              <w14:schemeClr w14:val="tx1"/>
            </w14:solidFill>
          </w14:textFill>
        </w:rPr>
      </w:pPr>
    </w:p>
    <w:p>
      <w:pPr>
        <w:snapToGrid w:val="0"/>
        <w:spacing w:line="360" w:lineRule="auto"/>
        <w:ind w:left="-143" w:leftChars="-68" w:right="-351" w:rightChars="-167"/>
        <w:rPr>
          <w:rFonts w:ascii="宋体"/>
          <w:color w:val="000000" w:themeColor="text1"/>
          <w:spacing w:val="4"/>
          <w:sz w:val="24"/>
          <w:highlight w:val="none"/>
          <w14:textFill>
            <w14:solidFill>
              <w14:schemeClr w14:val="tx1"/>
            </w14:solidFill>
          </w14:textFill>
        </w:rPr>
        <w:sectPr>
          <w:footerReference r:id="rId3" w:type="default"/>
          <w:pgSz w:w="11906" w:h="16838"/>
          <w:pgMar w:top="1134" w:right="1134" w:bottom="1134" w:left="1134" w:header="851" w:footer="992" w:gutter="0"/>
          <w:cols w:space="425" w:num="1"/>
          <w:titlePg/>
          <w:docGrid w:linePitch="312" w:charSpace="0"/>
        </w:sectPr>
      </w:pPr>
    </w:p>
    <w:p>
      <w:pPr>
        <w:pStyle w:val="4"/>
        <w:spacing w:before="120" w:after="120"/>
        <w:rPr>
          <w:rFonts w:asciiTheme="minorEastAsia" w:hAnsiTheme="minorEastAsia" w:eastAsiaTheme="minorEastAsia" w:cstheme="minorEastAsia"/>
          <w:b w:val="0"/>
          <w:color w:val="000000" w:themeColor="text1"/>
          <w:szCs w:val="24"/>
          <w:highlight w:val="none"/>
          <w14:textFill>
            <w14:solidFill>
              <w14:schemeClr w14:val="tx1"/>
            </w14:solidFill>
          </w14:textFill>
        </w:rPr>
      </w:pPr>
      <w:bookmarkStart w:id="48" w:name="_Toc141279403"/>
      <w:r>
        <w:rPr>
          <w:rFonts w:hint="eastAsia" w:asciiTheme="minorEastAsia" w:hAnsiTheme="minorEastAsia" w:eastAsiaTheme="minorEastAsia" w:cstheme="minorEastAsia"/>
          <w:b w:val="0"/>
          <w:color w:val="000000" w:themeColor="text1"/>
          <w:szCs w:val="24"/>
          <w:highlight w:val="none"/>
          <w14:textFill>
            <w14:solidFill>
              <w14:schemeClr w14:val="tx1"/>
            </w14:solidFill>
          </w14:textFill>
        </w:rPr>
        <w:t>附件3：投标报价表</w:t>
      </w:r>
      <w:bookmarkEnd w:id="48"/>
    </w:p>
    <w:p>
      <w:pPr>
        <w:snapToGrid w:val="0"/>
        <w:spacing w:line="360" w:lineRule="auto"/>
        <w:ind w:right="-351" w:rightChars="-167"/>
        <w:rPr>
          <w:rFonts w:asci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 xml:space="preserve">                           </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 xml:space="preserve"> 投</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标</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报</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价 表</w:t>
      </w:r>
    </w:p>
    <w:tbl>
      <w:tblPr>
        <w:tblStyle w:val="22"/>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378"/>
        <w:gridCol w:w="480"/>
        <w:gridCol w:w="644"/>
        <w:gridCol w:w="1593"/>
        <w:gridCol w:w="2280"/>
        <w:gridCol w:w="2250"/>
        <w:gridCol w:w="735"/>
        <w:gridCol w:w="1125"/>
        <w:gridCol w:w="1140"/>
        <w:gridCol w:w="990"/>
        <w:gridCol w:w="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038" w:type="dxa"/>
            <w:gridSpan w:val="2"/>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项目名称：</w:t>
            </w:r>
          </w:p>
        </w:tc>
        <w:tc>
          <w:tcPr>
            <w:tcW w:w="4997" w:type="dxa"/>
            <w:gridSpan w:val="4"/>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实验动物中心采购实验动物用饲料、垫料项目</w:t>
            </w:r>
          </w:p>
        </w:tc>
        <w:tc>
          <w:tcPr>
            <w:tcW w:w="2985" w:type="dxa"/>
            <w:gridSpan w:val="2"/>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项目编号：</w:t>
            </w:r>
          </w:p>
        </w:tc>
        <w:tc>
          <w:tcPr>
            <w:tcW w:w="4154" w:type="dxa"/>
            <w:gridSpan w:val="4"/>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BM2023-097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60"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2502" w:type="dxa"/>
            <w:gridSpan w:val="3"/>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货物名称</w:t>
            </w:r>
          </w:p>
        </w:tc>
        <w:tc>
          <w:tcPr>
            <w:tcW w:w="1593"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规格型号</w:t>
            </w:r>
          </w:p>
        </w:tc>
        <w:tc>
          <w:tcPr>
            <w:tcW w:w="2280"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生产厂商</w:t>
            </w:r>
          </w:p>
        </w:tc>
        <w:tc>
          <w:tcPr>
            <w:tcW w:w="2250"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产地</w:t>
            </w:r>
          </w:p>
        </w:tc>
        <w:tc>
          <w:tcPr>
            <w:tcW w:w="735"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数量</w:t>
            </w:r>
          </w:p>
        </w:tc>
        <w:tc>
          <w:tcPr>
            <w:tcW w:w="1125"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单价（元）</w:t>
            </w:r>
          </w:p>
        </w:tc>
        <w:tc>
          <w:tcPr>
            <w:tcW w:w="1140"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总价（元）</w:t>
            </w:r>
          </w:p>
        </w:tc>
        <w:tc>
          <w:tcPr>
            <w:tcW w:w="990"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质保期</w:t>
            </w:r>
          </w:p>
        </w:tc>
        <w:tc>
          <w:tcPr>
            <w:tcW w:w="899"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备</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4174" w:type="dxa"/>
            <w:gridSpan w:val="12"/>
            <w:vAlign w:val="center"/>
          </w:tcPr>
          <w:p>
            <w:pPr>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       计（大写）：                                                   （小写）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vAlign w:val="bottom"/>
          </w:tcPr>
          <w:p>
            <w:pPr>
              <w:spacing w:line="360" w:lineRule="auto"/>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投标人名称：（公章）</w:t>
            </w:r>
          </w:p>
        </w:tc>
        <w:tc>
          <w:tcPr>
            <w:tcW w:w="2237" w:type="dxa"/>
            <w:gridSpan w:val="2"/>
            <w:vAlign w:val="bottom"/>
          </w:tcPr>
          <w:p>
            <w:pPr>
              <w:spacing w:line="360" w:lineRule="auto"/>
              <w:jc w:val="center"/>
              <w:rPr>
                <w:rFonts w:ascii="宋体"/>
                <w:b/>
                <w:color w:val="000000" w:themeColor="text1"/>
                <w:sz w:val="24"/>
                <w:highlight w:val="none"/>
                <w14:textFill>
                  <w14:solidFill>
                    <w14:schemeClr w14:val="tx1"/>
                  </w14:solidFill>
                </w14:textFill>
              </w:rPr>
            </w:pPr>
          </w:p>
        </w:tc>
        <w:tc>
          <w:tcPr>
            <w:tcW w:w="2280" w:type="dxa"/>
            <w:vAlign w:val="bottom"/>
          </w:tcPr>
          <w:p>
            <w:pPr>
              <w:spacing w:line="360" w:lineRule="auto"/>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被授权人（签名）：</w:t>
            </w:r>
          </w:p>
        </w:tc>
        <w:tc>
          <w:tcPr>
            <w:tcW w:w="4110" w:type="dxa"/>
            <w:gridSpan w:val="3"/>
            <w:vAlign w:val="bottom"/>
          </w:tcPr>
          <w:p>
            <w:pPr>
              <w:spacing w:line="360" w:lineRule="auto"/>
              <w:jc w:val="center"/>
              <w:rPr>
                <w:rFonts w:ascii="宋体"/>
                <w:b/>
                <w:color w:val="000000" w:themeColor="text1"/>
                <w:sz w:val="24"/>
                <w:highlight w:val="none"/>
                <w14:textFill>
                  <w14:solidFill>
                    <w14:schemeClr w14:val="tx1"/>
                  </w14:solidFill>
                </w14:textFill>
              </w:rPr>
            </w:pPr>
          </w:p>
        </w:tc>
        <w:tc>
          <w:tcPr>
            <w:tcW w:w="1140" w:type="dxa"/>
            <w:vAlign w:val="bottom"/>
          </w:tcPr>
          <w:p>
            <w:pPr>
              <w:spacing w:line="360" w:lineRule="auto"/>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日期：</w:t>
            </w:r>
          </w:p>
        </w:tc>
        <w:tc>
          <w:tcPr>
            <w:tcW w:w="1889" w:type="dxa"/>
            <w:gridSpan w:val="2"/>
            <w:vAlign w:val="bottom"/>
          </w:tcPr>
          <w:p>
            <w:pPr>
              <w:spacing w:line="360" w:lineRule="auto"/>
              <w:jc w:val="center"/>
              <w:rPr>
                <w:rFonts w:ascii="宋体"/>
                <w:b/>
                <w:color w:val="000000" w:themeColor="text1"/>
                <w:sz w:val="24"/>
                <w:highlight w:val="none"/>
                <w14:textFill>
                  <w14:solidFill>
                    <w14:schemeClr w14:val="tx1"/>
                  </w14:solidFill>
                </w14:textFill>
              </w:rPr>
            </w:pPr>
          </w:p>
        </w:tc>
      </w:tr>
    </w:tbl>
    <w:p>
      <w:pPr>
        <w:spacing w:line="360" w:lineRule="auto"/>
        <w:rPr>
          <w:rFonts w:ascii="宋体"/>
          <w:color w:val="000000" w:themeColor="text1"/>
          <w:sz w:val="24"/>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sectPr>
          <w:headerReference r:id="rId4" w:type="default"/>
          <w:footerReference r:id="rId6" w:type="default"/>
          <w:headerReference r:id="rId5" w:type="even"/>
          <w:pgSz w:w="16838" w:h="11906" w:orient="landscape"/>
          <w:pgMar w:top="1440" w:right="1644" w:bottom="1440" w:left="1440" w:header="851" w:footer="992" w:gutter="0"/>
          <w:cols w:space="0" w:num="1"/>
          <w:docGrid w:linePitch="319" w:charSpace="0"/>
        </w:sectPr>
      </w:pPr>
    </w:p>
    <w:p>
      <w:pPr>
        <w:rPr>
          <w:color w:val="000000" w:themeColor="text1"/>
          <w:highlight w:val="none"/>
          <w14:textFill>
            <w14:solidFill>
              <w14:schemeClr w14:val="tx1"/>
            </w14:solidFill>
          </w14:textFill>
        </w:rPr>
      </w:pPr>
    </w:p>
    <w:p>
      <w:pPr>
        <w:pStyle w:val="4"/>
        <w:spacing w:before="120" w:after="120"/>
        <w:rPr>
          <w:rFonts w:asciiTheme="minorEastAsia" w:hAnsiTheme="minorEastAsia" w:eastAsiaTheme="minorEastAsia" w:cstheme="minorEastAsia"/>
          <w:b w:val="0"/>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Cs w:val="24"/>
          <w:highlight w:val="none"/>
          <w14:textFill>
            <w14:solidFill>
              <w14:schemeClr w14:val="tx1"/>
            </w14:solidFill>
          </w14:textFill>
        </w:rPr>
        <w:t>附件4：供应商承诺函（格式自拟）</w:t>
      </w:r>
    </w:p>
    <w:p>
      <w:pPr>
        <w:rPr>
          <w:color w:val="000000" w:themeColor="text1"/>
          <w:highlight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人须明确订单应答周期（如2小时内，6小时内，一天内应答等），配送方式（如送货上门、快递配送等），送货周期（如：一天内送达，3天内送达，一周内送达等）并出具如遇质量问题是否无条件退货等书面承诺。</w:t>
      </w:r>
    </w:p>
    <w:sectPr>
      <w:pgSz w:w="11906" w:h="16838"/>
      <w:pgMar w:top="1644" w:right="1440" w:bottom="1440" w:left="1440" w:header="851" w:footer="992" w:gutter="0"/>
      <w:cols w:space="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18</w:t>
    </w:r>
    <w:r>
      <w:rPr>
        <w:rStyle w:val="26"/>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22</w:t>
    </w:r>
    <w:r>
      <w:rPr>
        <w:rStyle w:val="26"/>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76B00"/>
    <w:multiLevelType w:val="singleLevel"/>
    <w:tmpl w:val="B5C76B00"/>
    <w:lvl w:ilvl="0" w:tentative="0">
      <w:start w:val="1"/>
      <w:numFmt w:val="decimal"/>
      <w:suff w:val="nothing"/>
      <w:lvlText w:val="%1、"/>
      <w:lvlJc w:val="left"/>
    </w:lvl>
  </w:abstractNum>
  <w:abstractNum w:abstractNumId="1">
    <w:nsid w:val="0D96EC09"/>
    <w:multiLevelType w:val="singleLevel"/>
    <w:tmpl w:val="0D96EC09"/>
    <w:lvl w:ilvl="0" w:tentative="0">
      <w:start w:val="1"/>
      <w:numFmt w:val="chineseCounting"/>
      <w:suff w:val="nothing"/>
      <w:lvlText w:val="%1、"/>
      <w:lvlJc w:val="left"/>
      <w:rPr>
        <w:rFonts w:hint="eastAsia"/>
      </w:rPr>
    </w:lvl>
  </w:abstractNum>
  <w:abstractNum w:abstractNumId="2">
    <w:nsid w:val="4E814DE3"/>
    <w:multiLevelType w:val="singleLevel"/>
    <w:tmpl w:val="4E814DE3"/>
    <w:lvl w:ilvl="0" w:tentative="0">
      <w:start w:val="1"/>
      <w:numFmt w:val="decimal"/>
      <w:suff w:val="nothing"/>
      <w:lvlText w:val="%1、"/>
      <w:lvlJc w:val="left"/>
      <w:pPr>
        <w:ind w:left="56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319"/>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7321A8"/>
    <w:rsid w:val="00000501"/>
    <w:rsid w:val="00001CB3"/>
    <w:rsid w:val="00002648"/>
    <w:rsid w:val="00003395"/>
    <w:rsid w:val="0000418C"/>
    <w:rsid w:val="00004DBF"/>
    <w:rsid w:val="00006323"/>
    <w:rsid w:val="00006484"/>
    <w:rsid w:val="0000725E"/>
    <w:rsid w:val="0000774B"/>
    <w:rsid w:val="00012689"/>
    <w:rsid w:val="00013541"/>
    <w:rsid w:val="000147DD"/>
    <w:rsid w:val="00021AF0"/>
    <w:rsid w:val="0002312F"/>
    <w:rsid w:val="000239CA"/>
    <w:rsid w:val="00024922"/>
    <w:rsid w:val="00024DA7"/>
    <w:rsid w:val="00025263"/>
    <w:rsid w:val="00025837"/>
    <w:rsid w:val="0002793A"/>
    <w:rsid w:val="00031B24"/>
    <w:rsid w:val="00032D17"/>
    <w:rsid w:val="000351C0"/>
    <w:rsid w:val="00036360"/>
    <w:rsid w:val="00041FEE"/>
    <w:rsid w:val="00042A55"/>
    <w:rsid w:val="000434FE"/>
    <w:rsid w:val="00044235"/>
    <w:rsid w:val="000443C4"/>
    <w:rsid w:val="00044B37"/>
    <w:rsid w:val="0004573A"/>
    <w:rsid w:val="00045790"/>
    <w:rsid w:val="000463AF"/>
    <w:rsid w:val="00046E5B"/>
    <w:rsid w:val="00051925"/>
    <w:rsid w:val="00053728"/>
    <w:rsid w:val="000568DD"/>
    <w:rsid w:val="00057FCC"/>
    <w:rsid w:val="00060724"/>
    <w:rsid w:val="0006183A"/>
    <w:rsid w:val="000628A3"/>
    <w:rsid w:val="0006460E"/>
    <w:rsid w:val="00066248"/>
    <w:rsid w:val="00066555"/>
    <w:rsid w:val="0006658A"/>
    <w:rsid w:val="0007344D"/>
    <w:rsid w:val="00076040"/>
    <w:rsid w:val="0007612C"/>
    <w:rsid w:val="000767E7"/>
    <w:rsid w:val="000822ED"/>
    <w:rsid w:val="00082329"/>
    <w:rsid w:val="00086B43"/>
    <w:rsid w:val="00087074"/>
    <w:rsid w:val="000910A4"/>
    <w:rsid w:val="00093C37"/>
    <w:rsid w:val="000946D6"/>
    <w:rsid w:val="000A1C0E"/>
    <w:rsid w:val="000A2812"/>
    <w:rsid w:val="000A3FA7"/>
    <w:rsid w:val="000A6431"/>
    <w:rsid w:val="000B18C9"/>
    <w:rsid w:val="000B2285"/>
    <w:rsid w:val="000B4318"/>
    <w:rsid w:val="000B493E"/>
    <w:rsid w:val="000B5752"/>
    <w:rsid w:val="000B6342"/>
    <w:rsid w:val="000B79AB"/>
    <w:rsid w:val="000C3FD9"/>
    <w:rsid w:val="000C6B0F"/>
    <w:rsid w:val="000D1EFE"/>
    <w:rsid w:val="000D3588"/>
    <w:rsid w:val="000D36DD"/>
    <w:rsid w:val="000D5221"/>
    <w:rsid w:val="000E1357"/>
    <w:rsid w:val="000E19AE"/>
    <w:rsid w:val="000E24A3"/>
    <w:rsid w:val="000E2834"/>
    <w:rsid w:val="000E3CB4"/>
    <w:rsid w:val="000E56EE"/>
    <w:rsid w:val="000E64C4"/>
    <w:rsid w:val="000F0037"/>
    <w:rsid w:val="000F1DC8"/>
    <w:rsid w:val="000F1EB9"/>
    <w:rsid w:val="000F272D"/>
    <w:rsid w:val="000F3C27"/>
    <w:rsid w:val="000F4601"/>
    <w:rsid w:val="000F4FC4"/>
    <w:rsid w:val="001005CB"/>
    <w:rsid w:val="00100E1E"/>
    <w:rsid w:val="00101B95"/>
    <w:rsid w:val="0010325F"/>
    <w:rsid w:val="00103D20"/>
    <w:rsid w:val="00106025"/>
    <w:rsid w:val="00106C11"/>
    <w:rsid w:val="00114146"/>
    <w:rsid w:val="00116DDF"/>
    <w:rsid w:val="00116FAF"/>
    <w:rsid w:val="00117A0B"/>
    <w:rsid w:val="001207EA"/>
    <w:rsid w:val="001210ED"/>
    <w:rsid w:val="00121B51"/>
    <w:rsid w:val="001256DB"/>
    <w:rsid w:val="001260E1"/>
    <w:rsid w:val="00126F73"/>
    <w:rsid w:val="0013026B"/>
    <w:rsid w:val="001310C3"/>
    <w:rsid w:val="00131983"/>
    <w:rsid w:val="00133398"/>
    <w:rsid w:val="001348D7"/>
    <w:rsid w:val="001350BF"/>
    <w:rsid w:val="00136FBD"/>
    <w:rsid w:val="0014072D"/>
    <w:rsid w:val="00140D31"/>
    <w:rsid w:val="0014199F"/>
    <w:rsid w:val="0014222A"/>
    <w:rsid w:val="0014579D"/>
    <w:rsid w:val="0014760E"/>
    <w:rsid w:val="00147AFB"/>
    <w:rsid w:val="001508D8"/>
    <w:rsid w:val="001528DC"/>
    <w:rsid w:val="00152BA3"/>
    <w:rsid w:val="0015413D"/>
    <w:rsid w:val="00155BB0"/>
    <w:rsid w:val="00155F9B"/>
    <w:rsid w:val="00156E21"/>
    <w:rsid w:val="00157456"/>
    <w:rsid w:val="001612D9"/>
    <w:rsid w:val="00161C3C"/>
    <w:rsid w:val="0016258A"/>
    <w:rsid w:val="001627BC"/>
    <w:rsid w:val="0016280D"/>
    <w:rsid w:val="00163CFE"/>
    <w:rsid w:val="00163DDD"/>
    <w:rsid w:val="00166F0F"/>
    <w:rsid w:val="00170291"/>
    <w:rsid w:val="001705C2"/>
    <w:rsid w:val="00172074"/>
    <w:rsid w:val="001743E2"/>
    <w:rsid w:val="001752B2"/>
    <w:rsid w:val="001765FD"/>
    <w:rsid w:val="001769C9"/>
    <w:rsid w:val="00176B4C"/>
    <w:rsid w:val="00176BCE"/>
    <w:rsid w:val="00177710"/>
    <w:rsid w:val="001804B0"/>
    <w:rsid w:val="001813E6"/>
    <w:rsid w:val="001826AD"/>
    <w:rsid w:val="001859F7"/>
    <w:rsid w:val="00185BC3"/>
    <w:rsid w:val="00185BF5"/>
    <w:rsid w:val="00187740"/>
    <w:rsid w:val="00190BE9"/>
    <w:rsid w:val="00194EF7"/>
    <w:rsid w:val="0019546B"/>
    <w:rsid w:val="001954A3"/>
    <w:rsid w:val="00195537"/>
    <w:rsid w:val="001963B3"/>
    <w:rsid w:val="00196498"/>
    <w:rsid w:val="001979B6"/>
    <w:rsid w:val="001A10A8"/>
    <w:rsid w:val="001A28E0"/>
    <w:rsid w:val="001A5AB3"/>
    <w:rsid w:val="001A6626"/>
    <w:rsid w:val="001A7B45"/>
    <w:rsid w:val="001B0CD7"/>
    <w:rsid w:val="001B1590"/>
    <w:rsid w:val="001B1DD7"/>
    <w:rsid w:val="001B2CDF"/>
    <w:rsid w:val="001B65F9"/>
    <w:rsid w:val="001B6BCF"/>
    <w:rsid w:val="001B6FF9"/>
    <w:rsid w:val="001B73D4"/>
    <w:rsid w:val="001C00FD"/>
    <w:rsid w:val="001C02FF"/>
    <w:rsid w:val="001C04A2"/>
    <w:rsid w:val="001C23F7"/>
    <w:rsid w:val="001C2555"/>
    <w:rsid w:val="001C41E4"/>
    <w:rsid w:val="001C4A2D"/>
    <w:rsid w:val="001D10C5"/>
    <w:rsid w:val="001D1C36"/>
    <w:rsid w:val="001D28A7"/>
    <w:rsid w:val="001D2AB2"/>
    <w:rsid w:val="001D2BC7"/>
    <w:rsid w:val="001D2C67"/>
    <w:rsid w:val="001D2D19"/>
    <w:rsid w:val="001D344E"/>
    <w:rsid w:val="001D449F"/>
    <w:rsid w:val="001D4984"/>
    <w:rsid w:val="001D739C"/>
    <w:rsid w:val="001D75ED"/>
    <w:rsid w:val="001D7DC1"/>
    <w:rsid w:val="001D7FD7"/>
    <w:rsid w:val="001E1BBF"/>
    <w:rsid w:val="001E6644"/>
    <w:rsid w:val="001E7B3B"/>
    <w:rsid w:val="001F09D7"/>
    <w:rsid w:val="001F2289"/>
    <w:rsid w:val="001F2B74"/>
    <w:rsid w:val="001F2F91"/>
    <w:rsid w:val="001F3D72"/>
    <w:rsid w:val="001F5248"/>
    <w:rsid w:val="001F5C3F"/>
    <w:rsid w:val="001F6675"/>
    <w:rsid w:val="001F6B27"/>
    <w:rsid w:val="001F73B3"/>
    <w:rsid w:val="00200188"/>
    <w:rsid w:val="00201C3F"/>
    <w:rsid w:val="00204794"/>
    <w:rsid w:val="00205C7D"/>
    <w:rsid w:val="00205F34"/>
    <w:rsid w:val="00207F1F"/>
    <w:rsid w:val="00211AB0"/>
    <w:rsid w:val="002147E5"/>
    <w:rsid w:val="00214ED4"/>
    <w:rsid w:val="002150E0"/>
    <w:rsid w:val="0021530C"/>
    <w:rsid w:val="002155B0"/>
    <w:rsid w:val="00215C73"/>
    <w:rsid w:val="0021613B"/>
    <w:rsid w:val="00220323"/>
    <w:rsid w:val="00220377"/>
    <w:rsid w:val="0022181E"/>
    <w:rsid w:val="00222976"/>
    <w:rsid w:val="00222D35"/>
    <w:rsid w:val="0022386C"/>
    <w:rsid w:val="00226002"/>
    <w:rsid w:val="002330D6"/>
    <w:rsid w:val="00234498"/>
    <w:rsid w:val="00234F9D"/>
    <w:rsid w:val="0023593C"/>
    <w:rsid w:val="002362D7"/>
    <w:rsid w:val="00236657"/>
    <w:rsid w:val="002366D5"/>
    <w:rsid w:val="00247E62"/>
    <w:rsid w:val="002502F9"/>
    <w:rsid w:val="002550A5"/>
    <w:rsid w:val="00255ECB"/>
    <w:rsid w:val="00256DF1"/>
    <w:rsid w:val="0026032A"/>
    <w:rsid w:val="0026111E"/>
    <w:rsid w:val="00263424"/>
    <w:rsid w:val="00266B67"/>
    <w:rsid w:val="00266DF6"/>
    <w:rsid w:val="00267F4D"/>
    <w:rsid w:val="002725A7"/>
    <w:rsid w:val="002726E7"/>
    <w:rsid w:val="00274795"/>
    <w:rsid w:val="002805B8"/>
    <w:rsid w:val="00281603"/>
    <w:rsid w:val="00281C1F"/>
    <w:rsid w:val="00281ED2"/>
    <w:rsid w:val="00282443"/>
    <w:rsid w:val="00287B2D"/>
    <w:rsid w:val="00290B72"/>
    <w:rsid w:val="00291780"/>
    <w:rsid w:val="00292B2D"/>
    <w:rsid w:val="00294359"/>
    <w:rsid w:val="002943C7"/>
    <w:rsid w:val="002945D3"/>
    <w:rsid w:val="00295D5F"/>
    <w:rsid w:val="00296DBE"/>
    <w:rsid w:val="002A0227"/>
    <w:rsid w:val="002A6EA6"/>
    <w:rsid w:val="002A7A32"/>
    <w:rsid w:val="002B18A4"/>
    <w:rsid w:val="002B400B"/>
    <w:rsid w:val="002B48A8"/>
    <w:rsid w:val="002B4C8F"/>
    <w:rsid w:val="002B5649"/>
    <w:rsid w:val="002B74CE"/>
    <w:rsid w:val="002C0143"/>
    <w:rsid w:val="002C22D7"/>
    <w:rsid w:val="002C32EC"/>
    <w:rsid w:val="002C3CE1"/>
    <w:rsid w:val="002C4058"/>
    <w:rsid w:val="002C41C5"/>
    <w:rsid w:val="002C58A0"/>
    <w:rsid w:val="002C751A"/>
    <w:rsid w:val="002C7EF9"/>
    <w:rsid w:val="002D0FCA"/>
    <w:rsid w:val="002D1F8E"/>
    <w:rsid w:val="002D2AAC"/>
    <w:rsid w:val="002D2C1C"/>
    <w:rsid w:val="002D32CD"/>
    <w:rsid w:val="002D42BA"/>
    <w:rsid w:val="002D45D2"/>
    <w:rsid w:val="002D4A2A"/>
    <w:rsid w:val="002D78AE"/>
    <w:rsid w:val="002E044F"/>
    <w:rsid w:val="002E0E3E"/>
    <w:rsid w:val="002E129D"/>
    <w:rsid w:val="002E28D2"/>
    <w:rsid w:val="002E414C"/>
    <w:rsid w:val="002F21E3"/>
    <w:rsid w:val="002F3582"/>
    <w:rsid w:val="002F73D8"/>
    <w:rsid w:val="00300181"/>
    <w:rsid w:val="00301136"/>
    <w:rsid w:val="00301796"/>
    <w:rsid w:val="00301B81"/>
    <w:rsid w:val="0030244C"/>
    <w:rsid w:val="00302AD4"/>
    <w:rsid w:val="00304060"/>
    <w:rsid w:val="0030620E"/>
    <w:rsid w:val="00306E39"/>
    <w:rsid w:val="00310976"/>
    <w:rsid w:val="00310BCF"/>
    <w:rsid w:val="00310CBE"/>
    <w:rsid w:val="00311AE5"/>
    <w:rsid w:val="00311AE6"/>
    <w:rsid w:val="00311CE8"/>
    <w:rsid w:val="0031256B"/>
    <w:rsid w:val="00312ABD"/>
    <w:rsid w:val="003155A5"/>
    <w:rsid w:val="0031585B"/>
    <w:rsid w:val="00315FEF"/>
    <w:rsid w:val="00316C53"/>
    <w:rsid w:val="0032019B"/>
    <w:rsid w:val="00320927"/>
    <w:rsid w:val="00321A51"/>
    <w:rsid w:val="00322943"/>
    <w:rsid w:val="00322DB7"/>
    <w:rsid w:val="00323698"/>
    <w:rsid w:val="00324220"/>
    <w:rsid w:val="003278D5"/>
    <w:rsid w:val="003301D8"/>
    <w:rsid w:val="00330484"/>
    <w:rsid w:val="00330F1E"/>
    <w:rsid w:val="00335702"/>
    <w:rsid w:val="003363B9"/>
    <w:rsid w:val="00336965"/>
    <w:rsid w:val="00336E52"/>
    <w:rsid w:val="00337E84"/>
    <w:rsid w:val="00340136"/>
    <w:rsid w:val="00340863"/>
    <w:rsid w:val="00341A43"/>
    <w:rsid w:val="00341B85"/>
    <w:rsid w:val="0034442F"/>
    <w:rsid w:val="0034512C"/>
    <w:rsid w:val="00345908"/>
    <w:rsid w:val="00345C8A"/>
    <w:rsid w:val="003503D7"/>
    <w:rsid w:val="00352CD3"/>
    <w:rsid w:val="00354CA5"/>
    <w:rsid w:val="00355816"/>
    <w:rsid w:val="00361199"/>
    <w:rsid w:val="00362448"/>
    <w:rsid w:val="00362508"/>
    <w:rsid w:val="00362D57"/>
    <w:rsid w:val="00363E13"/>
    <w:rsid w:val="00366925"/>
    <w:rsid w:val="0036699E"/>
    <w:rsid w:val="003702ED"/>
    <w:rsid w:val="003704B4"/>
    <w:rsid w:val="00370AB0"/>
    <w:rsid w:val="00373220"/>
    <w:rsid w:val="00374678"/>
    <w:rsid w:val="003776D0"/>
    <w:rsid w:val="00381C98"/>
    <w:rsid w:val="00382F2B"/>
    <w:rsid w:val="00387F3E"/>
    <w:rsid w:val="00390506"/>
    <w:rsid w:val="00390ADE"/>
    <w:rsid w:val="00390D10"/>
    <w:rsid w:val="003915D5"/>
    <w:rsid w:val="00391C4C"/>
    <w:rsid w:val="00393A47"/>
    <w:rsid w:val="00393CBA"/>
    <w:rsid w:val="00395B37"/>
    <w:rsid w:val="003966FF"/>
    <w:rsid w:val="003977BF"/>
    <w:rsid w:val="003A037F"/>
    <w:rsid w:val="003A137D"/>
    <w:rsid w:val="003A1A52"/>
    <w:rsid w:val="003A2F2B"/>
    <w:rsid w:val="003A4CC4"/>
    <w:rsid w:val="003A6E55"/>
    <w:rsid w:val="003A7A7E"/>
    <w:rsid w:val="003B1EF6"/>
    <w:rsid w:val="003B3E2B"/>
    <w:rsid w:val="003C0236"/>
    <w:rsid w:val="003C2315"/>
    <w:rsid w:val="003C34AB"/>
    <w:rsid w:val="003C394B"/>
    <w:rsid w:val="003C7802"/>
    <w:rsid w:val="003C785A"/>
    <w:rsid w:val="003D0F40"/>
    <w:rsid w:val="003D3AD9"/>
    <w:rsid w:val="003D4EFD"/>
    <w:rsid w:val="003D71A7"/>
    <w:rsid w:val="003E0B0F"/>
    <w:rsid w:val="003E2381"/>
    <w:rsid w:val="003E3064"/>
    <w:rsid w:val="003E42FD"/>
    <w:rsid w:val="003E4D8A"/>
    <w:rsid w:val="003E656A"/>
    <w:rsid w:val="003E7BAA"/>
    <w:rsid w:val="003F389A"/>
    <w:rsid w:val="003F4564"/>
    <w:rsid w:val="003F6371"/>
    <w:rsid w:val="003F7F43"/>
    <w:rsid w:val="0040043F"/>
    <w:rsid w:val="00402CD1"/>
    <w:rsid w:val="00405460"/>
    <w:rsid w:val="00405924"/>
    <w:rsid w:val="00407D09"/>
    <w:rsid w:val="00410E6C"/>
    <w:rsid w:val="004175D0"/>
    <w:rsid w:val="00417F11"/>
    <w:rsid w:val="00420018"/>
    <w:rsid w:val="00420FF4"/>
    <w:rsid w:val="00421E54"/>
    <w:rsid w:val="00422AEE"/>
    <w:rsid w:val="004235CB"/>
    <w:rsid w:val="0042767A"/>
    <w:rsid w:val="00427A55"/>
    <w:rsid w:val="00430318"/>
    <w:rsid w:val="0043250B"/>
    <w:rsid w:val="004328F1"/>
    <w:rsid w:val="00432E8A"/>
    <w:rsid w:val="00440341"/>
    <w:rsid w:val="00443318"/>
    <w:rsid w:val="004443FB"/>
    <w:rsid w:val="0044718D"/>
    <w:rsid w:val="00457592"/>
    <w:rsid w:val="00463C05"/>
    <w:rsid w:val="00470720"/>
    <w:rsid w:val="00470B60"/>
    <w:rsid w:val="00471430"/>
    <w:rsid w:val="00471A36"/>
    <w:rsid w:val="00473A4E"/>
    <w:rsid w:val="00473B32"/>
    <w:rsid w:val="004764AA"/>
    <w:rsid w:val="00477EBA"/>
    <w:rsid w:val="00482DC1"/>
    <w:rsid w:val="004843CD"/>
    <w:rsid w:val="00486042"/>
    <w:rsid w:val="00487FF5"/>
    <w:rsid w:val="00490E9C"/>
    <w:rsid w:val="00493183"/>
    <w:rsid w:val="004938C7"/>
    <w:rsid w:val="0049489F"/>
    <w:rsid w:val="00494DD3"/>
    <w:rsid w:val="004966DD"/>
    <w:rsid w:val="00497388"/>
    <w:rsid w:val="004B0083"/>
    <w:rsid w:val="004B287D"/>
    <w:rsid w:val="004B2BC9"/>
    <w:rsid w:val="004B304A"/>
    <w:rsid w:val="004B311C"/>
    <w:rsid w:val="004B4179"/>
    <w:rsid w:val="004B48E2"/>
    <w:rsid w:val="004B51AE"/>
    <w:rsid w:val="004B56C1"/>
    <w:rsid w:val="004B5781"/>
    <w:rsid w:val="004B6343"/>
    <w:rsid w:val="004B6B88"/>
    <w:rsid w:val="004B6B94"/>
    <w:rsid w:val="004C02D2"/>
    <w:rsid w:val="004C2DA5"/>
    <w:rsid w:val="004C496B"/>
    <w:rsid w:val="004C5020"/>
    <w:rsid w:val="004C5760"/>
    <w:rsid w:val="004C59F1"/>
    <w:rsid w:val="004C5F54"/>
    <w:rsid w:val="004D2F4B"/>
    <w:rsid w:val="004D4590"/>
    <w:rsid w:val="004D4BF1"/>
    <w:rsid w:val="004D58FC"/>
    <w:rsid w:val="004D5DF2"/>
    <w:rsid w:val="004D6AAB"/>
    <w:rsid w:val="004D70F5"/>
    <w:rsid w:val="004E17C3"/>
    <w:rsid w:val="004E2DE6"/>
    <w:rsid w:val="004E3DC9"/>
    <w:rsid w:val="004E3F28"/>
    <w:rsid w:val="004E60E9"/>
    <w:rsid w:val="004F0A40"/>
    <w:rsid w:val="004F0AF3"/>
    <w:rsid w:val="004F0C39"/>
    <w:rsid w:val="004F149E"/>
    <w:rsid w:val="004F2B9D"/>
    <w:rsid w:val="004F3FEB"/>
    <w:rsid w:val="004F53D8"/>
    <w:rsid w:val="004F5CBC"/>
    <w:rsid w:val="004F61C1"/>
    <w:rsid w:val="004F6C83"/>
    <w:rsid w:val="005030BD"/>
    <w:rsid w:val="00510683"/>
    <w:rsid w:val="005118A4"/>
    <w:rsid w:val="005150FE"/>
    <w:rsid w:val="00516462"/>
    <w:rsid w:val="00521ACC"/>
    <w:rsid w:val="005220DA"/>
    <w:rsid w:val="005223D8"/>
    <w:rsid w:val="00522D28"/>
    <w:rsid w:val="00524637"/>
    <w:rsid w:val="0052619B"/>
    <w:rsid w:val="0052773A"/>
    <w:rsid w:val="00527C7C"/>
    <w:rsid w:val="00532285"/>
    <w:rsid w:val="00532C73"/>
    <w:rsid w:val="005359C9"/>
    <w:rsid w:val="00540564"/>
    <w:rsid w:val="00542383"/>
    <w:rsid w:val="00544BCA"/>
    <w:rsid w:val="00545886"/>
    <w:rsid w:val="00545A41"/>
    <w:rsid w:val="005538FC"/>
    <w:rsid w:val="005540FD"/>
    <w:rsid w:val="00554256"/>
    <w:rsid w:val="00555F6E"/>
    <w:rsid w:val="00563B3A"/>
    <w:rsid w:val="0056594E"/>
    <w:rsid w:val="00566901"/>
    <w:rsid w:val="00570871"/>
    <w:rsid w:val="00570E0C"/>
    <w:rsid w:val="005728B8"/>
    <w:rsid w:val="00573F72"/>
    <w:rsid w:val="00575256"/>
    <w:rsid w:val="00580812"/>
    <w:rsid w:val="0058082F"/>
    <w:rsid w:val="005813EB"/>
    <w:rsid w:val="00581D4C"/>
    <w:rsid w:val="00582A99"/>
    <w:rsid w:val="005846F0"/>
    <w:rsid w:val="00585610"/>
    <w:rsid w:val="00586D77"/>
    <w:rsid w:val="0059128F"/>
    <w:rsid w:val="005919FA"/>
    <w:rsid w:val="005952AF"/>
    <w:rsid w:val="00595646"/>
    <w:rsid w:val="00595A15"/>
    <w:rsid w:val="005A0A58"/>
    <w:rsid w:val="005A0B87"/>
    <w:rsid w:val="005A1722"/>
    <w:rsid w:val="005A2A1F"/>
    <w:rsid w:val="005A48EC"/>
    <w:rsid w:val="005A7E1C"/>
    <w:rsid w:val="005B1014"/>
    <w:rsid w:val="005B10A4"/>
    <w:rsid w:val="005B226C"/>
    <w:rsid w:val="005B267E"/>
    <w:rsid w:val="005B5C39"/>
    <w:rsid w:val="005B5F7E"/>
    <w:rsid w:val="005B785B"/>
    <w:rsid w:val="005C10EB"/>
    <w:rsid w:val="005C15F4"/>
    <w:rsid w:val="005C1B53"/>
    <w:rsid w:val="005C3400"/>
    <w:rsid w:val="005C5228"/>
    <w:rsid w:val="005C5487"/>
    <w:rsid w:val="005C7DA2"/>
    <w:rsid w:val="005D0879"/>
    <w:rsid w:val="005D143C"/>
    <w:rsid w:val="005D1C32"/>
    <w:rsid w:val="005D37F9"/>
    <w:rsid w:val="005D3FAA"/>
    <w:rsid w:val="005D50D4"/>
    <w:rsid w:val="005D667C"/>
    <w:rsid w:val="005D67EF"/>
    <w:rsid w:val="005E01BF"/>
    <w:rsid w:val="005E0A37"/>
    <w:rsid w:val="005E3639"/>
    <w:rsid w:val="005E4382"/>
    <w:rsid w:val="005E487A"/>
    <w:rsid w:val="005E4891"/>
    <w:rsid w:val="005F0F58"/>
    <w:rsid w:val="005F20CB"/>
    <w:rsid w:val="005F41BF"/>
    <w:rsid w:val="005F5531"/>
    <w:rsid w:val="006013A3"/>
    <w:rsid w:val="00601486"/>
    <w:rsid w:val="006020E1"/>
    <w:rsid w:val="00605144"/>
    <w:rsid w:val="0060605E"/>
    <w:rsid w:val="0060621C"/>
    <w:rsid w:val="006065B7"/>
    <w:rsid w:val="00607591"/>
    <w:rsid w:val="006077B6"/>
    <w:rsid w:val="006079D0"/>
    <w:rsid w:val="006115A9"/>
    <w:rsid w:val="00612BC7"/>
    <w:rsid w:val="00614922"/>
    <w:rsid w:val="00614E31"/>
    <w:rsid w:val="00617879"/>
    <w:rsid w:val="00617EEE"/>
    <w:rsid w:val="00620470"/>
    <w:rsid w:val="00621537"/>
    <w:rsid w:val="00621A02"/>
    <w:rsid w:val="00623470"/>
    <w:rsid w:val="00623611"/>
    <w:rsid w:val="0062418C"/>
    <w:rsid w:val="00624F44"/>
    <w:rsid w:val="0062570E"/>
    <w:rsid w:val="006258FC"/>
    <w:rsid w:val="00636683"/>
    <w:rsid w:val="00636AAA"/>
    <w:rsid w:val="00640AD8"/>
    <w:rsid w:val="00641A7C"/>
    <w:rsid w:val="006428C8"/>
    <w:rsid w:val="00645321"/>
    <w:rsid w:val="006459CD"/>
    <w:rsid w:val="00651487"/>
    <w:rsid w:val="006515D9"/>
    <w:rsid w:val="00652C09"/>
    <w:rsid w:val="00653FB4"/>
    <w:rsid w:val="00655ECA"/>
    <w:rsid w:val="0065635C"/>
    <w:rsid w:val="006624B7"/>
    <w:rsid w:val="006626BB"/>
    <w:rsid w:val="00664355"/>
    <w:rsid w:val="00664995"/>
    <w:rsid w:val="00665505"/>
    <w:rsid w:val="00665ACC"/>
    <w:rsid w:val="00666B6F"/>
    <w:rsid w:val="006702CF"/>
    <w:rsid w:val="006715F2"/>
    <w:rsid w:val="006736D6"/>
    <w:rsid w:val="0067444D"/>
    <w:rsid w:val="0067476C"/>
    <w:rsid w:val="006760B5"/>
    <w:rsid w:val="006765F1"/>
    <w:rsid w:val="00677227"/>
    <w:rsid w:val="00677C16"/>
    <w:rsid w:val="00677FE8"/>
    <w:rsid w:val="00680265"/>
    <w:rsid w:val="00680D07"/>
    <w:rsid w:val="00680F81"/>
    <w:rsid w:val="0069376A"/>
    <w:rsid w:val="0069396D"/>
    <w:rsid w:val="00694276"/>
    <w:rsid w:val="00694F40"/>
    <w:rsid w:val="00695596"/>
    <w:rsid w:val="006956A3"/>
    <w:rsid w:val="00697188"/>
    <w:rsid w:val="006A00DA"/>
    <w:rsid w:val="006A06A4"/>
    <w:rsid w:val="006A313D"/>
    <w:rsid w:val="006A6CC3"/>
    <w:rsid w:val="006A6FEE"/>
    <w:rsid w:val="006A7316"/>
    <w:rsid w:val="006B172C"/>
    <w:rsid w:val="006B2B9F"/>
    <w:rsid w:val="006B3A14"/>
    <w:rsid w:val="006B3AE7"/>
    <w:rsid w:val="006B5518"/>
    <w:rsid w:val="006B5F06"/>
    <w:rsid w:val="006B6D8A"/>
    <w:rsid w:val="006B7049"/>
    <w:rsid w:val="006B7F75"/>
    <w:rsid w:val="006C090D"/>
    <w:rsid w:val="006C1E6A"/>
    <w:rsid w:val="006C1FFD"/>
    <w:rsid w:val="006C466F"/>
    <w:rsid w:val="006C5D74"/>
    <w:rsid w:val="006C6AC6"/>
    <w:rsid w:val="006C6F8B"/>
    <w:rsid w:val="006D23BC"/>
    <w:rsid w:val="006D53A1"/>
    <w:rsid w:val="006D6663"/>
    <w:rsid w:val="006E0CBD"/>
    <w:rsid w:val="006E1107"/>
    <w:rsid w:val="006E2025"/>
    <w:rsid w:val="006E48D8"/>
    <w:rsid w:val="006E5F79"/>
    <w:rsid w:val="006E6395"/>
    <w:rsid w:val="006E6603"/>
    <w:rsid w:val="006E78A2"/>
    <w:rsid w:val="006F42F5"/>
    <w:rsid w:val="006F4EDD"/>
    <w:rsid w:val="006F4F47"/>
    <w:rsid w:val="006F5A2B"/>
    <w:rsid w:val="006F5A80"/>
    <w:rsid w:val="00702D0F"/>
    <w:rsid w:val="00702D3F"/>
    <w:rsid w:val="0070793C"/>
    <w:rsid w:val="00707DF8"/>
    <w:rsid w:val="0071104D"/>
    <w:rsid w:val="007113FF"/>
    <w:rsid w:val="00711AF7"/>
    <w:rsid w:val="00712734"/>
    <w:rsid w:val="007146A8"/>
    <w:rsid w:val="00715BE4"/>
    <w:rsid w:val="007176D5"/>
    <w:rsid w:val="00720A39"/>
    <w:rsid w:val="007217B9"/>
    <w:rsid w:val="00721A03"/>
    <w:rsid w:val="00722F34"/>
    <w:rsid w:val="00723EC7"/>
    <w:rsid w:val="0072733C"/>
    <w:rsid w:val="007316D5"/>
    <w:rsid w:val="00731C64"/>
    <w:rsid w:val="007321A8"/>
    <w:rsid w:val="00733664"/>
    <w:rsid w:val="007338F9"/>
    <w:rsid w:val="0073411C"/>
    <w:rsid w:val="00734D1E"/>
    <w:rsid w:val="007361D5"/>
    <w:rsid w:val="0073706D"/>
    <w:rsid w:val="00743B9C"/>
    <w:rsid w:val="00745542"/>
    <w:rsid w:val="0074604C"/>
    <w:rsid w:val="00750C73"/>
    <w:rsid w:val="00753700"/>
    <w:rsid w:val="00754DD8"/>
    <w:rsid w:val="0075789E"/>
    <w:rsid w:val="007601BD"/>
    <w:rsid w:val="007622E3"/>
    <w:rsid w:val="0076316B"/>
    <w:rsid w:val="00764C4D"/>
    <w:rsid w:val="00765F40"/>
    <w:rsid w:val="00773E47"/>
    <w:rsid w:val="007741D0"/>
    <w:rsid w:val="00775DEB"/>
    <w:rsid w:val="007773FB"/>
    <w:rsid w:val="007810CE"/>
    <w:rsid w:val="007834A5"/>
    <w:rsid w:val="00784936"/>
    <w:rsid w:val="00791F84"/>
    <w:rsid w:val="007950C2"/>
    <w:rsid w:val="007951A6"/>
    <w:rsid w:val="007956AF"/>
    <w:rsid w:val="00795FE2"/>
    <w:rsid w:val="007963EF"/>
    <w:rsid w:val="007A08C6"/>
    <w:rsid w:val="007A117A"/>
    <w:rsid w:val="007A1D0D"/>
    <w:rsid w:val="007A28E4"/>
    <w:rsid w:val="007A3D70"/>
    <w:rsid w:val="007A6378"/>
    <w:rsid w:val="007A6D86"/>
    <w:rsid w:val="007A780D"/>
    <w:rsid w:val="007B07DB"/>
    <w:rsid w:val="007B1DD5"/>
    <w:rsid w:val="007B2C0A"/>
    <w:rsid w:val="007B579D"/>
    <w:rsid w:val="007C030A"/>
    <w:rsid w:val="007C0636"/>
    <w:rsid w:val="007C6533"/>
    <w:rsid w:val="007D2036"/>
    <w:rsid w:val="007D21F8"/>
    <w:rsid w:val="007D255C"/>
    <w:rsid w:val="007D4700"/>
    <w:rsid w:val="007D59AB"/>
    <w:rsid w:val="007D5E38"/>
    <w:rsid w:val="007E5F01"/>
    <w:rsid w:val="007E68BC"/>
    <w:rsid w:val="007E76E8"/>
    <w:rsid w:val="007F219B"/>
    <w:rsid w:val="007F3A8C"/>
    <w:rsid w:val="007F5248"/>
    <w:rsid w:val="008025AB"/>
    <w:rsid w:val="008044BA"/>
    <w:rsid w:val="008044D4"/>
    <w:rsid w:val="0080538A"/>
    <w:rsid w:val="00807CA5"/>
    <w:rsid w:val="00810817"/>
    <w:rsid w:val="00811354"/>
    <w:rsid w:val="00812341"/>
    <w:rsid w:val="00815753"/>
    <w:rsid w:val="008179DD"/>
    <w:rsid w:val="008209B8"/>
    <w:rsid w:val="0082249B"/>
    <w:rsid w:val="00822CE4"/>
    <w:rsid w:val="00823832"/>
    <w:rsid w:val="0082418E"/>
    <w:rsid w:val="00825740"/>
    <w:rsid w:val="00827E33"/>
    <w:rsid w:val="00827F9F"/>
    <w:rsid w:val="008303A1"/>
    <w:rsid w:val="008304A5"/>
    <w:rsid w:val="00832A8B"/>
    <w:rsid w:val="00832DEE"/>
    <w:rsid w:val="008330D3"/>
    <w:rsid w:val="008333E4"/>
    <w:rsid w:val="008336E8"/>
    <w:rsid w:val="00833ABB"/>
    <w:rsid w:val="008343E7"/>
    <w:rsid w:val="008348E0"/>
    <w:rsid w:val="008359E0"/>
    <w:rsid w:val="008401C7"/>
    <w:rsid w:val="0084349B"/>
    <w:rsid w:val="00844ABB"/>
    <w:rsid w:val="00844BA1"/>
    <w:rsid w:val="00845173"/>
    <w:rsid w:val="00845B57"/>
    <w:rsid w:val="00845DD5"/>
    <w:rsid w:val="00846B43"/>
    <w:rsid w:val="00847519"/>
    <w:rsid w:val="008606A8"/>
    <w:rsid w:val="00860EEB"/>
    <w:rsid w:val="00864234"/>
    <w:rsid w:val="008649D3"/>
    <w:rsid w:val="00865BF4"/>
    <w:rsid w:val="00865C24"/>
    <w:rsid w:val="00866A71"/>
    <w:rsid w:val="00867A62"/>
    <w:rsid w:val="00876117"/>
    <w:rsid w:val="008807F0"/>
    <w:rsid w:val="0088144E"/>
    <w:rsid w:val="008833D6"/>
    <w:rsid w:val="00887D17"/>
    <w:rsid w:val="00887DE6"/>
    <w:rsid w:val="00890ABC"/>
    <w:rsid w:val="00890B79"/>
    <w:rsid w:val="00890D15"/>
    <w:rsid w:val="008929AB"/>
    <w:rsid w:val="00893B2D"/>
    <w:rsid w:val="008940E8"/>
    <w:rsid w:val="008A0476"/>
    <w:rsid w:val="008A1E78"/>
    <w:rsid w:val="008A1FBA"/>
    <w:rsid w:val="008A2E72"/>
    <w:rsid w:val="008A4E6A"/>
    <w:rsid w:val="008A7C6A"/>
    <w:rsid w:val="008B16A9"/>
    <w:rsid w:val="008B4557"/>
    <w:rsid w:val="008B5C62"/>
    <w:rsid w:val="008C1348"/>
    <w:rsid w:val="008C311B"/>
    <w:rsid w:val="008C36AC"/>
    <w:rsid w:val="008C3CD2"/>
    <w:rsid w:val="008C52D5"/>
    <w:rsid w:val="008C580E"/>
    <w:rsid w:val="008C7FD8"/>
    <w:rsid w:val="008D24AE"/>
    <w:rsid w:val="008D27C2"/>
    <w:rsid w:val="008D3054"/>
    <w:rsid w:val="008D30B7"/>
    <w:rsid w:val="008D4BC9"/>
    <w:rsid w:val="008D529D"/>
    <w:rsid w:val="008D68FC"/>
    <w:rsid w:val="008D7BEA"/>
    <w:rsid w:val="008E0D0F"/>
    <w:rsid w:val="008E5071"/>
    <w:rsid w:val="008E6242"/>
    <w:rsid w:val="008E67A3"/>
    <w:rsid w:val="008E71D6"/>
    <w:rsid w:val="008E7467"/>
    <w:rsid w:val="008E7B64"/>
    <w:rsid w:val="008E7E18"/>
    <w:rsid w:val="008F1F1D"/>
    <w:rsid w:val="008F24D0"/>
    <w:rsid w:val="008F2D95"/>
    <w:rsid w:val="008F304E"/>
    <w:rsid w:val="008F4A55"/>
    <w:rsid w:val="008F7BC2"/>
    <w:rsid w:val="009005E7"/>
    <w:rsid w:val="00900EDE"/>
    <w:rsid w:val="0090172E"/>
    <w:rsid w:val="00902DA8"/>
    <w:rsid w:val="00902F3B"/>
    <w:rsid w:val="00903337"/>
    <w:rsid w:val="009041D2"/>
    <w:rsid w:val="00906214"/>
    <w:rsid w:val="009128C0"/>
    <w:rsid w:val="00912904"/>
    <w:rsid w:val="009168E1"/>
    <w:rsid w:val="00917F0F"/>
    <w:rsid w:val="009200BB"/>
    <w:rsid w:val="00920122"/>
    <w:rsid w:val="009218C6"/>
    <w:rsid w:val="009230AF"/>
    <w:rsid w:val="00923D29"/>
    <w:rsid w:val="009253A6"/>
    <w:rsid w:val="00926102"/>
    <w:rsid w:val="0092639F"/>
    <w:rsid w:val="009265F7"/>
    <w:rsid w:val="009279B9"/>
    <w:rsid w:val="00934F4B"/>
    <w:rsid w:val="00935175"/>
    <w:rsid w:val="00935589"/>
    <w:rsid w:val="00940993"/>
    <w:rsid w:val="00942BC4"/>
    <w:rsid w:val="00943D9F"/>
    <w:rsid w:val="0094431B"/>
    <w:rsid w:val="00944FDD"/>
    <w:rsid w:val="009451A1"/>
    <w:rsid w:val="00945568"/>
    <w:rsid w:val="00946533"/>
    <w:rsid w:val="00950B39"/>
    <w:rsid w:val="00953455"/>
    <w:rsid w:val="00957BCA"/>
    <w:rsid w:val="00962509"/>
    <w:rsid w:val="00963C2E"/>
    <w:rsid w:val="00965D5C"/>
    <w:rsid w:val="00966ED5"/>
    <w:rsid w:val="0096735A"/>
    <w:rsid w:val="00967C7B"/>
    <w:rsid w:val="00971223"/>
    <w:rsid w:val="00972BC6"/>
    <w:rsid w:val="00974BDF"/>
    <w:rsid w:val="0097578C"/>
    <w:rsid w:val="009757AE"/>
    <w:rsid w:val="00975C3A"/>
    <w:rsid w:val="0097723D"/>
    <w:rsid w:val="0098049C"/>
    <w:rsid w:val="00982498"/>
    <w:rsid w:val="00982B65"/>
    <w:rsid w:val="00983473"/>
    <w:rsid w:val="0098373E"/>
    <w:rsid w:val="009842D3"/>
    <w:rsid w:val="00985F92"/>
    <w:rsid w:val="00986E86"/>
    <w:rsid w:val="009906F7"/>
    <w:rsid w:val="009917DD"/>
    <w:rsid w:val="0099185B"/>
    <w:rsid w:val="0099220F"/>
    <w:rsid w:val="00992C4F"/>
    <w:rsid w:val="0099399A"/>
    <w:rsid w:val="009949D2"/>
    <w:rsid w:val="00994A82"/>
    <w:rsid w:val="00996C0B"/>
    <w:rsid w:val="009972E6"/>
    <w:rsid w:val="009974D1"/>
    <w:rsid w:val="009A28EC"/>
    <w:rsid w:val="009A3464"/>
    <w:rsid w:val="009A380D"/>
    <w:rsid w:val="009A4C5B"/>
    <w:rsid w:val="009A79AD"/>
    <w:rsid w:val="009B0E0C"/>
    <w:rsid w:val="009B1381"/>
    <w:rsid w:val="009B1A08"/>
    <w:rsid w:val="009B3242"/>
    <w:rsid w:val="009B366D"/>
    <w:rsid w:val="009B5002"/>
    <w:rsid w:val="009B5041"/>
    <w:rsid w:val="009B580A"/>
    <w:rsid w:val="009B5F55"/>
    <w:rsid w:val="009C0A6E"/>
    <w:rsid w:val="009C1CB1"/>
    <w:rsid w:val="009D2E5E"/>
    <w:rsid w:val="009D4353"/>
    <w:rsid w:val="009D4481"/>
    <w:rsid w:val="009D4584"/>
    <w:rsid w:val="009D5BC8"/>
    <w:rsid w:val="009D5E0A"/>
    <w:rsid w:val="009D6101"/>
    <w:rsid w:val="009D674D"/>
    <w:rsid w:val="009D70D9"/>
    <w:rsid w:val="009D7B7A"/>
    <w:rsid w:val="009E0CB3"/>
    <w:rsid w:val="009E13FE"/>
    <w:rsid w:val="009E1FEF"/>
    <w:rsid w:val="009E2062"/>
    <w:rsid w:val="009E2E53"/>
    <w:rsid w:val="009E3013"/>
    <w:rsid w:val="009F047D"/>
    <w:rsid w:val="009F05A4"/>
    <w:rsid w:val="009F0663"/>
    <w:rsid w:val="009F0A45"/>
    <w:rsid w:val="009F0EEB"/>
    <w:rsid w:val="009F3859"/>
    <w:rsid w:val="009F4DEB"/>
    <w:rsid w:val="009F5028"/>
    <w:rsid w:val="009F6932"/>
    <w:rsid w:val="00A004DF"/>
    <w:rsid w:val="00A0067A"/>
    <w:rsid w:val="00A016F9"/>
    <w:rsid w:val="00A026CA"/>
    <w:rsid w:val="00A028BE"/>
    <w:rsid w:val="00A032BA"/>
    <w:rsid w:val="00A036ED"/>
    <w:rsid w:val="00A063DC"/>
    <w:rsid w:val="00A12E4F"/>
    <w:rsid w:val="00A13E0F"/>
    <w:rsid w:val="00A13E70"/>
    <w:rsid w:val="00A14ECA"/>
    <w:rsid w:val="00A1658F"/>
    <w:rsid w:val="00A17621"/>
    <w:rsid w:val="00A22BA5"/>
    <w:rsid w:val="00A24AFC"/>
    <w:rsid w:val="00A2529A"/>
    <w:rsid w:val="00A2675C"/>
    <w:rsid w:val="00A26795"/>
    <w:rsid w:val="00A26F4F"/>
    <w:rsid w:val="00A32F7F"/>
    <w:rsid w:val="00A352DC"/>
    <w:rsid w:val="00A35466"/>
    <w:rsid w:val="00A35A87"/>
    <w:rsid w:val="00A36900"/>
    <w:rsid w:val="00A37F8A"/>
    <w:rsid w:val="00A41273"/>
    <w:rsid w:val="00A41432"/>
    <w:rsid w:val="00A41751"/>
    <w:rsid w:val="00A42223"/>
    <w:rsid w:val="00A45B6C"/>
    <w:rsid w:val="00A461C8"/>
    <w:rsid w:val="00A500FC"/>
    <w:rsid w:val="00A50255"/>
    <w:rsid w:val="00A50A9D"/>
    <w:rsid w:val="00A51A87"/>
    <w:rsid w:val="00A51BF1"/>
    <w:rsid w:val="00A531F2"/>
    <w:rsid w:val="00A54D92"/>
    <w:rsid w:val="00A56C7F"/>
    <w:rsid w:val="00A60225"/>
    <w:rsid w:val="00A60C0F"/>
    <w:rsid w:val="00A61676"/>
    <w:rsid w:val="00A61F23"/>
    <w:rsid w:val="00A65304"/>
    <w:rsid w:val="00A65E9F"/>
    <w:rsid w:val="00A66C85"/>
    <w:rsid w:val="00A66DF9"/>
    <w:rsid w:val="00A67635"/>
    <w:rsid w:val="00A71844"/>
    <w:rsid w:val="00A73353"/>
    <w:rsid w:val="00A762DD"/>
    <w:rsid w:val="00A7698C"/>
    <w:rsid w:val="00A76BAE"/>
    <w:rsid w:val="00A77692"/>
    <w:rsid w:val="00A806B5"/>
    <w:rsid w:val="00A83310"/>
    <w:rsid w:val="00A84CCF"/>
    <w:rsid w:val="00A8627D"/>
    <w:rsid w:val="00A8675F"/>
    <w:rsid w:val="00A8679E"/>
    <w:rsid w:val="00A86946"/>
    <w:rsid w:val="00A91D7F"/>
    <w:rsid w:val="00A93033"/>
    <w:rsid w:val="00A93629"/>
    <w:rsid w:val="00A9426A"/>
    <w:rsid w:val="00A94E60"/>
    <w:rsid w:val="00A96711"/>
    <w:rsid w:val="00A972C0"/>
    <w:rsid w:val="00A9737B"/>
    <w:rsid w:val="00AA0AE1"/>
    <w:rsid w:val="00AA14A9"/>
    <w:rsid w:val="00AA1DE3"/>
    <w:rsid w:val="00AA2B0E"/>
    <w:rsid w:val="00AA2D7F"/>
    <w:rsid w:val="00AA32E0"/>
    <w:rsid w:val="00AA4687"/>
    <w:rsid w:val="00AA5DA8"/>
    <w:rsid w:val="00AA70E0"/>
    <w:rsid w:val="00AB3287"/>
    <w:rsid w:val="00AB3811"/>
    <w:rsid w:val="00AB3B17"/>
    <w:rsid w:val="00AB43A0"/>
    <w:rsid w:val="00AB5886"/>
    <w:rsid w:val="00AB7A44"/>
    <w:rsid w:val="00AC018D"/>
    <w:rsid w:val="00AC1A29"/>
    <w:rsid w:val="00AC27F8"/>
    <w:rsid w:val="00AC336A"/>
    <w:rsid w:val="00AC3407"/>
    <w:rsid w:val="00AC415D"/>
    <w:rsid w:val="00AC5F7F"/>
    <w:rsid w:val="00AD10FF"/>
    <w:rsid w:val="00AD1A3E"/>
    <w:rsid w:val="00AD2730"/>
    <w:rsid w:val="00AD31C2"/>
    <w:rsid w:val="00AD3467"/>
    <w:rsid w:val="00AD45BC"/>
    <w:rsid w:val="00AD53E2"/>
    <w:rsid w:val="00AD6166"/>
    <w:rsid w:val="00AE01F5"/>
    <w:rsid w:val="00AE0BA7"/>
    <w:rsid w:val="00AE0E6A"/>
    <w:rsid w:val="00AE1407"/>
    <w:rsid w:val="00AE167A"/>
    <w:rsid w:val="00AE211D"/>
    <w:rsid w:val="00AE2FC3"/>
    <w:rsid w:val="00AE40D7"/>
    <w:rsid w:val="00AE6448"/>
    <w:rsid w:val="00AE6921"/>
    <w:rsid w:val="00AF0336"/>
    <w:rsid w:val="00AF0F6C"/>
    <w:rsid w:val="00AF149E"/>
    <w:rsid w:val="00AF1DF4"/>
    <w:rsid w:val="00AF674A"/>
    <w:rsid w:val="00AF7949"/>
    <w:rsid w:val="00B02F56"/>
    <w:rsid w:val="00B031EC"/>
    <w:rsid w:val="00B04050"/>
    <w:rsid w:val="00B054D9"/>
    <w:rsid w:val="00B05599"/>
    <w:rsid w:val="00B06C74"/>
    <w:rsid w:val="00B07E67"/>
    <w:rsid w:val="00B10D60"/>
    <w:rsid w:val="00B1104C"/>
    <w:rsid w:val="00B12A06"/>
    <w:rsid w:val="00B13A8C"/>
    <w:rsid w:val="00B158B7"/>
    <w:rsid w:val="00B15C19"/>
    <w:rsid w:val="00B164E7"/>
    <w:rsid w:val="00B169B3"/>
    <w:rsid w:val="00B200B3"/>
    <w:rsid w:val="00B21C17"/>
    <w:rsid w:val="00B265FF"/>
    <w:rsid w:val="00B26CD4"/>
    <w:rsid w:val="00B26D25"/>
    <w:rsid w:val="00B3029F"/>
    <w:rsid w:val="00B33621"/>
    <w:rsid w:val="00B33A8E"/>
    <w:rsid w:val="00B359D8"/>
    <w:rsid w:val="00B36090"/>
    <w:rsid w:val="00B410FD"/>
    <w:rsid w:val="00B411E0"/>
    <w:rsid w:val="00B42553"/>
    <w:rsid w:val="00B42A54"/>
    <w:rsid w:val="00B42C8C"/>
    <w:rsid w:val="00B46A39"/>
    <w:rsid w:val="00B50AE4"/>
    <w:rsid w:val="00B53D50"/>
    <w:rsid w:val="00B5444E"/>
    <w:rsid w:val="00B544D8"/>
    <w:rsid w:val="00B57180"/>
    <w:rsid w:val="00B604CB"/>
    <w:rsid w:val="00B61680"/>
    <w:rsid w:val="00B61E89"/>
    <w:rsid w:val="00B62147"/>
    <w:rsid w:val="00B64128"/>
    <w:rsid w:val="00B64130"/>
    <w:rsid w:val="00B64163"/>
    <w:rsid w:val="00B65F90"/>
    <w:rsid w:val="00B665AC"/>
    <w:rsid w:val="00B70008"/>
    <w:rsid w:val="00B72AAC"/>
    <w:rsid w:val="00B735C5"/>
    <w:rsid w:val="00B73E72"/>
    <w:rsid w:val="00B75EDF"/>
    <w:rsid w:val="00B77E69"/>
    <w:rsid w:val="00B800C7"/>
    <w:rsid w:val="00B81EB9"/>
    <w:rsid w:val="00B85A4E"/>
    <w:rsid w:val="00B906CF"/>
    <w:rsid w:val="00B9231D"/>
    <w:rsid w:val="00B92ACF"/>
    <w:rsid w:val="00B92DD2"/>
    <w:rsid w:val="00B92F00"/>
    <w:rsid w:val="00B95813"/>
    <w:rsid w:val="00BA1A83"/>
    <w:rsid w:val="00BA37D5"/>
    <w:rsid w:val="00BA43D7"/>
    <w:rsid w:val="00BA51C1"/>
    <w:rsid w:val="00BB1638"/>
    <w:rsid w:val="00BB1B51"/>
    <w:rsid w:val="00BB48B0"/>
    <w:rsid w:val="00BC04B9"/>
    <w:rsid w:val="00BC1C7C"/>
    <w:rsid w:val="00BC26D5"/>
    <w:rsid w:val="00BC4287"/>
    <w:rsid w:val="00BC42D9"/>
    <w:rsid w:val="00BC4AF0"/>
    <w:rsid w:val="00BC5853"/>
    <w:rsid w:val="00BC7F4C"/>
    <w:rsid w:val="00BD0189"/>
    <w:rsid w:val="00BD09EF"/>
    <w:rsid w:val="00BD0C0C"/>
    <w:rsid w:val="00BD0E65"/>
    <w:rsid w:val="00BD16DA"/>
    <w:rsid w:val="00BD45CF"/>
    <w:rsid w:val="00BD4D3B"/>
    <w:rsid w:val="00BD5A84"/>
    <w:rsid w:val="00BD63DE"/>
    <w:rsid w:val="00BD669D"/>
    <w:rsid w:val="00BE0CF7"/>
    <w:rsid w:val="00BE6FF0"/>
    <w:rsid w:val="00BE7EF6"/>
    <w:rsid w:val="00BF160B"/>
    <w:rsid w:val="00BF227C"/>
    <w:rsid w:val="00BF2659"/>
    <w:rsid w:val="00BF5651"/>
    <w:rsid w:val="00BF799C"/>
    <w:rsid w:val="00C00A54"/>
    <w:rsid w:val="00C03069"/>
    <w:rsid w:val="00C030FE"/>
    <w:rsid w:val="00C03BFB"/>
    <w:rsid w:val="00C0672F"/>
    <w:rsid w:val="00C068A6"/>
    <w:rsid w:val="00C069B0"/>
    <w:rsid w:val="00C07C00"/>
    <w:rsid w:val="00C1071F"/>
    <w:rsid w:val="00C10915"/>
    <w:rsid w:val="00C12EAA"/>
    <w:rsid w:val="00C13F2D"/>
    <w:rsid w:val="00C171AE"/>
    <w:rsid w:val="00C17E9C"/>
    <w:rsid w:val="00C20EA3"/>
    <w:rsid w:val="00C2117B"/>
    <w:rsid w:val="00C22247"/>
    <w:rsid w:val="00C23361"/>
    <w:rsid w:val="00C23CA4"/>
    <w:rsid w:val="00C23D44"/>
    <w:rsid w:val="00C26F5F"/>
    <w:rsid w:val="00C2715E"/>
    <w:rsid w:val="00C300DD"/>
    <w:rsid w:val="00C30D63"/>
    <w:rsid w:val="00C30E90"/>
    <w:rsid w:val="00C35D44"/>
    <w:rsid w:val="00C35E86"/>
    <w:rsid w:val="00C35EBB"/>
    <w:rsid w:val="00C417C3"/>
    <w:rsid w:val="00C4284E"/>
    <w:rsid w:val="00C44288"/>
    <w:rsid w:val="00C4486C"/>
    <w:rsid w:val="00C44932"/>
    <w:rsid w:val="00C454EA"/>
    <w:rsid w:val="00C459D2"/>
    <w:rsid w:val="00C470AE"/>
    <w:rsid w:val="00C47BAA"/>
    <w:rsid w:val="00C501CB"/>
    <w:rsid w:val="00C5256C"/>
    <w:rsid w:val="00C52848"/>
    <w:rsid w:val="00C52EE2"/>
    <w:rsid w:val="00C53E2E"/>
    <w:rsid w:val="00C55CB1"/>
    <w:rsid w:val="00C56731"/>
    <w:rsid w:val="00C570B7"/>
    <w:rsid w:val="00C57F0E"/>
    <w:rsid w:val="00C602FF"/>
    <w:rsid w:val="00C60397"/>
    <w:rsid w:val="00C605A7"/>
    <w:rsid w:val="00C61790"/>
    <w:rsid w:val="00C65FA5"/>
    <w:rsid w:val="00C67D35"/>
    <w:rsid w:val="00C72FD6"/>
    <w:rsid w:val="00C745F8"/>
    <w:rsid w:val="00C746FA"/>
    <w:rsid w:val="00C77BAF"/>
    <w:rsid w:val="00C8053F"/>
    <w:rsid w:val="00C82D5A"/>
    <w:rsid w:val="00C8464D"/>
    <w:rsid w:val="00C84688"/>
    <w:rsid w:val="00C85D16"/>
    <w:rsid w:val="00C90B8E"/>
    <w:rsid w:val="00C91373"/>
    <w:rsid w:val="00C91FB1"/>
    <w:rsid w:val="00C92C1C"/>
    <w:rsid w:val="00C93053"/>
    <w:rsid w:val="00C93B75"/>
    <w:rsid w:val="00C93F37"/>
    <w:rsid w:val="00C94320"/>
    <w:rsid w:val="00C95392"/>
    <w:rsid w:val="00C971F5"/>
    <w:rsid w:val="00CA4B55"/>
    <w:rsid w:val="00CA5564"/>
    <w:rsid w:val="00CA6294"/>
    <w:rsid w:val="00CA7EA1"/>
    <w:rsid w:val="00CB01B5"/>
    <w:rsid w:val="00CB25A6"/>
    <w:rsid w:val="00CB2FCD"/>
    <w:rsid w:val="00CB3D10"/>
    <w:rsid w:val="00CB4E7B"/>
    <w:rsid w:val="00CB739B"/>
    <w:rsid w:val="00CC032D"/>
    <w:rsid w:val="00CC0521"/>
    <w:rsid w:val="00CC12C0"/>
    <w:rsid w:val="00CC4BA0"/>
    <w:rsid w:val="00CC5648"/>
    <w:rsid w:val="00CC6060"/>
    <w:rsid w:val="00CC7008"/>
    <w:rsid w:val="00CD0241"/>
    <w:rsid w:val="00CD1693"/>
    <w:rsid w:val="00CD1F8D"/>
    <w:rsid w:val="00CD2A8E"/>
    <w:rsid w:val="00CD2B85"/>
    <w:rsid w:val="00CD2DA7"/>
    <w:rsid w:val="00CD3AF4"/>
    <w:rsid w:val="00CD4382"/>
    <w:rsid w:val="00CD43C2"/>
    <w:rsid w:val="00CD4DA4"/>
    <w:rsid w:val="00CD6F9F"/>
    <w:rsid w:val="00CE4AAA"/>
    <w:rsid w:val="00CE7272"/>
    <w:rsid w:val="00CF06DD"/>
    <w:rsid w:val="00CF1E57"/>
    <w:rsid w:val="00CF5888"/>
    <w:rsid w:val="00CF60D2"/>
    <w:rsid w:val="00CF704D"/>
    <w:rsid w:val="00D000CE"/>
    <w:rsid w:val="00D01B83"/>
    <w:rsid w:val="00D01EB7"/>
    <w:rsid w:val="00D03EAD"/>
    <w:rsid w:val="00D055D8"/>
    <w:rsid w:val="00D057EC"/>
    <w:rsid w:val="00D07AA0"/>
    <w:rsid w:val="00D1264D"/>
    <w:rsid w:val="00D13530"/>
    <w:rsid w:val="00D13693"/>
    <w:rsid w:val="00D15957"/>
    <w:rsid w:val="00D17713"/>
    <w:rsid w:val="00D2041A"/>
    <w:rsid w:val="00D21DA7"/>
    <w:rsid w:val="00D22D44"/>
    <w:rsid w:val="00D24103"/>
    <w:rsid w:val="00D258DC"/>
    <w:rsid w:val="00D3072D"/>
    <w:rsid w:val="00D31D1A"/>
    <w:rsid w:val="00D3301B"/>
    <w:rsid w:val="00D35E7E"/>
    <w:rsid w:val="00D3726B"/>
    <w:rsid w:val="00D373E3"/>
    <w:rsid w:val="00D42EA8"/>
    <w:rsid w:val="00D44518"/>
    <w:rsid w:val="00D44AE5"/>
    <w:rsid w:val="00D474B3"/>
    <w:rsid w:val="00D47A2A"/>
    <w:rsid w:val="00D502C7"/>
    <w:rsid w:val="00D519DA"/>
    <w:rsid w:val="00D52CA8"/>
    <w:rsid w:val="00D539B4"/>
    <w:rsid w:val="00D556C6"/>
    <w:rsid w:val="00D56BF5"/>
    <w:rsid w:val="00D5708F"/>
    <w:rsid w:val="00D571C6"/>
    <w:rsid w:val="00D605EB"/>
    <w:rsid w:val="00D62163"/>
    <w:rsid w:val="00D628C2"/>
    <w:rsid w:val="00D66246"/>
    <w:rsid w:val="00D668A1"/>
    <w:rsid w:val="00D707ED"/>
    <w:rsid w:val="00D70B36"/>
    <w:rsid w:val="00D72501"/>
    <w:rsid w:val="00D7368D"/>
    <w:rsid w:val="00D8034C"/>
    <w:rsid w:val="00D81C11"/>
    <w:rsid w:val="00D826F0"/>
    <w:rsid w:val="00D8566A"/>
    <w:rsid w:val="00D8599B"/>
    <w:rsid w:val="00D903AA"/>
    <w:rsid w:val="00D904E7"/>
    <w:rsid w:val="00D90C26"/>
    <w:rsid w:val="00D91009"/>
    <w:rsid w:val="00D913CE"/>
    <w:rsid w:val="00D928F9"/>
    <w:rsid w:val="00D92970"/>
    <w:rsid w:val="00D94059"/>
    <w:rsid w:val="00D94D3E"/>
    <w:rsid w:val="00D95491"/>
    <w:rsid w:val="00D971CA"/>
    <w:rsid w:val="00D9734D"/>
    <w:rsid w:val="00DA0755"/>
    <w:rsid w:val="00DB030E"/>
    <w:rsid w:val="00DB1041"/>
    <w:rsid w:val="00DB292B"/>
    <w:rsid w:val="00DB2E88"/>
    <w:rsid w:val="00DB54E4"/>
    <w:rsid w:val="00DB5F81"/>
    <w:rsid w:val="00DB7440"/>
    <w:rsid w:val="00DC02D1"/>
    <w:rsid w:val="00DC1007"/>
    <w:rsid w:val="00DC13E8"/>
    <w:rsid w:val="00DC2943"/>
    <w:rsid w:val="00DC3584"/>
    <w:rsid w:val="00DC491C"/>
    <w:rsid w:val="00DC5073"/>
    <w:rsid w:val="00DC5076"/>
    <w:rsid w:val="00DC5784"/>
    <w:rsid w:val="00DC78CB"/>
    <w:rsid w:val="00DD234C"/>
    <w:rsid w:val="00DD2610"/>
    <w:rsid w:val="00DD5866"/>
    <w:rsid w:val="00DD5E3F"/>
    <w:rsid w:val="00DD6A0D"/>
    <w:rsid w:val="00DD7896"/>
    <w:rsid w:val="00DD7E79"/>
    <w:rsid w:val="00DE1283"/>
    <w:rsid w:val="00DE3B24"/>
    <w:rsid w:val="00DE408F"/>
    <w:rsid w:val="00DE5D0C"/>
    <w:rsid w:val="00DE74EF"/>
    <w:rsid w:val="00DE765E"/>
    <w:rsid w:val="00DF72BE"/>
    <w:rsid w:val="00E02DD6"/>
    <w:rsid w:val="00E05047"/>
    <w:rsid w:val="00E1084A"/>
    <w:rsid w:val="00E115CF"/>
    <w:rsid w:val="00E127AC"/>
    <w:rsid w:val="00E12F94"/>
    <w:rsid w:val="00E133C5"/>
    <w:rsid w:val="00E13CFD"/>
    <w:rsid w:val="00E150BF"/>
    <w:rsid w:val="00E15B9A"/>
    <w:rsid w:val="00E16DCE"/>
    <w:rsid w:val="00E17905"/>
    <w:rsid w:val="00E17EFC"/>
    <w:rsid w:val="00E21B34"/>
    <w:rsid w:val="00E3415B"/>
    <w:rsid w:val="00E3527B"/>
    <w:rsid w:val="00E35AB7"/>
    <w:rsid w:val="00E35F63"/>
    <w:rsid w:val="00E40B7B"/>
    <w:rsid w:val="00E430AF"/>
    <w:rsid w:val="00E4324B"/>
    <w:rsid w:val="00E434B8"/>
    <w:rsid w:val="00E43975"/>
    <w:rsid w:val="00E43B42"/>
    <w:rsid w:val="00E46797"/>
    <w:rsid w:val="00E547D8"/>
    <w:rsid w:val="00E565F0"/>
    <w:rsid w:val="00E573CE"/>
    <w:rsid w:val="00E6319C"/>
    <w:rsid w:val="00E63FDB"/>
    <w:rsid w:val="00E650E0"/>
    <w:rsid w:val="00E6692B"/>
    <w:rsid w:val="00E70065"/>
    <w:rsid w:val="00E70A23"/>
    <w:rsid w:val="00E7126A"/>
    <w:rsid w:val="00E717F7"/>
    <w:rsid w:val="00E7206A"/>
    <w:rsid w:val="00E729AD"/>
    <w:rsid w:val="00E72B8E"/>
    <w:rsid w:val="00E75295"/>
    <w:rsid w:val="00E759B8"/>
    <w:rsid w:val="00E825A0"/>
    <w:rsid w:val="00E83603"/>
    <w:rsid w:val="00E86023"/>
    <w:rsid w:val="00E925F1"/>
    <w:rsid w:val="00E94334"/>
    <w:rsid w:val="00E94B1B"/>
    <w:rsid w:val="00E9704B"/>
    <w:rsid w:val="00EA0CF1"/>
    <w:rsid w:val="00EA1EA2"/>
    <w:rsid w:val="00EA5103"/>
    <w:rsid w:val="00EA6DB8"/>
    <w:rsid w:val="00EB0CF1"/>
    <w:rsid w:val="00EB4C22"/>
    <w:rsid w:val="00EB6CC8"/>
    <w:rsid w:val="00EC07EA"/>
    <w:rsid w:val="00EC1337"/>
    <w:rsid w:val="00EC1C75"/>
    <w:rsid w:val="00EC1D01"/>
    <w:rsid w:val="00EC314E"/>
    <w:rsid w:val="00EC52FF"/>
    <w:rsid w:val="00EC7402"/>
    <w:rsid w:val="00ED01D1"/>
    <w:rsid w:val="00ED0520"/>
    <w:rsid w:val="00ED1269"/>
    <w:rsid w:val="00ED1335"/>
    <w:rsid w:val="00ED1CE0"/>
    <w:rsid w:val="00ED2EA1"/>
    <w:rsid w:val="00ED48A8"/>
    <w:rsid w:val="00ED4F16"/>
    <w:rsid w:val="00ED5A5B"/>
    <w:rsid w:val="00ED66E6"/>
    <w:rsid w:val="00EE0059"/>
    <w:rsid w:val="00EE1802"/>
    <w:rsid w:val="00EE22B0"/>
    <w:rsid w:val="00EE42A4"/>
    <w:rsid w:val="00EE4340"/>
    <w:rsid w:val="00EE47E7"/>
    <w:rsid w:val="00EE56B7"/>
    <w:rsid w:val="00EE716B"/>
    <w:rsid w:val="00EF1D77"/>
    <w:rsid w:val="00EF2C03"/>
    <w:rsid w:val="00EF559A"/>
    <w:rsid w:val="00F0158F"/>
    <w:rsid w:val="00F01A35"/>
    <w:rsid w:val="00F027EA"/>
    <w:rsid w:val="00F03008"/>
    <w:rsid w:val="00F043BD"/>
    <w:rsid w:val="00F05409"/>
    <w:rsid w:val="00F05690"/>
    <w:rsid w:val="00F062A7"/>
    <w:rsid w:val="00F06F07"/>
    <w:rsid w:val="00F0716C"/>
    <w:rsid w:val="00F072FD"/>
    <w:rsid w:val="00F10FF5"/>
    <w:rsid w:val="00F11193"/>
    <w:rsid w:val="00F1721A"/>
    <w:rsid w:val="00F20D19"/>
    <w:rsid w:val="00F2145C"/>
    <w:rsid w:val="00F21F62"/>
    <w:rsid w:val="00F22D48"/>
    <w:rsid w:val="00F23257"/>
    <w:rsid w:val="00F36CFE"/>
    <w:rsid w:val="00F372A3"/>
    <w:rsid w:val="00F43C02"/>
    <w:rsid w:val="00F442EA"/>
    <w:rsid w:val="00F4493A"/>
    <w:rsid w:val="00F44E20"/>
    <w:rsid w:val="00F562BC"/>
    <w:rsid w:val="00F56419"/>
    <w:rsid w:val="00F578F2"/>
    <w:rsid w:val="00F61269"/>
    <w:rsid w:val="00F61EC2"/>
    <w:rsid w:val="00F62D21"/>
    <w:rsid w:val="00F6438D"/>
    <w:rsid w:val="00F64834"/>
    <w:rsid w:val="00F649DB"/>
    <w:rsid w:val="00F64C5E"/>
    <w:rsid w:val="00F652BE"/>
    <w:rsid w:val="00F66810"/>
    <w:rsid w:val="00F673AB"/>
    <w:rsid w:val="00F716AD"/>
    <w:rsid w:val="00F72939"/>
    <w:rsid w:val="00F74009"/>
    <w:rsid w:val="00F77D99"/>
    <w:rsid w:val="00F817C4"/>
    <w:rsid w:val="00F81AFD"/>
    <w:rsid w:val="00F84BAB"/>
    <w:rsid w:val="00F84DB5"/>
    <w:rsid w:val="00F86140"/>
    <w:rsid w:val="00F87180"/>
    <w:rsid w:val="00F906DD"/>
    <w:rsid w:val="00F94F3E"/>
    <w:rsid w:val="00F9609C"/>
    <w:rsid w:val="00FA0570"/>
    <w:rsid w:val="00FA164C"/>
    <w:rsid w:val="00FA16C2"/>
    <w:rsid w:val="00FA23D2"/>
    <w:rsid w:val="00FA26D5"/>
    <w:rsid w:val="00FA3F9B"/>
    <w:rsid w:val="00FB0017"/>
    <w:rsid w:val="00FB17E5"/>
    <w:rsid w:val="00FB1D21"/>
    <w:rsid w:val="00FB5079"/>
    <w:rsid w:val="00FC0E88"/>
    <w:rsid w:val="00FC211A"/>
    <w:rsid w:val="00FC4D32"/>
    <w:rsid w:val="00FC5503"/>
    <w:rsid w:val="00FC62EC"/>
    <w:rsid w:val="00FC73B3"/>
    <w:rsid w:val="00FD19BC"/>
    <w:rsid w:val="00FD1C5D"/>
    <w:rsid w:val="00FD1F49"/>
    <w:rsid w:val="00FD4465"/>
    <w:rsid w:val="00FD4AFE"/>
    <w:rsid w:val="00FE008B"/>
    <w:rsid w:val="00FE205A"/>
    <w:rsid w:val="00FE33A6"/>
    <w:rsid w:val="00FE417A"/>
    <w:rsid w:val="00FE752F"/>
    <w:rsid w:val="00FE76BE"/>
    <w:rsid w:val="00FE7DFC"/>
    <w:rsid w:val="00FF0A90"/>
    <w:rsid w:val="00FF4303"/>
    <w:rsid w:val="00FF4476"/>
    <w:rsid w:val="00FF5F63"/>
    <w:rsid w:val="00FF6B5D"/>
    <w:rsid w:val="00FF7ED4"/>
    <w:rsid w:val="01105CB5"/>
    <w:rsid w:val="03A51A6B"/>
    <w:rsid w:val="03E226FC"/>
    <w:rsid w:val="05195317"/>
    <w:rsid w:val="08C45664"/>
    <w:rsid w:val="090866F7"/>
    <w:rsid w:val="09B340CA"/>
    <w:rsid w:val="09EE0F32"/>
    <w:rsid w:val="10CC0B76"/>
    <w:rsid w:val="13496919"/>
    <w:rsid w:val="1448131A"/>
    <w:rsid w:val="15F07C4A"/>
    <w:rsid w:val="16184154"/>
    <w:rsid w:val="16205ADD"/>
    <w:rsid w:val="16AC5798"/>
    <w:rsid w:val="17956C4B"/>
    <w:rsid w:val="17AF075C"/>
    <w:rsid w:val="19B35E04"/>
    <w:rsid w:val="1A9A2AF8"/>
    <w:rsid w:val="1CA978FF"/>
    <w:rsid w:val="1D607CAB"/>
    <w:rsid w:val="1F8C5E4C"/>
    <w:rsid w:val="1FA20B74"/>
    <w:rsid w:val="2025037D"/>
    <w:rsid w:val="20436F19"/>
    <w:rsid w:val="211C2281"/>
    <w:rsid w:val="212F509A"/>
    <w:rsid w:val="220926BF"/>
    <w:rsid w:val="22A95594"/>
    <w:rsid w:val="22B479FE"/>
    <w:rsid w:val="22F807F1"/>
    <w:rsid w:val="243C3983"/>
    <w:rsid w:val="276B1A67"/>
    <w:rsid w:val="28596F95"/>
    <w:rsid w:val="293D064A"/>
    <w:rsid w:val="29E559AF"/>
    <w:rsid w:val="2AF7478C"/>
    <w:rsid w:val="2B2D56AC"/>
    <w:rsid w:val="2C425E38"/>
    <w:rsid w:val="2CB060E6"/>
    <w:rsid w:val="2CDE7872"/>
    <w:rsid w:val="2D665D1E"/>
    <w:rsid w:val="2E4076F6"/>
    <w:rsid w:val="2F14770F"/>
    <w:rsid w:val="2F762DA3"/>
    <w:rsid w:val="2F8D1F5F"/>
    <w:rsid w:val="30F80FFA"/>
    <w:rsid w:val="33557A54"/>
    <w:rsid w:val="346C0227"/>
    <w:rsid w:val="36BD182A"/>
    <w:rsid w:val="37450ADB"/>
    <w:rsid w:val="379C49B7"/>
    <w:rsid w:val="39EE48F0"/>
    <w:rsid w:val="3ACD2F39"/>
    <w:rsid w:val="3BA71F91"/>
    <w:rsid w:val="3D2B1E37"/>
    <w:rsid w:val="3D727D5E"/>
    <w:rsid w:val="3EE35DE2"/>
    <w:rsid w:val="4136175B"/>
    <w:rsid w:val="4163240A"/>
    <w:rsid w:val="41A45839"/>
    <w:rsid w:val="421E0B0E"/>
    <w:rsid w:val="42460F98"/>
    <w:rsid w:val="42620BB8"/>
    <w:rsid w:val="42BC53BA"/>
    <w:rsid w:val="45CE0650"/>
    <w:rsid w:val="48750319"/>
    <w:rsid w:val="488D30A3"/>
    <w:rsid w:val="48B14E25"/>
    <w:rsid w:val="48C40477"/>
    <w:rsid w:val="48DA1761"/>
    <w:rsid w:val="48E82019"/>
    <w:rsid w:val="49A63AD4"/>
    <w:rsid w:val="4BB61967"/>
    <w:rsid w:val="4BF321D3"/>
    <w:rsid w:val="4D33552B"/>
    <w:rsid w:val="4D535476"/>
    <w:rsid w:val="522607F8"/>
    <w:rsid w:val="533943CC"/>
    <w:rsid w:val="54904838"/>
    <w:rsid w:val="5518566C"/>
    <w:rsid w:val="566043F0"/>
    <w:rsid w:val="56E10C5F"/>
    <w:rsid w:val="5820251B"/>
    <w:rsid w:val="586728A4"/>
    <w:rsid w:val="5AFB37BF"/>
    <w:rsid w:val="5B6339F0"/>
    <w:rsid w:val="5BAE3E6C"/>
    <w:rsid w:val="5C384E7D"/>
    <w:rsid w:val="5F603D0B"/>
    <w:rsid w:val="5FFC5DFF"/>
    <w:rsid w:val="604575DA"/>
    <w:rsid w:val="61903706"/>
    <w:rsid w:val="62731DFA"/>
    <w:rsid w:val="64B654D9"/>
    <w:rsid w:val="652D4423"/>
    <w:rsid w:val="67411BEA"/>
    <w:rsid w:val="676673EC"/>
    <w:rsid w:val="690F4654"/>
    <w:rsid w:val="6BE41BEC"/>
    <w:rsid w:val="6C015A54"/>
    <w:rsid w:val="6CB51D1C"/>
    <w:rsid w:val="6DE05374"/>
    <w:rsid w:val="6DFB70EF"/>
    <w:rsid w:val="6E214170"/>
    <w:rsid w:val="717E5570"/>
    <w:rsid w:val="753E78FA"/>
    <w:rsid w:val="76184C1F"/>
    <w:rsid w:val="785A5D7C"/>
    <w:rsid w:val="79517D5D"/>
    <w:rsid w:val="799924B3"/>
    <w:rsid w:val="7BC50D6D"/>
    <w:rsid w:val="7DC03D30"/>
    <w:rsid w:val="7EC23DB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ocked="1"/>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qFormat="1" w:uiPriority="99" w:semiHidden="0" w:name="index 9" w:locked="1"/>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0"/>
    <w:pPr>
      <w:keepNext/>
      <w:keepLines/>
      <w:spacing w:line="360" w:lineRule="auto"/>
      <w:jc w:val="center"/>
      <w:outlineLvl w:val="0"/>
    </w:pPr>
    <w:rPr>
      <w:b/>
      <w:bCs/>
      <w:kern w:val="44"/>
      <w:sz w:val="44"/>
      <w:szCs w:val="44"/>
    </w:rPr>
  </w:style>
  <w:style w:type="paragraph" w:styleId="4">
    <w:name w:val="heading 2"/>
    <w:basedOn w:val="1"/>
    <w:next w:val="1"/>
    <w:link w:val="29"/>
    <w:qFormat/>
    <w:locked/>
    <w:uiPriority w:val="99"/>
    <w:pPr>
      <w:keepNext/>
      <w:keepLines/>
      <w:spacing w:beforeLines="50" w:afterLines="50" w:line="360" w:lineRule="auto"/>
      <w:outlineLvl w:val="1"/>
    </w:pPr>
    <w:rPr>
      <w:rFonts w:ascii="Cambria" w:hAnsi="Cambria"/>
      <w:b/>
      <w:sz w:val="24"/>
      <w:szCs w:val="20"/>
    </w:rPr>
  </w:style>
  <w:style w:type="paragraph" w:styleId="5">
    <w:name w:val="heading 3"/>
    <w:basedOn w:val="1"/>
    <w:next w:val="1"/>
    <w:qFormat/>
    <w:uiPriority w:val="99"/>
    <w:pPr>
      <w:keepNext/>
      <w:keepLines/>
      <w:spacing w:before="260" w:after="260" w:line="416" w:lineRule="auto"/>
      <w:outlineLvl w:val="2"/>
    </w:pPr>
    <w:rPr>
      <w:b/>
      <w:kern w:val="0"/>
      <w:sz w:val="32"/>
      <w:szCs w:val="20"/>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2">
    <w:name w:val="index 9"/>
    <w:basedOn w:val="1"/>
    <w:next w:val="1"/>
    <w:unhideWhenUsed/>
    <w:qFormat/>
    <w:locked/>
    <w:uiPriority w:val="99"/>
    <w:pPr>
      <w:ind w:left="1600" w:leftChars="1600"/>
    </w:pPr>
  </w:style>
  <w:style w:type="paragraph" w:styleId="6">
    <w:name w:val="Normal Indent"/>
    <w:basedOn w:val="1"/>
    <w:link w:val="46"/>
    <w:qFormat/>
    <w:locked/>
    <w:uiPriority w:val="99"/>
    <w:pPr>
      <w:ind w:firstLine="420"/>
    </w:pPr>
    <w:rPr>
      <w:kern w:val="0"/>
      <w:sz w:val="20"/>
      <w:szCs w:val="20"/>
    </w:rPr>
  </w:style>
  <w:style w:type="paragraph" w:styleId="7">
    <w:name w:val="Document Map"/>
    <w:basedOn w:val="1"/>
    <w:link w:val="30"/>
    <w:semiHidden/>
    <w:qFormat/>
    <w:uiPriority w:val="99"/>
    <w:pPr>
      <w:shd w:val="clear" w:color="auto" w:fill="000080"/>
    </w:pPr>
    <w:rPr>
      <w:rFonts w:ascii="Calibri" w:hAnsi="Calibri"/>
      <w:kern w:val="0"/>
      <w:sz w:val="2"/>
      <w:szCs w:val="20"/>
    </w:rPr>
  </w:style>
  <w:style w:type="paragraph" w:styleId="8">
    <w:name w:val="Body Text"/>
    <w:basedOn w:val="1"/>
    <w:link w:val="31"/>
    <w:qFormat/>
    <w:uiPriority w:val="99"/>
    <w:pPr>
      <w:spacing w:after="120"/>
    </w:pPr>
    <w:rPr>
      <w:rFonts w:ascii="Calibri" w:hAnsi="Calibri"/>
      <w:sz w:val="24"/>
      <w:szCs w:val="20"/>
    </w:rPr>
  </w:style>
  <w:style w:type="paragraph" w:styleId="9">
    <w:name w:val="Body Text Indent"/>
    <w:basedOn w:val="1"/>
    <w:next w:val="10"/>
    <w:qFormat/>
    <w:locked/>
    <w:uiPriority w:val="0"/>
    <w:pPr>
      <w:ind w:firstLine="645"/>
    </w:pPr>
    <w:rPr>
      <w:rFonts w:ascii="楷体_GB2312" w:eastAsia="楷体_GB2312"/>
      <w:sz w:val="32"/>
      <w:szCs w:val="32"/>
    </w:rPr>
  </w:style>
  <w:style w:type="paragraph" w:styleId="10">
    <w:name w:val="envelope return"/>
    <w:basedOn w:val="1"/>
    <w:unhideWhenUsed/>
    <w:qFormat/>
    <w:locked/>
    <w:uiPriority w:val="99"/>
    <w:pPr>
      <w:snapToGrid w:val="0"/>
    </w:pPr>
    <w:rPr>
      <w:rFonts w:ascii="Arial" w:hAnsi="Arial"/>
    </w:rPr>
  </w:style>
  <w:style w:type="paragraph" w:styleId="11">
    <w:name w:val="Plain Text"/>
    <w:basedOn w:val="1"/>
    <w:link w:val="32"/>
    <w:qFormat/>
    <w:uiPriority w:val="0"/>
    <w:pPr>
      <w:jc w:val="left"/>
    </w:pPr>
    <w:rPr>
      <w:rFonts w:ascii="宋体" w:hAnsi="Courier New"/>
      <w:kern w:val="0"/>
      <w:szCs w:val="20"/>
    </w:rPr>
  </w:style>
  <w:style w:type="paragraph" w:styleId="12">
    <w:name w:val="Date"/>
    <w:basedOn w:val="1"/>
    <w:next w:val="1"/>
    <w:link w:val="33"/>
    <w:qFormat/>
    <w:uiPriority w:val="99"/>
    <w:pPr>
      <w:ind w:left="2500" w:leftChars="2500"/>
    </w:pPr>
    <w:rPr>
      <w:rFonts w:ascii="Calibri" w:hAnsi="Calibri" w:eastAsia="黑体"/>
      <w:kern w:val="0"/>
      <w:sz w:val="24"/>
      <w:szCs w:val="20"/>
    </w:rPr>
  </w:style>
  <w:style w:type="paragraph" w:styleId="13">
    <w:name w:val="Balloon Text"/>
    <w:basedOn w:val="1"/>
    <w:link w:val="34"/>
    <w:semiHidden/>
    <w:qFormat/>
    <w:uiPriority w:val="99"/>
    <w:rPr>
      <w:rFonts w:ascii="Calibri" w:hAnsi="Calibri"/>
      <w:sz w:val="18"/>
      <w:szCs w:val="20"/>
    </w:rPr>
  </w:style>
  <w:style w:type="paragraph" w:styleId="14">
    <w:name w:val="footer"/>
    <w:basedOn w:val="1"/>
    <w:link w:val="35"/>
    <w:qFormat/>
    <w:uiPriority w:val="99"/>
    <w:pPr>
      <w:tabs>
        <w:tab w:val="center" w:pos="4153"/>
        <w:tab w:val="right" w:pos="8306"/>
      </w:tabs>
      <w:snapToGrid w:val="0"/>
      <w:jc w:val="left"/>
    </w:pPr>
    <w:rPr>
      <w:rFonts w:ascii="Calibri" w:hAnsi="Calibri"/>
      <w:sz w:val="18"/>
      <w:szCs w:val="20"/>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rFonts w:ascii="Calibri" w:hAnsi="Calibri"/>
      <w:sz w:val="18"/>
      <w:szCs w:val="20"/>
    </w:rPr>
  </w:style>
  <w:style w:type="paragraph" w:styleId="16">
    <w:name w:val="toc 1"/>
    <w:basedOn w:val="1"/>
    <w:next w:val="1"/>
    <w:qFormat/>
    <w:uiPriority w:val="39"/>
  </w:style>
  <w:style w:type="paragraph" w:styleId="17">
    <w:name w:val="Subtitle"/>
    <w:basedOn w:val="1"/>
    <w:next w:val="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8">
    <w:name w:val="toc 2"/>
    <w:basedOn w:val="1"/>
    <w:next w:val="1"/>
    <w:qFormat/>
    <w:uiPriority w:val="39"/>
    <w:pPr>
      <w:ind w:left="420" w:leftChars="200"/>
    </w:pPr>
  </w:style>
  <w:style w:type="paragraph" w:styleId="19">
    <w:name w:val="HTML Preformatted"/>
    <w:basedOn w:val="1"/>
    <w:link w:val="37"/>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kern w:val="0"/>
      <w:sz w:val="24"/>
      <w:szCs w:val="20"/>
    </w:rPr>
  </w:style>
  <w:style w:type="paragraph" w:styleId="20">
    <w:name w:val="Normal (Web)"/>
    <w:basedOn w:val="1"/>
    <w:qFormat/>
    <w:locked/>
    <w:uiPriority w:val="99"/>
    <w:pPr>
      <w:widowControl/>
      <w:spacing w:before="100" w:beforeAutospacing="1" w:after="100" w:afterAutospacing="1"/>
      <w:jc w:val="left"/>
    </w:pPr>
    <w:rPr>
      <w:rFonts w:ascii="宋体" w:hAnsi="宋体"/>
      <w:color w:val="000000"/>
      <w:kern w:val="0"/>
      <w:sz w:val="18"/>
      <w:szCs w:val="18"/>
    </w:rPr>
  </w:style>
  <w:style w:type="paragraph" w:styleId="21">
    <w:name w:val="Body Text First Indent 2"/>
    <w:basedOn w:val="9"/>
    <w:qFormat/>
    <w:locked/>
    <w:uiPriority w:val="0"/>
    <w:pPr>
      <w:spacing w:line="360" w:lineRule="auto"/>
      <w:ind w:firstLine="420" w:firstLineChars="200"/>
    </w:pPr>
    <w:rPr>
      <w:rFonts w:ascii="宋体" w:hAnsi="宋体" w:eastAsia="宋体"/>
      <w:sz w:val="21"/>
      <w:szCs w:val="20"/>
    </w:rPr>
  </w:style>
  <w:style w:type="table" w:styleId="23">
    <w:name w:val="Table Grid"/>
    <w:basedOn w:val="2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Strong"/>
    <w:basedOn w:val="24"/>
    <w:qFormat/>
    <w:uiPriority w:val="22"/>
    <w:rPr>
      <w:b/>
      <w:bCs/>
    </w:rPr>
  </w:style>
  <w:style w:type="character" w:styleId="26">
    <w:name w:val="page number"/>
    <w:qFormat/>
    <w:uiPriority w:val="99"/>
    <w:rPr>
      <w:rFonts w:cs="Times New Roman"/>
    </w:rPr>
  </w:style>
  <w:style w:type="character" w:styleId="27">
    <w:name w:val="FollowedHyperlink"/>
    <w:qFormat/>
    <w:uiPriority w:val="99"/>
    <w:rPr>
      <w:rFonts w:cs="Times New Roman"/>
      <w:color w:val="800080"/>
      <w:u w:val="single"/>
    </w:rPr>
  </w:style>
  <w:style w:type="character" w:styleId="28">
    <w:name w:val="Hyperlink"/>
    <w:qFormat/>
    <w:uiPriority w:val="99"/>
    <w:rPr>
      <w:rFonts w:cs="Times New Roman"/>
      <w:color w:val="0000FF"/>
      <w:u w:val="single"/>
    </w:rPr>
  </w:style>
  <w:style w:type="character" w:customStyle="1" w:styleId="29">
    <w:name w:val="标题 2 字符"/>
    <w:link w:val="4"/>
    <w:qFormat/>
    <w:locked/>
    <w:uiPriority w:val="99"/>
    <w:rPr>
      <w:rFonts w:ascii="Cambria" w:hAnsi="Cambria"/>
      <w:b/>
      <w:kern w:val="2"/>
      <w:sz w:val="24"/>
    </w:rPr>
  </w:style>
  <w:style w:type="character" w:customStyle="1" w:styleId="30">
    <w:name w:val="文档结构图 字符"/>
    <w:link w:val="7"/>
    <w:semiHidden/>
    <w:qFormat/>
    <w:locked/>
    <w:uiPriority w:val="99"/>
    <w:rPr>
      <w:rFonts w:cs="Times New Roman"/>
      <w:sz w:val="2"/>
    </w:rPr>
  </w:style>
  <w:style w:type="character" w:customStyle="1" w:styleId="31">
    <w:name w:val="正文文本 字符"/>
    <w:link w:val="8"/>
    <w:qFormat/>
    <w:locked/>
    <w:uiPriority w:val="99"/>
    <w:rPr>
      <w:rFonts w:cs="Times New Roman"/>
      <w:kern w:val="2"/>
      <w:sz w:val="24"/>
    </w:rPr>
  </w:style>
  <w:style w:type="character" w:customStyle="1" w:styleId="32">
    <w:name w:val="纯文本 字符"/>
    <w:link w:val="11"/>
    <w:qFormat/>
    <w:locked/>
    <w:uiPriority w:val="0"/>
    <w:rPr>
      <w:rFonts w:ascii="宋体" w:hAnsi="Courier New" w:cs="Times New Roman"/>
      <w:sz w:val="21"/>
    </w:rPr>
  </w:style>
  <w:style w:type="character" w:customStyle="1" w:styleId="33">
    <w:name w:val="日期 字符"/>
    <w:link w:val="12"/>
    <w:qFormat/>
    <w:locked/>
    <w:uiPriority w:val="99"/>
    <w:rPr>
      <w:rFonts w:eastAsia="黑体" w:cs="Times New Roman"/>
      <w:sz w:val="24"/>
    </w:rPr>
  </w:style>
  <w:style w:type="character" w:customStyle="1" w:styleId="34">
    <w:name w:val="批注框文本 字符"/>
    <w:link w:val="13"/>
    <w:semiHidden/>
    <w:qFormat/>
    <w:locked/>
    <w:uiPriority w:val="99"/>
    <w:rPr>
      <w:rFonts w:cs="Times New Roman"/>
      <w:kern w:val="2"/>
      <w:sz w:val="18"/>
    </w:rPr>
  </w:style>
  <w:style w:type="character" w:customStyle="1" w:styleId="35">
    <w:name w:val="页脚 字符"/>
    <w:link w:val="14"/>
    <w:qFormat/>
    <w:locked/>
    <w:uiPriority w:val="99"/>
    <w:rPr>
      <w:rFonts w:cs="Times New Roman"/>
      <w:kern w:val="2"/>
      <w:sz w:val="18"/>
    </w:rPr>
  </w:style>
  <w:style w:type="character" w:customStyle="1" w:styleId="36">
    <w:name w:val="页眉 字符"/>
    <w:link w:val="15"/>
    <w:qFormat/>
    <w:locked/>
    <w:uiPriority w:val="99"/>
    <w:rPr>
      <w:rFonts w:cs="Times New Roman"/>
      <w:kern w:val="2"/>
      <w:sz w:val="18"/>
    </w:rPr>
  </w:style>
  <w:style w:type="character" w:customStyle="1" w:styleId="37">
    <w:name w:val="HTML 预设格式 字符"/>
    <w:link w:val="19"/>
    <w:semiHidden/>
    <w:qFormat/>
    <w:locked/>
    <w:uiPriority w:val="99"/>
    <w:rPr>
      <w:rFonts w:ascii="宋体" w:eastAsia="宋体" w:cs="Times New Roman"/>
      <w:kern w:val="0"/>
      <w:sz w:val="24"/>
    </w:rPr>
  </w:style>
  <w:style w:type="paragraph" w:customStyle="1" w:styleId="38">
    <w:name w:val="此正文"/>
    <w:basedOn w:val="1"/>
    <w:qFormat/>
    <w:uiPriority w:val="99"/>
    <w:pPr>
      <w:spacing w:line="360" w:lineRule="auto"/>
      <w:ind w:firstLine="200" w:firstLineChars="200"/>
    </w:pPr>
    <w:rPr>
      <w:sz w:val="24"/>
      <w:szCs w:val="20"/>
    </w:rPr>
  </w:style>
  <w:style w:type="paragraph" w:customStyle="1" w:styleId="39">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40">
    <w:name w:val="Char Char Char Char Char Char Char"/>
    <w:basedOn w:val="1"/>
    <w:semiHidden/>
    <w:qFormat/>
    <w:uiPriority w:val="99"/>
    <w:rPr>
      <w:rFonts w:ascii="Tahoma" w:hAnsi="Tahoma" w:cs="仿宋_GB2312"/>
      <w:sz w:val="24"/>
      <w:szCs w:val="28"/>
    </w:rPr>
  </w:style>
  <w:style w:type="paragraph" w:customStyle="1" w:styleId="41">
    <w:name w:val="Char Char Char Char"/>
    <w:basedOn w:val="7"/>
    <w:qFormat/>
    <w:uiPriority w:val="99"/>
    <w:pPr>
      <w:adjustRightInd w:val="0"/>
      <w:snapToGrid w:val="0"/>
      <w:spacing w:line="360" w:lineRule="auto"/>
    </w:pPr>
    <w:rPr>
      <w:rFonts w:ascii="Tahoma" w:hAnsi="Tahoma"/>
      <w:sz w:val="24"/>
    </w:rPr>
  </w:style>
  <w:style w:type="character" w:customStyle="1" w:styleId="42">
    <w:name w:val="标题 1 字符"/>
    <w:basedOn w:val="24"/>
    <w:link w:val="3"/>
    <w:qFormat/>
    <w:uiPriority w:val="0"/>
    <w:rPr>
      <w:b/>
      <w:bCs/>
      <w:kern w:val="44"/>
      <w:sz w:val="44"/>
      <w:szCs w:val="44"/>
    </w:rPr>
  </w:style>
  <w:style w:type="paragraph" w:customStyle="1" w:styleId="43">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44">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45">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character" w:customStyle="1" w:styleId="46">
    <w:name w:val="正文缩进 字符"/>
    <w:link w:val="6"/>
    <w:qFormat/>
    <w:uiPriority w:val="99"/>
  </w:style>
  <w:style w:type="paragraph" w:customStyle="1" w:styleId="47">
    <w:name w:val="Char"/>
    <w:basedOn w:val="1"/>
    <w:qFormat/>
    <w:uiPriority w:val="0"/>
    <w:pPr>
      <w:tabs>
        <w:tab w:val="left" w:pos="360"/>
      </w:tabs>
      <w:ind w:firstLine="200" w:firstLineChars="200"/>
    </w:pPr>
    <w:rPr>
      <w:sz w:val="28"/>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6C482-E46C-47E8-95DB-5301EEACBBE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1833</Words>
  <Characters>10452</Characters>
  <Lines>87</Lines>
  <Paragraphs>24</Paragraphs>
  <TotalTime>65</TotalTime>
  <ScaleCrop>false</ScaleCrop>
  <LinksUpToDate>false</LinksUpToDate>
  <CharactersWithSpaces>12261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2022-06-17T08:35:00Z</dcterms:created>
  <dc:creator>USER</dc:creator>
  <cp:lastModifiedBy>刘伟</cp:lastModifiedBy>
  <cp:lastPrinted>2015-05-19T09:06:00Z</cp:lastPrinted>
  <dcterms:modified xsi:type="dcterms:W3CDTF">2023-11-20T13:48:58Z</dcterms:modified>
  <dc:title>招  标  文  件</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CE382B46FCD14D8BA39347C5DD7BEFA6_13</vt:lpwstr>
  </property>
</Properties>
</file>