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1EE5C4">
      <w:pPr>
        <w:snapToGrid w:val="0"/>
        <w:spacing w:before="120" w:after="120" w:line="240" w:lineRule="auto"/>
        <w:jc w:val="center"/>
        <w:outlineLvl w:val="0"/>
        <w:rPr>
          <w:rFonts w:hint="eastAsia" w:ascii="宋体" w:hAnsi="宋体" w:eastAsia="宋体" w:cs="宋体"/>
          <w:b/>
          <w:bCs/>
          <w:color w:val="auto"/>
          <w:sz w:val="36"/>
          <w:szCs w:val="36"/>
        </w:rPr>
      </w:pPr>
      <w:bookmarkStart w:id="0" w:name="_Toc172213723"/>
      <w:r>
        <w:rPr>
          <w:rFonts w:hint="eastAsia" w:ascii="宋体" w:hAnsi="宋体" w:eastAsia="宋体" w:cs="宋体"/>
          <w:b/>
          <w:bCs/>
          <w:color w:val="auto"/>
          <w:sz w:val="36"/>
          <w:szCs w:val="36"/>
        </w:rPr>
        <w:t>项目需求</w:t>
      </w:r>
      <w:bookmarkEnd w:id="0"/>
    </w:p>
    <w:p w14:paraId="690445C2">
      <w:pPr>
        <w:snapToGrid w:val="0"/>
        <w:spacing w:line="360" w:lineRule="auto"/>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项目属性:工程类项目。</w:t>
      </w:r>
      <w:bookmarkStart w:id="1" w:name="_GoBack"/>
      <w:bookmarkEnd w:id="1"/>
    </w:p>
    <w:p w14:paraId="2FDA498C">
      <w:pPr>
        <w:numPr>
          <w:ilvl w:val="0"/>
          <w:numId w:val="0"/>
        </w:numPr>
        <w:snapToGrid w:val="0"/>
        <w:spacing w:line="360" w:lineRule="auto"/>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一、</w:t>
      </w:r>
      <w:r>
        <w:rPr>
          <w:rFonts w:hint="eastAsia" w:ascii="宋体" w:hAnsi="宋体" w:eastAsia="宋体" w:cs="宋体"/>
          <w:b/>
          <w:bCs/>
          <w:color w:val="auto"/>
          <w:sz w:val="21"/>
          <w:szCs w:val="21"/>
          <w:lang w:val="en-US" w:eastAsia="zh-CN"/>
        </w:rPr>
        <w:t>项目概况</w:t>
      </w:r>
    </w:p>
    <w:p w14:paraId="61FC6A23">
      <w:pPr>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rPr>
        <w:t>根据图纸要求和规范，西园风雨操场屋面钢结构防火涂料未满足设计要求，需整改到位并复检合格。现拟对西园风雨操场网架金属面喷刷防火涂料包工包料施工。具体以采购人提供的图纸、工程量清单及采购人现场要求为准，采购人保留对上述工程量及范围适当调整的权利。</w:t>
      </w:r>
    </w:p>
    <w:p w14:paraId="355AA594">
      <w:pPr>
        <w:spacing w:line="360" w:lineRule="auto"/>
        <w:ind w:firstLine="480"/>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二、</w:t>
      </w:r>
      <w:r>
        <w:rPr>
          <w:rFonts w:hint="eastAsia" w:ascii="宋体" w:hAnsi="宋体" w:cs="宋体"/>
          <w:b/>
          <w:bCs/>
          <w:color w:val="auto"/>
          <w:sz w:val="21"/>
          <w:szCs w:val="21"/>
          <w:lang w:val="en-US" w:eastAsia="zh-CN"/>
        </w:rPr>
        <w:t>工程</w:t>
      </w:r>
      <w:r>
        <w:rPr>
          <w:rFonts w:hint="eastAsia" w:ascii="宋体" w:hAnsi="宋体" w:eastAsia="宋体" w:cs="宋体"/>
          <w:b/>
          <w:bCs/>
          <w:color w:val="auto"/>
          <w:sz w:val="21"/>
          <w:szCs w:val="21"/>
        </w:rPr>
        <w:t>要求</w:t>
      </w:r>
    </w:p>
    <w:p w14:paraId="0FC99C59">
      <w:pPr>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本工程需严格遵守《建设工程安全生产管理条例》、《中华人民共和国安全生产法》《中华人民共和国建筑法》、《中华人民共和国消防法》、《特种设备安全法》、《安全生产许可证条例》、《生产安全事故报告和调查处理条例》、《工伤保险条例》、《特种设备安全监察条例》等国家相关规定进行安全文明施工。</w:t>
      </w:r>
    </w:p>
    <w:p w14:paraId="2991B1A7">
      <w:pPr>
        <w:spacing w:line="360" w:lineRule="auto"/>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2、验收要求：国家“合格”标准并取得学校指定检测机构的检测合格报告。</w:t>
      </w:r>
    </w:p>
    <w:p w14:paraId="2918941A">
      <w:pPr>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项目要求：金属面喷刷防火涂料，根据设计要求，采用钢结构室内专用超薄型防火涂料喷涂，耐火等级要求1.5小时。</w:t>
      </w:r>
    </w:p>
    <w:p w14:paraId="21A07D6A">
      <w:pPr>
        <w:spacing w:line="360" w:lineRule="auto"/>
        <w:ind w:firstLine="480"/>
        <w:rPr>
          <w:rFonts w:hint="eastAsia" w:ascii="宋体" w:hAnsi="宋体" w:eastAsia="宋体" w:cs="宋体"/>
          <w:color w:val="auto"/>
          <w:sz w:val="21"/>
          <w:szCs w:val="21"/>
        </w:rPr>
      </w:pPr>
      <w:r>
        <w:rPr>
          <w:rFonts w:hint="eastAsia" w:ascii="宋体" w:hAnsi="宋体" w:cs="宋体"/>
          <w:color w:val="auto"/>
          <w:sz w:val="21"/>
          <w:szCs w:val="21"/>
          <w:lang w:val="en-US" w:eastAsia="zh-CN"/>
        </w:rPr>
        <w:t>4、</w:t>
      </w:r>
      <w:r>
        <w:rPr>
          <w:rFonts w:hint="eastAsia" w:ascii="宋体" w:hAnsi="宋体" w:eastAsia="宋体" w:cs="宋体"/>
          <w:color w:val="auto"/>
          <w:sz w:val="21"/>
          <w:szCs w:val="21"/>
        </w:rPr>
        <w:t>检测内容包含不限于：原材料的检测、耐火极限的检测、涂层厚度的检测，具体检测数量以及检测报告内容满足国家标准及消防验收要求。</w:t>
      </w:r>
    </w:p>
    <w:p w14:paraId="18BDBDD5">
      <w:pPr>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注：</w:t>
      </w:r>
      <w:r>
        <w:rPr>
          <w:rFonts w:hint="eastAsia" w:ascii="宋体" w:hAnsi="宋体" w:cs="宋体"/>
          <w:color w:val="auto"/>
          <w:sz w:val="21"/>
          <w:szCs w:val="21"/>
          <w:lang w:val="en-US" w:eastAsia="zh-CN"/>
        </w:rPr>
        <w:t>（1）</w:t>
      </w:r>
      <w:r>
        <w:rPr>
          <w:rFonts w:hint="eastAsia" w:ascii="宋体" w:hAnsi="宋体" w:eastAsia="宋体" w:cs="宋体"/>
          <w:color w:val="auto"/>
          <w:sz w:val="21"/>
          <w:szCs w:val="21"/>
        </w:rPr>
        <w:t>如检测未达标，由施工单位整改，不另行计算工程量和费用，请施工单位综合考虑施工费用后报价。</w:t>
      </w:r>
    </w:p>
    <w:p w14:paraId="625AA090">
      <w:pPr>
        <w:spacing w:line="360" w:lineRule="auto"/>
        <w:ind w:firstLine="480"/>
        <w:rPr>
          <w:rFonts w:hint="eastAsia" w:ascii="宋体" w:hAnsi="宋体" w:eastAsia="宋体" w:cs="宋体"/>
          <w:color w:val="auto"/>
          <w:sz w:val="21"/>
          <w:szCs w:val="21"/>
        </w:rPr>
      </w:pPr>
      <w:r>
        <w:rPr>
          <w:rFonts w:hint="eastAsia" w:ascii="宋体" w:hAnsi="宋体" w:cs="宋体"/>
          <w:color w:val="auto"/>
          <w:sz w:val="21"/>
          <w:szCs w:val="21"/>
          <w:lang w:val="en-US" w:eastAsia="zh-CN"/>
        </w:rPr>
        <w:t>（2）</w:t>
      </w:r>
      <w:r>
        <w:rPr>
          <w:rFonts w:hint="eastAsia" w:ascii="宋体" w:hAnsi="宋体" w:eastAsia="宋体" w:cs="宋体"/>
          <w:color w:val="auto"/>
          <w:sz w:val="21"/>
          <w:szCs w:val="21"/>
        </w:rPr>
        <w:t>本次报价为综合报价，损耗费、税金等不另行测算，由施工单位在总费用中自行消化解决。</w:t>
      </w:r>
    </w:p>
    <w:p w14:paraId="724733FC">
      <w:pPr>
        <w:spacing w:line="360" w:lineRule="auto"/>
        <w:ind w:firstLine="480"/>
        <w:rPr>
          <w:rFonts w:hint="eastAsia" w:ascii="宋体" w:hAnsi="宋体" w:eastAsia="宋体" w:cs="宋体"/>
          <w:color w:val="auto"/>
          <w:sz w:val="21"/>
          <w:szCs w:val="21"/>
        </w:rPr>
      </w:pPr>
      <w:r>
        <w:rPr>
          <w:rFonts w:hint="eastAsia" w:ascii="宋体" w:hAnsi="宋体" w:cs="宋体"/>
          <w:color w:val="auto"/>
          <w:sz w:val="21"/>
          <w:szCs w:val="21"/>
          <w:lang w:val="en-US" w:eastAsia="zh-CN"/>
        </w:rPr>
        <w:t>（3）</w:t>
      </w:r>
      <w:r>
        <w:rPr>
          <w:rFonts w:hint="eastAsia" w:ascii="宋体" w:hAnsi="宋体" w:eastAsia="宋体" w:cs="宋体"/>
          <w:color w:val="auto"/>
          <w:sz w:val="21"/>
          <w:szCs w:val="21"/>
        </w:rPr>
        <w:t>所有检测项目第一次检测费用由校方承担，如检测不合格，整改后再次复检费用由施工单位承担，施工单位同时承担学校因检测不合格造成的各项损失。</w:t>
      </w:r>
    </w:p>
    <w:p w14:paraId="008D6D2A">
      <w:pPr>
        <w:spacing w:line="360" w:lineRule="auto"/>
        <w:ind w:firstLine="480"/>
        <w:rPr>
          <w:rFonts w:hint="eastAsia" w:ascii="宋体" w:hAnsi="宋体" w:eastAsia="宋体" w:cs="宋体"/>
          <w:i w:val="0"/>
          <w:iCs w:val="0"/>
          <w:color w:val="auto"/>
          <w:sz w:val="21"/>
          <w:szCs w:val="21"/>
          <w:u w:val="none"/>
        </w:rPr>
      </w:pPr>
      <w:r>
        <w:rPr>
          <w:rFonts w:hint="eastAsia" w:ascii="宋体" w:hAnsi="宋体" w:eastAsia="宋体" w:cs="宋体"/>
          <w:b/>
          <w:bCs/>
          <w:i w:val="0"/>
          <w:iCs w:val="0"/>
          <w:color w:val="auto"/>
          <w:sz w:val="21"/>
          <w:szCs w:val="21"/>
          <w:u w:val="none"/>
        </w:rPr>
        <w:t>具体</w:t>
      </w:r>
      <w:r>
        <w:rPr>
          <w:rFonts w:hint="eastAsia" w:ascii="宋体" w:hAnsi="宋体" w:cs="宋体"/>
          <w:b/>
          <w:bCs/>
          <w:i w:val="0"/>
          <w:iCs w:val="0"/>
          <w:color w:val="auto"/>
          <w:sz w:val="21"/>
          <w:szCs w:val="21"/>
          <w:u w:val="none"/>
          <w:lang w:val="en-US" w:eastAsia="zh-CN"/>
        </w:rPr>
        <w:t>施工</w:t>
      </w:r>
      <w:r>
        <w:rPr>
          <w:rFonts w:hint="eastAsia" w:ascii="宋体" w:hAnsi="宋体" w:eastAsia="宋体" w:cs="宋体"/>
          <w:b/>
          <w:bCs/>
          <w:i w:val="0"/>
          <w:iCs w:val="0"/>
          <w:color w:val="auto"/>
          <w:sz w:val="21"/>
          <w:szCs w:val="21"/>
          <w:u w:val="none"/>
        </w:rPr>
        <w:t>要求见清单</w:t>
      </w:r>
      <w:r>
        <w:rPr>
          <w:rFonts w:hint="eastAsia" w:ascii="宋体" w:hAnsi="宋体" w:cs="宋体"/>
          <w:b/>
          <w:bCs/>
          <w:i w:val="0"/>
          <w:iCs w:val="0"/>
          <w:color w:val="auto"/>
          <w:sz w:val="21"/>
          <w:szCs w:val="21"/>
          <w:u w:val="none"/>
          <w:lang w:val="en-US" w:eastAsia="zh-CN"/>
        </w:rPr>
        <w:t>及图纸</w:t>
      </w:r>
      <w:r>
        <w:rPr>
          <w:rFonts w:hint="eastAsia" w:ascii="宋体" w:hAnsi="宋体" w:eastAsia="宋体" w:cs="宋体"/>
          <w:b/>
          <w:bCs/>
          <w:i w:val="0"/>
          <w:iCs w:val="0"/>
          <w:color w:val="auto"/>
          <w:sz w:val="21"/>
          <w:szCs w:val="21"/>
          <w:u w:val="none"/>
        </w:rPr>
        <w:t>。</w:t>
      </w:r>
    </w:p>
    <w:p w14:paraId="1ED228C2">
      <w:pPr>
        <w:spacing w:line="360" w:lineRule="auto"/>
        <w:ind w:firstLine="480"/>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三</w:t>
      </w:r>
      <w:r>
        <w:rPr>
          <w:rFonts w:hint="eastAsia" w:ascii="宋体" w:hAnsi="宋体" w:eastAsia="宋体" w:cs="宋体"/>
          <w:b/>
          <w:bCs/>
          <w:color w:val="auto"/>
          <w:sz w:val="21"/>
          <w:szCs w:val="21"/>
        </w:rPr>
        <w:t>、踏勘现场</w:t>
      </w:r>
    </w:p>
    <w:p w14:paraId="52D4C21B">
      <w:pPr>
        <w:spacing w:line="360" w:lineRule="auto"/>
        <w:ind w:firstLine="48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1.各投标人</w:t>
      </w:r>
      <w:r>
        <w:rPr>
          <w:rFonts w:hint="eastAsia" w:ascii="宋体" w:hAnsi="宋体" w:eastAsia="宋体" w:cs="宋体"/>
          <w:color w:val="auto"/>
          <w:sz w:val="21"/>
          <w:szCs w:val="21"/>
          <w:lang w:val="en-US" w:eastAsia="zh-CN"/>
        </w:rPr>
        <w:t>可自行</w:t>
      </w:r>
      <w:r>
        <w:rPr>
          <w:rFonts w:hint="eastAsia" w:ascii="宋体" w:hAnsi="宋体" w:eastAsia="宋体" w:cs="宋体"/>
          <w:color w:val="auto"/>
          <w:sz w:val="21"/>
          <w:szCs w:val="21"/>
        </w:rPr>
        <w:t>在递交响应文件截止日前至工程实施现场进行现场踏勘，如因未踏勘现场造成的一切后果自负。投标人踏勘现场发生的费用自理，自行承担在踏勘现场中所发生的人员伤亡和财产损失。</w:t>
      </w:r>
      <w:r>
        <w:rPr>
          <w:rFonts w:hint="eastAsia" w:ascii="宋体" w:hAnsi="宋体" w:eastAsia="宋体" w:cs="宋体"/>
          <w:color w:val="auto"/>
          <w:sz w:val="21"/>
          <w:szCs w:val="21"/>
          <w:lang w:val="en-US" w:eastAsia="zh-CN"/>
        </w:rPr>
        <w:t>踏勘联系人：贾老师、18262395908。</w:t>
      </w:r>
    </w:p>
    <w:p w14:paraId="4ADA7F28">
      <w:pPr>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投标人到工程实施现场进行踏勘时，应当充分了解工地位置、情况、道路、储存空间、装卸限制及任何其它足以影响报价的情况，并根据现场的实际情况将本工程可预见的相关费用（包括地方矛盾）自行考虑到投标报价中，投标人中标后可预见的相关费用包干使用。任何因忽视或误解工地情况而导致的索赔或工期延长申请将不被批准。因投标人未踏勘现场所引起的一切后果由投标人自负。</w:t>
      </w:r>
    </w:p>
    <w:p w14:paraId="28FB2C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四</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报价要求</w:t>
      </w:r>
    </w:p>
    <w:p w14:paraId="0928968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 投标人应按招标人提供的“招标工程量清单”的要求填写价格清单，不得改变工程量清单的格式。</w:t>
      </w:r>
    </w:p>
    <w:p w14:paraId="75233D2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 投标人应充分了解完成本工程所必须的附属工程、临时工程、直接和间接成本、利润、税金、风险费、材料损耗、劳务、垃圾清运、成品保护以及各种管线、建筑物、构筑物的加固围护、施工场地的位置、周边环境、道路、装卸、保管、安装限制以及影响投标报价的其他要素。投标人根据投标施工组织设计，结合市场情况进行投标报价。</w:t>
      </w:r>
    </w:p>
    <w:p w14:paraId="5C31ABD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固定单价报价。本工程实行《建设工程量清单计价规范》（GB50500-2013）招标。建设工程合同采用“固定单价合同”，以体现风险共担的原则。由采购人提供招标工程量清单，投标人以招标工程量清单为基础填报相应的单价并计算合价。投标人应充分考虑施工期间各类建材的市场风险和国家政策性调整风险系数和招标人对工期、质量等的要求，并计入综合单价，中标后竣工结算时除施工合同约定允许调整外综合单价不予调整。</w:t>
      </w:r>
    </w:p>
    <w:p w14:paraId="789B08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4.投标报价的计价方法</w:t>
      </w:r>
    </w:p>
    <w:p w14:paraId="6EB0D0D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本工程投标报价采用“工程量清单计价”法（工程量计算规则依据《建设工程量清单计价规范》（GB50500-2013）及其工程量计算规范）。投标人应根据采购人提供的招标工程量清单计算工程项目的综合单价和合价。</w:t>
      </w:r>
    </w:p>
    <w:p w14:paraId="1049BDC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工程量清单中每一个清单项均需计算并填写综合单价、合价。对施工中发生的所有措施费及可预见费用等，由施工单位自行考虑，计入单价和总价。</w:t>
      </w:r>
    </w:p>
    <w:p w14:paraId="780228C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5.投标报价文件编制的依据</w:t>
      </w:r>
    </w:p>
    <w:p w14:paraId="05E3179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 招标人提供的招标文件、招标工程量清单及其补充通知；</w:t>
      </w:r>
    </w:p>
    <w:p w14:paraId="740C9F7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5.2 招标人设定的最高限价；</w:t>
      </w:r>
    </w:p>
    <w:p w14:paraId="234DBCF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5.3《建设工程量清单计价规范》(GB50500-2013) 及其工程量计算规范； </w:t>
      </w:r>
    </w:p>
    <w:p w14:paraId="785746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 有关的施工规范与工程验收规范；</w:t>
      </w:r>
    </w:p>
    <w:p w14:paraId="4749650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 施工现场情况、工程特点及投标人拟采用的施工组织方案；</w:t>
      </w:r>
    </w:p>
    <w:p w14:paraId="65B51FC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 投标人的企业定额；</w:t>
      </w:r>
    </w:p>
    <w:p w14:paraId="7091AAA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5.7 投标人可同时参考2014年《江苏省建筑与装饰工程计价定额》、2014年《江苏省安装工程计价定额》、《江苏省建设工程费用定额（2014年）》及江苏省关于营改增的计价文件等最高限价（预算）的编制依据。</w:t>
      </w:r>
    </w:p>
    <w:p w14:paraId="1F4D995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6.投标报价文件编制的要求</w:t>
      </w:r>
    </w:p>
    <w:p w14:paraId="65A0C88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6.1招标人提供的招标工程量清单应与图纸及</w:t>
      </w:r>
      <w:r>
        <w:rPr>
          <w:rFonts w:hint="eastAsia" w:ascii="宋体" w:hAnsi="宋体" w:eastAsia="宋体" w:cs="宋体"/>
          <w:sz w:val="21"/>
          <w:szCs w:val="21"/>
          <w:lang w:val="en-US" w:eastAsia="zh-CN"/>
        </w:rPr>
        <w:t>招标文件一起参照阅读。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7E73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spacing w:line="480" w:lineRule="exact"/>
      <w:ind w:firstLine="539"/>
    </w:pPr>
    <w:rPr>
      <w:rFonts w:ascii="等线" w:hAnsi="等线"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2026-09-02T06:57:02Z</dcterms:created>
  <dc:creator>xy152</dc:creator>
  <cp:lastModifiedBy>李想</cp:lastModifiedBy>
  <dcterms:modified xsi:type="dcterms:W3CDTF">2026-09-02T06:57:35Z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eyJoZGlkIjoiZjlmZTM0ZGMxZDQ4NTg1YTBhZDhhZGQxYWIwMmZkMGUiLCJ1c2VySWQiOiIxMTc3MDM5MTI1In0=</vt:lpwstr>
  </property>
  <property fmtid="{D5CDD505-2E9C-101B-9397-08002B2CF9AE}" pid="4" name="ICV">
    <vt:lpwstr>9731C114F2C548F6ABF1DFEDB2BE8B74_12</vt:lpwstr>
  </property>
</Properties>
</file>