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采购需求</w:t>
      </w:r>
    </w:p>
    <w:p>
      <w:pPr>
        <w:spacing w:line="276" w:lineRule="auto"/>
        <w:ind w:left="414"/>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一、项目概况及总体要求</w:t>
      </w:r>
    </w:p>
    <w:p>
      <w:pPr>
        <w:spacing w:line="276" w:lineRule="auto"/>
        <w:ind w:left="41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r>
        <w:rPr>
          <w:rFonts w:hint="eastAsia" w:ascii="宋体" w:hAnsi="宋体" w:cs="宋体"/>
          <w:b/>
          <w:color w:val="000000" w:themeColor="text1"/>
          <w:szCs w:val="21"/>
          <w:highlight w:val="none"/>
          <w14:textFill>
            <w14:solidFill>
              <w14:schemeClr w14:val="tx1"/>
            </w14:solidFill>
          </w14:textFill>
        </w:rPr>
        <w:t>项目概况：</w:t>
      </w:r>
      <w:r>
        <w:rPr>
          <w:rFonts w:hint="eastAsia" w:ascii="宋体" w:hAnsi="宋体" w:cs="宋体"/>
          <w:color w:val="000000" w:themeColor="text1"/>
          <w:szCs w:val="21"/>
          <w:highlight w:val="none"/>
          <w14:textFill>
            <w14:solidFill>
              <w14:schemeClr w14:val="tx1"/>
            </w14:solidFill>
          </w14:textFill>
        </w:rPr>
        <w:t>为深入贯彻落实习近平总书记对网络安全工作重要指示精神，提升我校网络安全防范能力，有效保障各类业务系统安全、稳定运行，有效抵御内、外部的各类网络攻击，提前发现学校存在的网络安全问题和薄弱环节，及时进行网络安全整改和加固。我校拟购买专业公司的网络安全服务，通过驻场人员服务和安全专家团队支撑，给我校网络安全工作输入专业的安全管理及安全技术经验，引入网络安全运营团队的能力以及网络安全的情报资源，解决我校网络安全专业人员不足、安全情报不及时等问题。</w:t>
      </w:r>
    </w:p>
    <w:p>
      <w:pPr>
        <w:spacing w:line="276" w:lineRule="auto"/>
        <w:ind w:left="41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r>
        <w:rPr>
          <w:rFonts w:hint="eastAsia" w:ascii="宋体" w:hAnsi="宋体" w:cs="宋体"/>
          <w:b/>
          <w:color w:val="000000" w:themeColor="text1"/>
          <w:szCs w:val="21"/>
          <w:highlight w:val="none"/>
          <w14:textFill>
            <w14:solidFill>
              <w14:schemeClr w14:val="tx1"/>
            </w14:solidFill>
          </w14:textFill>
        </w:rPr>
        <w:t>总体要求：</w:t>
      </w:r>
      <w:r>
        <w:rPr>
          <w:rFonts w:hint="eastAsia" w:ascii="宋体" w:hAnsi="宋体" w:cs="宋体"/>
          <w:color w:val="000000" w:themeColor="text1"/>
          <w:szCs w:val="21"/>
          <w:highlight w:val="none"/>
          <w14:textFill>
            <w14:solidFill>
              <w14:schemeClr w14:val="tx1"/>
            </w14:solidFill>
          </w14:textFill>
        </w:rPr>
        <w:t>投标人要针对我校提出的网络安全服务的需求制定全面、具体的方案，提前确定项目组成员，严格把控项目执行过程。我校对安全服务的团队要求、项目过程控制和服务质量考核要求如下所示：</w:t>
      </w:r>
    </w:p>
    <w:p>
      <w:pPr>
        <w:spacing w:line="276" w:lineRule="auto"/>
        <w:ind w:left="41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（1）团队要求</w:t>
      </w:r>
    </w:p>
    <w:p>
      <w:pPr>
        <w:spacing w:line="276" w:lineRule="auto"/>
        <w:ind w:left="414"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了保证服务质量，项目团队成员必须为从事网络及信息安全服务的专业技术人员，必须是投标投标人本单位员工（提供相关人员信息和相关证书复印件并加盖公章），并提供项目组成员名单及技术分工配置单（如所学专业、研究方向、擅长领域等）。人员一经确认，不得随意变更；</w:t>
      </w:r>
    </w:p>
    <w:p>
      <w:pPr>
        <w:spacing w:line="276" w:lineRule="auto"/>
        <w:ind w:left="414"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项目组成员不少于</w:t>
      </w:r>
      <w:r>
        <w:rPr>
          <w:rFonts w:hint="eastAsia" w:ascii="宋体" w:hAnsi="宋体" w:cs="宋体"/>
          <w:b/>
          <w:color w:val="000000" w:themeColor="text1"/>
          <w:szCs w:val="21"/>
          <w:highlight w:val="none"/>
          <w14:textFill>
            <w14:solidFill>
              <w14:schemeClr w14:val="tx1"/>
            </w14:solidFill>
          </w14:textFill>
        </w:rPr>
        <w:t>3人</w:t>
      </w:r>
      <w:r>
        <w:rPr>
          <w:rFonts w:hint="eastAsia" w:ascii="宋体" w:hAnsi="宋体" w:cs="宋体"/>
          <w:color w:val="000000" w:themeColor="text1"/>
          <w:szCs w:val="21"/>
          <w:highlight w:val="none"/>
          <w14:textFill>
            <w14:solidFill>
              <w14:schemeClr w14:val="tx1"/>
            </w14:solidFill>
          </w14:textFill>
        </w:rPr>
        <w:t>（含项目经理1人，驻场技术人员1人）；</w:t>
      </w:r>
    </w:p>
    <w:p>
      <w:pPr>
        <w:spacing w:line="276" w:lineRule="auto"/>
        <w:ind w:left="414" w:firstLine="42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以上所有成员均需提供近</w:t>
      </w:r>
      <w:r>
        <w:rPr>
          <w:rFonts w:ascii="宋体" w:hAnsi="宋体" w:cs="宋体"/>
          <w:b/>
          <w:bCs/>
          <w:color w:val="000000" w:themeColor="text1"/>
          <w:szCs w:val="21"/>
          <w:highlight w:val="none"/>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 xml:space="preserve">个月以来任意1个月的社保缴纳证明。 </w:t>
      </w:r>
    </w:p>
    <w:p>
      <w:pPr>
        <w:spacing w:line="276" w:lineRule="auto"/>
        <w:ind w:left="41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（2）项目过程控制要求</w:t>
      </w:r>
    </w:p>
    <w:p>
      <w:pPr>
        <w:spacing w:line="276" w:lineRule="auto"/>
        <w:ind w:left="41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项目前期：制定全面、具体的服务方案。</w:t>
      </w:r>
    </w:p>
    <w:p>
      <w:pPr>
        <w:spacing w:line="276" w:lineRule="auto"/>
        <w:ind w:left="41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项目进行：阶段性服务工作完成后需要输出相应的报表、报告等材料。</w:t>
      </w:r>
    </w:p>
    <w:p>
      <w:pPr>
        <w:spacing w:line="276" w:lineRule="auto"/>
        <w:ind w:left="41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项目结束：编制总结报告，纸质文档交接，电子文档集中销毁。</w:t>
      </w:r>
    </w:p>
    <w:p>
      <w:pPr>
        <w:spacing w:line="276" w:lineRule="auto"/>
        <w:ind w:left="41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（3）服务质量考核</w:t>
      </w:r>
    </w:p>
    <w:p>
      <w:pPr>
        <w:adjustRightInd w:val="0"/>
        <w:snapToGrid w:val="0"/>
        <w:spacing w:before="50" w:after="50" w:line="276" w:lineRule="auto"/>
        <w:ind w:left="424" w:leftChars="20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为评价中标方提供的服务质量，每季度对中标人的安全服务进行考核评分（百分制），年度考核评分为每年四个季度考核的平均分。详细考核机制如下表：</w:t>
      </w:r>
    </w:p>
    <w:tbl>
      <w:tblPr>
        <w:tblStyle w:val="9"/>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49"/>
        <w:gridCol w:w="679"/>
        <w:gridCol w:w="481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2" w:type="dxa"/>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ascii="宋体" w:hAnsi="宋体" w:cs="宋体"/>
                <w:b/>
                <w:bCs/>
                <w:color w:val="000000" w:themeColor="text1"/>
                <w:w w:val="99"/>
                <w:szCs w:val="21"/>
                <w:highlight w:val="none"/>
                <w14:textFill>
                  <w14:solidFill>
                    <w14:schemeClr w14:val="tx1"/>
                  </w14:solidFill>
                </w14:textFill>
              </w:rPr>
              <w:t>考核</w:t>
            </w:r>
          </w:p>
        </w:tc>
        <w:tc>
          <w:tcPr>
            <w:tcW w:w="1549" w:type="dxa"/>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ascii="宋体" w:hAnsi="宋体" w:cs="宋体"/>
                <w:b/>
                <w:bCs/>
                <w:color w:val="000000" w:themeColor="text1"/>
                <w:w w:val="99"/>
                <w:szCs w:val="21"/>
                <w:highlight w:val="none"/>
                <w14:textFill>
                  <w14:solidFill>
                    <w14:schemeClr w14:val="tx1"/>
                  </w14:solidFill>
                </w14:textFill>
              </w:rPr>
              <w:t>考核项目</w:t>
            </w:r>
          </w:p>
        </w:tc>
        <w:tc>
          <w:tcPr>
            <w:tcW w:w="679" w:type="dxa"/>
            <w:noWrap/>
            <w:vAlign w:val="center"/>
          </w:tcPr>
          <w:p>
            <w:pPr>
              <w:adjustRightInd w:val="0"/>
              <w:snapToGrid w:val="0"/>
              <w:spacing w:before="156" w:beforeLines="50" w:after="156" w:afterLines="50" w:line="240" w:lineRule="exact"/>
              <w:jc w:val="center"/>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w w:val="99"/>
                <w:szCs w:val="21"/>
                <w:highlight w:val="none"/>
                <w14:textFill>
                  <w14:solidFill>
                    <w14:schemeClr w14:val="tx1"/>
                  </w14:solidFill>
                </w14:textFill>
              </w:rPr>
              <w:t>分值</w:t>
            </w:r>
          </w:p>
        </w:tc>
        <w:tc>
          <w:tcPr>
            <w:tcW w:w="4812" w:type="dxa"/>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评价描述</w:t>
            </w:r>
          </w:p>
        </w:tc>
        <w:tc>
          <w:tcPr>
            <w:tcW w:w="1313" w:type="dxa"/>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2" w:type="dxa"/>
            <w:vMerge w:val="restart"/>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工作考核</w:t>
            </w:r>
          </w:p>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90分</w:t>
            </w:r>
          </w:p>
        </w:tc>
        <w:tc>
          <w:tcPr>
            <w:tcW w:w="1549" w:type="dxa"/>
            <w:noWrap/>
            <w:vAlign w:val="center"/>
          </w:tcPr>
          <w:p>
            <w:pPr>
              <w:adjustRightInd w:val="0"/>
              <w:snapToGrid w:val="0"/>
              <w:spacing w:before="50" w:after="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任务完成效率</w:t>
            </w:r>
          </w:p>
        </w:tc>
        <w:tc>
          <w:tcPr>
            <w:tcW w:w="679" w:type="dxa"/>
            <w:noWrap/>
            <w:vAlign w:val="center"/>
          </w:tcPr>
          <w:p>
            <w:pPr>
              <w:adjustRightInd w:val="0"/>
              <w:snapToGrid w:val="0"/>
              <w:spacing w:before="50" w:after="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40</w:t>
            </w:r>
          </w:p>
        </w:tc>
        <w:tc>
          <w:tcPr>
            <w:tcW w:w="4812" w:type="dxa"/>
            <w:noWrap/>
            <w:vAlign w:val="center"/>
          </w:tcPr>
          <w:p>
            <w:pPr>
              <w:adjustRightInd w:val="0"/>
              <w:snapToGrid w:val="0"/>
              <w:spacing w:before="156" w:beforeLines="50" w:after="156" w:afterLines="50" w:line="240" w:lineRule="exact"/>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未充分规划、在规定时间内不能完成任务</w:t>
            </w:r>
          </w:p>
        </w:tc>
        <w:tc>
          <w:tcPr>
            <w:tcW w:w="1313" w:type="dxa"/>
            <w:noWrap/>
            <w:vAlign w:val="center"/>
          </w:tcPr>
          <w:p>
            <w:pPr>
              <w:adjustRightInd w:val="0"/>
              <w:snapToGrid w:val="0"/>
              <w:spacing w:before="50" w:after="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jc w:val="center"/>
        </w:trPr>
        <w:tc>
          <w:tcPr>
            <w:tcW w:w="702" w:type="dxa"/>
            <w:vMerge w:val="continue"/>
            <w:noWrap/>
            <w:vAlign w:val="center"/>
          </w:tcPr>
          <w:p>
            <w:pPr>
              <w:adjustRightInd w:val="0"/>
              <w:snapToGrid w:val="0"/>
              <w:spacing w:before="50" w:after="50" w:line="240" w:lineRule="exact"/>
              <w:jc w:val="center"/>
              <w:rPr>
                <w:rFonts w:ascii="宋体" w:hAnsi="宋体"/>
                <w:color w:val="000000" w:themeColor="text1"/>
                <w:szCs w:val="21"/>
                <w:highlight w:val="none"/>
                <w14:textFill>
                  <w14:solidFill>
                    <w14:schemeClr w14:val="tx1"/>
                  </w14:solidFill>
                </w14:textFill>
              </w:rPr>
            </w:pPr>
          </w:p>
        </w:tc>
        <w:tc>
          <w:tcPr>
            <w:tcW w:w="1549" w:type="dxa"/>
            <w:vMerge w:val="restart"/>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任务完成质量</w:t>
            </w:r>
          </w:p>
        </w:tc>
        <w:tc>
          <w:tcPr>
            <w:tcW w:w="679" w:type="dxa"/>
            <w:vMerge w:val="restart"/>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w:t>
            </w:r>
          </w:p>
        </w:tc>
        <w:tc>
          <w:tcPr>
            <w:tcW w:w="4812" w:type="dxa"/>
            <w:noWrap/>
            <w:vAlign w:val="center"/>
          </w:tcPr>
          <w:p>
            <w:pPr>
              <w:adjustRightInd w:val="0"/>
              <w:snapToGrid w:val="0"/>
              <w:spacing w:before="156" w:beforeLines="50" w:after="156" w:afterLines="50" w:line="24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出现质量异常（投诉、失误、返工）</w:t>
            </w:r>
          </w:p>
        </w:tc>
        <w:tc>
          <w:tcPr>
            <w:tcW w:w="1313" w:type="dxa"/>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02" w:type="dxa"/>
            <w:vMerge w:val="continue"/>
            <w:noWrap/>
            <w:vAlign w:val="center"/>
          </w:tcPr>
          <w:p>
            <w:pPr>
              <w:adjustRightInd w:val="0"/>
              <w:snapToGrid w:val="0"/>
              <w:spacing w:before="50" w:after="50" w:line="240" w:lineRule="exact"/>
              <w:jc w:val="center"/>
              <w:rPr>
                <w:rFonts w:ascii="宋体" w:hAnsi="宋体"/>
                <w:color w:val="000000" w:themeColor="text1"/>
                <w:szCs w:val="21"/>
                <w:highlight w:val="none"/>
                <w14:textFill>
                  <w14:solidFill>
                    <w14:schemeClr w14:val="tx1"/>
                  </w14:solidFill>
                </w14:textFill>
              </w:rPr>
            </w:pPr>
          </w:p>
        </w:tc>
        <w:tc>
          <w:tcPr>
            <w:tcW w:w="1549" w:type="dxa"/>
            <w:vMerge w:val="continue"/>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p>
        </w:tc>
        <w:tc>
          <w:tcPr>
            <w:tcW w:w="679" w:type="dxa"/>
            <w:vMerge w:val="continue"/>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p>
        </w:tc>
        <w:tc>
          <w:tcPr>
            <w:tcW w:w="4812" w:type="dxa"/>
            <w:noWrap/>
            <w:vAlign w:val="center"/>
          </w:tcPr>
          <w:p>
            <w:pPr>
              <w:adjustRightInd w:val="0"/>
              <w:snapToGrid w:val="0"/>
              <w:spacing w:before="156" w:beforeLines="50" w:after="156" w:afterLines="50" w:line="24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出现严重质量异常（投诉、失误、返工）</w:t>
            </w:r>
          </w:p>
        </w:tc>
        <w:tc>
          <w:tcPr>
            <w:tcW w:w="1313" w:type="dxa"/>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每次扣6分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02" w:type="dxa"/>
            <w:vMerge w:val="continue"/>
            <w:noWrap/>
            <w:vAlign w:val="center"/>
          </w:tcPr>
          <w:p>
            <w:pPr>
              <w:adjustRightInd w:val="0"/>
              <w:snapToGrid w:val="0"/>
              <w:spacing w:before="50" w:after="50" w:line="240" w:lineRule="exact"/>
              <w:jc w:val="center"/>
              <w:rPr>
                <w:rFonts w:ascii="宋体" w:hAnsi="宋体"/>
                <w:color w:val="000000" w:themeColor="text1"/>
                <w:szCs w:val="21"/>
                <w:highlight w:val="none"/>
                <w14:textFill>
                  <w14:solidFill>
                    <w14:schemeClr w14:val="tx1"/>
                  </w14:solidFill>
                </w14:textFill>
              </w:rPr>
            </w:pPr>
          </w:p>
        </w:tc>
        <w:tc>
          <w:tcPr>
            <w:tcW w:w="1549" w:type="dxa"/>
            <w:vMerge w:val="continue"/>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p>
        </w:tc>
        <w:tc>
          <w:tcPr>
            <w:tcW w:w="679" w:type="dxa"/>
            <w:vMerge w:val="continue"/>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p>
        </w:tc>
        <w:tc>
          <w:tcPr>
            <w:tcW w:w="4812" w:type="dxa"/>
            <w:noWrap/>
            <w:vAlign w:val="center"/>
          </w:tcPr>
          <w:p>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出现因安全服务导致的宕机超过</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小时</w:t>
            </w:r>
          </w:p>
        </w:tc>
        <w:tc>
          <w:tcPr>
            <w:tcW w:w="1313" w:type="dxa"/>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02" w:type="dxa"/>
            <w:vMerge w:val="continue"/>
            <w:noWrap/>
            <w:vAlign w:val="center"/>
          </w:tcPr>
          <w:p>
            <w:pPr>
              <w:adjustRightInd w:val="0"/>
              <w:snapToGrid w:val="0"/>
              <w:spacing w:before="50" w:after="50" w:line="240" w:lineRule="exact"/>
              <w:jc w:val="center"/>
              <w:rPr>
                <w:rFonts w:ascii="宋体" w:hAnsi="宋体"/>
                <w:color w:val="000000" w:themeColor="text1"/>
                <w:szCs w:val="21"/>
                <w:highlight w:val="none"/>
                <w14:textFill>
                  <w14:solidFill>
                    <w14:schemeClr w14:val="tx1"/>
                  </w14:solidFill>
                </w14:textFill>
              </w:rPr>
            </w:pPr>
          </w:p>
        </w:tc>
        <w:tc>
          <w:tcPr>
            <w:tcW w:w="1549" w:type="dxa"/>
            <w:vMerge w:val="continue"/>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p>
        </w:tc>
        <w:tc>
          <w:tcPr>
            <w:tcW w:w="679" w:type="dxa"/>
            <w:vMerge w:val="continue"/>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p>
        </w:tc>
        <w:tc>
          <w:tcPr>
            <w:tcW w:w="4812" w:type="dxa"/>
            <w:noWrap/>
            <w:vAlign w:val="center"/>
          </w:tcPr>
          <w:p>
            <w:pPr>
              <w:adjustRightInd w:val="0"/>
              <w:snapToGrid w:val="0"/>
              <w:spacing w:before="156" w:beforeLines="50" w:after="156" w:afterLines="50" w:line="24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响应需求被动，消极处理问题</w:t>
            </w:r>
          </w:p>
        </w:tc>
        <w:tc>
          <w:tcPr>
            <w:tcW w:w="1313" w:type="dxa"/>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2" w:type="dxa"/>
            <w:vMerge w:val="restart"/>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人员考核</w:t>
            </w:r>
          </w:p>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10分</w:t>
            </w:r>
          </w:p>
        </w:tc>
        <w:tc>
          <w:tcPr>
            <w:tcW w:w="1549" w:type="dxa"/>
            <w:vMerge w:val="restart"/>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服务质量</w:t>
            </w:r>
          </w:p>
        </w:tc>
        <w:tc>
          <w:tcPr>
            <w:tcW w:w="679" w:type="dxa"/>
            <w:vMerge w:val="restart"/>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4812" w:type="dxa"/>
            <w:noWrap/>
          </w:tcPr>
          <w:p>
            <w:pPr>
              <w:spacing w:before="156" w:beforeLines="50" w:after="156" w:afterLines="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不注重沟通</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遇到问题以强硬或回避的态度来应对</w:t>
            </w:r>
          </w:p>
        </w:tc>
        <w:tc>
          <w:tcPr>
            <w:tcW w:w="1313" w:type="dxa"/>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每次扣</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02" w:type="dxa"/>
            <w:vMerge w:val="continue"/>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p>
        </w:tc>
        <w:tc>
          <w:tcPr>
            <w:tcW w:w="1549" w:type="dxa"/>
            <w:vMerge w:val="continue"/>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p>
        </w:tc>
        <w:tc>
          <w:tcPr>
            <w:tcW w:w="679" w:type="dxa"/>
            <w:vMerge w:val="continue"/>
            <w:noWrap/>
            <w:vAlign w:val="center"/>
          </w:tcPr>
          <w:p>
            <w:pPr>
              <w:adjustRightInd w:val="0"/>
              <w:snapToGrid w:val="0"/>
              <w:spacing w:before="156" w:beforeLines="50" w:after="156" w:afterLines="50" w:line="240" w:lineRule="exact"/>
              <w:jc w:val="center"/>
              <w:rPr>
                <w:rFonts w:ascii="宋体" w:hAnsi="宋体"/>
                <w:color w:val="000000" w:themeColor="text1"/>
                <w:szCs w:val="21"/>
                <w:highlight w:val="none"/>
                <w14:textFill>
                  <w14:solidFill>
                    <w14:schemeClr w14:val="tx1"/>
                  </w14:solidFill>
                </w14:textFill>
              </w:rPr>
            </w:pPr>
          </w:p>
        </w:tc>
        <w:tc>
          <w:tcPr>
            <w:tcW w:w="4812" w:type="dxa"/>
            <w:noWrap/>
            <w:vAlign w:val="bottom"/>
          </w:tcPr>
          <w:p>
            <w:pPr>
              <w:adjustRightInd w:val="0"/>
              <w:snapToGrid w:val="0"/>
              <w:spacing w:before="156" w:beforeLines="50" w:after="156" w:afterLines="50" w:line="240" w:lineRule="exact"/>
              <w:jc w:val="left"/>
              <w:rPr>
                <w:rFonts w:ascii="宋体" w:hAnsi="宋体" w:cs="宋体"/>
                <w:color w:val="000000" w:themeColor="text1"/>
                <w:w w:val="99"/>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服务态度差，甲方收到投诉</w:t>
            </w:r>
          </w:p>
        </w:tc>
        <w:tc>
          <w:tcPr>
            <w:tcW w:w="1313" w:type="dxa"/>
            <w:noWrap/>
            <w:vAlign w:val="bottom"/>
          </w:tcPr>
          <w:p>
            <w:pPr>
              <w:adjustRightInd w:val="0"/>
              <w:snapToGrid w:val="0"/>
              <w:spacing w:before="156" w:beforeLines="50" w:after="156" w:afterLines="50" w:line="24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每次扣</w:t>
            </w: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分</w:t>
            </w:r>
          </w:p>
        </w:tc>
      </w:tr>
    </w:tbl>
    <w:p>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考核说明：</w:t>
      </w:r>
    </w:p>
    <w:p>
      <w:pPr>
        <w:widowControl/>
        <w:adjustRightInd w:val="0"/>
        <w:snapToGrid w:val="0"/>
        <w:spacing w:line="276"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.考核初始赋值 100分。考核表格包括但不限于以上内容，在实际运作中不断完善。每个考核项目扣分项最多将该项分值扣</w:t>
      </w:r>
      <w:r>
        <w:rPr>
          <w:rFonts w:hint="eastAsia" w:ascii="宋体" w:hAnsi="宋体" w:cs="宋体"/>
          <w:color w:val="000000" w:themeColor="text1"/>
          <w:szCs w:val="21"/>
          <w:highlight w:val="none"/>
          <w14:textFill>
            <w14:solidFill>
              <w14:schemeClr w14:val="tx1"/>
            </w14:solidFill>
          </w14:textFill>
        </w:rPr>
        <w:t>至</w:t>
      </w:r>
      <w:r>
        <w:rPr>
          <w:rFonts w:ascii="宋体" w:hAnsi="宋体" w:cs="宋体"/>
          <w:color w:val="000000" w:themeColor="text1"/>
          <w:szCs w:val="21"/>
          <w:highlight w:val="none"/>
          <w14:textFill>
            <w14:solidFill>
              <w14:schemeClr w14:val="tx1"/>
            </w14:solidFill>
          </w14:textFill>
        </w:rPr>
        <w:t>0分。</w:t>
      </w:r>
    </w:p>
    <w:p>
      <w:pPr>
        <w:widowControl/>
        <w:adjustRightInd w:val="0"/>
        <w:snapToGrid w:val="0"/>
        <w:spacing w:line="276"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.每</w:t>
      </w:r>
      <w:r>
        <w:rPr>
          <w:rFonts w:hint="eastAsia" w:ascii="宋体" w:hAnsi="宋体" w:cs="宋体"/>
          <w:color w:val="000000" w:themeColor="text1"/>
          <w:szCs w:val="21"/>
          <w:highlight w:val="none"/>
          <w14:textFill>
            <w14:solidFill>
              <w14:schemeClr w14:val="tx1"/>
            </w14:solidFill>
          </w14:textFill>
        </w:rPr>
        <w:t>季度</w:t>
      </w:r>
      <w:r>
        <w:rPr>
          <w:rFonts w:ascii="宋体" w:hAnsi="宋体" w:cs="宋体"/>
          <w:color w:val="000000" w:themeColor="text1"/>
          <w:szCs w:val="21"/>
          <w:highlight w:val="none"/>
          <w14:textFill>
            <w14:solidFill>
              <w14:schemeClr w14:val="tx1"/>
            </w14:solidFill>
          </w14:textFill>
        </w:rPr>
        <w:t>考核分数在</w:t>
      </w:r>
      <w:r>
        <w:rPr>
          <w:rFonts w:hint="eastAsia" w:ascii="宋体" w:hAnsi="宋体" w:cs="宋体"/>
          <w:color w:val="000000" w:themeColor="text1"/>
          <w:szCs w:val="21"/>
          <w:highlight w:val="none"/>
          <w14:textFill>
            <w14:solidFill>
              <w14:schemeClr w14:val="tx1"/>
            </w14:solidFill>
          </w14:textFill>
        </w:rPr>
        <w:t>60到80分</w:t>
      </w:r>
      <w:r>
        <w:rPr>
          <w:rFonts w:ascii="宋体" w:hAnsi="宋体" w:cs="宋体"/>
          <w:color w:val="000000" w:themeColor="text1"/>
          <w:szCs w:val="21"/>
          <w:highlight w:val="none"/>
          <w14:textFill>
            <w14:solidFill>
              <w14:schemeClr w14:val="tx1"/>
            </w14:solidFill>
          </w14:textFill>
        </w:rPr>
        <w:t>之间，将要求中标</w:t>
      </w:r>
      <w:r>
        <w:rPr>
          <w:rFonts w:hint="eastAsia" w:ascii="宋体" w:hAnsi="宋体" w:cs="宋体"/>
          <w:color w:val="000000" w:themeColor="text1"/>
          <w:szCs w:val="21"/>
          <w:highlight w:val="none"/>
          <w14:textFill>
            <w14:solidFill>
              <w14:schemeClr w14:val="tx1"/>
            </w14:solidFill>
          </w14:textFill>
        </w:rPr>
        <w:t>方</w:t>
      </w:r>
      <w:r>
        <w:rPr>
          <w:rFonts w:ascii="宋体" w:hAnsi="宋体" w:cs="宋体"/>
          <w:color w:val="000000" w:themeColor="text1"/>
          <w:szCs w:val="21"/>
          <w:highlight w:val="none"/>
          <w14:textFill>
            <w14:solidFill>
              <w14:schemeClr w14:val="tx1"/>
            </w14:solidFill>
          </w14:textFill>
        </w:rPr>
        <w:t>对安全服务团队责任人进行谈话，并责令整改。每</w:t>
      </w:r>
      <w:r>
        <w:rPr>
          <w:rFonts w:hint="eastAsia" w:ascii="宋体" w:hAnsi="宋体" w:cs="宋体"/>
          <w:color w:val="000000" w:themeColor="text1"/>
          <w:szCs w:val="21"/>
          <w:highlight w:val="none"/>
          <w14:textFill>
            <w14:solidFill>
              <w14:schemeClr w14:val="tx1"/>
            </w14:solidFill>
          </w14:textFill>
        </w:rPr>
        <w:t>季度</w:t>
      </w:r>
      <w:r>
        <w:rPr>
          <w:rFonts w:ascii="宋体" w:hAnsi="宋体" w:cs="宋体"/>
          <w:color w:val="000000" w:themeColor="text1"/>
          <w:szCs w:val="21"/>
          <w:highlight w:val="none"/>
          <w14:textFill>
            <w14:solidFill>
              <w14:schemeClr w14:val="tx1"/>
            </w14:solidFill>
          </w14:textFill>
        </w:rPr>
        <w:t>考核分数</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60分，中标</w:t>
      </w:r>
      <w:r>
        <w:rPr>
          <w:rFonts w:hint="eastAsia" w:ascii="宋体" w:hAnsi="宋体" w:cs="宋体"/>
          <w:color w:val="000000" w:themeColor="text1"/>
          <w:szCs w:val="21"/>
          <w:highlight w:val="none"/>
          <w14:textFill>
            <w14:solidFill>
              <w14:schemeClr w14:val="tx1"/>
            </w14:solidFill>
          </w14:textFill>
        </w:rPr>
        <w:t>方</w:t>
      </w:r>
      <w:r>
        <w:rPr>
          <w:rFonts w:ascii="宋体" w:hAnsi="宋体" w:cs="宋体"/>
          <w:color w:val="000000" w:themeColor="text1"/>
          <w:szCs w:val="21"/>
          <w:highlight w:val="none"/>
          <w14:textFill>
            <w14:solidFill>
              <w14:schemeClr w14:val="tx1"/>
            </w14:solidFill>
          </w14:textFill>
        </w:rPr>
        <w:t>须更换安全服务实施人员，更换人员须符合安全服务人员要求。如无法更换符合要求的安全服务人员，甲方将终止合同，并拒付剩余合同款项。</w:t>
      </w:r>
    </w:p>
    <w:p>
      <w:pPr>
        <w:widowControl/>
        <w:adjustRightInd w:val="0"/>
        <w:snapToGrid w:val="0"/>
        <w:spacing w:line="276"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年度评分将作为考核中标方服务质量的依据，作为下一次安全服务招标对中标方评价的重要参考依据。</w:t>
      </w:r>
    </w:p>
    <w:p>
      <w:pPr>
        <w:spacing w:line="276" w:lineRule="auto"/>
        <w:ind w:left="413"/>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二、服务内容</w:t>
      </w:r>
    </w:p>
    <w:p>
      <w:pPr>
        <w:widowControl/>
        <w:adjustRightInd w:val="0"/>
        <w:snapToGrid w:val="0"/>
        <w:spacing w:line="276"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内容包括（不限于）：资产梳理、安全设备巡检、漏洞扫描、新系统上线检测、渗透测试、安全预警、重要时期保障、应急响应、应急演练、安全培训、网络安全宣传周宣传教育、安全咨询与策略优化、安全威胁专项检查等相关工作，主要内容如下：</w:t>
      </w:r>
    </w:p>
    <w:p>
      <w:pPr>
        <w:pStyle w:val="8"/>
        <w:rPr>
          <w:color w:val="000000" w:themeColor="text1"/>
          <w:highlight w:val="none"/>
          <w14:textFill>
            <w14:solidFill>
              <w14:schemeClr w14:val="tx1"/>
            </w14:solidFill>
          </w14:textFill>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346"/>
        <w:gridCol w:w="4104"/>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7" w:type="dxa"/>
            <w:noWrap/>
            <w:vAlign w:val="bottom"/>
          </w:tcPr>
          <w:p>
            <w:pPr>
              <w:widowControl/>
              <w:adjustRightInd w:val="0"/>
              <w:snapToGrid w:val="0"/>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序号</w:t>
            </w:r>
          </w:p>
        </w:tc>
        <w:tc>
          <w:tcPr>
            <w:tcW w:w="1459" w:type="dxa"/>
            <w:noWrap/>
            <w:vAlign w:val="bottom"/>
          </w:tcPr>
          <w:p>
            <w:pPr>
              <w:widowControl/>
              <w:adjustRightInd w:val="0"/>
              <w:snapToGrid w:val="0"/>
              <w:spacing w:line="360" w:lineRule="auto"/>
              <w:ind w:firstLine="211" w:firstLineChars="100"/>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服务名称</w:t>
            </w:r>
          </w:p>
        </w:tc>
        <w:tc>
          <w:tcPr>
            <w:tcW w:w="4494" w:type="dxa"/>
            <w:noWrap/>
            <w:vAlign w:val="bottom"/>
          </w:tcPr>
          <w:p>
            <w:pPr>
              <w:widowControl/>
              <w:adjustRightInd w:val="0"/>
              <w:snapToGrid w:val="0"/>
              <w:spacing w:line="360" w:lineRule="auto"/>
              <w:ind w:firstLine="1476" w:firstLineChars="700"/>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详细内容</w:t>
            </w:r>
          </w:p>
        </w:tc>
        <w:tc>
          <w:tcPr>
            <w:tcW w:w="2660" w:type="dxa"/>
            <w:noWrap/>
            <w:vAlign w:val="bottom"/>
          </w:tcPr>
          <w:p>
            <w:pPr>
              <w:widowControl/>
              <w:adjustRightInd w:val="0"/>
              <w:snapToGrid w:val="0"/>
              <w:spacing w:line="360" w:lineRule="auto"/>
              <w:ind w:firstLine="632" w:firstLineChars="300"/>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资产梳理、设备巡检</w:t>
            </w:r>
          </w:p>
        </w:tc>
        <w:tc>
          <w:tcPr>
            <w:tcW w:w="4494" w:type="dxa"/>
            <w:noWrap/>
            <w:vAlign w:val="center"/>
          </w:tcPr>
          <w:p>
            <w:pPr>
              <w:autoSpaceDE w:val="0"/>
              <w:autoSpaceDN w:val="0"/>
              <w:adjustRightInd w:val="0"/>
              <w:spacing w:line="276" w:lineRule="auto"/>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对校方无限制数量</w:t>
            </w:r>
            <w:r>
              <w:rPr>
                <w:rFonts w:ascii="宋体" w:cs="宋体"/>
                <w:color w:val="000000" w:themeColor="text1"/>
                <w:szCs w:val="21"/>
                <w:highlight w:val="none"/>
                <w14:textFill>
                  <w14:solidFill>
                    <w14:schemeClr w14:val="tx1"/>
                  </w14:solidFill>
                </w14:textFill>
              </w:rPr>
              <w:t>IT</w:t>
            </w:r>
            <w:r>
              <w:rPr>
                <w:rFonts w:hint="eastAsia" w:ascii="宋体" w:cs="宋体"/>
                <w:color w:val="000000" w:themeColor="text1"/>
                <w:szCs w:val="21"/>
                <w:highlight w:val="none"/>
                <w14:textFill>
                  <w14:solidFill>
                    <w14:schemeClr w14:val="tx1"/>
                  </w14:solidFill>
                </w14:textFill>
              </w:rPr>
              <w:t>资产通过内、外网进行资产情报的搜集，帮助用户发现自己的未知资产，尤其是双非系统（网站），建立</w:t>
            </w:r>
            <w:r>
              <w:rPr>
                <w:rFonts w:ascii="宋体" w:cs="宋体"/>
                <w:color w:val="000000" w:themeColor="text1"/>
                <w:szCs w:val="21"/>
                <w:highlight w:val="none"/>
                <w14:textFill>
                  <w14:solidFill>
                    <w14:schemeClr w14:val="tx1"/>
                  </w14:solidFill>
                </w14:textFill>
              </w:rPr>
              <w:t>IT</w:t>
            </w:r>
            <w:r>
              <w:rPr>
                <w:rFonts w:hint="eastAsia" w:ascii="宋体" w:cs="宋体"/>
                <w:color w:val="000000" w:themeColor="text1"/>
                <w:szCs w:val="21"/>
                <w:highlight w:val="none"/>
                <w14:textFill>
                  <w14:solidFill>
                    <w14:schemeClr w14:val="tx1"/>
                  </w14:solidFill>
                </w14:textFill>
              </w:rPr>
              <w:t>资产台账（记录其</w:t>
            </w:r>
            <w:r>
              <w:rPr>
                <w:rFonts w:ascii="宋体" w:cs="宋体"/>
                <w:color w:val="000000" w:themeColor="text1"/>
                <w:szCs w:val="21"/>
                <w:highlight w:val="none"/>
                <w14:textFill>
                  <w14:solidFill>
                    <w14:schemeClr w14:val="tx1"/>
                  </w14:solidFill>
                </w14:textFill>
              </w:rPr>
              <w:t>IP</w:t>
            </w:r>
            <w:r>
              <w:rPr>
                <w:rFonts w:hint="eastAsia" w:ascii="宋体" w:cs="宋体"/>
                <w:color w:val="000000" w:themeColor="text1"/>
                <w:szCs w:val="21"/>
                <w:highlight w:val="none"/>
                <w14:textFill>
                  <w14:solidFill>
                    <w14:schemeClr w14:val="tx1"/>
                  </w14:solidFill>
                </w14:textFill>
              </w:rPr>
              <w:t>地址、操作系统、中间件、数据库版本等信息，并标识业务系统作用和关联系统）。</w:t>
            </w:r>
          </w:p>
          <w:p>
            <w:pPr>
              <w:autoSpaceDE w:val="0"/>
              <w:autoSpaceDN w:val="0"/>
              <w:adjustRightInd w:val="0"/>
              <w:spacing w:line="276" w:lineRule="auto"/>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安全设备健康度巡检和威胁日志巡检、安全设备告警信息分析、</w:t>
            </w:r>
            <w:r>
              <w:rPr>
                <w:rFonts w:ascii="宋体" w:cs="宋体"/>
                <w:color w:val="000000" w:themeColor="text1"/>
                <w:szCs w:val="21"/>
                <w:highlight w:val="none"/>
                <w14:textFill>
                  <w14:solidFill>
                    <w14:schemeClr w14:val="tx1"/>
                  </w14:solidFill>
                </w14:textFill>
              </w:rPr>
              <w:t>WEB</w:t>
            </w:r>
            <w:r>
              <w:rPr>
                <w:rFonts w:hint="eastAsia" w:ascii="宋体" w:cs="宋体"/>
                <w:color w:val="000000" w:themeColor="text1"/>
                <w:szCs w:val="21"/>
                <w:highlight w:val="none"/>
                <w14:textFill>
                  <w14:solidFill>
                    <w14:schemeClr w14:val="tx1"/>
                  </w14:solidFill>
                </w14:textFill>
              </w:rPr>
              <w:t>应用分析、</w:t>
            </w:r>
            <w:r>
              <w:rPr>
                <w:rFonts w:ascii="宋体" w:cs="宋体"/>
                <w:color w:val="000000" w:themeColor="text1"/>
                <w:szCs w:val="21"/>
                <w:highlight w:val="none"/>
                <w14:textFill>
                  <w14:solidFill>
                    <w14:schemeClr w14:val="tx1"/>
                  </w14:solidFill>
                </w14:textFill>
              </w:rPr>
              <w:t>DNS</w:t>
            </w:r>
            <w:r>
              <w:rPr>
                <w:rFonts w:hint="eastAsia" w:ascii="宋体" w:cs="宋体"/>
                <w:color w:val="000000" w:themeColor="text1"/>
                <w:szCs w:val="21"/>
                <w:highlight w:val="none"/>
                <w14:textFill>
                  <w14:solidFill>
                    <w14:schemeClr w14:val="tx1"/>
                  </w14:solidFill>
                </w14:textFill>
              </w:rPr>
              <w:t>行为分析、异常登录分析、邮件分析等。</w:t>
            </w:r>
          </w:p>
          <w:p>
            <w:pPr>
              <w:autoSpaceDE w:val="0"/>
              <w:autoSpaceDN w:val="0"/>
              <w:adjustRightInd w:val="0"/>
              <w:spacing w:line="276" w:lineRule="auto"/>
              <w:jc w:val="left"/>
              <w:rPr>
                <w:rFonts w:ascii="宋体" w:hAns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安全事件处置：对发现或者发生的安全威胁、事件进行分析、处置、协助校方进行全面整改。</w:t>
            </w:r>
          </w:p>
        </w:tc>
        <w:tc>
          <w:tcPr>
            <w:tcW w:w="2660" w:type="dxa"/>
            <w:noWrap/>
            <w:vAlign w:val="center"/>
          </w:tcPr>
          <w:p>
            <w:pPr>
              <w:widowControl/>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服务周期：</w:t>
            </w:r>
            <w:r>
              <w:rPr>
                <w:rFonts w:hint="eastAsia" w:ascii="宋体" w:hAnsi="宋体" w:cs="宋体"/>
                <w:color w:val="000000" w:themeColor="text1"/>
                <w:kern w:val="0"/>
                <w:szCs w:val="21"/>
                <w:highlight w:val="none"/>
                <w14:textFill>
                  <w14:solidFill>
                    <w14:schemeClr w14:val="tx1"/>
                  </w14:solidFill>
                </w14:textFill>
              </w:rPr>
              <w:t>项目周期同步</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工作时间：</w:t>
            </w:r>
            <w:r>
              <w:rPr>
                <w:rFonts w:hint="eastAsia" w:ascii="宋体" w:hAnsi="宋体" w:cs="宋体"/>
                <w:color w:val="000000" w:themeColor="text1"/>
                <w:kern w:val="0"/>
                <w:szCs w:val="21"/>
                <w:highlight w:val="none"/>
                <w14:textFill>
                  <w14:solidFill>
                    <w14:schemeClr w14:val="tx1"/>
                  </w14:solidFill>
                </w14:textFill>
              </w:rPr>
              <w:t>工作日（8：0</w:t>
            </w:r>
            <w:r>
              <w:rPr>
                <w:rFonts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至1</w:t>
            </w:r>
            <w:r>
              <w:rPr>
                <w:rFonts w:ascii="宋体" w:hAnsi="宋体" w:cs="宋体"/>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：0</w:t>
            </w:r>
            <w:r>
              <w:rPr>
                <w:rFonts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），网络威胁高发时期、重点时期等情况服从学校安排</w:t>
            </w:r>
          </w:p>
          <w:p>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交付物</w:t>
            </w:r>
            <w:r>
              <w:rPr>
                <w:rFonts w:hint="eastAsia" w:ascii="宋体" w:hAnsi="宋体" w:cs="宋体"/>
                <w:color w:val="000000" w:themeColor="text1"/>
                <w:kern w:val="0"/>
                <w:szCs w:val="21"/>
                <w:highlight w:val="none"/>
                <w14:textFill>
                  <w14:solidFill>
                    <w14:schemeClr w14:val="tx1"/>
                  </w14:solidFill>
                </w14:textFill>
              </w:rPr>
              <w:t>：文字形式的工作日报、周报、阶段性总结等，协助学校做好相关网络安全文件的编制工作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漏洞扫描</w:t>
            </w:r>
          </w:p>
        </w:tc>
        <w:tc>
          <w:tcPr>
            <w:tcW w:w="4494" w:type="dxa"/>
            <w:noWrap/>
            <w:vAlign w:val="center"/>
          </w:tcPr>
          <w:p>
            <w:pPr>
              <w:autoSpaceDE w:val="0"/>
              <w:autoSpaceDN w:val="0"/>
              <w:adjustRightInd w:val="0"/>
              <w:spacing w:line="276" w:lineRule="auto"/>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针对校方指定网站和信息系统进行全方位多维度自动化的漏洞扫描，通过漏洞扫描工具结合人工确认的方式从内网和外网两个角度发现安全风险、漏洞和威胁。</w:t>
            </w:r>
          </w:p>
          <w:p>
            <w:pPr>
              <w:autoSpaceDE w:val="0"/>
              <w:autoSpaceDN w:val="0"/>
              <w:adjustRightInd w:val="0"/>
              <w:spacing w:line="276" w:lineRule="auto"/>
              <w:jc w:val="left"/>
              <w:rPr>
                <w:rFonts w:ascii="宋体" w:hAns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给出全面的安全评估报告，对可能存在的误报进行验证，详细说明存在的安全风险，对确认存在的安全风险提供对应的修复建议，并协助校方进行风险修复。一周内提供安全评估报告，紧急情况需</w:t>
            </w:r>
            <w:r>
              <w:rPr>
                <w:rFonts w:ascii="宋体" w:cs="宋体"/>
                <w:color w:val="000000" w:themeColor="text1"/>
                <w:szCs w:val="21"/>
                <w:highlight w:val="none"/>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天内提供报告。报告包含原因分析、解决方案以及校方要求的其他内容。</w:t>
            </w:r>
          </w:p>
        </w:tc>
        <w:tc>
          <w:tcPr>
            <w:tcW w:w="2660" w:type="dxa"/>
            <w:noWrap/>
            <w:vAlign w:val="center"/>
          </w:tcPr>
          <w:p>
            <w:pPr>
              <w:widowControl/>
              <w:jc w:val="left"/>
              <w:rPr>
                <w:color w:val="000000" w:themeColor="text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服务范围:</w:t>
            </w:r>
            <w:r>
              <w:rPr>
                <w:rFonts w:hint="eastAsia" w:ascii="宋体" w:hAnsi="宋体" w:cs="宋体"/>
                <w:color w:val="000000" w:themeColor="text1"/>
                <w:kern w:val="0"/>
                <w:szCs w:val="21"/>
                <w:highlight w:val="none"/>
                <w14:textFill>
                  <w14:solidFill>
                    <w14:schemeClr w14:val="tx1"/>
                  </w14:solidFill>
                </w14:textFill>
              </w:rPr>
              <w:t>服务期内学校提供的所有网站、业务系统（含复测)</w:t>
            </w:r>
          </w:p>
          <w:p>
            <w:pPr>
              <w:widowControl/>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服务频率:</w:t>
            </w:r>
            <w:r>
              <w:rPr>
                <w:rFonts w:hint="eastAsia" w:ascii="宋体" w:hAnsi="宋体" w:cs="宋体"/>
                <w:color w:val="000000" w:themeColor="text1"/>
                <w:kern w:val="0"/>
                <w:szCs w:val="21"/>
                <w:highlight w:val="none"/>
                <w14:textFill>
                  <w14:solidFill>
                    <w14:schemeClr w14:val="tx1"/>
                  </w14:solidFill>
                </w14:textFill>
              </w:rPr>
              <w:t>按实际需求</w:t>
            </w:r>
          </w:p>
          <w:p>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交付物:</w:t>
            </w:r>
            <w:r>
              <w:rPr>
                <w:rFonts w:hint="eastAsia" w:ascii="宋体" w:hAnsi="宋体" w:cs="宋体"/>
                <w:color w:val="000000" w:themeColor="text1"/>
                <w:kern w:val="0"/>
                <w:szCs w:val="21"/>
                <w:highlight w:val="none"/>
                <w14:textFill>
                  <w14:solidFill>
                    <w14:schemeClr w14:val="tx1"/>
                  </w14:solidFill>
                </w14:textFill>
              </w:rPr>
              <w:t>漏洞扫描报告和修复工作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新系统上线检测</w:t>
            </w:r>
          </w:p>
        </w:tc>
        <w:tc>
          <w:tcPr>
            <w:tcW w:w="4494" w:type="dxa"/>
            <w:noWrap/>
            <w:vAlign w:val="center"/>
          </w:tcPr>
          <w:p>
            <w:pPr>
              <w:adjustRightInd w:val="0"/>
              <w:snapToGrid w:val="0"/>
              <w:spacing w:before="100" w:beforeAutospacing="1" w:after="100" w:afterAutospacing="1"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系统上线前安全检测服务主要是针对校方新上线的系统进行安全检测，确保系统在没有中危及以上安全隐患，才允许上线正式运行。系统上线前安全检测方式主要包括：漏洞扫描（内外网结合）、渗透测试。出具详细的安全评估报告，并配合对新系统相关的安全整改与复核。</w:t>
            </w:r>
          </w:p>
        </w:tc>
        <w:tc>
          <w:tcPr>
            <w:tcW w:w="2660" w:type="dxa"/>
            <w:noWrap/>
            <w:vAlign w:val="center"/>
          </w:tcPr>
          <w:p>
            <w:pPr>
              <w:widowControl/>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服务频率：</w:t>
            </w:r>
            <w:r>
              <w:rPr>
                <w:rFonts w:hint="eastAsia" w:ascii="宋体" w:hAnsi="宋体" w:cs="宋体"/>
                <w:color w:val="000000" w:themeColor="text1"/>
                <w:szCs w:val="21"/>
                <w:highlight w:val="none"/>
                <w14:textFill>
                  <w14:solidFill>
                    <w14:schemeClr w14:val="tx1"/>
                  </w14:solidFill>
                </w14:textFill>
              </w:rPr>
              <w:t>根据学校要求响应</w:t>
            </w:r>
          </w:p>
          <w:p>
            <w:pPr>
              <w:widowControl/>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交付物：</w:t>
            </w:r>
            <w:r>
              <w:rPr>
                <w:rFonts w:hint="eastAsia" w:ascii="宋体" w:hAnsi="宋体"/>
                <w:color w:val="000000" w:themeColor="text1"/>
                <w:szCs w:val="21"/>
                <w:highlight w:val="none"/>
                <w14:textFill>
                  <w14:solidFill>
                    <w14:schemeClr w14:val="tx1"/>
                  </w14:solidFill>
                </w14:textFill>
              </w:rPr>
              <w:t>安全评估报告、安全整改与复核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渗透测试</w:t>
            </w:r>
          </w:p>
        </w:tc>
        <w:tc>
          <w:tcPr>
            <w:tcW w:w="4494" w:type="dxa"/>
            <w:noWrap/>
            <w:vAlign w:val="center"/>
          </w:tcPr>
          <w:p>
            <w:pPr>
              <w:autoSpaceDE w:val="0"/>
              <w:autoSpaceDN w:val="0"/>
              <w:adjustRightInd w:val="0"/>
              <w:spacing w:line="276" w:lineRule="auto"/>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 xml:space="preserve">1. </w:t>
            </w:r>
            <w:r>
              <w:rPr>
                <w:rFonts w:hint="eastAsia" w:ascii="宋体" w:cs="宋体"/>
                <w:color w:val="000000" w:themeColor="text1"/>
                <w:szCs w:val="21"/>
                <w:highlight w:val="none"/>
                <w14:textFill>
                  <w14:solidFill>
                    <w14:schemeClr w14:val="tx1"/>
                  </w14:solidFill>
                </w14:textFill>
              </w:rPr>
              <w:t>以模拟黑客入侵的方式对目标系统进行模拟入侵测试，最大限度挖掘注入漏洞、越权访问漏洞、业务逻辑漏洞、</w:t>
            </w:r>
            <w:r>
              <w:rPr>
                <w:rFonts w:ascii="宋体" w:cs="宋体"/>
                <w:color w:val="000000" w:themeColor="text1"/>
                <w:szCs w:val="21"/>
                <w:highlight w:val="none"/>
                <w14:textFill>
                  <w14:solidFill>
                    <w14:schemeClr w14:val="tx1"/>
                  </w14:solidFill>
                </w14:textFill>
              </w:rPr>
              <w:t>Web</w:t>
            </w:r>
            <w:r>
              <w:rPr>
                <w:rFonts w:hint="eastAsia" w:ascii="宋体" w:cs="宋体"/>
                <w:color w:val="000000" w:themeColor="text1"/>
                <w:szCs w:val="21"/>
                <w:highlight w:val="none"/>
                <w14:textFill>
                  <w14:solidFill>
                    <w14:schemeClr w14:val="tx1"/>
                  </w14:solidFill>
                </w14:textFill>
              </w:rPr>
              <w:t>框架漏洞、文件上传漏洞、弱密码、关联性漏洞等安全风险，一周内提供渗透测试报告，紧急情况需</w:t>
            </w:r>
            <w:r>
              <w:rPr>
                <w:rFonts w:ascii="宋体" w:cs="宋体"/>
                <w:color w:val="000000" w:themeColor="text1"/>
                <w:szCs w:val="21"/>
                <w:highlight w:val="none"/>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天内提供渗透测试报告。</w:t>
            </w:r>
          </w:p>
          <w:p>
            <w:pPr>
              <w:autoSpaceDE w:val="0"/>
              <w:autoSpaceDN w:val="0"/>
              <w:adjustRightInd w:val="0"/>
              <w:spacing w:line="276" w:lineRule="auto"/>
              <w:jc w:val="left"/>
              <w:rPr>
                <w:rFonts w:ascii="宋体" w:hAns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 xml:space="preserve">2. </w:t>
            </w:r>
            <w:r>
              <w:rPr>
                <w:rFonts w:hint="eastAsia" w:ascii="宋体" w:cs="宋体"/>
                <w:color w:val="000000" w:themeColor="text1"/>
                <w:szCs w:val="21"/>
                <w:highlight w:val="none"/>
                <w14:textFill>
                  <w14:solidFill>
                    <w14:schemeClr w14:val="tx1"/>
                  </w14:solidFill>
                </w14:textFill>
              </w:rPr>
              <w:t>渗透测试报告包含原因分析、解决方案以及校方要求的其他内容，协助校方进行漏洞、安全隐患等修复工作后进行复测。</w:t>
            </w:r>
          </w:p>
        </w:tc>
        <w:tc>
          <w:tcPr>
            <w:tcW w:w="2660" w:type="dxa"/>
            <w:noWrap/>
            <w:vAlign w:val="center"/>
          </w:tcPr>
          <w:p>
            <w:pPr>
              <w:widowControl/>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服务范围:</w:t>
            </w:r>
            <w:r>
              <w:rPr>
                <w:rFonts w:hint="eastAsia" w:ascii="宋体" w:hAnsi="宋体" w:cs="宋体"/>
                <w:color w:val="000000" w:themeColor="text1"/>
                <w:kern w:val="0"/>
                <w:szCs w:val="21"/>
                <w:highlight w:val="none"/>
                <w14:textFill>
                  <w14:solidFill>
                    <w14:schemeClr w14:val="tx1"/>
                  </w14:solidFill>
                </w14:textFill>
              </w:rPr>
              <w:t>学校提供的业务系统（不低于</w:t>
            </w:r>
            <w:r>
              <w:rPr>
                <w:rFonts w:ascii="宋体" w:hAnsi="宋体" w:cs="宋体"/>
                <w:color w:val="000000" w:themeColor="text1"/>
                <w:kern w:val="0"/>
                <w:szCs w:val="21"/>
                <w:highlight w:val="none"/>
                <w14:textFill>
                  <w14:solidFill>
                    <w14:schemeClr w14:val="tx1"/>
                  </w14:solidFill>
                </w14:textFill>
              </w:rPr>
              <w:t>20</w:t>
            </w:r>
            <w:r>
              <w:rPr>
                <w:rFonts w:hint="eastAsia" w:ascii="宋体" w:hAnsi="宋体" w:cs="宋体"/>
                <w:color w:val="000000" w:themeColor="text1"/>
                <w:kern w:val="0"/>
                <w:szCs w:val="21"/>
                <w:highlight w:val="none"/>
                <w14:textFill>
                  <w14:solidFill>
                    <w14:schemeClr w14:val="tx1"/>
                  </w14:solidFill>
                </w14:textFill>
              </w:rPr>
              <w:t>个业务系统，不区分内外网，含复测，提供测试报告并协助做好整改工作)</w:t>
            </w:r>
          </w:p>
          <w:p>
            <w:pPr>
              <w:widowControl/>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服务频率:</w:t>
            </w:r>
            <w:r>
              <w:rPr>
                <w:rFonts w:hint="eastAsia" w:ascii="宋体" w:hAnsi="宋体" w:cs="宋体"/>
                <w:color w:val="000000" w:themeColor="text1"/>
                <w:kern w:val="0"/>
                <w:szCs w:val="21"/>
                <w:highlight w:val="none"/>
                <w14:textFill>
                  <w14:solidFill>
                    <w14:schemeClr w14:val="tx1"/>
                  </w14:solidFill>
                </w14:textFill>
              </w:rPr>
              <w:t>一年不少于</w:t>
            </w:r>
            <w:r>
              <w:rPr>
                <w:rFonts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次（不含复测）</w:t>
            </w:r>
          </w:p>
          <w:p>
            <w:pPr>
              <w:widowControl/>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交付物:</w:t>
            </w:r>
            <w:r>
              <w:rPr>
                <w:rFonts w:hint="eastAsia" w:ascii="宋体" w:hAnsi="宋体" w:cs="宋体"/>
                <w:color w:val="000000" w:themeColor="text1"/>
                <w:kern w:val="0"/>
                <w:szCs w:val="21"/>
                <w:highlight w:val="none"/>
                <w14:textFill>
                  <w14:solidFill>
                    <w14:schemeClr w14:val="tx1"/>
                  </w14:solidFill>
                </w14:textFill>
              </w:rPr>
              <w:t>测试报告和整改工作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重要时期保障</w:t>
            </w:r>
          </w:p>
        </w:tc>
        <w:tc>
          <w:tcPr>
            <w:tcW w:w="4494" w:type="dxa"/>
            <w:noWrap/>
            <w:vAlign w:val="center"/>
          </w:tcPr>
          <w:p>
            <w:pPr>
              <w:autoSpaceDE w:val="0"/>
              <w:autoSpaceDN w:val="0"/>
              <w:adjustRightInd w:val="0"/>
              <w:spacing w:line="276" w:lineRule="auto"/>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 xml:space="preserve">1. </w:t>
            </w:r>
            <w:r>
              <w:rPr>
                <w:rFonts w:hint="eastAsia" w:ascii="宋体" w:cs="宋体"/>
                <w:color w:val="000000" w:themeColor="text1"/>
                <w:szCs w:val="21"/>
                <w:highlight w:val="none"/>
                <w14:textFill>
                  <w14:solidFill>
                    <w14:schemeClr w14:val="tx1"/>
                  </w14:solidFill>
                </w14:textFill>
              </w:rPr>
              <w:t>针对重大节假日、重大会议、大型活动、护网等重点保障时期，为校方提供专项保障服务，协助校方做好服务期内重要时期网络安全保障工作。</w:t>
            </w:r>
          </w:p>
          <w:p>
            <w:pPr>
              <w:autoSpaceDE w:val="0"/>
              <w:autoSpaceDN w:val="0"/>
              <w:adjustRightInd w:val="0"/>
              <w:spacing w:line="276" w:lineRule="auto"/>
              <w:jc w:val="left"/>
              <w:rPr>
                <w:rFonts w:ascii="宋体" w:hAns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 xml:space="preserve">2. </w:t>
            </w:r>
            <w:r>
              <w:rPr>
                <w:rFonts w:hint="eastAsia" w:ascii="宋体" w:cs="宋体"/>
                <w:color w:val="000000" w:themeColor="text1"/>
                <w:szCs w:val="21"/>
                <w:highlight w:val="none"/>
                <w14:textFill>
                  <w14:solidFill>
                    <w14:schemeClr w14:val="tx1"/>
                  </w14:solidFill>
                </w14:textFill>
              </w:rPr>
              <w:t>服务将综合多年重大活动、会议期间的安全保障经验，对国内外非法势力的攻击方向和范围进行研究，以及校方实际网络安全情况，提供</w:t>
            </w:r>
            <w:r>
              <w:rPr>
                <w:rFonts w:ascii="宋体" w:cs="宋体"/>
                <w:color w:val="000000" w:themeColor="text1"/>
                <w:szCs w:val="21"/>
                <w:highlight w:val="none"/>
                <w14:textFill>
                  <w14:solidFill>
                    <w14:schemeClr w14:val="tx1"/>
                  </w14:solidFill>
                </w14:textFill>
              </w:rPr>
              <w:t>7*24</w:t>
            </w:r>
            <w:r>
              <w:rPr>
                <w:rFonts w:hint="eastAsia" w:ascii="宋体" w:cs="宋体"/>
                <w:color w:val="000000" w:themeColor="text1"/>
                <w:szCs w:val="21"/>
                <w:highlight w:val="none"/>
                <w14:textFill>
                  <w14:solidFill>
                    <w14:schemeClr w14:val="tx1"/>
                  </w14:solidFill>
                </w14:textFill>
              </w:rPr>
              <w:t>小时远程技术人员值守、网站监测、安全设备日志分析等服务，每日汇报安全情况，全程协助校方进行安全事件排查及调查取证工作。</w:t>
            </w:r>
          </w:p>
        </w:tc>
        <w:tc>
          <w:tcPr>
            <w:tcW w:w="2660" w:type="dxa"/>
            <w:noWrap/>
            <w:vAlign w:val="center"/>
          </w:tcPr>
          <w:p>
            <w:pPr>
              <w:widowControl/>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服务频率：</w:t>
            </w:r>
            <w:r>
              <w:rPr>
                <w:rFonts w:hint="eastAsia" w:ascii="宋体" w:hAnsi="宋体" w:cs="宋体"/>
                <w:color w:val="000000" w:themeColor="text1"/>
                <w:kern w:val="0"/>
                <w:szCs w:val="21"/>
                <w:highlight w:val="none"/>
                <w14:textFill>
                  <w14:solidFill>
                    <w14:schemeClr w14:val="tx1"/>
                  </w14:solidFill>
                </w14:textFill>
              </w:rPr>
              <w:t>根据学校要求响应</w:t>
            </w:r>
          </w:p>
          <w:p>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交付物：</w:t>
            </w:r>
            <w:r>
              <w:rPr>
                <w:rFonts w:hint="eastAsia" w:ascii="宋体" w:hAnsi="宋体" w:cs="宋体"/>
                <w:color w:val="000000" w:themeColor="text1"/>
                <w:kern w:val="0"/>
                <w:szCs w:val="21"/>
                <w:highlight w:val="none"/>
                <w14:textFill>
                  <w14:solidFill>
                    <w14:schemeClr w14:val="tx1"/>
                  </w14:solidFill>
                </w14:textFill>
              </w:rPr>
              <w:t>安全保障应急响应预案、安全保障工作日志、安全保障工作总结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应急响应</w:t>
            </w:r>
          </w:p>
        </w:tc>
        <w:tc>
          <w:tcPr>
            <w:tcW w:w="4494" w:type="dxa"/>
            <w:noWrap/>
            <w:vAlign w:val="center"/>
          </w:tcPr>
          <w:p>
            <w:pPr>
              <w:widowControl/>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1.当校方网络与信息系统发生紧急安全事件时，迅速组织应急安全专家小组提供远程及现场支持，最快速处置事件，并采取有效措施，遏制事件蔓延并降低安全威胁事件带来的严重影响。</w:t>
            </w:r>
          </w:p>
          <w:p>
            <w:pPr>
              <w:widowControl/>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2.安全服务人员根据事件类别，通过远程和现场支持的方式协助校方对遇到的突发性安全事件进行紧急分析和处理。</w:t>
            </w:r>
          </w:p>
          <w:p>
            <w:pPr>
              <w:widowControl/>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3.应急响应服务应至少包括现场取证备查、事件分析、分析报告提交、问题解决建议等，保证重要系统能及时恢复上线。</w:t>
            </w:r>
          </w:p>
          <w:p>
            <w:pPr>
              <w:widowControl/>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4.驻场人员响应时间不超过0</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小时，应急安全专家小组远程响应时间不超过1小时，应急安全专家小组</w:t>
            </w:r>
            <w:r>
              <w:rPr>
                <w:rFonts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小时内到达现场。</w:t>
            </w:r>
          </w:p>
        </w:tc>
        <w:tc>
          <w:tcPr>
            <w:tcW w:w="2660" w:type="dxa"/>
            <w:noWrap/>
            <w:vAlign w:val="center"/>
          </w:tcPr>
          <w:p>
            <w:pPr>
              <w:widowControl/>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服务频率：</w:t>
            </w:r>
            <w:r>
              <w:rPr>
                <w:rFonts w:hint="eastAsia" w:ascii="宋体" w:hAnsi="宋体" w:cs="宋体"/>
                <w:color w:val="000000" w:themeColor="text1"/>
                <w:szCs w:val="21"/>
                <w:highlight w:val="none"/>
                <w14:textFill>
                  <w14:solidFill>
                    <w14:schemeClr w14:val="tx1"/>
                  </w14:solidFill>
                </w14:textFill>
              </w:rPr>
              <w:t>根据学校要求响应</w:t>
            </w:r>
          </w:p>
          <w:p>
            <w:pPr>
              <w:pStyle w:val="4"/>
              <w:rPr>
                <w:color w:val="000000" w:themeColor="text1"/>
                <w:highlight w:val="none"/>
                <w14:textFill>
                  <w14:solidFill>
                    <w14:schemeClr w14:val="tx1"/>
                  </w14:solidFill>
                </w14:textFill>
              </w:rPr>
            </w:pPr>
          </w:p>
          <w:p>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交付物：</w:t>
            </w:r>
            <w:r>
              <w:rPr>
                <w:rFonts w:hint="eastAsia" w:ascii="宋体" w:hAnsi="宋体" w:cs="宋体"/>
                <w:color w:val="000000" w:themeColor="text1"/>
                <w:szCs w:val="21"/>
                <w:highlight w:val="none"/>
                <w14:textFill>
                  <w14:solidFill>
                    <w14:schemeClr w14:val="tx1"/>
                  </w14:solidFill>
                </w14:textFill>
              </w:rPr>
              <w:t>网络安全事件应急响应报告、处置建议、协助进行安全事件处置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应急演练</w:t>
            </w:r>
          </w:p>
        </w:tc>
        <w:tc>
          <w:tcPr>
            <w:tcW w:w="4494" w:type="dxa"/>
            <w:noWrap/>
            <w:vAlign w:val="center"/>
          </w:tcPr>
          <w:p>
            <w:pPr>
              <w:widowControl/>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过应急演练服务，建立健全网络与信息安全运行应急工作机制，检验网络与信息安全综合应急预案的有效性，验证相关组织和人员应对网络和信息安全突发事件的组织指挥能力和应急处置能力。同时，通过演练，不断提高各部门开展应急工作的水平和效率，发现不足，进一步完善应急预案。</w:t>
            </w:r>
          </w:p>
          <w:p>
            <w:pPr>
              <w:widowControl/>
              <w:spacing w:line="276"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根据实际业务环境，提供专项预案，准备演练场景，以模拟攻防演练的方式检验应急预案和应急流程是否完善，提高应急处理能力。</w:t>
            </w:r>
          </w:p>
        </w:tc>
        <w:tc>
          <w:tcPr>
            <w:tcW w:w="2660" w:type="dxa"/>
            <w:noWrap/>
            <w:vAlign w:val="center"/>
          </w:tcPr>
          <w:p>
            <w:pPr>
              <w:widowControl/>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服务频率：</w:t>
            </w:r>
            <w:r>
              <w:rPr>
                <w:rFonts w:hint="eastAsia" w:ascii="宋体" w:hAnsi="宋体" w:cs="宋体"/>
                <w:color w:val="000000" w:themeColor="text1"/>
                <w:kern w:val="0"/>
                <w:szCs w:val="21"/>
                <w:highlight w:val="none"/>
                <w14:textFill>
                  <w14:solidFill>
                    <w14:schemeClr w14:val="tx1"/>
                  </w14:solidFill>
                </w14:textFill>
              </w:rPr>
              <w:t>不少于</w:t>
            </w:r>
            <w:r>
              <w:rPr>
                <w:rFonts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次</w:t>
            </w:r>
          </w:p>
          <w:p>
            <w:pPr>
              <w:pStyle w:val="4"/>
              <w:rPr>
                <w:color w:val="000000" w:themeColor="text1"/>
                <w:highlight w:val="none"/>
                <w14:textFill>
                  <w14:solidFill>
                    <w14:schemeClr w14:val="tx1"/>
                  </w14:solidFill>
                </w14:textFill>
              </w:rPr>
            </w:pPr>
          </w:p>
          <w:p>
            <w:pPr>
              <w:widowControl/>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交付物：</w:t>
            </w:r>
            <w:r>
              <w:rPr>
                <w:rFonts w:hint="eastAsia" w:ascii="宋体" w:hAnsi="宋体" w:cs="宋体"/>
                <w:color w:val="000000" w:themeColor="text1"/>
                <w:kern w:val="0"/>
                <w:szCs w:val="21"/>
                <w:highlight w:val="none"/>
                <w14:textFill>
                  <w14:solidFill>
                    <w14:schemeClr w14:val="tx1"/>
                  </w14:solidFill>
                </w14:textFill>
              </w:rPr>
              <w:t>应急演练预案（周期性完善）、应急演练方案、应急演练汇报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安全培训</w:t>
            </w:r>
          </w:p>
        </w:tc>
        <w:tc>
          <w:tcPr>
            <w:tcW w:w="4494" w:type="dxa"/>
            <w:noWrap/>
            <w:vAlign w:val="center"/>
          </w:tcPr>
          <w:p>
            <w:pPr>
              <w:adjustRightInd w:val="0"/>
              <w:snapToGrid w:val="0"/>
              <w:spacing w:before="100" w:beforeAutospacing="1" w:after="100" w:afterAutospacing="1" w:line="276" w:lineRule="auto"/>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根据校方的网络安全培训要求，提供网络安全培训课程，培训形式由校方指定，培训内容包含但不限于网络安全意识培训、网络安全管理培训、网络安全技能培训网络安全等级保护标准培训、商用密码应用安全性评估培训。</w:t>
            </w:r>
          </w:p>
        </w:tc>
        <w:tc>
          <w:tcPr>
            <w:tcW w:w="2660" w:type="dxa"/>
            <w:noWrap/>
            <w:vAlign w:val="center"/>
          </w:tcPr>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服务频率：</w:t>
            </w:r>
            <w:r>
              <w:rPr>
                <w:rFonts w:hint="eastAsia" w:ascii="宋体" w:hAnsi="宋体" w:cs="宋体"/>
                <w:color w:val="000000" w:themeColor="text1"/>
                <w:szCs w:val="21"/>
                <w:highlight w:val="none"/>
                <w14:textFill>
                  <w14:solidFill>
                    <w14:schemeClr w14:val="tx1"/>
                  </w14:solidFill>
                </w14:textFill>
              </w:rPr>
              <w:t>面向校内专业人员2次技术培训，面向师生2次知识讲座</w:t>
            </w:r>
          </w:p>
          <w:p>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交付物：</w:t>
            </w:r>
            <w:r>
              <w:rPr>
                <w:rFonts w:hint="eastAsia" w:ascii="宋体" w:hAnsi="宋体" w:cs="宋体"/>
                <w:color w:val="000000" w:themeColor="text1"/>
                <w:szCs w:val="21"/>
                <w:highlight w:val="none"/>
                <w14:textFill>
                  <w14:solidFill>
                    <w14:schemeClr w14:val="tx1"/>
                  </w14:solidFill>
                </w14:textFill>
              </w:rPr>
              <w:t>技术培训、网络安全知识讲座、培训及相关文稿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网络安全宣传周</w:t>
            </w:r>
            <w:r>
              <w:rPr>
                <w:rFonts w:hint="eastAsia" w:ascii="宋体" w:hAnsi="宋体"/>
                <w:color w:val="000000" w:themeColor="text1"/>
                <w:szCs w:val="21"/>
                <w:highlight w:val="none"/>
                <w14:textFill>
                  <w14:solidFill>
                    <w14:schemeClr w14:val="tx1"/>
                  </w14:solidFill>
                </w14:textFill>
              </w:rPr>
              <w:t>宣传教育</w:t>
            </w:r>
          </w:p>
        </w:tc>
        <w:tc>
          <w:tcPr>
            <w:tcW w:w="4494" w:type="dxa"/>
            <w:noWrap/>
            <w:vAlign w:val="center"/>
          </w:tcPr>
          <w:p>
            <w:pPr>
              <w:adjustRightInd w:val="0"/>
              <w:snapToGrid w:val="0"/>
              <w:spacing w:before="100" w:beforeAutospacing="1" w:after="100" w:afterAutospacing="1"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根据国家网络安全宣传周的要求，协助校方开展网络安全宣传周各种形式的宣传，对师生开展网络安全教育活动。</w:t>
            </w:r>
          </w:p>
        </w:tc>
        <w:tc>
          <w:tcPr>
            <w:tcW w:w="2660" w:type="dxa"/>
            <w:noWrap/>
            <w:vAlign w:val="center"/>
          </w:tcPr>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服务频率：</w:t>
            </w:r>
            <w:r>
              <w:rPr>
                <w:rFonts w:hint="eastAsia" w:ascii="宋体" w:hAnsi="宋体" w:cs="宋体"/>
                <w:color w:val="000000" w:themeColor="text1"/>
                <w:szCs w:val="21"/>
                <w:highlight w:val="none"/>
                <w14:textFill>
                  <w14:solidFill>
                    <w14:schemeClr w14:val="tx1"/>
                  </w14:solidFill>
                </w14:textFill>
              </w:rPr>
              <w:t>不少于1年1次</w:t>
            </w:r>
          </w:p>
          <w:p>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交付物：</w:t>
            </w:r>
            <w:r>
              <w:rPr>
                <w:rFonts w:hint="eastAsia" w:ascii="宋体" w:hAnsi="宋体"/>
                <w:color w:val="000000" w:themeColor="text1"/>
                <w:szCs w:val="21"/>
                <w:highlight w:val="none"/>
                <w14:textFill>
                  <w14:solidFill>
                    <w14:schemeClr w14:val="tx1"/>
                  </w14:solidFill>
                </w14:textFill>
              </w:rPr>
              <w:t>网络安全宣传方案、组织过程、活动文稿等相关材料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安全</w:t>
            </w:r>
            <w:r>
              <w:rPr>
                <w:rFonts w:hint="eastAsia" w:ascii="宋体" w:hAnsi="宋体"/>
                <w:color w:val="000000" w:themeColor="text1"/>
                <w:szCs w:val="21"/>
                <w:highlight w:val="none"/>
                <w14:textFill>
                  <w14:solidFill>
                    <w14:schemeClr w14:val="tx1"/>
                  </w14:solidFill>
                </w14:textFill>
              </w:rPr>
              <w:t>预警</w:t>
            </w:r>
          </w:p>
        </w:tc>
        <w:tc>
          <w:tcPr>
            <w:tcW w:w="4494" w:type="dxa"/>
            <w:noWrap/>
            <w:vAlign w:val="center"/>
          </w:tcPr>
          <w:p>
            <w:pPr>
              <w:autoSpaceDE w:val="0"/>
              <w:autoSpaceDN w:val="0"/>
              <w:adjustRightInd w:val="0"/>
              <w:spacing w:line="276" w:lineRule="auto"/>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 xml:space="preserve">1. </w:t>
            </w:r>
            <w:r>
              <w:rPr>
                <w:rFonts w:hint="eastAsia" w:ascii="宋体" w:cs="宋体"/>
                <w:color w:val="000000" w:themeColor="text1"/>
                <w:szCs w:val="21"/>
                <w:highlight w:val="none"/>
                <w14:textFill>
                  <w14:solidFill>
                    <w14:schemeClr w14:val="tx1"/>
                  </w14:solidFill>
                </w14:textFill>
              </w:rPr>
              <w:t>密切关注零日漏洞、业界新发现的高危安全漏洞，针对高危安全漏洞及时预警，预警包括对安全漏洞的描述、影响范围、修复建议等内容。</w:t>
            </w:r>
          </w:p>
          <w:p>
            <w:pPr>
              <w:autoSpaceDE w:val="0"/>
              <w:autoSpaceDN w:val="0"/>
              <w:adjustRightInd w:val="0"/>
              <w:spacing w:line="276" w:lineRule="auto"/>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 xml:space="preserve">2. </w:t>
            </w:r>
            <w:r>
              <w:rPr>
                <w:rFonts w:hint="eastAsia" w:ascii="宋体" w:cs="宋体"/>
                <w:color w:val="000000" w:themeColor="text1"/>
                <w:szCs w:val="21"/>
                <w:highlight w:val="none"/>
                <w14:textFill>
                  <w14:solidFill>
                    <w14:schemeClr w14:val="tx1"/>
                  </w14:solidFill>
                </w14:textFill>
              </w:rPr>
              <w:t>网信办、公安机关等相关的行业安全事件分析、安全规范解读、安全检查范围方法预警、通告。</w:t>
            </w:r>
          </w:p>
          <w:p>
            <w:pPr>
              <w:autoSpaceDE w:val="0"/>
              <w:autoSpaceDN w:val="0"/>
              <w:adjustRightInd w:val="0"/>
              <w:spacing w:line="276" w:lineRule="auto"/>
              <w:jc w:val="left"/>
              <w:rPr>
                <w:rFonts w:ascii="宋体" w:hAns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w:t>
            </w:r>
            <w:r>
              <w:rPr>
                <w:rFonts w:ascii="宋体" w:cs="宋体"/>
                <w:color w:val="000000" w:themeColor="text1"/>
                <w:szCs w:val="21"/>
                <w:highlight w:val="none"/>
                <w14:textFill>
                  <w14:solidFill>
                    <w14:schemeClr w14:val="tx1"/>
                  </w14:solidFill>
                </w14:textFill>
              </w:rPr>
              <w:t xml:space="preserve">3. </w:t>
            </w:r>
            <w:r>
              <w:rPr>
                <w:rFonts w:hint="eastAsia" w:ascii="宋体" w:cs="宋体"/>
                <w:color w:val="000000" w:themeColor="text1"/>
                <w:szCs w:val="21"/>
                <w:highlight w:val="none"/>
                <w14:textFill>
                  <w14:solidFill>
                    <w14:schemeClr w14:val="tx1"/>
                  </w14:solidFill>
                </w14:textFill>
              </w:rPr>
              <w:t>预警范围包含但不限于：应用安全漏洞通告、重大安全事件通告、采购方自身安全漏洞通告；通报时间</w:t>
            </w:r>
            <w:r>
              <w:rPr>
                <w:rFonts w:ascii="宋体" w:cs="宋体"/>
                <w:color w:val="000000" w:themeColor="text1"/>
                <w:szCs w:val="21"/>
                <w:highlight w:val="none"/>
                <w14:textFill>
                  <w14:solidFill>
                    <w14:schemeClr w14:val="tx1"/>
                  </w14:solidFill>
                </w14:textFill>
              </w:rPr>
              <w:t>7*24</w:t>
            </w:r>
            <w:r>
              <w:rPr>
                <w:rFonts w:hint="eastAsia" w:ascii="宋体" w:cs="宋体"/>
                <w:color w:val="000000" w:themeColor="text1"/>
                <w:szCs w:val="21"/>
                <w:highlight w:val="none"/>
                <w14:textFill>
                  <w14:solidFill>
                    <w14:schemeClr w14:val="tx1"/>
                  </w14:solidFill>
                </w14:textFill>
              </w:rPr>
              <w:t>小时，实时通报；通报后根据实际情况提供远程或现场技术支持。</w:t>
            </w:r>
          </w:p>
        </w:tc>
        <w:tc>
          <w:tcPr>
            <w:tcW w:w="2660" w:type="dxa"/>
            <w:noWrap/>
            <w:vAlign w:val="center"/>
          </w:tcPr>
          <w:p>
            <w:pPr>
              <w:widowControl/>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服务频率：</w:t>
            </w:r>
            <w:r>
              <w:rPr>
                <w:rFonts w:hint="eastAsia" w:ascii="宋体" w:hAnsi="宋体" w:cs="宋体"/>
                <w:color w:val="000000" w:themeColor="text1"/>
                <w:szCs w:val="21"/>
                <w:highlight w:val="none"/>
                <w14:textFill>
                  <w14:solidFill>
                    <w14:schemeClr w14:val="tx1"/>
                  </w14:solidFill>
                </w14:textFill>
              </w:rPr>
              <w:t>根据学校要求响应</w:t>
            </w:r>
          </w:p>
          <w:p>
            <w:pPr>
              <w:widowControl/>
              <w:rPr>
                <w:rFonts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交付物：</w:t>
            </w:r>
            <w:r>
              <w:rPr>
                <w:rFonts w:hint="eastAsia" w:ascii="宋体" w:hAnsi="宋体" w:cs="宋体"/>
                <w:color w:val="000000" w:themeColor="text1"/>
                <w:szCs w:val="21"/>
                <w:highlight w:val="none"/>
                <w14:textFill>
                  <w14:solidFill>
                    <w14:schemeClr w14:val="tx1"/>
                  </w14:solidFill>
                </w14:textFill>
              </w:rPr>
              <w:t>安全漏洞详情、修复建议、协助完成修复；安全预警通告及后续技术支持工作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安全</w:t>
            </w:r>
            <w:r>
              <w:rPr>
                <w:rFonts w:hint="eastAsia" w:ascii="宋体" w:hAnsi="宋体"/>
                <w:color w:val="000000" w:themeColor="text1"/>
                <w:szCs w:val="21"/>
                <w:highlight w:val="none"/>
                <w14:textFill>
                  <w14:solidFill>
                    <w14:schemeClr w14:val="tx1"/>
                  </w14:solidFill>
                </w14:textFill>
              </w:rPr>
              <w:t>咨询</w:t>
            </w:r>
            <w:r>
              <w:rPr>
                <w:rFonts w:ascii="宋体" w:hAnsi="宋体"/>
                <w:color w:val="000000" w:themeColor="text1"/>
                <w:szCs w:val="21"/>
                <w:highlight w:val="none"/>
                <w14:textFill>
                  <w14:solidFill>
                    <w14:schemeClr w14:val="tx1"/>
                  </w14:solidFill>
                </w14:textFill>
              </w:rPr>
              <w:t>与策略</w:t>
            </w:r>
            <w:r>
              <w:rPr>
                <w:rFonts w:hint="eastAsia" w:ascii="宋体" w:hAnsi="宋体"/>
                <w:color w:val="000000" w:themeColor="text1"/>
                <w:szCs w:val="21"/>
                <w:highlight w:val="none"/>
                <w14:textFill>
                  <w14:solidFill>
                    <w14:schemeClr w14:val="tx1"/>
                  </w14:solidFill>
                </w14:textFill>
              </w:rPr>
              <w:t>优化</w:t>
            </w:r>
          </w:p>
        </w:tc>
        <w:tc>
          <w:tcPr>
            <w:tcW w:w="4494" w:type="dxa"/>
            <w:noWrap/>
            <w:vAlign w:val="center"/>
          </w:tcPr>
          <w:p>
            <w:pPr>
              <w:adjustRightInd w:val="0"/>
              <w:snapToGrid w:val="0"/>
              <w:spacing w:before="100" w:beforeAutospacing="1" w:after="100" w:afterAutospacing="1"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网络安全咨询服务，解答我校在网络安全建设、运维过程中的安全问题。同时，全面了解学校网络安全建设现状，参照国家及教育行业相关标准，协助我校制定网络安全建设方案和规划。根据等级保护要求和上级主管部门要求，协助学校制定、优化数据中心安全策略、互联</w:t>
            </w:r>
            <w:bookmarkStart w:id="0" w:name="_GoBack"/>
            <w:bookmarkEnd w:id="0"/>
            <w:r>
              <w:rPr>
                <w:rFonts w:hint="eastAsia" w:ascii="宋体" w:hAnsi="宋体" w:cs="宋体"/>
                <w:color w:val="000000" w:themeColor="text1"/>
                <w:szCs w:val="21"/>
                <w:highlight w:val="none"/>
                <w14:textFill>
                  <w14:solidFill>
                    <w14:schemeClr w14:val="tx1"/>
                  </w14:solidFill>
                </w14:textFill>
              </w:rPr>
              <w:t>网出口安全策略等;协助制定学校网络安全相关标准、制度，提供专业化安全建议。</w:t>
            </w:r>
          </w:p>
        </w:tc>
        <w:tc>
          <w:tcPr>
            <w:tcW w:w="2660" w:type="dxa"/>
            <w:noWrap/>
            <w:vAlign w:val="center"/>
          </w:tcPr>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服务频率：</w:t>
            </w:r>
            <w:r>
              <w:rPr>
                <w:rFonts w:hint="eastAsia" w:ascii="宋体" w:hAnsi="宋体" w:cs="宋体"/>
                <w:color w:val="000000" w:themeColor="text1"/>
                <w:szCs w:val="21"/>
                <w:highlight w:val="none"/>
                <w14:textFill>
                  <w14:solidFill>
                    <w14:schemeClr w14:val="tx1"/>
                  </w14:solidFill>
                </w14:textFill>
              </w:rPr>
              <w:t>根据学校要求响应</w:t>
            </w:r>
          </w:p>
          <w:p>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交付物：</w:t>
            </w:r>
            <w:r>
              <w:rPr>
                <w:rFonts w:hint="eastAsia" w:ascii="宋体" w:hAnsi="宋体" w:cs="宋体"/>
                <w:color w:val="000000" w:themeColor="text1"/>
                <w:kern w:val="0"/>
                <w:szCs w:val="21"/>
                <w:highlight w:val="none"/>
                <w14:textFill>
                  <w14:solidFill>
                    <w14:schemeClr w14:val="tx1"/>
                  </w14:solidFill>
                </w14:textFill>
              </w:rPr>
              <w:t>各类网络安全文件、制度、规范等</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策略优化报告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2</w:t>
            </w:r>
          </w:p>
        </w:tc>
        <w:tc>
          <w:tcPr>
            <w:tcW w:w="1459" w:type="dxa"/>
            <w:noWrap/>
            <w:vAlign w:val="center"/>
          </w:tcPr>
          <w:p>
            <w:pPr>
              <w:adjustRightInd w:val="0"/>
              <w:snapToGrid w:val="0"/>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安全威胁专项检查</w:t>
            </w:r>
          </w:p>
        </w:tc>
        <w:tc>
          <w:tcPr>
            <w:tcW w:w="4494" w:type="dxa"/>
            <w:noWrap/>
            <w:vAlign w:val="center"/>
          </w:tcPr>
          <w:p>
            <w:pPr>
              <w:adjustRightInd w:val="0"/>
              <w:snapToGrid w:val="0"/>
              <w:spacing w:before="100" w:beforeAutospacing="1" w:after="100" w:afterAutospacing="1"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根据上级主管部门要求、学校自行组织的各类网络安全专项检查，进行安全威胁检查，出具检查报告并协助做好相关威胁、漏洞等修复工作</w:t>
            </w:r>
          </w:p>
        </w:tc>
        <w:tc>
          <w:tcPr>
            <w:tcW w:w="2660" w:type="dxa"/>
            <w:noWrap/>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服务频率：</w:t>
            </w:r>
            <w:r>
              <w:rPr>
                <w:rFonts w:hint="eastAsia" w:ascii="宋体" w:hAnsi="宋体" w:cs="宋体"/>
                <w:color w:val="000000" w:themeColor="text1"/>
                <w:kern w:val="0"/>
                <w:szCs w:val="21"/>
                <w:highlight w:val="none"/>
                <w14:textFill>
                  <w14:solidFill>
                    <w14:schemeClr w14:val="tx1"/>
                  </w14:solidFill>
                </w14:textFill>
              </w:rPr>
              <w:t>根据学校要求响应</w:t>
            </w:r>
          </w:p>
          <w:p>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交付物：</w:t>
            </w:r>
            <w:r>
              <w:rPr>
                <w:rFonts w:hint="eastAsia" w:ascii="宋体" w:hAnsi="宋体" w:cs="宋体"/>
                <w:color w:val="000000" w:themeColor="text1"/>
                <w:kern w:val="0"/>
                <w:szCs w:val="21"/>
                <w:highlight w:val="none"/>
                <w14:textFill>
                  <w14:solidFill>
                    <w14:schemeClr w14:val="tx1"/>
                  </w14:solidFill>
                </w14:textFill>
              </w:rPr>
              <w:t>检查报告和修复工作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0" w:type="dxa"/>
            <w:gridSpan w:val="4"/>
            <w:noWrap/>
            <w:vAlign w:val="center"/>
          </w:tcPr>
          <w:p>
            <w:pPr>
              <w:adjustRightInd w:val="0"/>
              <w:snapToGrid w:val="0"/>
              <w:spacing w:before="100" w:beforeAutospacing="1" w:after="100" w:afterAutospacing="1" w:line="360" w:lineRule="auto"/>
              <w:rPr>
                <w:rFonts w:ascii="宋体" w:hAnsi="宋体"/>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以上服务项及服务频</w:t>
            </w:r>
            <w:r>
              <w:rPr>
                <w:rFonts w:hint="eastAsia" w:ascii="宋体" w:hAnsi="宋体" w:cs="宋体"/>
                <w:b/>
                <w:bCs/>
                <w:color w:val="000000" w:themeColor="text1"/>
                <w:szCs w:val="21"/>
                <w:highlight w:val="none"/>
                <w14:textFill>
                  <w14:solidFill>
                    <w14:schemeClr w14:val="tx1"/>
                  </w14:solidFill>
                </w14:textFill>
              </w:rPr>
              <w:t>率、</w:t>
            </w:r>
            <w:r>
              <w:rPr>
                <w:rFonts w:hint="eastAsia" w:ascii="宋体" w:hAnsi="宋体" w:cs="宋体"/>
                <w:b/>
                <w:bCs/>
                <w:color w:val="000000" w:themeColor="text1"/>
                <w:szCs w:val="21"/>
                <w:highlight w:val="none"/>
                <w14:textFill>
                  <w14:solidFill>
                    <w14:schemeClr w14:val="tx1"/>
                  </w14:solidFill>
                </w14:textFill>
              </w:rPr>
              <w:t>交付物</w:t>
            </w:r>
            <w:r>
              <w:rPr>
                <w:rFonts w:ascii="宋体" w:hAnsi="宋体" w:cs="宋体"/>
                <w:b/>
                <w:bCs/>
                <w:color w:val="000000" w:themeColor="text1"/>
                <w:szCs w:val="21"/>
                <w:highlight w:val="none"/>
                <w14:textFill>
                  <w14:solidFill>
                    <w14:schemeClr w14:val="tx1"/>
                  </w14:solidFill>
                </w14:textFill>
              </w:rPr>
              <w:t>仅为本项目最低实施标准，必须全部满足。否则按无效投标处理。</w:t>
            </w:r>
          </w:p>
        </w:tc>
      </w:tr>
    </w:tbl>
    <w:p>
      <w:pPr>
        <w:spacing w:line="276" w:lineRule="auto"/>
        <w:ind w:firstLine="211" w:firstLineChars="1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三、服务要求</w:t>
      </w:r>
    </w:p>
    <w:p>
      <w:pPr>
        <w:spacing w:line="276"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1、满足服务内容中相关要求。</w:t>
      </w:r>
    </w:p>
    <w:p>
      <w:pPr>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在项目服务前，须详细分析在本次项目服务过程中存在的可能影响现有系统安全性与稳定性的风险，并采取必要的风险控制措施。任何由投标人在项目服务工作中对采购人造成的负面影响，其后果都须由投标人承担。如给采购人造成任何经济损失，均由投标人承担赔偿责任，且采购人有权在未付款项中直接扣除。</w:t>
      </w:r>
    </w:p>
    <w:p>
      <w:pPr>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中标后需要对信息安全做出承诺，对涉及的安全服务操作中的风险有专业的规避和防范措施，并能够对可能发生的信息安全问题承担责任。中标投标人提供项目实施期间信息安全保障机制，提供信息安全保障方案，确保采购人信息安全。因投标人工作失责导致的网络安全责任，由投标人承担相关责任。如给采购人造成任何经济损失，均由投标人承担赔偿责任，且采购人有权在未付款项中直接扣除。</w:t>
      </w:r>
    </w:p>
    <w:p>
      <w:pPr>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项目实施前，签订保密协议；对项目实施中产生的数据和信息严格保密，未经授权不得泄露给任何单位和个人，否则招标人有权追究投标人的责任。如给采购人造成任何经济损失，均由投标人承担赔偿责任，且采购人有权在未付款项中直接扣除。</w:t>
      </w:r>
    </w:p>
    <w:p>
      <w:pPr>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人承诺在中标后签订合同签订，详细分析在本次项目服务过程中存在的可能影响现有系统安全性与稳定性的风险，并采取必要的风险控制措施；并承诺由于投标人在项目服务工作中对采购人造成的负面影响，其后果都由投标人承担，提供相关承诺证明，格式自拟；</w:t>
      </w:r>
    </w:p>
    <w:p>
      <w:pPr>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人承诺接受采购人在服务过程中对服务质量进行考核；接受采购人根据项目的工作计划安排，对阶段性工作成果进行审核；同时向采购人提交阶段性工作成果，以确保各阶段性成果及整个项目的质量，并提供相关承诺证明，格式自拟；</w:t>
      </w:r>
    </w:p>
    <w:p>
      <w:pPr>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7、投标人须提供全天候7×24小时的技术服务，满足服务要求中对于故障抢修涉及的响应时间和故障处置时间的要求，并提供相关承诺证明。</w:t>
      </w:r>
    </w:p>
    <w:p>
      <w:pPr>
        <w:pStyle w:val="8"/>
        <w:rPr>
          <w:rFonts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 xml:space="preserve">    </w:t>
      </w:r>
      <w:r>
        <w:rPr>
          <w:rFonts w:hint="eastAsia" w:hAnsi="宋体"/>
          <w:color w:val="000000" w:themeColor="text1"/>
          <w:kern w:val="2"/>
          <w:sz w:val="21"/>
          <w:szCs w:val="21"/>
          <w:highlight w:val="none"/>
          <w14:textFill>
            <w14:solidFill>
              <w14:schemeClr w14:val="tx1"/>
            </w14:solidFill>
          </w14:textFill>
        </w:rPr>
        <w:t>8、驻场人员（工程师）具备不少于2年以上工作经验，熟悉网络技术、linux系列操作系统配置管理、网络安全技术，人员（工程师）入场前须经采购人审查通过方可驻场服务；在项目服务过程中，未经采购人批准，不随意更换工程师，如果采购人认为工程师不具备本项目所需的技术能力，采购人有权随时要求投标人进行更换，</w:t>
      </w:r>
      <w:r>
        <w:rPr>
          <w:rFonts w:hint="eastAsia" w:hAnsi="宋体"/>
          <w:b/>
          <w:color w:val="000000" w:themeColor="text1"/>
          <w:kern w:val="2"/>
          <w:sz w:val="21"/>
          <w:szCs w:val="21"/>
          <w:highlight w:val="none"/>
          <w14:textFill>
            <w14:solidFill>
              <w14:schemeClr w14:val="tx1"/>
            </w14:solidFill>
          </w14:textFill>
        </w:rPr>
        <w:t>投标时提供相关承诺证明。</w:t>
      </w:r>
    </w:p>
    <w:p>
      <w:pPr>
        <w:widowControl/>
        <w:spacing w:line="276" w:lineRule="auto"/>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四、采购需求其他相关要求及说明</w:t>
      </w:r>
    </w:p>
    <w:p>
      <w:pPr>
        <w:widowControl/>
        <w:spacing w:line="276"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1、为落实政府采购政策需满足的要求；</w:t>
      </w:r>
      <w:r>
        <w:rPr>
          <w:rFonts w:hint="eastAsia" w:ascii="宋体" w:hAnsi="宋体" w:cs="宋体"/>
          <w:color w:val="000000" w:themeColor="text1"/>
          <w:highlight w:val="none"/>
          <w14:textFill>
            <w14:solidFill>
              <w14:schemeClr w14:val="tx1"/>
            </w14:solidFill>
          </w14:textFill>
        </w:rPr>
        <w:t>本项目落实政府采购促进中小企业发展政策、促进残疾人就业等政府采购政策。</w:t>
      </w:r>
    </w:p>
    <w:p>
      <w:pPr>
        <w:spacing w:line="276"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2、采购标的需满足的质量、安全、技术规格、</w:t>
      </w:r>
      <w:r>
        <w:rPr>
          <w:rFonts w:hint="eastAsia" w:ascii="宋体" w:hAnsi="宋体" w:cs="宋体"/>
          <w:b/>
          <w:color w:val="000000" w:themeColor="text1"/>
          <w:kern w:val="0"/>
          <w:szCs w:val="21"/>
          <w:highlight w:val="none"/>
          <w14:textFill>
            <w14:solidFill>
              <w14:schemeClr w14:val="tx1"/>
            </w14:solidFill>
          </w14:textFill>
        </w:rPr>
        <w:t>物理特性等要求；</w:t>
      </w:r>
      <w:r>
        <w:rPr>
          <w:rFonts w:hint="eastAsia" w:ascii="宋体" w:hAnsi="宋体" w:cs="宋体"/>
          <w:color w:val="000000" w:themeColor="text1"/>
          <w:highlight w:val="none"/>
          <w14:textFill>
            <w14:solidFill>
              <w14:schemeClr w14:val="tx1"/>
            </w14:solidFill>
          </w14:textFill>
        </w:rPr>
        <w:t>采购标的需满足的服务标准、期限、效率等要求；采购标的的其他技术、服务等要求：采购标的需执行的国家相关标准、行业标准、地方标准或者其他标准、规范：略，详见采购需求（技术规格等）的主要要求。采购文件中的采购需求</w:t>
      </w:r>
      <w:r>
        <w:rPr>
          <w:rFonts w:hint="eastAsia" w:ascii="宋体" w:hAnsi="宋体" w:cs="宋体"/>
          <w:color w:val="000000" w:themeColor="text1"/>
          <w:szCs w:val="21"/>
          <w:highlight w:val="none"/>
          <w14:textFill>
            <w14:solidFill>
              <w14:schemeClr w14:val="tx1"/>
            </w14:solidFill>
          </w14:textFill>
        </w:rPr>
        <w:t>为主要要求或最低要求。</w:t>
      </w:r>
      <w:r>
        <w:rPr>
          <w:rFonts w:hint="eastAsia" w:ascii="宋体" w:hAnsi="宋体" w:cs="宋体"/>
          <w:color w:val="000000" w:themeColor="text1"/>
          <w:highlight w:val="none"/>
          <w14:textFill>
            <w14:solidFill>
              <w14:schemeClr w14:val="tx1"/>
            </w14:solidFill>
          </w14:textFill>
        </w:rPr>
        <w:t>投标人所供产品（服务）应当实质性响应招标文件的要求。采购标的有国家强制标准或财政部门强制要求的，投标人投标产品（服务）必须符合国家强制标准或财政部门强制要求(可以以产品质量标准合格代替)。采购标的没有国家强制标准的或招标文件未明确相关标准的，投标人投标产品应当符合</w:t>
      </w:r>
      <w:r>
        <w:rPr>
          <w:rFonts w:hint="eastAsia" w:ascii="宋体" w:hAnsi="宋体" w:cs="宋体"/>
          <w:color w:val="000000" w:themeColor="text1"/>
          <w:kern w:val="0"/>
          <w:highlight w:val="none"/>
          <w14:textFill>
            <w14:solidFill>
              <w14:schemeClr w14:val="tx1"/>
            </w14:solidFill>
          </w14:textFill>
        </w:rPr>
        <w:t>行业标准、地方标准</w:t>
      </w:r>
      <w:r>
        <w:rPr>
          <w:rFonts w:hint="eastAsia" w:ascii="宋体" w:hAnsi="宋体" w:cs="宋体"/>
          <w:color w:val="000000" w:themeColor="text1"/>
          <w:highlight w:val="none"/>
          <w14:textFill>
            <w14:solidFill>
              <w14:schemeClr w14:val="tx1"/>
            </w14:solidFill>
          </w14:textFill>
        </w:rPr>
        <w:t>（江苏）</w:t>
      </w:r>
      <w:r>
        <w:rPr>
          <w:rFonts w:hint="eastAsia" w:ascii="宋体" w:hAnsi="宋体" w:cs="宋体"/>
          <w:color w:val="000000" w:themeColor="text1"/>
          <w:kern w:val="0"/>
          <w:highlight w:val="none"/>
          <w14:textFill>
            <w14:solidFill>
              <w14:schemeClr w14:val="tx1"/>
            </w14:solidFill>
          </w14:textFill>
        </w:rPr>
        <w:t>等</w:t>
      </w:r>
      <w:r>
        <w:rPr>
          <w:rFonts w:hint="eastAsia" w:ascii="宋体" w:hAnsi="宋体" w:cs="宋体"/>
          <w:color w:val="000000" w:themeColor="text1"/>
          <w:highlight w:val="none"/>
          <w14:textFill>
            <w14:solidFill>
              <w14:schemeClr w14:val="tx1"/>
            </w14:solidFill>
          </w14:textFill>
        </w:rPr>
        <w:t>有关标准规范。在合同履行过程中，如有新的</w:t>
      </w:r>
      <w:r>
        <w:rPr>
          <w:rFonts w:hint="eastAsia" w:ascii="宋体" w:hAnsi="宋体" w:cs="宋体"/>
          <w:color w:val="000000" w:themeColor="text1"/>
          <w:kern w:val="0"/>
          <w:highlight w:val="none"/>
          <w14:textFill>
            <w14:solidFill>
              <w14:schemeClr w14:val="tx1"/>
            </w14:solidFill>
          </w14:textFill>
        </w:rPr>
        <w:t>国家规定或标准规范</w:t>
      </w:r>
      <w:r>
        <w:rPr>
          <w:rFonts w:hint="eastAsia" w:ascii="宋体" w:hAnsi="宋体" w:cs="宋体"/>
          <w:color w:val="000000" w:themeColor="text1"/>
          <w:highlight w:val="none"/>
          <w14:textFill>
            <w14:solidFill>
              <w14:schemeClr w14:val="tx1"/>
            </w14:solidFill>
          </w14:textFill>
        </w:rPr>
        <w:t>出台的，投标人应确保所供产品符合新的</w:t>
      </w:r>
      <w:r>
        <w:rPr>
          <w:rFonts w:hint="eastAsia" w:ascii="宋体" w:hAnsi="宋体" w:cs="宋体"/>
          <w:color w:val="000000" w:themeColor="text1"/>
          <w:kern w:val="0"/>
          <w:highlight w:val="none"/>
          <w14:textFill>
            <w14:solidFill>
              <w14:schemeClr w14:val="tx1"/>
            </w14:solidFill>
          </w14:textFill>
        </w:rPr>
        <w:t>规定或标准规范</w:t>
      </w:r>
      <w:r>
        <w:rPr>
          <w:rFonts w:hint="eastAsia" w:ascii="宋体" w:hAnsi="宋体" w:cs="宋体"/>
          <w:color w:val="000000" w:themeColor="text1"/>
          <w:highlight w:val="none"/>
          <w14:textFill>
            <w14:solidFill>
              <w14:schemeClr w14:val="tx1"/>
            </w14:solidFill>
          </w14:textFill>
        </w:rPr>
        <w:t>（因此而增加的费用与风险由投标人承担）。携手阳光公司所代理的政府采购项目中如涉及商品包装和快递包装的，应当符合《商品包装政府采购需求标准（试行）》、《快递包装政府采购需求标准（试行）》。如投标人提供产品及相关快递服务的包装未达到其标准的，采购人有权拒收（视为履约验收不合格）。</w:t>
      </w:r>
    </w:p>
    <w:p>
      <w:pPr>
        <w:spacing w:line="276" w:lineRule="auto"/>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3、采购标的的验收标准；</w:t>
      </w:r>
    </w:p>
    <w:p>
      <w:pPr>
        <w:spacing w:line="276" w:lineRule="auto"/>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⑴驻场人员的工作日报、周报，项目阶段性工作的报告、报表，各类漏洞、安全事件处置的过程性文档，安全预警通告，培训资料，协助制定的各类制度、规范文件，及服务内容中所要求完成各类的预案、文稿等，要求内容记录完整、准确。</w:t>
      </w:r>
    </w:p>
    <w:p>
      <w:pPr>
        <w:spacing w:line="276" w:lineRule="auto"/>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⑵全年网络及信息系统安全运行是否正常、安全服务质量是否符合采购人要求，服务质量考核表得分情况。</w:t>
      </w:r>
    </w:p>
    <w:p>
      <w:pPr>
        <w:spacing w:line="276"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⑶采购人将根据招标文件的相关要求、投标人的投标文件（含承诺）以及采购项目的具体情况织项目验收</w:t>
      </w:r>
      <w:r>
        <w:rPr>
          <w:rFonts w:hint="eastAsia" w:ascii="宋体" w:hAnsi="宋体" w:cs="宋体"/>
          <w:color w:val="000000" w:themeColor="text1"/>
          <w:highlight w:val="none"/>
          <w14:textFill>
            <w14:solidFill>
              <w14:schemeClr w14:val="tx1"/>
            </w14:solidFill>
          </w14:textFill>
        </w:rPr>
        <w:t>。投标人应当确保一次性通过验收，如</w:t>
      </w:r>
      <w:r>
        <w:rPr>
          <w:rFonts w:hint="eastAsia" w:ascii="宋体" w:hAnsi="宋体" w:cs="宋体"/>
          <w:color w:val="000000" w:themeColor="text1"/>
          <w:kern w:val="0"/>
          <w:highlight w:val="none"/>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未能一次性通过验收的，后期所产生任何费用（验收费等）及相关损失均由</w:t>
      </w:r>
      <w:r>
        <w:rPr>
          <w:rFonts w:hint="eastAsia" w:ascii="宋体" w:hAnsi="宋体" w:cs="宋体"/>
          <w:color w:val="000000" w:themeColor="text1"/>
          <w:kern w:val="0"/>
          <w:highlight w:val="none"/>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承担（赔偿）。</w:t>
      </w:r>
    </w:p>
    <w:p>
      <w:pPr>
        <w:spacing w:line="276"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⑷如</w:t>
      </w:r>
      <w:r>
        <w:rPr>
          <w:rFonts w:hint="eastAsia" w:ascii="宋体" w:hAnsi="宋体" w:cs="宋体"/>
          <w:color w:val="000000" w:themeColor="text1"/>
          <w:kern w:val="0"/>
          <w:highlight w:val="none"/>
          <w14:textFill>
            <w14:solidFill>
              <w14:schemeClr w14:val="tx1"/>
            </w14:solidFill>
          </w14:textFill>
        </w:rPr>
        <w:t>投标人出现与投标文件（含承诺）不一致等情形的（服务未达到</w:t>
      </w:r>
      <w:r>
        <w:rPr>
          <w:rFonts w:hint="eastAsia" w:ascii="宋体" w:hAnsi="宋体" w:cs="宋体"/>
          <w:color w:val="000000" w:themeColor="text1"/>
          <w:highlight w:val="none"/>
          <w14:textFill>
            <w14:solidFill>
              <w14:schemeClr w14:val="tx1"/>
            </w14:solidFill>
          </w14:textFill>
        </w:rPr>
        <w:t>采购人验收要求的</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，采购人有权单方面解除合同（视为投标人不履约合同），投标人须承担由此对采购人造成的损失。</w:t>
      </w:r>
    </w:p>
    <w:p>
      <w:pPr>
        <w:spacing w:line="276" w:lineRule="auto"/>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特别说明：</w:t>
      </w:r>
    </w:p>
    <w:p>
      <w:pPr>
        <w:spacing w:line="276"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应当充分了解采购人的采购需求以及需实现的功能或者目标等相关事宜。如采购人的采购需求存在描述不完整、表述不规范、含义不准确等情形的（未能达到法律规定明确的要求），投标人须在投标人须知规定的时间内，以电子邮件方式向携手阳光公司提出询问或要求进行澄清（以便采购人及时校正）。逾期视为投标人对采购人的采购需求无任何异议，并自愿一切以采购人理解、解释为准。</w:t>
      </w:r>
    </w:p>
    <w:p>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3450073"/>
    <w:rsid w:val="05A72BD7"/>
    <w:rsid w:val="0B9B0B50"/>
    <w:rsid w:val="2C413E10"/>
    <w:rsid w:val="318426FD"/>
    <w:rsid w:val="3C257A29"/>
    <w:rsid w:val="4B807A4A"/>
    <w:rsid w:val="4BF47B10"/>
    <w:rsid w:val="4FEB7156"/>
    <w:rsid w:val="5796147C"/>
    <w:rsid w:val="5A7E088E"/>
    <w:rsid w:val="5BFC68F7"/>
    <w:rsid w:val="5C4D76FA"/>
    <w:rsid w:val="6C6359BE"/>
    <w:rsid w:val="7331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textAlignment w:val="baseline"/>
    </w:pPr>
    <w:rPr>
      <w:rFonts w:ascii="等线 Light" w:eastAsia="等线 Light"/>
      <w:sz w:val="28"/>
      <w:szCs w:val="20"/>
    </w:rPr>
  </w:style>
  <w:style w:type="paragraph" w:styleId="3">
    <w:name w:val="annotation text"/>
    <w:basedOn w:val="1"/>
    <w:qFormat/>
    <w:uiPriority w:val="99"/>
    <w:pPr>
      <w:jc w:val="left"/>
    </w:pPr>
    <w:rPr>
      <w:kern w:val="0"/>
      <w:sz w:val="20"/>
    </w:rPr>
  </w:style>
  <w:style w:type="paragraph" w:styleId="4">
    <w:name w:val="Body Text"/>
    <w:basedOn w:val="1"/>
    <w:next w:val="5"/>
    <w:qFormat/>
    <w:uiPriority w:val="99"/>
    <w:rPr>
      <w:rFonts w:ascii="楷体_GB2312" w:hAnsi="Arial" w:eastAsia="楷体_GB2312"/>
      <w:kern w:val="0"/>
      <w:sz w:val="28"/>
      <w:szCs w:val="20"/>
    </w:rPr>
  </w:style>
  <w:style w:type="paragraph" w:customStyle="1" w:styleId="5">
    <w:name w:val="一级条标题"/>
    <w:basedOn w:val="6"/>
    <w:next w:val="7"/>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7">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8">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5793</Words>
  <Characters>5853</Characters>
  <Lines>0</Lines>
  <Paragraphs>0</Paragraphs>
  <TotalTime>1</TotalTime>
  <ScaleCrop>false</ScaleCrop>
  <LinksUpToDate>false</LinksUpToDate>
  <CharactersWithSpaces>5913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一念初见</cp:lastModifiedBy>
  <dcterms:modified xsi:type="dcterms:W3CDTF">2023-02-21T10:13:42Z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567C3DD905534D5CBE82ABB29CB728F4</vt:lpwstr>
  </property>
</Properties>
</file>