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4C3A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2" w:name="_GoBack"/>
      <w:r>
        <w:rPr>
          <w:rFonts w:hint="eastAsia"/>
          <w:b/>
          <w:color w:val="000000"/>
          <w:sz w:val="32"/>
          <w:szCs w:val="40"/>
        </w:rPr>
        <w:t>采购需求</w:t>
      </w:r>
    </w:p>
    <w:bookmarkEnd w:id="2"/>
    <w:tbl>
      <w:tblPr>
        <w:tblStyle w:val="3"/>
        <w:tblpPr w:leftFromText="180" w:rightFromText="180" w:vertAnchor="text" w:horzAnchor="page" w:tblpX="868" w:tblpY="315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77"/>
        <w:gridCol w:w="1500"/>
        <w:gridCol w:w="665"/>
        <w:gridCol w:w="955"/>
        <w:gridCol w:w="1159"/>
        <w:gridCol w:w="1074"/>
        <w:gridCol w:w="1176"/>
        <w:gridCol w:w="1057"/>
      </w:tblGrid>
      <w:tr w14:paraId="45A6C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3B7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19A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B20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F85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A75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年参考数量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6F9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最高限价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7A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1DA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014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14:paraId="51D5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T8(1.2m)24W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7C40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6DE0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41B0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T5一体化支架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1.2m/0.9m/0.6m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6604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253B0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4352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20CF0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5217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微波LED吸顶灯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1FC4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55C5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48W(60cm*60cm)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51C4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30cm*30cm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29BB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30cm*60cm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2B6E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LED路灯灯芯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C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3C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8C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D6F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1FAB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5D6D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5C83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55C4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18F3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747E7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金卤灯泡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亚明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欧司朗</w:t>
            </w:r>
          </w:p>
        </w:tc>
      </w:tr>
      <w:tr w14:paraId="0AE6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金卤镇流器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亚明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欧司朗</w:t>
            </w:r>
          </w:p>
        </w:tc>
      </w:tr>
      <w:tr w14:paraId="38DB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触发器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6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亚明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欧司朗</w:t>
            </w:r>
          </w:p>
        </w:tc>
      </w:tr>
      <w:tr w14:paraId="3DBF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钠灯灯泡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亚明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欧司朗</w:t>
            </w:r>
          </w:p>
        </w:tc>
      </w:tr>
      <w:tr w14:paraId="0293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自汞灯泡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亚明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欧司朗</w:t>
            </w:r>
          </w:p>
        </w:tc>
      </w:tr>
      <w:tr w14:paraId="1A5A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48D5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3FDB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31BC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1B36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14W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12AE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7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6FA4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04FF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141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五孔地插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FA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39FA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6AC6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AC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18E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七孔插座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8C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7148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四眼插头插座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雷士</w:t>
            </w:r>
          </w:p>
        </w:tc>
      </w:tr>
      <w:tr w14:paraId="7412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F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61B0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二开开关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1F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5945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三开开关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9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7298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四开开关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9B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</w:tr>
      <w:tr w14:paraId="457C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5159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8FA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2266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7CF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792F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558B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7C58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2P16A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C03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7D6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DPN16A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7A62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DPN32A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066D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3P100A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20A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4P100A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43E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DPN32A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A16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DPN63A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FEF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75EF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3205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4FA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7749C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0FD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B33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4P32A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1E37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4P60A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6788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铜芯线（多丝）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2.5平方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0788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铜芯线（多丝）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4平方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603C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3*6平方软芯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26D8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3*4平方软芯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28B2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3*2.5平方软芯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7287C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5*6平方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34AF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5*4平方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37AAE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5*10平方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利维</w:t>
            </w:r>
          </w:p>
        </w:tc>
      </w:tr>
      <w:tr w14:paraId="14E0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BC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5BC6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光控定时器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DA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6FE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CJ20接触器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96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3C563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CJx2交流接触器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0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</w:tr>
      <w:tr w14:paraId="4F0BE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林洋</w:t>
            </w:r>
          </w:p>
        </w:tc>
      </w:tr>
      <w:tr w14:paraId="2901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三相四线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林洋</w:t>
            </w:r>
          </w:p>
        </w:tc>
      </w:tr>
      <w:tr w14:paraId="213A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2A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3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69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D69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9D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3F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2F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174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C3F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E1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1D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A89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B6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EB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F2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01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C6E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D2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1A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B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17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BF7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双管LED灯架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E6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6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1E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0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69D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36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双鹿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金霸王</w:t>
            </w:r>
          </w:p>
        </w:tc>
      </w:tr>
      <w:tr w14:paraId="5B9B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单管LED灯架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D3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F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4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0B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D79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</w:tr>
      <w:tr w14:paraId="07C5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大便池阀门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埃美柯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</w:tr>
      <w:tr w14:paraId="1FE4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小便池阀门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埃美柯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</w:tr>
      <w:tr w14:paraId="4EFA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PPR闸阀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5BAA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PPR闸阀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51CF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06F26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0641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699A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6484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内牙直接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2D52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外牙直接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302F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6B9D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354B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201A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200B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1276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5EAA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7A52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76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6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DA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0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9E8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4F1D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7314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3247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6BE3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6571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0B38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212D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1615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52FF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4792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BF4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475E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存水弯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40C9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76BB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59C35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铜三通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32E5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U型卡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7D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0FE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5C8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DD7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U型卡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C7D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4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2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6811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14C9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313F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</w:t>
            </w:r>
          </w:p>
        </w:tc>
      </w:tr>
      <w:tr w14:paraId="27BC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</w:t>
            </w:r>
          </w:p>
        </w:tc>
      </w:tr>
      <w:tr w14:paraId="023A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塑料下水管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68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</w:t>
            </w:r>
          </w:p>
        </w:tc>
      </w:tr>
      <w:tr w14:paraId="2931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台盆水龙头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定制加长（铜体）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191C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90A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39AF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A55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7695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台盆加高水龙头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加高40cm(铜体）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2571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5164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两联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4DB2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四联龙头（大花洒）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614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19E6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5A9F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淋浴房冷热水龙头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D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1AAF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51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7A10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501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3148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马桶配件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BB9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4CCD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马桶洁具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1A9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</w:t>
            </w:r>
          </w:p>
        </w:tc>
      </w:tr>
      <w:tr w14:paraId="0F55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马桶密封圈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022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D2A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6D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C3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61D9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1.5米软管+花洒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C1D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076E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台中盆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5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587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351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2E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693D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台盆下水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55A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</w:t>
            </w:r>
          </w:p>
        </w:tc>
      </w:tr>
      <w:tr w14:paraId="6CDE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772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74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B0E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0EA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3B40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拖把池下水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CCF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</w:tr>
      <w:tr w14:paraId="45FE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砂轮切割片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59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19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175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310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7298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干壁钉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1.2寸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B25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499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09E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0189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干壁钉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1.5寸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06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4E3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7B2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582D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9D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ED8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8A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D43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66146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疏通剂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D99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6E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23E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76C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DN15水表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14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埃美柯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43B5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水表玻璃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4EA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62F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0A2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890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A04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C2D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道康宁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雨虹</w:t>
            </w:r>
          </w:p>
        </w:tc>
      </w:tr>
      <w:tr w14:paraId="200D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直流总成DC6V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19E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928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9E7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6V/26mm（通用型）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法恩莎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258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D4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153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大冲感应器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法恩莎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7E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EBF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F00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小冲感应器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081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90F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3CB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CB6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53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3BCB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堵漏王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德高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姑苏</w:t>
            </w:r>
          </w:p>
        </w:tc>
      </w:tr>
    </w:tbl>
    <w:p w14:paraId="5BB83FA8">
      <w:pPr>
        <w:rPr>
          <w:rFonts w:hint="eastAsia"/>
        </w:rPr>
      </w:pPr>
    </w:p>
    <w:p w14:paraId="1CCCECB6">
      <w:pPr>
        <w:ind w:firstLine="422" w:firstLineChars="200"/>
        <w:outlineLvl w:val="2"/>
        <w:rPr>
          <w:rFonts w:asciiTheme="minorEastAsia" w:hAnsiTheme="minorEastAsia" w:eastAsiaTheme="minorEastAsia" w:cstheme="minorEastAsia"/>
          <w:b/>
          <w:bCs/>
          <w:color w:val="000000"/>
          <w:kern w:val="0"/>
          <w:szCs w:val="21"/>
          <w:lang w:bidi="ar"/>
        </w:rPr>
      </w:pPr>
      <w:bookmarkStart w:id="0" w:name="_Toc184029943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  <w:lang w:bidi="ar"/>
        </w:rPr>
        <w:t>一、项目清单表（规格、参考量、限价、品牌）</w:t>
      </w:r>
      <w:bookmarkEnd w:id="0"/>
    </w:p>
    <w:p w14:paraId="339CB283">
      <w:pPr>
        <w:spacing w:line="276" w:lineRule="auto"/>
        <w:ind w:firstLine="422" w:firstLineChars="200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说明：</w:t>
      </w:r>
    </w:p>
    <w:p w14:paraId="75974396">
      <w:pPr>
        <w:spacing w:line="276" w:lineRule="auto"/>
        <w:ind w:firstLine="422" w:firstLineChars="200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lang w:bidi="ar"/>
        </w:rPr>
        <w:t xml:space="preserve">1.有推荐品牌的每品材料，只能选择一个品牌；无推荐品牌的，报价时注明报价品牌，如投标单位更换推荐品牌，需经甲方认可，方可更换。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   </w:t>
      </w:r>
    </w:p>
    <w:p w14:paraId="43A664E2">
      <w:pPr>
        <w:spacing w:line="276" w:lineRule="auto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2.年参考数量仅供评标时使用，实际使用量根据校方申报数量采购；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    3.由于本项目采购货物种类较多，每月实际需求数量存在不确定性。合同期内供货商根据学校使用部门的“采购清单”进行供货。如使用部门零时急需采购物资，成交供应商须在收到清单后尽快将货物送至指定地点；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    4.在实际使用过程中，如采购材料不在目录内，经市场询价后，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 w:bidi="ar"/>
        </w:rPr>
        <w:t>在同等质量同等价格下供货商优先供应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yellow"/>
          <w:lang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 xml:space="preserve">    5.合同期内，日常维修中更换下来的含有害物质的水电材料（灯管、灯泡等）由成交商清运出校园并按有关要求处理。</w:t>
      </w:r>
    </w:p>
    <w:p w14:paraId="7F8B90A2">
      <w:pPr>
        <w:spacing w:line="276" w:lineRule="auto"/>
        <w:outlineLvl w:val="2"/>
        <w:rPr>
          <w:rFonts w:ascii="宋体" w:hAnsi="宋体"/>
          <w:b/>
          <w:color w:val="000000"/>
          <w:szCs w:val="21"/>
        </w:rPr>
      </w:pPr>
      <w:bookmarkStart w:id="1" w:name="_Toc184029944"/>
      <w:r>
        <w:rPr>
          <w:rFonts w:hint="eastAsia" w:ascii="宋体" w:hAnsi="宋体"/>
          <w:b/>
          <w:color w:val="000000"/>
          <w:szCs w:val="21"/>
        </w:rPr>
        <w:t>二、</w:t>
      </w:r>
      <w:r>
        <w:rPr>
          <w:rFonts w:hint="eastAsia" w:ascii="宋体" w:hAnsi="宋体" w:cs="宋体"/>
          <w:b/>
          <w:color w:val="000000"/>
          <w:szCs w:val="21"/>
        </w:rPr>
        <w:t>供货及验收要求</w:t>
      </w:r>
      <w:bookmarkEnd w:id="1"/>
    </w:p>
    <w:p w14:paraId="37212406">
      <w:pPr>
        <w:spacing w:line="276" w:lineRule="auto"/>
        <w:ind w:firstLine="420" w:firstLineChars="2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1.供应商须为采购人提供送货上门服务。货物送达时，应按每批一总单、每包一清单、每包按分类号种类集中打包的要求，即每批次应附总单（注明品名、种数、价格（单价、总价）、送货日期等）；</w:t>
      </w:r>
    </w:p>
    <w:p w14:paraId="5588AF07">
      <w:pPr>
        <w:spacing w:line="276" w:lineRule="auto"/>
        <w:ind w:firstLine="420" w:firstLineChars="2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2.供应商需保障供货质量。向采购人供应货物保证所供货物的完整性，不得有已拆封、缺损等情况出现。如发现必须及时收回，并承担一切法律责任，采购人有权拒绝验收，供应商必须无条件接受退货，由此造成的法律责任和经济损失由供货商负责。供应商所供货物如有质量问题，在接到采购人的通知后，在 3 个工作日内应负责包退、包换，不能以已加工等理由拒绝，由此造成的损失及费用由供应商承担；</w:t>
      </w:r>
    </w:p>
    <w:p w14:paraId="5C6326F3">
      <w:pPr>
        <w:spacing w:line="276" w:lineRule="auto"/>
        <w:ind w:firstLine="420" w:firstLineChars="2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3.本次所供货物主要通过采购人拟定清单方式批次购买，供应商应提前做好相应准备工作。供货商应在收到采购人订单3日内向采购人通报到货情况，若遇延期供货、不可抗因素等情况，供应商应及时回告采购人，以便采购人进行调整。所有货物必须经采购人确认后再供货，供应商不得擅自进行配送，否则供应商无条件接受采购人退货。所有货物的交货期从收到采购人确认订单到送达时间为3个日历天以内，送达后须经采购人验收确认；超过到期限且未经采购人验收确认的货物采购人有权拒收；</w:t>
      </w:r>
    </w:p>
    <w:p w14:paraId="246B4638">
      <w:pPr>
        <w:spacing w:line="276" w:lineRule="auto"/>
        <w:ind w:firstLine="420" w:firstLineChars="200"/>
        <w:rPr>
          <w:rFonts w:ascii="宋体" w:hAnsi="宋体" w:cs="宋体"/>
          <w:color w:val="000000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bidi="ar"/>
        </w:rPr>
        <w:t>4.若非采购人原因，成交供应商逾期签订合同的，成交供应商向采购人支付逾期违约金，逾期违约金为每天1000元人民币，最终累计金额不超过所交履约保证金金额（1万元）；</w:t>
      </w:r>
    </w:p>
    <w:p w14:paraId="5B0B5947">
      <w:pPr>
        <w:spacing w:line="276" w:lineRule="auto"/>
        <w:ind w:firstLine="420" w:firstLineChars="200"/>
        <w:rPr>
          <w:rFonts w:ascii="宋体" w:hAnsi="宋体" w:cs="宋体"/>
          <w:color w:val="000000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bidi="ar"/>
        </w:rPr>
        <w:t>5.因成交供应商所提供的货物或服务质量达不到约定的标准，由成交供应商向采购人支付合违约金1000元人民币/次。</w:t>
      </w:r>
    </w:p>
    <w:p w14:paraId="70AE058D">
      <w:pPr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</w:p>
    <w:p w14:paraId="35DF2AE6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</w:p>
    <w:p w14:paraId="1E74A92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spacing w:after="120"/>
      <w:ind w:firstLine="420" w:firstLineChars="100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2025-12-30T08:51:04Z</dcterms:created>
  <dc:creator>1</dc:creator>
  <cp:lastModifiedBy>刘伟</cp:lastModifiedBy>
  <dcterms:modified xsi:type="dcterms:W3CDTF">2025-12-30T09:19:10Z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CF72EABAD1F4401C9C40CE558D3C3DBA_12</vt:lpwstr>
  </property>
</Properties>
</file>