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ind w:firstLine="0"/>
        <w:jc w:val="center"/>
        <w:rPr>
          <w:rFonts w:ascii="宋体" w:hAnsi="宋体" w:cs="宋体"/>
          <w:b/>
          <w:bCs/>
          <w:color w:val="auto"/>
          <w:sz w:val="21"/>
          <w:szCs w:val="21"/>
          <w:highlight w:val="none"/>
        </w:rPr>
      </w:pPr>
      <w:r>
        <w:rPr>
          <w:rFonts w:hint="eastAsia" w:ascii="宋体" w:hAnsi="宋体" w:cs="宋体"/>
          <w:b/>
          <w:color w:val="auto"/>
          <w:sz w:val="21"/>
          <w:szCs w:val="21"/>
          <w:highlight w:val="none"/>
        </w:rPr>
        <w:drawing>
          <wp:anchor distT="0" distB="0" distL="114300" distR="114300" simplePos="0" relativeHeight="251659264" behindDoc="1" locked="0" layoutInCell="1" allowOverlap="1">
            <wp:simplePos x="0" y="0"/>
            <wp:positionH relativeFrom="column">
              <wp:posOffset>3214370</wp:posOffset>
            </wp:positionH>
            <wp:positionV relativeFrom="paragraph">
              <wp:posOffset>-842010</wp:posOffset>
            </wp:positionV>
            <wp:extent cx="2297430" cy="2003425"/>
            <wp:effectExtent l="0" t="0" r="7620" b="15875"/>
            <wp:wrapNone/>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cstate="print"/>
                    <a:srcRect r="7275"/>
                    <a:stretch>
                      <a:fillRect/>
                    </a:stretch>
                  </pic:blipFill>
                  <pic:spPr>
                    <a:xfrm>
                      <a:off x="0" y="0"/>
                      <a:ext cx="2297430" cy="2003425"/>
                    </a:xfrm>
                    <a:prstGeom prst="rect">
                      <a:avLst/>
                    </a:prstGeom>
                    <a:noFill/>
                    <a:ln w="9525" cmpd="sng">
                      <a:noFill/>
                      <a:miter lim="800000"/>
                      <a:headEnd/>
                      <a:tailEnd/>
                    </a:ln>
                  </pic:spPr>
                </pic:pic>
              </a:graphicData>
            </a:graphic>
          </wp:anchor>
        </w:drawing>
      </w:r>
      <w:r>
        <w:rPr>
          <w:rFonts w:hint="eastAsia" w:ascii="宋体" w:hAnsi="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-1216660</wp:posOffset>
                </wp:positionV>
                <wp:extent cx="2752725" cy="2762250"/>
                <wp:effectExtent l="0" t="0" r="9525" b="0"/>
                <wp:wrapNone/>
                <wp:docPr id="39" name="椭圆 39"/>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alpha val="59999"/>
                              </a:srgbClr>
                            </a:gs>
                          </a:gsLst>
                          <a:lin ang="5400000" scaled="1"/>
                          <a:tileRect/>
                        </a:gradFill>
                        <a:ln>
                          <a:noFill/>
                        </a:ln>
                        <a:effectLst/>
                      </wps:spPr>
                      <wps:txbx>
                        <w:txbxContent>
                          <w:p>
                            <w:pPr>
                              <w:jc w:val="center"/>
                            </w:pPr>
                          </w:p>
                        </w:txbxContent>
                      </wps:txbx>
                      <wps:bodyPr upright="1"/>
                    </wps:wsp>
                  </a:graphicData>
                </a:graphic>
              </wp:anchor>
            </w:drawing>
          </mc:Choice>
          <mc:Fallback>
            <w:pict>
              <v:shape id="_x0000_s1026" o:spid="_x0000_s1026" o:spt="3" type="#_x0000_t3" style="position:absolute;left:0pt;margin-left:-85.7pt;margin-top:-95.8pt;height:217.5pt;width:216.75pt;z-index:251660288;mso-width-relative:page;mso-height-relative:page;" fillcolor="#C00000" filled="t" stroked="f" coordsize="21600,21600" o:gfxdata="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6MrkS3AAAAA0BAAAP&#10;AAAAAAAAAAEAIAAAACIAAABkcnMvZG93bnJldi54bWxQSwECFAAUAAAACACHTuJAJGCDKBQCAABU&#10;BAAADgAAAAAAAAABACAAAAArAQAAZHJzL2Uyb0RvYy54bWxQSwUGAAAAAAYABgBZAQAAsQUAAAAA&#10;">
                <v:fill type="gradient" on="t" color2="#FFFFFF" opacity="0f" o:opacity2="39320f" focus="100%" focussize="0,0"/>
                <v:stroke on="f"/>
                <v:imagedata o:title=""/>
                <o:lock v:ext="edit" aspectratio="f"/>
                <v:textbox>
                  <w:txbxContent>
                    <w:p>
                      <w:pPr>
                        <w:jc w:val="center"/>
                      </w:pPr>
                    </w:p>
                  </w:txbxContent>
                </v:textbox>
              </v:shape>
            </w:pict>
          </mc:Fallback>
        </mc:AlternateContent>
      </w:r>
    </w:p>
    <w:p>
      <w:pPr>
        <w:ind w:leftChars="-695" w:hanging="1459" w:hangingChars="695"/>
        <w:jc w:val="right"/>
        <w:rPr>
          <w:rFonts w:ascii="宋体" w:hAnsi="宋体" w:cs="宋体"/>
          <w:b/>
          <w:bCs/>
          <w:color w:val="auto"/>
          <w:szCs w:val="21"/>
          <w:highlight w:val="none"/>
          <w:lang w:val="zh-CN"/>
        </w:rPr>
      </w:pPr>
      <w:r>
        <w:rPr>
          <w:rFonts w:hint="eastAsia" w:ascii="宋体" w:hAnsi="宋体" w:cs="宋体"/>
          <w:color w:val="auto"/>
          <w:szCs w:val="21"/>
          <w:highlight w:val="none"/>
        </w:rPr>
        <mc:AlternateContent>
          <mc:Choice Requires="wps">
            <w:drawing>
              <wp:anchor distT="0" distB="0" distL="114300" distR="114300" simplePos="0" relativeHeight="251673600" behindDoc="0" locked="0" layoutInCell="1" allowOverlap="1">
                <wp:simplePos x="0" y="0"/>
                <wp:positionH relativeFrom="column">
                  <wp:posOffset>3300730</wp:posOffset>
                </wp:positionH>
                <wp:positionV relativeFrom="paragraph">
                  <wp:posOffset>5857875</wp:posOffset>
                </wp:positionV>
                <wp:extent cx="2752725" cy="2762250"/>
                <wp:effectExtent l="0" t="0" r="9525" b="0"/>
                <wp:wrapNone/>
                <wp:docPr id="41" name="椭圆 41"/>
                <wp:cNvGraphicFramePr/>
                <a:graphic xmlns:a="http://schemas.openxmlformats.org/drawingml/2006/main">
                  <a:graphicData uri="http://schemas.microsoft.com/office/word/2010/wordprocessingShape">
                    <wps:wsp>
                      <wps:cNvSpPr/>
                      <wps:spPr>
                        <a:xfrm>
                          <a:off x="0" y="0"/>
                          <a:ext cx="2752725" cy="2762250"/>
                        </a:xfrm>
                        <a:prstGeom prst="ellipse">
                          <a:avLst/>
                        </a:prstGeom>
                        <a:gradFill rotWithShape="0">
                          <a:gsLst>
                            <a:gs pos="0">
                              <a:srgbClr val="C00000">
                                <a:alpha val="0"/>
                              </a:srgbClr>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3" type="#_x0000_t3" style="position:absolute;left:0pt;margin-left:259.9pt;margin-top:461.25pt;height:217.5pt;width:216.75pt;z-index:251673600;mso-width-relative:page;mso-height-relative:page;" fillcolor="#C00000" filled="t" stroked="f" coordsize="21600,21600" o:gfxdata="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00lOS2QAAAAwBAAAPAAAAAAAAAAEAIAAA&#10;ACIAAABkcnMvZG93bnJldi54bWxQSwECFAAUAAAACACHTuJAw4GoswsCAAAzBAAADgAAAAAAAAAB&#10;ACAAAAAoAQAAZHJzL2Uyb0RvYy54bWxQSwUGAAAAAAYABgBZAQAApQUAAAAA&#10;">
                <v:fill type="gradient" on="t" color2="#FFFFFF" opacity="0f" focus="100%" focussize="0,0"/>
                <v:stroke on="f"/>
                <v:imagedata o:title=""/>
                <o:lock v:ext="edit" aspectratio="f"/>
                <v:textbox>
                  <w:txbxContent>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-938530</wp:posOffset>
                </wp:positionH>
                <wp:positionV relativeFrom="paragraph">
                  <wp:posOffset>4803140</wp:posOffset>
                </wp:positionV>
                <wp:extent cx="7013575" cy="3789680"/>
                <wp:effectExtent l="0" t="0" r="15875" b="1270"/>
                <wp:wrapNone/>
                <wp:docPr id="43" name="直角三角形 43"/>
                <wp:cNvGraphicFramePr/>
                <a:graphic xmlns:a="http://schemas.openxmlformats.org/drawingml/2006/main">
                  <a:graphicData uri="http://schemas.microsoft.com/office/word/2010/wordprocessingShape">
                    <wps:wsp>
                      <wps:cNvSpPr/>
                      <wps:spPr>
                        <a:xfrm flipH="1">
                          <a:off x="0" y="0"/>
                          <a:ext cx="7013575" cy="3789680"/>
                        </a:xfrm>
                        <a:prstGeom prst="rtTriangle">
                          <a:avLst/>
                        </a:prstGeom>
                        <a:gradFill rotWithShape="1">
                          <a:gsLst>
                            <a:gs pos="0">
                              <a:srgbClr val="012D86"/>
                            </a:gs>
                            <a:gs pos="100000">
                              <a:srgbClr val="FFFFFF"/>
                            </a:gs>
                          </a:gsLst>
                          <a:lin ang="5400000" scaled="1"/>
                          <a:tileRect/>
                        </a:gradFill>
                        <a:ln>
                          <a:noFill/>
                        </a:ln>
                        <a:effectLst/>
                      </wps:spPr>
                      <wps:txbx>
                        <w:txbxContent>
                          <w:p/>
                        </w:txbxContent>
                      </wps:txbx>
                      <wps:bodyPr upright="1"/>
                    </wps:wsp>
                  </a:graphicData>
                </a:graphic>
              </wp:anchor>
            </w:drawing>
          </mc:Choice>
          <mc:Fallback>
            <w:pict>
              <v:shape id="_x0000_s1026" o:spid="_x0000_s1026" o:spt="6" type="#_x0000_t6" style="position:absolute;left:0pt;flip:x;margin-left:-73.9pt;margin-top:378.2pt;height:298.4pt;width:552.25pt;z-index:251661312;mso-width-relative:page;mso-height-relative:page;" fillcolor="#012D86" filled="t" stroked="f" coordsize="21600,21600" o:gfxdata="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PV&#10;PHXcAAAADQEAAA8AAAAAAAAAAQAgAAAAIgAAAGRycy9kb3ducmV2LnhtbFBLAQIUABQAAAAIAIdO&#10;4kCxkhmUHwIAACwEAAAOAAAAAAAAAAEAIAAAACsBAABkcnMvZTJvRG9jLnhtbFBLBQYAAAAABgAG&#10;AFkBAAC8BQAAAAA=&#10;">
                <v:fill type="gradient" on="t" color2="#FFFFFF" focus="100%" focussize="0,0" rotate="t"/>
                <v:stroke on="f"/>
                <v:imagedata o:title=""/>
                <o:lock v:ext="edit" aspectratio="f"/>
                <v:textbox>
                  <w:txbxContent>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70528" behindDoc="0" locked="0" layoutInCell="1" allowOverlap="1">
                <wp:simplePos x="0" y="0"/>
                <wp:positionH relativeFrom="column">
                  <wp:posOffset>1809750</wp:posOffset>
                </wp:positionH>
                <wp:positionV relativeFrom="paragraph">
                  <wp:posOffset>5163820</wp:posOffset>
                </wp:positionV>
                <wp:extent cx="3400425" cy="342900"/>
                <wp:effectExtent l="0" t="0" r="0" b="0"/>
                <wp:wrapNone/>
                <wp:docPr id="67" name="文本框 67"/>
                <wp:cNvGraphicFramePr/>
                <a:graphic xmlns:a="http://schemas.openxmlformats.org/drawingml/2006/main">
                  <a:graphicData uri="http://schemas.microsoft.com/office/word/2010/wordprocessingShape">
                    <wps:wsp>
                      <wps:cNvSpPr txBox="1"/>
                      <wps:spPr>
                        <a:xfrm flipH="1">
                          <a:off x="0" y="0"/>
                          <a:ext cx="3400425" cy="342900"/>
                        </a:xfrm>
                        <a:prstGeom prst="rect">
                          <a:avLst/>
                        </a:prstGeom>
                        <a:noFill/>
                        <a:ln>
                          <a:noFill/>
                        </a:ln>
                        <a:effectLst/>
                      </wps:spPr>
                      <wps:txbx>
                        <w:txbxContent>
                          <w:p>
                            <w:pPr>
                              <w:pStyle w:val="28"/>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wps:txbx>
                      <wps:bodyPr wrap="square" rtlCol="0">
                        <a:noAutofit/>
                      </wps:bodyPr>
                    </wps:wsp>
                  </a:graphicData>
                </a:graphic>
              </wp:anchor>
            </w:drawing>
          </mc:Choice>
          <mc:Fallback>
            <w:pict>
              <v:shape id="_x0000_s1026" o:spid="_x0000_s1026" o:spt="202" type="#_x0000_t202" style="position:absolute;left:0pt;flip:x;margin-left:142.5pt;margin-top:406.6pt;height:27pt;width:267.75pt;z-index:251670528;mso-width-relative:page;mso-height-relative:page;" filled="f" stroked="f" coordsize="21600,21600" o:gfxdata="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MRu82wAAAAsBAAAPAAAAAAAAAAEAIAAA&#10;ACIAAABkcnMvZG93bnJldi54bWxQSwECFAAUAAAACACHTuJAS2SkEdABAACPAwAADgAAAAAAAAAB&#10;ACAAAAAqAQAAZHJzL2Uyb0RvYy54bWxQSwUGAAAAAAYABgBZAQAAbAUAAAAA&#10;">
                <v:fill on="f" focussize="0,0"/>
                <v:stroke on="f"/>
                <v:imagedata o:title=""/>
                <o:lock v:ext="edit" aspectratio="f"/>
                <v:textbox>
                  <w:txbxContent>
                    <w:p>
                      <w:pPr>
                        <w:pStyle w:val="28"/>
                        <w:ind w:left="160" w:hanging="160" w:hangingChars="50"/>
                        <w:rPr>
                          <w:rFonts w:ascii="黑体" w:hAnsi="黑体" w:eastAsia="黑体" w:cs="黑体"/>
                          <w:sz w:val="32"/>
                          <w:szCs w:val="32"/>
                        </w:rPr>
                      </w:pPr>
                      <w:r>
                        <w:rPr>
                          <w:rFonts w:hint="eastAsia" w:ascii="黑体" w:hAnsi="黑体" w:eastAsia="黑体" w:cs="黑体"/>
                          <w:kern w:val="24"/>
                          <w:sz w:val="32"/>
                          <w:szCs w:val="32"/>
                        </w:rPr>
                        <w:t>盐城市携手阳光集中采购代理公司wcwcng 有限公司</w:t>
                      </w: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1880870</wp:posOffset>
                </wp:positionV>
                <wp:extent cx="5604510" cy="1168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5604510" cy="1168400"/>
                        </a:xfrm>
                        <a:prstGeom prst="rect">
                          <a:avLst/>
                        </a:prstGeom>
                        <a:noFill/>
                        <a:ln>
                          <a:noFill/>
                        </a:ln>
                        <a:effectLst/>
                      </wps:spPr>
                      <wps:txbx>
                        <w:txbxContent>
                          <w:p>
                            <w:pPr>
                              <w:pStyle w:val="28"/>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wps:txbx>
                      <wps:bodyPr wrap="square" rtlCol="0">
                        <a:noAutofit/>
                      </wps:bodyPr>
                    </wps:wsp>
                  </a:graphicData>
                </a:graphic>
              </wp:anchor>
            </w:drawing>
          </mc:Choice>
          <mc:Fallback>
            <w:pict>
              <v:shape id="_x0000_s1026" o:spid="_x0000_s1026" o:spt="202" type="#_x0000_t202" style="position:absolute;left:0pt;margin-left:12.6pt;margin-top:148.1pt;height:92pt;width:441.3pt;z-index:251663360;mso-width-relative:page;mso-height-relative:page;" filled="f" stroked="f" coordsize="21600,21600" o:gfxdata="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9iiD1wAAAAoBAAAPAAAAAAAAAAEAIAAAACIAAABkcnMvZG93&#10;bnJldi54bWxQSwECFAAUAAAACACHTuJAbg2iKcgBAACGAwAADgAAAAAAAAABACAAAAAmAQAAZHJz&#10;L2Uyb0RvYy54bWxQSwUGAAAAAAYABgBZAQAAYAUAAAAA&#10;">
                <v:fill on="f" focussize="0,0"/>
                <v:stroke on="f"/>
                <v:imagedata o:title=""/>
                <o:lock v:ext="edit" aspectratio="f"/>
                <v:textbox>
                  <w:txbxContent>
                    <w:p>
                      <w:pPr>
                        <w:pStyle w:val="28"/>
                        <w:rPr>
                          <w:rFonts w:ascii="方正大黑简体" w:hAnsi="方正大黑简体" w:eastAsia="方正大黑简体" w:cs="方正大黑简体"/>
                          <w:bCs/>
                          <w:color w:val="DA251C"/>
                          <w:sz w:val="144"/>
                          <w:szCs w:val="144"/>
                        </w:rPr>
                      </w:pPr>
                      <w:r>
                        <w:rPr>
                          <w:rFonts w:hint="eastAsia" w:ascii="方正大黑简体" w:hAnsi="方正大黑简体" w:eastAsia="方正大黑简体" w:cs="方正大黑简体"/>
                          <w:bCs/>
                          <w:color w:val="DA251C"/>
                          <w:sz w:val="144"/>
                          <w:szCs w:val="144"/>
                        </w:rPr>
                        <w:t>招 标 文 件</w:t>
                      </w: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7456" behindDoc="0" locked="0" layoutInCell="1" allowOverlap="1">
                <wp:simplePos x="0" y="0"/>
                <wp:positionH relativeFrom="column">
                  <wp:posOffset>962025</wp:posOffset>
                </wp:positionH>
                <wp:positionV relativeFrom="paragraph">
                  <wp:posOffset>5515610</wp:posOffset>
                </wp:positionV>
                <wp:extent cx="923925" cy="45402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23925" cy="454025"/>
                        </a:xfrm>
                        <a:prstGeom prst="rect">
                          <a:avLst/>
                        </a:prstGeom>
                        <a:noFill/>
                        <a:ln>
                          <a:noFill/>
                        </a:ln>
                        <a:effectLst/>
                      </wps:spPr>
                      <wps:txbx>
                        <w:txbxContent>
                          <w:p>
                            <w:pPr>
                              <w:pStyle w:val="28"/>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wps:txbx>
                      <wps:bodyPr wrap="square" rtlCol="0">
                        <a:noAutofit/>
                      </wps:bodyPr>
                    </wps:wsp>
                  </a:graphicData>
                </a:graphic>
              </wp:anchor>
            </w:drawing>
          </mc:Choice>
          <mc:Fallback>
            <w:pict>
              <v:shape id="_x0000_s1026" o:spid="_x0000_s1026" o:spt="202" type="#_x0000_t202" style="position:absolute;left:0pt;margin-left:75.75pt;margin-top:434.3pt;height:35.75pt;width:72.75pt;z-index:251667456;mso-width-relative:page;mso-height-relative:page;" filled="f" stroked="f" coordsize="21600,21600" o:gfxdata="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mNNsTYAAAACwEAAA8AAAAAAAAAAQAgAAAAIgAAAGRycy9kb3du&#10;cmV2LnhtbFBLAQIUABQAAAAIAIdO4kDmQpD0xgEAAIQDAAAOAAAAAAAAAAEAIAAAACcBAABkcnMv&#10;ZTJvRG9jLnhtbFBLBQYAAAAABgAGAFkBAABfBQAAAAA=&#10;">
                <v:fill on="f" focussize="0,0"/>
                <v:stroke on="f"/>
                <v:imagedata o:title=""/>
                <o:lock v:ext="edit" aspectratio="f"/>
                <v:textbox>
                  <w:txbxContent>
                    <w:p>
                      <w:pPr>
                        <w:pStyle w:val="28"/>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kern w:val="24"/>
                          <w:sz w:val="32"/>
                          <w:szCs w:val="32"/>
                        </w:rPr>
                        <w:t>日期</w:t>
                      </w: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167005</wp:posOffset>
                </wp:positionH>
                <wp:positionV relativeFrom="paragraph">
                  <wp:posOffset>5097780</wp:posOffset>
                </wp:positionV>
                <wp:extent cx="1452880" cy="344805"/>
                <wp:effectExtent l="0" t="0" r="0" b="0"/>
                <wp:wrapNone/>
                <wp:docPr id="19" name="文本框 19"/>
                <wp:cNvGraphicFramePr/>
                <a:graphic xmlns:a="http://schemas.openxmlformats.org/drawingml/2006/main">
                  <a:graphicData uri="http://schemas.microsoft.com/office/word/2010/wordprocessingShape">
                    <wps:wsp>
                      <wps:cNvSpPr txBox="1"/>
                      <wps:spPr>
                        <a:xfrm flipH="1">
                          <a:off x="0" y="0"/>
                          <a:ext cx="1452880" cy="345416"/>
                        </a:xfrm>
                        <a:prstGeom prst="rect">
                          <a:avLst/>
                        </a:prstGeom>
                        <a:noFill/>
                        <a:ln>
                          <a:noFill/>
                        </a:ln>
                        <a:effectLst/>
                      </wps:spPr>
                      <wps:txbx>
                        <w:txbxContent>
                          <w:p>
                            <w:pPr>
                              <w:pStyle w:val="28"/>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wps:txbx>
                      <wps:bodyPr wrap="square" rtlCol="0">
                        <a:spAutoFit/>
                      </wps:bodyPr>
                    </wps:wsp>
                  </a:graphicData>
                </a:graphic>
              </wp:anchor>
            </w:drawing>
          </mc:Choice>
          <mc:Fallback>
            <w:pict>
              <v:shape id="_x0000_s1026" o:spid="_x0000_s1026" o:spt="202" type="#_x0000_t202" style="position:absolute;left:0pt;flip:x;margin-left:13.15pt;margin-top:401.4pt;height:27.15pt;width:114.4pt;z-index:251666432;mso-width-relative:page;mso-height-relative:page;" filled="f" stroked="f" coordsize="21600,21600" o:gfxdata="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o8fBU2gAAAAoBAAAPAAAAAAAAAAEAIAAAACIA&#10;AABkcnMvZG93bnJldi54bWxQSwECFAAUAAAACACHTuJAb/Dkzs4BAACPAwAADgAAAAAAAAABACAA&#10;AAApAQAAZHJzL2Uyb0RvYy54bWxQSwUGAAAAAAYABgBZAQAAaQUAAAAA&#10;">
                <v:fill on="f" focussize="0,0"/>
                <v:stroke on="f"/>
                <v:imagedata o:title=""/>
                <o:lock v:ext="edit" aspectratio="f"/>
                <v:textbox style="mso-fit-shape-to-text:t;">
                  <w:txbxContent>
                    <w:p>
                      <w:pPr>
                        <w:pStyle w:val="28"/>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采购代理机构</w:t>
                      </w: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786130</wp:posOffset>
                </wp:positionH>
                <wp:positionV relativeFrom="paragraph">
                  <wp:posOffset>4735830</wp:posOffset>
                </wp:positionV>
                <wp:extent cx="1082675" cy="344805"/>
                <wp:effectExtent l="0" t="0" r="0" b="0"/>
                <wp:wrapNone/>
                <wp:docPr id="17" name="文本框 17"/>
                <wp:cNvGraphicFramePr/>
                <a:graphic xmlns:a="http://schemas.openxmlformats.org/drawingml/2006/main">
                  <a:graphicData uri="http://schemas.microsoft.com/office/word/2010/wordprocessingShape">
                    <wps:wsp>
                      <wps:cNvSpPr txBox="1"/>
                      <wps:spPr>
                        <a:xfrm flipH="1">
                          <a:off x="0" y="0"/>
                          <a:ext cx="1083275" cy="345416"/>
                        </a:xfrm>
                        <a:prstGeom prst="rect">
                          <a:avLst/>
                        </a:prstGeom>
                        <a:noFill/>
                        <a:ln>
                          <a:noFill/>
                        </a:ln>
                        <a:effectLst/>
                      </wps:spPr>
                      <wps:txbx>
                        <w:txbxContent>
                          <w:p>
                            <w:pPr>
                              <w:pStyle w:val="28"/>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wps:txbx>
                      <wps:bodyPr wrap="square" rtlCol="0">
                        <a:spAutoFit/>
                      </wps:bodyPr>
                    </wps:wsp>
                  </a:graphicData>
                </a:graphic>
              </wp:anchor>
            </w:drawing>
          </mc:Choice>
          <mc:Fallback>
            <w:pict>
              <v:shape id="_x0000_s1026" o:spid="_x0000_s1026" o:spt="202" type="#_x0000_t202" style="position:absolute;left:0pt;flip:x;margin-left:61.9pt;margin-top:372.9pt;height:27.15pt;width:85.25pt;z-index:251665408;mso-width-relative:page;mso-height-relative:page;" filled="f" stroked="f" coordsize="21600,21600" o:gfxdata="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rZmjcAAAACwEAAA8AAAAAAAAAAQAgAAAA&#10;IgAAAGRycy9kb3ducmV2LnhtbFBLAQIUABQAAAAIAIdO4kAGQj3QzgEAAI8DAAAOAAAAAAAAAAEA&#10;IAAAACsBAABkcnMvZTJvRG9jLnhtbFBLBQYAAAAABgAGAFkBAABrBQAAAAA=&#10;">
                <v:fill on="f" focussize="0,0"/>
                <v:stroke on="f"/>
                <v:imagedata o:title=""/>
                <o:lock v:ext="edit" aspectratio="f"/>
                <v:textbox style="mso-fit-shape-to-text:t;">
                  <w:txbxContent>
                    <w:p>
                      <w:pPr>
                        <w:pStyle w:val="28"/>
                        <w:rPr>
                          <w:rFonts w:ascii="方正大黑简体" w:hAnsi="方正大黑简体" w:eastAsia="方正大黑简体" w:cs="方正大黑简体"/>
                          <w:b/>
                          <w:bCs/>
                          <w:color w:val="DA251C"/>
                        </w:rPr>
                      </w:pPr>
                      <w:r>
                        <w:rPr>
                          <w:rFonts w:hint="eastAsia" w:ascii="方正大黑简体" w:hAnsi="方正大黑简体" w:eastAsia="方正大黑简体" w:cs="方正大黑简体"/>
                          <w:b/>
                          <w:bCs/>
                          <w:color w:val="DA251C"/>
                          <w:kern w:val="24"/>
                          <w:sz w:val="32"/>
                          <w:szCs w:val="32"/>
                        </w:rPr>
                        <w:t>采购人</w:t>
                      </w: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318770</wp:posOffset>
                </wp:positionH>
                <wp:positionV relativeFrom="paragraph">
                  <wp:posOffset>3486785</wp:posOffset>
                </wp:positionV>
                <wp:extent cx="1438910" cy="396240"/>
                <wp:effectExtent l="0" t="0" r="0" b="0"/>
                <wp:wrapNone/>
                <wp:docPr id="15" name="文本框 15"/>
                <wp:cNvGraphicFramePr/>
                <a:graphic xmlns:a="http://schemas.openxmlformats.org/drawingml/2006/main">
                  <a:graphicData uri="http://schemas.microsoft.com/office/word/2010/wordprocessingShape">
                    <wps:wsp>
                      <wps:cNvSpPr txBox="1"/>
                      <wps:spPr>
                        <a:xfrm flipH="1">
                          <a:off x="0" y="0"/>
                          <a:ext cx="1438910" cy="396240"/>
                        </a:xfrm>
                        <a:prstGeom prst="rect">
                          <a:avLst/>
                        </a:prstGeom>
                        <a:noFill/>
                        <a:ln>
                          <a:noFill/>
                        </a:ln>
                        <a:effectLst/>
                      </wps:spPr>
                      <wps:txbx>
                        <w:txbxContent>
                          <w:p>
                            <w:pPr>
                              <w:pStyle w:val="28"/>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wps:txbx>
                      <wps:bodyPr wrap="square" rtlCol="0">
                        <a:noAutofit/>
                      </wps:bodyPr>
                    </wps:wsp>
                  </a:graphicData>
                </a:graphic>
              </wp:anchor>
            </w:drawing>
          </mc:Choice>
          <mc:Fallback>
            <w:pict>
              <v:shape id="_x0000_s1026" o:spid="_x0000_s1026" o:spt="202" type="#_x0000_t202" style="position:absolute;left:0pt;flip:x;margin-left:25.1pt;margin-top:274.55pt;height:31.2pt;width:113.3pt;z-index:251664384;mso-width-relative:page;mso-height-relative:page;" filled="f" stroked="f" coordsize="21600,21600" o:gfxdata="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l4Q9l2gAAAAoBAAAPAAAAAAAAAAEAIAAAACIA&#10;AABkcnMvZG93bnJldi54bWxQSwECFAAUAAAACACHTuJADQnwac4BAACPAwAADgAAAAAAAAABACAA&#10;AAApAQAAZHJzL2Uyb0RvYy54bWxQSwUGAAAAAAYABgBZAQAAaQUAAAAA&#10;">
                <v:fill on="f" focussize="0,0"/>
                <v:stroke on="f"/>
                <v:imagedata o:title=""/>
                <o:lock v:ext="edit" aspectratio="f"/>
                <v:textbox>
                  <w:txbxContent>
                    <w:p>
                      <w:pPr>
                        <w:pStyle w:val="28"/>
                        <w:ind w:left="418" w:leftChars="199"/>
                        <w:rPr>
                          <w:rFonts w:ascii="汉仪粗黑简" w:hAnsi="汉仪粗黑简" w:eastAsia="汉仪粗黑简" w:cs="汉仪粗黑简"/>
                          <w:color w:val="DA251C"/>
                          <w:sz w:val="32"/>
                          <w:szCs w:val="32"/>
                        </w:rPr>
                      </w:pPr>
                      <w:r>
                        <w:rPr>
                          <w:rFonts w:hint="eastAsia" w:ascii="方正大黑简体" w:hAnsi="方正大黑简体" w:eastAsia="方正大黑简体" w:cs="方正大黑简体"/>
                          <w:b/>
                          <w:bCs/>
                          <w:color w:val="DA251C"/>
                          <w:kern w:val="24"/>
                          <w:sz w:val="32"/>
                          <w:szCs w:val="32"/>
                        </w:rPr>
                        <w:t>项目编号</w:t>
                      </w: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71552" behindDoc="0" locked="0" layoutInCell="1" allowOverlap="1">
                <wp:simplePos x="0" y="0"/>
                <wp:positionH relativeFrom="column">
                  <wp:posOffset>589915</wp:posOffset>
                </wp:positionH>
                <wp:positionV relativeFrom="paragraph">
                  <wp:posOffset>3944620</wp:posOffset>
                </wp:positionV>
                <wp:extent cx="1028700" cy="409575"/>
                <wp:effectExtent l="0" t="0" r="0" b="0"/>
                <wp:wrapNone/>
                <wp:docPr id="10" name="文本框 10"/>
                <wp:cNvGraphicFramePr/>
                <a:graphic xmlns:a="http://schemas.openxmlformats.org/drawingml/2006/main">
                  <a:graphicData uri="http://schemas.microsoft.com/office/word/2010/wordprocessingShape">
                    <wps:wsp>
                      <wps:cNvSpPr txBox="1"/>
                      <wps:spPr>
                        <a:xfrm>
                          <a:off x="1623060" y="6068695"/>
                          <a:ext cx="1028700" cy="409575"/>
                        </a:xfrm>
                        <a:prstGeom prst="rect">
                          <a:avLst/>
                        </a:prstGeom>
                        <a:noFill/>
                        <a:ln w="6350">
                          <a:noFill/>
                        </a:ln>
                        <a:effectLst/>
                      </wps:spPr>
                      <wps:txb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45pt;margin-top:310.6pt;height:32.25pt;width:81pt;z-index:251671552;mso-width-relative:page;mso-height-relative:page;" filled="f" stroked="f" coordsize="21600,21600" o:gfxdata="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hPU0HbAAAACgEAAA8A&#10;AAAAAAAAAQAgAAAAIgAAAGRycy9kb3ducmV2LnhtbFBLAQIUABQAAAAIAIdO4kAsMqgTTQIAAIIE&#10;AAAOAAAAAAAAAAEAIAAAACoBAABkcnMvZTJvRG9jLnhtbFBLBQYAAAAABgAGAFkBAADpBQAAAAA=&#10;">
                <v:fill on="f" focussize="0,0"/>
                <v:stroke on="f" weight="0.5pt"/>
                <v:imagedata o:title=""/>
                <o:lock v:ext="edit" aspectratio="f"/>
                <v:textbox>
                  <w:txbxContent>
                    <w:p>
                      <w:pPr>
                        <w:rPr>
                          <w:rFonts w:ascii="方正大黑简体" w:hAnsi="方正大黑简体" w:eastAsia="方正大黑简体" w:cs="方正大黑简体"/>
                          <w:b/>
                          <w:bCs/>
                          <w:color w:val="DA251C"/>
                          <w:sz w:val="32"/>
                          <w:szCs w:val="32"/>
                        </w:rPr>
                      </w:pPr>
                      <w:r>
                        <w:rPr>
                          <w:rFonts w:hint="eastAsia" w:ascii="方正大黑简体" w:hAnsi="方正大黑简体" w:eastAsia="方正大黑简体" w:cs="方正大黑简体"/>
                          <w:b/>
                          <w:bCs/>
                          <w:color w:val="DA251C"/>
                          <w:sz w:val="32"/>
                          <w:szCs w:val="32"/>
                        </w:rPr>
                        <w:t>项目名称</w:t>
                      </w:r>
                    </w:p>
                  </w:txbxContent>
                </v:textbox>
              </v:shape>
            </w:pict>
          </mc:Fallback>
        </mc:AlternateContent>
      </w:r>
    </w:p>
    <w:p>
      <w:pPr>
        <w:rPr>
          <w:rFonts w:ascii="宋体" w:hAnsi="宋体" w:cs="宋体"/>
          <w:color w:val="auto"/>
          <w:szCs w:val="21"/>
          <w:highlight w:val="none"/>
          <w:lang w:val="zh-CN"/>
        </w:rPr>
      </w:pPr>
    </w:p>
    <w:p>
      <w:pPr>
        <w:rPr>
          <w:rFonts w:ascii="宋体" w:hAnsi="宋体" w:cs="宋体"/>
          <w:color w:val="auto"/>
          <w:szCs w:val="21"/>
          <w:highlight w:val="none"/>
          <w:lang w:val="zh-CN"/>
        </w:rPr>
      </w:pPr>
    </w:p>
    <w:p>
      <w:pPr>
        <w:rPr>
          <w:rFonts w:ascii="宋体" w:hAnsi="宋体" w:cs="宋体"/>
          <w:color w:val="auto"/>
          <w:szCs w:val="21"/>
          <w:highlight w:val="none"/>
          <w:lang w:val="zh-CN"/>
        </w:rPr>
      </w:pPr>
    </w:p>
    <w:p>
      <w:pPr>
        <w:rPr>
          <w:rFonts w:ascii="宋体" w:hAnsi="宋体" w:cs="宋体"/>
          <w:color w:val="auto"/>
          <w:szCs w:val="21"/>
          <w:highlight w:val="none"/>
          <w:lang w:val="zh-CN"/>
        </w:rPr>
      </w:pPr>
    </w:p>
    <w:p>
      <w:pPr>
        <w:rPr>
          <w:rFonts w:ascii="宋体" w:hAnsi="宋体" w:cs="宋体"/>
          <w:color w:val="auto"/>
          <w:szCs w:val="21"/>
          <w:highlight w:val="none"/>
          <w:lang w:val="zh-CN"/>
        </w:rPr>
      </w:pPr>
      <w:r>
        <w:rPr>
          <w:rFonts w:hint="eastAsia" w:ascii="宋体" w:hAnsi="宋体" w:cs="宋体"/>
          <w:color w:val="auto"/>
          <w:szCs w:val="21"/>
          <w:highlight w:val="none"/>
        </w:rPr>
        <mc:AlternateContent>
          <mc:Choice Requires="wps">
            <w:drawing>
              <wp:anchor distT="0" distB="0" distL="114300" distR="114300" simplePos="0" relativeHeight="251674624" behindDoc="0" locked="0" layoutInCell="1" allowOverlap="1">
                <wp:simplePos x="0" y="0"/>
                <wp:positionH relativeFrom="column">
                  <wp:posOffset>116205</wp:posOffset>
                </wp:positionH>
                <wp:positionV relativeFrom="paragraph">
                  <wp:posOffset>3175</wp:posOffset>
                </wp:positionV>
                <wp:extent cx="5486400" cy="892175"/>
                <wp:effectExtent l="0" t="0" r="0" b="0"/>
                <wp:wrapNone/>
                <wp:docPr id="1" name="文本框 12"/>
                <wp:cNvGraphicFramePr/>
                <a:graphic xmlns:a="http://schemas.openxmlformats.org/drawingml/2006/main">
                  <a:graphicData uri="http://schemas.microsoft.com/office/word/2010/wordprocessingShape">
                    <wps:wsp>
                      <wps:cNvSpPr txBox="1"/>
                      <wps:spPr>
                        <a:xfrm>
                          <a:off x="0" y="0"/>
                          <a:ext cx="3980815" cy="371475"/>
                        </a:xfrm>
                        <a:prstGeom prst="rect">
                          <a:avLst/>
                        </a:prstGeom>
                        <a:noFill/>
                        <a:ln w="6350">
                          <a:noFill/>
                        </a:ln>
                        <a:effectLst/>
                      </wps:spPr>
                      <wps:txbx>
                        <w:txbxContent>
                          <w:p>
                            <w:pPr>
                              <w:spacing w:before="103" w:line="225" w:lineRule="auto"/>
                              <w:rPr>
                                <w:rFonts w:ascii="宋体" w:hAnsi="宋体" w:cs="宋体"/>
                                <w:b/>
                                <w:sz w:val="31"/>
                                <w:szCs w:val="31"/>
                              </w:rPr>
                            </w:pPr>
                            <w:r>
                              <w:rPr>
                                <w:rFonts w:ascii="宋体" w:hAnsi="宋体" w:cs="宋体"/>
                                <w:b/>
                                <w:spacing w:val="8"/>
                                <w:sz w:val="31"/>
                                <w:szCs w:val="31"/>
                              </w:rPr>
                              <w:t>江苏医药职业学院</w:t>
                            </w:r>
                            <w:r>
                              <w:rPr>
                                <w:rFonts w:ascii="宋体" w:hAnsi="宋体" w:cs="宋体"/>
                                <w:b/>
                                <w:spacing w:val="9"/>
                                <w:sz w:val="31"/>
                                <w:szCs w:val="31"/>
                              </w:rPr>
                              <w:t>公务用车</w:t>
                            </w:r>
                            <w:r>
                              <w:rPr>
                                <w:rFonts w:hint="eastAsia" w:ascii="宋体" w:hAnsi="宋体" w:cs="宋体"/>
                                <w:b/>
                                <w:spacing w:val="9"/>
                                <w:sz w:val="31"/>
                                <w:szCs w:val="31"/>
                              </w:rPr>
                              <w:t>（19座及以上客车）</w:t>
                            </w:r>
                            <w:r>
                              <w:rPr>
                                <w:rFonts w:ascii="宋体" w:hAnsi="宋体" w:cs="宋体"/>
                                <w:b/>
                                <w:spacing w:val="9"/>
                                <w:sz w:val="31"/>
                                <w:szCs w:val="31"/>
                              </w:rPr>
                              <w:t>租赁服务项</w:t>
                            </w:r>
                            <w:r>
                              <w:rPr>
                                <w:rFonts w:ascii="宋体" w:hAnsi="宋体" w:cs="宋体"/>
                                <w:b/>
                                <w:spacing w:val="6"/>
                                <w:sz w:val="31"/>
                                <w:szCs w:val="31"/>
                              </w:rPr>
                              <w:t>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2" o:spid="_x0000_s1026" o:spt="202" type="#_x0000_t202" style="position:absolute;left:0pt;margin-left:9.15pt;margin-top:0.25pt;height:70.25pt;width:432pt;z-index:251674624;mso-width-relative:page;mso-height-relative:page;" filled="f" stroked="f" coordsize="21600,21600" o:gfxdata="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8I8WHWAAAABwEAAA8AAAAAAAAAAQAgAAAAIgAA&#10;AGRycy9kb3ducmV2LnhtbFBLAQIUABQAAAAIAIdO4kCmTiB7QwIAAHUEAAAOAAAAAAAAAAEAIAAA&#10;ACUBAABkcnMvZTJvRG9jLnhtbFBLBQYAAAAABgAGAFkBAADaBQAAAAA=&#10;">
                <v:fill on="f" focussize="0,0"/>
                <v:stroke on="f" weight="0.5pt"/>
                <v:imagedata o:title=""/>
                <o:lock v:ext="edit" aspectratio="f"/>
                <v:textbox>
                  <w:txbxContent>
                    <w:p>
                      <w:pPr>
                        <w:spacing w:before="103" w:line="225" w:lineRule="auto"/>
                        <w:rPr>
                          <w:rFonts w:ascii="宋体" w:hAnsi="宋体" w:cs="宋体"/>
                          <w:b/>
                          <w:sz w:val="31"/>
                          <w:szCs w:val="31"/>
                        </w:rPr>
                      </w:pPr>
                      <w:r>
                        <w:rPr>
                          <w:rFonts w:ascii="宋体" w:hAnsi="宋体" w:cs="宋体"/>
                          <w:b/>
                          <w:spacing w:val="8"/>
                          <w:sz w:val="31"/>
                          <w:szCs w:val="31"/>
                        </w:rPr>
                        <w:t>江苏医药职业学院</w:t>
                      </w:r>
                      <w:r>
                        <w:rPr>
                          <w:rFonts w:ascii="宋体" w:hAnsi="宋体" w:cs="宋体"/>
                          <w:b/>
                          <w:spacing w:val="9"/>
                          <w:sz w:val="31"/>
                          <w:szCs w:val="31"/>
                        </w:rPr>
                        <w:t>公务用车</w:t>
                      </w:r>
                      <w:r>
                        <w:rPr>
                          <w:rFonts w:hint="eastAsia" w:ascii="宋体" w:hAnsi="宋体" w:cs="宋体"/>
                          <w:b/>
                          <w:spacing w:val="9"/>
                          <w:sz w:val="31"/>
                          <w:szCs w:val="31"/>
                        </w:rPr>
                        <w:t>（19座及以上客车）</w:t>
                      </w:r>
                      <w:r>
                        <w:rPr>
                          <w:rFonts w:ascii="宋体" w:hAnsi="宋体" w:cs="宋体"/>
                          <w:b/>
                          <w:spacing w:val="9"/>
                          <w:sz w:val="31"/>
                          <w:szCs w:val="31"/>
                        </w:rPr>
                        <w:t>租赁服务项</w:t>
                      </w:r>
                      <w:r>
                        <w:rPr>
                          <w:rFonts w:ascii="宋体" w:hAnsi="宋体" w:cs="宋体"/>
                          <w:b/>
                          <w:spacing w:val="6"/>
                          <w:sz w:val="31"/>
                          <w:szCs w:val="31"/>
                        </w:rPr>
                        <w:t>目</w:t>
                      </w:r>
                    </w:p>
                    <w:p/>
                  </w:txbxContent>
                </v:textbox>
              </v:shape>
            </w:pict>
          </mc:Fallback>
        </mc:AlternateContent>
      </w:r>
    </w:p>
    <w:p>
      <w:pPr>
        <w:rPr>
          <w:rFonts w:ascii="宋体" w:hAnsi="宋体" w:cs="宋体"/>
          <w:color w:val="auto"/>
          <w:szCs w:val="21"/>
          <w:highlight w:val="none"/>
          <w:lang w:val="zh-CN"/>
        </w:rPr>
      </w:pPr>
    </w:p>
    <w:p>
      <w:pPr>
        <w:jc w:val="right"/>
        <w:rPr>
          <w:rFonts w:ascii="宋体" w:hAnsi="宋体" w:cs="宋体"/>
          <w:color w:val="auto"/>
          <w:szCs w:val="21"/>
          <w:highlight w:val="none"/>
          <w:lang w:val="zh-CN"/>
        </w:rPr>
      </w:pPr>
    </w:p>
    <w:p>
      <w:pPr>
        <w:rPr>
          <w:rFonts w:ascii="宋体" w:hAnsi="宋体" w:cs="宋体"/>
          <w:color w:val="auto"/>
          <w:szCs w:val="21"/>
          <w:highlight w:val="none"/>
          <w:lang w:val="zh-CN"/>
        </w:rPr>
      </w:pPr>
    </w:p>
    <w:p>
      <w:pPr>
        <w:rPr>
          <w:rFonts w:ascii="宋体" w:hAnsi="宋体" w:cs="宋体"/>
          <w:color w:val="auto"/>
          <w:szCs w:val="21"/>
          <w:highlight w:val="none"/>
          <w:lang w:val="zh-CN"/>
        </w:rPr>
        <w:sectPr>
          <w:headerReference r:id="rId3" w:type="default"/>
          <w:pgSz w:w="11906" w:h="16838"/>
          <w:pgMar w:top="1701" w:right="1474" w:bottom="1701" w:left="1474" w:header="851" w:footer="1134" w:gutter="0"/>
          <w:cols w:space="720" w:num="1"/>
          <w:docGrid w:linePitch="579" w:charSpace="1229"/>
        </w:sectPr>
      </w:pPr>
      <w:r>
        <w:rPr>
          <w:rFonts w:hint="eastAsia"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1835150</wp:posOffset>
                </wp:positionH>
                <wp:positionV relativeFrom="paragraph">
                  <wp:posOffset>3961765</wp:posOffset>
                </wp:positionV>
                <wp:extent cx="2423795" cy="401955"/>
                <wp:effectExtent l="0" t="0" r="0" b="0"/>
                <wp:wrapNone/>
                <wp:docPr id="6" name="文本框 6"/>
                <wp:cNvGraphicFramePr/>
                <a:graphic xmlns:a="http://schemas.openxmlformats.org/drawingml/2006/main">
                  <a:graphicData uri="http://schemas.microsoft.com/office/word/2010/wordprocessingShape">
                    <wps:wsp>
                      <wps:cNvSpPr txBox="1"/>
                      <wps:spPr>
                        <a:xfrm>
                          <a:off x="1923415" y="6977380"/>
                          <a:ext cx="2423795" cy="401955"/>
                        </a:xfrm>
                        <a:prstGeom prst="rect">
                          <a:avLst/>
                        </a:prstGeom>
                        <a:noFill/>
                        <a:ln w="6350">
                          <a:noFill/>
                        </a:ln>
                        <a:effectLst/>
                      </wps:spPr>
                      <wps:txbx>
                        <w:txbxContent>
                          <w:p>
                            <w:pPr>
                              <w:rPr>
                                <w:rFonts w:ascii="黑体" w:hAnsi="黑体" w:eastAsia="黑体" w:cs="黑体"/>
                                <w:sz w:val="32"/>
                                <w:szCs w:val="32"/>
                              </w:rPr>
                            </w:pPr>
                            <w:r>
                              <w:rPr>
                                <w:rFonts w:hint="eastAsia" w:ascii="黑体" w:hAnsi="黑体" w:eastAsia="黑体" w:cs="黑体"/>
                                <w:sz w:val="32"/>
                                <w:szCs w:val="32"/>
                              </w:rPr>
                              <w:t>2023年</w:t>
                            </w:r>
                            <w:r>
                              <w:rPr>
                                <w:rFonts w:hint="eastAsia" w:ascii="黑体" w:hAnsi="黑体" w:eastAsia="黑体" w:cs="黑体"/>
                                <w:sz w:val="32"/>
                                <w:szCs w:val="32"/>
                                <w:lang w:val="en-US" w:eastAsia="zh-CN"/>
                              </w:rPr>
                              <w:t>12</w:t>
                            </w:r>
                            <w:r>
                              <w:rPr>
                                <w:rFonts w:hint="eastAsia" w:ascii="黑体" w:hAnsi="黑体" w:eastAsia="黑体" w:cs="黑体"/>
                                <w:sz w:val="32"/>
                                <w:szCs w:val="32"/>
                              </w:rPr>
                              <w:t>月</w:t>
                            </w:r>
                            <w:r>
                              <w:rPr>
                                <w:rFonts w:hint="eastAsia" w:ascii="黑体" w:hAnsi="黑体" w:eastAsia="黑体" w:cs="黑体"/>
                                <w:sz w:val="32"/>
                                <w:szCs w:val="32"/>
                                <w:lang w:val="en-US" w:eastAsia="zh-CN"/>
                              </w:rPr>
                              <w:t>05</w:t>
                            </w:r>
                            <w:r>
                              <w:rPr>
                                <w:rFonts w:hint="eastAsia" w:ascii="黑体" w:hAnsi="黑体" w:eastAsia="黑体" w:cs="黑体"/>
                                <w:sz w:val="32"/>
                                <w:szCs w:val="32"/>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5pt;margin-top:311.95pt;height:31.65pt;width:190.85pt;z-index:251662336;mso-width-relative:page;mso-height-relative:page;" filled="f" stroked="f" coordsize="21600,21600" o:gfxdata="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AHd0LdAAAACwEAAA8A&#10;AAAAAAAAAQAgAAAAIgAAAGRycy9kb3ducmV2LnhtbFBLAQIUABQAAAAIAIdO4kAXOV3iSwIAAIAE&#10;AAAOAAAAAAAAAAEAIAAAACwBAABkcnMvZTJvRG9jLnhtbFBLBQYAAAAABgAGAFkBAADpBQAAAAA=&#10;">
                <v:fill on="f"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2023年</w:t>
                      </w:r>
                      <w:r>
                        <w:rPr>
                          <w:rFonts w:hint="eastAsia" w:ascii="黑体" w:hAnsi="黑体" w:eastAsia="黑体" w:cs="黑体"/>
                          <w:sz w:val="32"/>
                          <w:szCs w:val="32"/>
                          <w:lang w:val="en-US" w:eastAsia="zh-CN"/>
                        </w:rPr>
                        <w:t>12</w:t>
                      </w:r>
                      <w:r>
                        <w:rPr>
                          <w:rFonts w:hint="eastAsia" w:ascii="黑体" w:hAnsi="黑体" w:eastAsia="黑体" w:cs="黑体"/>
                          <w:sz w:val="32"/>
                          <w:szCs w:val="32"/>
                        </w:rPr>
                        <w:t>月</w:t>
                      </w:r>
                      <w:r>
                        <w:rPr>
                          <w:rFonts w:hint="eastAsia" w:ascii="黑体" w:hAnsi="黑体" w:eastAsia="黑体" w:cs="黑体"/>
                          <w:sz w:val="32"/>
                          <w:szCs w:val="32"/>
                          <w:lang w:val="en-US" w:eastAsia="zh-CN"/>
                        </w:rPr>
                        <w:t>05</w:t>
                      </w:r>
                      <w:r>
                        <w:rPr>
                          <w:rFonts w:hint="eastAsia" w:ascii="黑体" w:hAnsi="黑体" w:eastAsia="黑体" w:cs="黑体"/>
                          <w:sz w:val="32"/>
                          <w:szCs w:val="32"/>
                        </w:rPr>
                        <w:t>日</w:t>
                      </w: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3204210</wp:posOffset>
                </wp:positionV>
                <wp:extent cx="2149475" cy="362585"/>
                <wp:effectExtent l="0" t="0" r="0" b="0"/>
                <wp:wrapNone/>
                <wp:docPr id="66" name="文本框 66"/>
                <wp:cNvGraphicFramePr/>
                <a:graphic xmlns:a="http://schemas.openxmlformats.org/drawingml/2006/main">
                  <a:graphicData uri="http://schemas.microsoft.com/office/word/2010/wordprocessingShape">
                    <wps:wsp>
                      <wps:cNvSpPr txBox="1"/>
                      <wps:spPr>
                        <a:xfrm flipH="1">
                          <a:off x="0" y="0"/>
                          <a:ext cx="2150076" cy="362585"/>
                        </a:xfrm>
                        <a:prstGeom prst="rect">
                          <a:avLst/>
                        </a:prstGeom>
                        <a:noFill/>
                        <a:ln>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wps:txbx>
                      <wps:bodyPr wrap="square" rtlCol="0">
                        <a:noAutofit/>
                      </wps:bodyPr>
                    </wps:wsp>
                  </a:graphicData>
                </a:graphic>
              </wp:anchor>
            </w:drawing>
          </mc:Choice>
          <mc:Fallback>
            <w:pict>
              <v:shape id="_x0000_s1026" o:spid="_x0000_s1026" o:spt="202" type="#_x0000_t202" style="position:absolute;left:0pt;flip:x;margin-left:144.75pt;margin-top:252.3pt;height:28.55pt;width:169.25pt;z-index:251669504;mso-width-relative:page;mso-height-relative:page;" filled="f" stroked="f" coordsize="21600,21600" o:gfxdata="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d7zn2wAAAAsBAAAPAAAAAAAAAAEAIAAAACIA&#10;AABkcnMvZG93bnJldi54bWxQSwECFAAUAAAACACHTuJAvNfJn80BAACPAwAADgAAAAAAAAABACAA&#10;AAAqAQAAZHJzL2Uyb0RvYy54bWxQSwUGAAAAAAYABgBZAQAAaQUAAAAA&#10;">
                <v:fill on="f" focussize="0,0"/>
                <v:stroke on="f"/>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w:t>
                      </w:r>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72576" behindDoc="0" locked="0" layoutInCell="1" allowOverlap="1">
                <wp:simplePos x="0" y="0"/>
                <wp:positionH relativeFrom="column">
                  <wp:posOffset>1732915</wp:posOffset>
                </wp:positionH>
                <wp:positionV relativeFrom="paragraph">
                  <wp:posOffset>2337435</wp:posOffset>
                </wp:positionV>
                <wp:extent cx="4361180" cy="61531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361180" cy="615315"/>
                        </a:xfrm>
                        <a:prstGeom prst="rect">
                          <a:avLst/>
                        </a:prstGeom>
                        <a:noFill/>
                        <a:ln w="6350">
                          <a:noFill/>
                        </a:ln>
                        <a:effectLst/>
                      </wps:spPr>
                      <wps:txb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江苏医药职业学院公务用车（19座及以上客车）租赁服务项目</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45pt;margin-top:184.05pt;height:48.45pt;width:343.4pt;z-index:251672576;mso-width-relative:page;mso-height-relative:page;" filled="f" stroked="f" coordsize="21600,21600" o:gfxdata="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2SpN0AAAALAQAADwAAAAAAAAABACAA&#10;AAAiAAAAZHJzL2Rvd25yZXYueG1sUEsBAhQAFAAAAAgAh07iQPE6ZQBBAgAAdgQAAA4AAAAAAAAA&#10;AQAgAAAALAEAAGRycy9lMm9Eb2MueG1sUEsFBgAAAAAGAAYAWQEAAN8FAAAAAA==&#10;">
                <v:fill on="f" focussize="0,0"/>
                <v:stroke on="f" weight="0.5pt"/>
                <v:imagedata o:title=""/>
                <o:lock v:ext="edit" aspectratio="f"/>
                <v:textbox>
                  <w:txbxContent>
                    <w:p>
                      <w:pPr>
                        <w:rPr>
                          <w:rFonts w:ascii="黑体" w:hAnsi="黑体" w:eastAsia="黑体" w:cs="黑体"/>
                          <w:kern w:val="24"/>
                          <w:sz w:val="32"/>
                          <w:szCs w:val="32"/>
                        </w:rPr>
                      </w:pPr>
                      <w:r>
                        <w:rPr>
                          <w:rFonts w:hint="eastAsia" w:ascii="黑体" w:hAnsi="黑体" w:eastAsia="黑体" w:cs="黑体"/>
                          <w:kern w:val="24"/>
                          <w:sz w:val="32"/>
                          <w:szCs w:val="32"/>
                        </w:rPr>
                        <w:t>江苏医药职业学院公务用车（19座及以上客车）租赁服务项目</w:t>
                      </w:r>
                    </w:p>
                    <w:p/>
                  </w:txbxContent>
                </v:textbox>
              </v:shape>
            </w:pict>
          </mc:Fallback>
        </mc:AlternateContent>
      </w:r>
      <w:r>
        <w:rPr>
          <w:rFonts w:hint="eastAsia" w:ascii="宋体" w:hAnsi="宋体" w:cs="宋体"/>
          <w:color w:val="auto"/>
          <w:szCs w:val="21"/>
          <w:highlight w:val="none"/>
        </w:rPr>
        <mc:AlternateContent>
          <mc:Choice Requires="wps">
            <w:drawing>
              <wp:anchor distT="0" distB="0" distL="114300" distR="114300" simplePos="0" relativeHeight="251668480" behindDoc="0" locked="0" layoutInCell="1" allowOverlap="1">
                <wp:simplePos x="0" y="0"/>
                <wp:positionH relativeFrom="column">
                  <wp:posOffset>1742440</wp:posOffset>
                </wp:positionH>
                <wp:positionV relativeFrom="paragraph">
                  <wp:posOffset>1845945</wp:posOffset>
                </wp:positionV>
                <wp:extent cx="2952115" cy="383540"/>
                <wp:effectExtent l="0" t="0" r="0" b="0"/>
                <wp:wrapNone/>
                <wp:docPr id="65" name="文本框 65"/>
                <wp:cNvGraphicFramePr/>
                <a:graphic xmlns:a="http://schemas.openxmlformats.org/drawingml/2006/main">
                  <a:graphicData uri="http://schemas.microsoft.com/office/word/2010/wordprocessingShape">
                    <wps:wsp>
                      <wps:cNvSpPr txBox="1"/>
                      <wps:spPr>
                        <a:xfrm flipH="1">
                          <a:off x="0" y="0"/>
                          <a:ext cx="2657475" cy="383540"/>
                        </a:xfrm>
                        <a:prstGeom prst="rect">
                          <a:avLst/>
                        </a:prstGeom>
                        <a:noFill/>
                        <a:ln>
                          <a:noFill/>
                        </a:ln>
                        <a:effectLst/>
                      </wps:spPr>
                      <wps:txbx>
                        <w:txbxContent>
                          <w:p>
                            <w:pPr>
                              <w:spacing w:before="178" w:line="356" w:lineRule="auto"/>
                              <w:rPr>
                                <w:rFonts w:ascii="黑体" w:hAnsi="黑体" w:eastAsia="黑体" w:cs="黑体"/>
                                <w:kern w:val="24"/>
                                <w:sz w:val="28"/>
                                <w:szCs w:val="32"/>
                              </w:rPr>
                            </w:pPr>
                            <w:r>
                              <w:rPr>
                                <w:rFonts w:hint="eastAsia" w:ascii="黑体" w:hAnsi="黑体" w:eastAsia="黑体" w:cs="黑体"/>
                                <w:kern w:val="24"/>
                                <w:sz w:val="28"/>
                                <w:szCs w:val="32"/>
                              </w:rPr>
                              <w:t>SY2023-053-FW-JC</w:t>
                            </w:r>
                          </w:p>
                          <w:p>
                            <w:pPr>
                              <w:rPr>
                                <w:rFonts w:ascii="黑体" w:hAnsi="黑体" w:eastAsia="黑体" w:cs="黑体"/>
                                <w:kern w:val="24"/>
                                <w:sz w:val="28"/>
                                <w:szCs w:val="32"/>
                              </w:rPr>
                            </w:pPr>
                            <w:r>
                              <w:rPr>
                                <w:rFonts w:hint="eastAsia" w:ascii="黑体" w:hAnsi="黑体" w:eastAsia="黑体" w:cs="黑体"/>
                                <w:kern w:val="24"/>
                                <w:sz w:val="28"/>
                                <w:szCs w:val="32"/>
                              </w:rPr>
                              <w:t xml:space="preserve"> </w:t>
                            </w:r>
                          </w:p>
                        </w:txbxContent>
                      </wps:txbx>
                      <wps:bodyPr wrap="square" rtlCol="0">
                        <a:noAutofit/>
                      </wps:bodyPr>
                    </wps:wsp>
                  </a:graphicData>
                </a:graphic>
              </wp:anchor>
            </w:drawing>
          </mc:Choice>
          <mc:Fallback>
            <w:pict>
              <v:shape id="_x0000_s1026" o:spid="_x0000_s1026" o:spt="202" type="#_x0000_t202" style="position:absolute;left:0pt;flip:x;margin-left:137.2pt;margin-top:145.35pt;height:30.2pt;width:232.45pt;z-index:251668480;mso-width-relative:page;mso-height-relative:page;" filled="f" stroked="f" coordsize="21600,21600" o:gfxdata="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D4aRdwAAAALAQAADwAAAAAAAAABACAA&#10;AAAiAAAAZHJzL2Rvd25yZXYueG1sUEsBAhQAFAAAAAgAh07iQPhRD7rQAQAAjwMAAA4AAAAAAAAA&#10;AQAgAAAAKwEAAGRycy9lMm9Eb2MueG1sUEsFBgAAAAAGAAYAWQEAAG0FAAAAAA==&#10;">
                <v:fill on="f" focussize="0,0"/>
                <v:stroke on="f"/>
                <v:imagedata o:title=""/>
                <o:lock v:ext="edit" aspectratio="f"/>
                <v:textbox>
                  <w:txbxContent>
                    <w:p>
                      <w:pPr>
                        <w:spacing w:before="178" w:line="356" w:lineRule="auto"/>
                        <w:rPr>
                          <w:rFonts w:ascii="黑体" w:hAnsi="黑体" w:eastAsia="黑体" w:cs="黑体"/>
                          <w:kern w:val="24"/>
                          <w:sz w:val="28"/>
                          <w:szCs w:val="32"/>
                        </w:rPr>
                      </w:pPr>
                      <w:r>
                        <w:rPr>
                          <w:rFonts w:hint="eastAsia" w:ascii="黑体" w:hAnsi="黑体" w:eastAsia="黑体" w:cs="黑体"/>
                          <w:kern w:val="24"/>
                          <w:sz w:val="28"/>
                          <w:szCs w:val="32"/>
                        </w:rPr>
                        <w:t>SY2023-053-FW-JC</w:t>
                      </w:r>
                    </w:p>
                    <w:p>
                      <w:pPr>
                        <w:rPr>
                          <w:rFonts w:ascii="黑体" w:hAnsi="黑体" w:eastAsia="黑体" w:cs="黑体"/>
                          <w:kern w:val="24"/>
                          <w:sz w:val="28"/>
                          <w:szCs w:val="32"/>
                        </w:rPr>
                      </w:pPr>
                      <w:r>
                        <w:rPr>
                          <w:rFonts w:hint="eastAsia" w:ascii="黑体" w:hAnsi="黑体" w:eastAsia="黑体" w:cs="黑体"/>
                          <w:kern w:val="24"/>
                          <w:sz w:val="28"/>
                          <w:szCs w:val="32"/>
                        </w:rPr>
                        <w:t xml:space="preserve"> </w:t>
                      </w:r>
                    </w:p>
                  </w:txbxContent>
                </v:textbox>
              </v:shape>
            </w:pict>
          </mc:Fallback>
        </mc:AlternateContent>
      </w:r>
    </w:p>
    <w:p>
      <w:pPr>
        <w:jc w:val="center"/>
        <w:rPr>
          <w:rFonts w:ascii="宋体" w:hAnsi="宋体" w:cs="宋体"/>
          <w:b/>
          <w:color w:val="auto"/>
          <w:sz w:val="36"/>
          <w:szCs w:val="21"/>
          <w:highlight w:val="none"/>
        </w:rPr>
      </w:pPr>
      <w:bookmarkStart w:id="0" w:name="_Toc115881305"/>
      <w:r>
        <w:rPr>
          <w:rFonts w:hint="eastAsia" w:ascii="宋体" w:hAnsi="宋体" w:cs="宋体"/>
          <w:b/>
          <w:color w:val="auto"/>
          <w:sz w:val="36"/>
          <w:szCs w:val="21"/>
          <w:highlight w:val="none"/>
        </w:rPr>
        <w:t>目 录</w:t>
      </w:r>
    </w:p>
    <w:p>
      <w:pPr>
        <w:pStyle w:val="26"/>
        <w:ind w:left="3360"/>
        <w:rPr>
          <w:rFonts w:ascii="宋体" w:hAnsi="宋体" w:cs="宋体"/>
          <w:color w:val="auto"/>
          <w:szCs w:val="21"/>
          <w:highlight w:val="none"/>
        </w:rPr>
      </w:pPr>
    </w:p>
    <w:p>
      <w:pPr>
        <w:pStyle w:val="24"/>
        <w:tabs>
          <w:tab w:val="right" w:leader="dot" w:pos="9525"/>
        </w:tabs>
        <w:rPr>
          <w:color w:val="auto"/>
          <w:highlight w:val="none"/>
        </w:rPr>
      </w:pP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TOC \o "1-2" \h \u </w:instrText>
      </w:r>
      <w:r>
        <w:rPr>
          <w:rFonts w:hint="eastAsia" w:ascii="宋体" w:hAnsi="宋体"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"_Toc10069" </w:instrText>
      </w:r>
      <w:r>
        <w:rPr>
          <w:color w:val="auto"/>
          <w:highlight w:val="none"/>
        </w:rPr>
        <w:fldChar w:fldCharType="separate"/>
      </w:r>
      <w:r>
        <w:rPr>
          <w:rFonts w:hint="eastAsia" w:ascii="宋体" w:hAnsi="宋体" w:cs="宋体"/>
          <w:color w:val="auto"/>
          <w:szCs w:val="21"/>
          <w:highlight w:val="none"/>
        </w:rPr>
        <w:t xml:space="preserve">第一章  </w:t>
      </w:r>
      <w:r>
        <w:rPr>
          <w:rFonts w:hint="eastAsia" w:ascii="宋体" w:hAnsi="宋体" w:cs="宋体"/>
          <w:bCs/>
          <w:color w:val="auto"/>
          <w:szCs w:val="21"/>
          <w:highlight w:val="none"/>
        </w:rPr>
        <w:t>招标公告</w:t>
      </w:r>
      <w:r>
        <w:rPr>
          <w:color w:val="auto"/>
          <w:highlight w:val="none"/>
        </w:rPr>
        <w:tab/>
      </w:r>
      <w:r>
        <w:rPr>
          <w:color w:val="auto"/>
          <w:highlight w:val="none"/>
        </w:rPr>
        <w:fldChar w:fldCharType="begin"/>
      </w:r>
      <w:r>
        <w:rPr>
          <w:color w:val="auto"/>
          <w:highlight w:val="none"/>
        </w:rPr>
        <w:instrText xml:space="preserve"> PAGEREF _Toc10069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24"/>
        <w:tabs>
          <w:tab w:val="right" w:leader="dot" w:pos="9525"/>
        </w:tabs>
        <w:rPr>
          <w:color w:val="auto"/>
          <w:highlight w:val="none"/>
        </w:rPr>
      </w:pPr>
      <w:r>
        <w:rPr>
          <w:color w:val="auto"/>
          <w:highlight w:val="none"/>
        </w:rPr>
        <w:fldChar w:fldCharType="begin"/>
      </w:r>
      <w:r>
        <w:rPr>
          <w:color w:val="auto"/>
          <w:highlight w:val="none"/>
        </w:rPr>
        <w:instrText xml:space="preserve"> HYPERLINK \l "_Toc21489" </w:instrText>
      </w:r>
      <w:r>
        <w:rPr>
          <w:color w:val="auto"/>
          <w:highlight w:val="none"/>
        </w:rPr>
        <w:fldChar w:fldCharType="separate"/>
      </w:r>
      <w:r>
        <w:rPr>
          <w:rFonts w:hint="eastAsia" w:ascii="宋体" w:hAnsi="宋体" w:cs="宋体"/>
          <w:color w:val="auto"/>
          <w:szCs w:val="21"/>
          <w:highlight w:val="none"/>
        </w:rPr>
        <w:t>第二章  投标人须知</w:t>
      </w:r>
      <w:r>
        <w:rPr>
          <w:color w:val="auto"/>
          <w:highlight w:val="none"/>
        </w:rPr>
        <w:tab/>
      </w:r>
      <w:r>
        <w:rPr>
          <w:rFonts w:hint="eastAsia"/>
          <w:color w:val="auto"/>
          <w:highlight w:val="none"/>
        </w:rPr>
        <w:t>6</w:t>
      </w:r>
      <w:r>
        <w:rPr>
          <w:rFonts w:hint="eastAsia"/>
          <w:color w:val="auto"/>
          <w:highlight w:val="none"/>
        </w:rPr>
        <w:fldChar w:fldCharType="end"/>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"_Toc32439" </w:instrText>
      </w:r>
      <w:r>
        <w:rPr>
          <w:color w:val="auto"/>
          <w:highlight w:val="none"/>
        </w:rPr>
        <w:fldChar w:fldCharType="separate"/>
      </w:r>
      <w:r>
        <w:rPr>
          <w:rFonts w:hint="eastAsia" w:ascii="宋体" w:hAnsi="宋体" w:cs="宋体"/>
          <w:color w:val="auto"/>
          <w:szCs w:val="21"/>
          <w:highlight w:val="none"/>
        </w:rPr>
        <w:t>投标人须知资料表</w:t>
      </w:r>
      <w:r>
        <w:rPr>
          <w:color w:val="auto"/>
          <w:highlight w:val="none"/>
        </w:rPr>
        <w:tab/>
      </w:r>
      <w:r>
        <w:rPr>
          <w:rFonts w:hint="eastAsia"/>
          <w:color w:val="auto"/>
          <w:highlight w:val="none"/>
        </w:rPr>
        <w:t>6</w:t>
      </w:r>
      <w:r>
        <w:rPr>
          <w:rFonts w:hint="eastAsia"/>
          <w:color w:val="auto"/>
          <w:highlight w:val="none"/>
        </w:rPr>
        <w:fldChar w:fldCharType="end"/>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"_Toc8536" </w:instrText>
      </w:r>
      <w:r>
        <w:rPr>
          <w:color w:val="auto"/>
          <w:highlight w:val="none"/>
        </w:rPr>
        <w:fldChar w:fldCharType="separate"/>
      </w:r>
      <w:r>
        <w:rPr>
          <w:rFonts w:hint="eastAsia" w:ascii="宋体" w:hAnsi="宋体" w:cs="宋体"/>
          <w:color w:val="auto"/>
          <w:szCs w:val="21"/>
          <w:highlight w:val="none"/>
        </w:rPr>
        <w:t>一、总则</w:t>
      </w:r>
      <w:r>
        <w:rPr>
          <w:color w:val="auto"/>
          <w:highlight w:val="none"/>
        </w:rPr>
        <w:tab/>
      </w:r>
      <w:r>
        <w:rPr>
          <w:rFonts w:hint="eastAsia"/>
          <w:color w:val="auto"/>
          <w:highlight w:val="none"/>
        </w:rPr>
        <w:t>7</w:t>
      </w:r>
      <w:r>
        <w:rPr>
          <w:rFonts w:hint="eastAsia"/>
          <w:color w:val="auto"/>
          <w:highlight w:val="none"/>
        </w:rPr>
        <w:fldChar w:fldCharType="end"/>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"_Toc17034" </w:instrText>
      </w:r>
      <w:r>
        <w:rPr>
          <w:color w:val="auto"/>
          <w:highlight w:val="none"/>
        </w:rPr>
        <w:fldChar w:fldCharType="separate"/>
      </w:r>
      <w:r>
        <w:rPr>
          <w:rFonts w:hint="eastAsia" w:ascii="宋体" w:hAnsi="宋体" w:cs="宋体"/>
          <w:color w:val="auto"/>
          <w:szCs w:val="21"/>
          <w:highlight w:val="none"/>
        </w:rPr>
        <w:t>二、响应文件的编制及保证金收取</w:t>
      </w:r>
      <w:r>
        <w:rPr>
          <w:color w:val="auto"/>
          <w:highlight w:val="none"/>
        </w:rPr>
        <w:tab/>
      </w:r>
      <w:r>
        <w:rPr>
          <w:rFonts w:hint="eastAsia"/>
          <w:color w:val="auto"/>
          <w:highlight w:val="none"/>
        </w:rPr>
        <w:t>7</w:t>
      </w:r>
      <w:r>
        <w:rPr>
          <w:rFonts w:hint="eastAsia"/>
          <w:color w:val="auto"/>
          <w:highlight w:val="none"/>
        </w:rPr>
        <w:fldChar w:fldCharType="end"/>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"_Toc11748" </w:instrText>
      </w:r>
      <w:r>
        <w:rPr>
          <w:color w:val="auto"/>
          <w:highlight w:val="none"/>
        </w:rPr>
        <w:fldChar w:fldCharType="separate"/>
      </w:r>
      <w:r>
        <w:rPr>
          <w:rFonts w:hint="eastAsia" w:ascii="宋体" w:hAnsi="宋体" w:cs="宋体"/>
          <w:color w:val="auto"/>
          <w:szCs w:val="21"/>
          <w:highlight w:val="none"/>
        </w:rPr>
        <w:t>三、招标响应文件的密封、递交</w:t>
      </w:r>
      <w:r>
        <w:rPr>
          <w:color w:val="auto"/>
          <w:highlight w:val="none"/>
        </w:rPr>
        <w:tab/>
      </w:r>
      <w:r>
        <w:rPr>
          <w:rFonts w:hint="eastAsia"/>
          <w:color w:val="auto"/>
          <w:highlight w:val="none"/>
        </w:rPr>
        <w:t>9</w:t>
      </w:r>
      <w:r>
        <w:rPr>
          <w:rFonts w:hint="eastAsia"/>
          <w:color w:val="auto"/>
          <w:highlight w:val="none"/>
        </w:rPr>
        <w:fldChar w:fldCharType="end"/>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"_Toc113" </w:instrText>
      </w:r>
      <w:r>
        <w:rPr>
          <w:color w:val="auto"/>
          <w:highlight w:val="none"/>
        </w:rPr>
        <w:fldChar w:fldCharType="separate"/>
      </w:r>
      <w:r>
        <w:rPr>
          <w:rFonts w:hint="eastAsia" w:ascii="宋体" w:hAnsi="宋体" w:cs="宋体"/>
          <w:color w:val="auto"/>
          <w:szCs w:val="21"/>
          <w:highlight w:val="none"/>
        </w:rPr>
        <w:t>四、招标与评审</w:t>
      </w:r>
      <w:r>
        <w:rPr>
          <w:color w:val="auto"/>
          <w:highlight w:val="none"/>
        </w:rPr>
        <w:tab/>
      </w:r>
      <w:r>
        <w:rPr>
          <w:rFonts w:hint="eastAsia"/>
          <w:color w:val="auto"/>
          <w:highlight w:val="none"/>
        </w:rPr>
        <w:t>9</w:t>
      </w:r>
      <w:r>
        <w:rPr>
          <w:rFonts w:hint="eastAsia"/>
          <w:color w:val="auto"/>
          <w:highlight w:val="none"/>
        </w:rPr>
        <w:fldChar w:fldCharType="end"/>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"_Toc1706" </w:instrText>
      </w:r>
      <w:r>
        <w:rPr>
          <w:color w:val="auto"/>
          <w:highlight w:val="none"/>
        </w:rPr>
        <w:fldChar w:fldCharType="separate"/>
      </w:r>
      <w:r>
        <w:rPr>
          <w:rFonts w:hint="eastAsia" w:ascii="宋体" w:hAnsi="宋体" w:cs="宋体"/>
          <w:color w:val="auto"/>
          <w:szCs w:val="21"/>
          <w:highlight w:val="none"/>
        </w:rPr>
        <w:t>五、成交</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1</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"_Toc1876" </w:instrText>
      </w:r>
      <w:r>
        <w:rPr>
          <w:color w:val="auto"/>
          <w:highlight w:val="none"/>
        </w:rPr>
        <w:fldChar w:fldCharType="separate"/>
      </w:r>
      <w:r>
        <w:rPr>
          <w:rFonts w:hint="eastAsia" w:ascii="宋体" w:hAnsi="宋体" w:cs="宋体"/>
          <w:color w:val="auto"/>
          <w:szCs w:val="21"/>
          <w:highlight w:val="none"/>
        </w:rPr>
        <w:t>六、合同签订相关事项</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2</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"_Toc25736" </w:instrText>
      </w:r>
      <w:r>
        <w:rPr>
          <w:color w:val="auto"/>
          <w:highlight w:val="none"/>
        </w:rPr>
        <w:fldChar w:fldCharType="separate"/>
      </w:r>
      <w:r>
        <w:rPr>
          <w:rFonts w:hint="eastAsia" w:ascii="宋体" w:hAnsi="宋体" w:cs="宋体"/>
          <w:color w:val="auto"/>
          <w:szCs w:val="21"/>
          <w:highlight w:val="none"/>
        </w:rPr>
        <w:t>七、其他</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3</w:t>
      </w:r>
    </w:p>
    <w:p>
      <w:pPr>
        <w:pStyle w:val="24"/>
        <w:tabs>
          <w:tab w:val="right" w:leader="dot" w:pos="9525"/>
        </w:tabs>
        <w:rPr>
          <w:color w:val="auto"/>
          <w:highlight w:val="none"/>
        </w:rPr>
      </w:pPr>
      <w:r>
        <w:rPr>
          <w:color w:val="auto"/>
          <w:highlight w:val="none"/>
        </w:rPr>
        <w:fldChar w:fldCharType="begin"/>
      </w:r>
      <w:r>
        <w:rPr>
          <w:color w:val="auto"/>
          <w:highlight w:val="none"/>
        </w:rPr>
        <w:instrText xml:space="preserve"> HYPERLINK \l "_Toc9156" </w:instrText>
      </w:r>
      <w:r>
        <w:rPr>
          <w:color w:val="auto"/>
          <w:highlight w:val="none"/>
        </w:rPr>
        <w:fldChar w:fldCharType="separate"/>
      </w:r>
      <w:r>
        <w:rPr>
          <w:rFonts w:hint="eastAsia" w:ascii="宋体" w:hAnsi="宋体" w:cs="宋体"/>
          <w:color w:val="auto"/>
          <w:szCs w:val="21"/>
          <w:highlight w:val="none"/>
        </w:rPr>
        <w:t>第三章  采购需求及政府采购合同（拟签订的合同文本）</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5</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"_Toc17460" </w:instrText>
      </w:r>
      <w:r>
        <w:rPr>
          <w:color w:val="auto"/>
          <w:highlight w:val="none"/>
        </w:rPr>
        <w:fldChar w:fldCharType="separate"/>
      </w:r>
      <w:r>
        <w:rPr>
          <w:rFonts w:hint="eastAsia" w:ascii="宋体" w:hAnsi="宋体" w:cs="宋体"/>
          <w:color w:val="auto"/>
          <w:szCs w:val="21"/>
          <w:highlight w:val="none"/>
        </w:rPr>
        <w:t>第一部分：采购需求及参数要求</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6</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"_Toc24677" </w:instrText>
      </w:r>
      <w:r>
        <w:rPr>
          <w:color w:val="auto"/>
          <w:highlight w:val="none"/>
        </w:rPr>
        <w:fldChar w:fldCharType="separate"/>
      </w:r>
      <w:r>
        <w:rPr>
          <w:rFonts w:hint="eastAsia" w:ascii="宋体" w:hAnsi="宋体" w:cs="宋体"/>
          <w:color w:val="auto"/>
          <w:highlight w:val="none"/>
        </w:rPr>
        <w:t>第二部分：政府采购合同（拟签订的合同文本</w:t>
      </w:r>
      <w:r>
        <w:rPr>
          <w:rFonts w:hint="eastAsia" w:ascii="宋体" w:hAnsi="宋体" w:cs="宋体"/>
          <w:bCs/>
          <w:color w:val="auto"/>
          <w:highlight w:val="none"/>
        </w:rPr>
        <w:t>）</w:t>
      </w:r>
      <w:r>
        <w:rPr>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9</w:t>
      </w:r>
    </w:p>
    <w:p>
      <w:pPr>
        <w:pStyle w:val="24"/>
        <w:tabs>
          <w:tab w:val="right" w:leader="dot" w:pos="9525"/>
        </w:tabs>
        <w:rPr>
          <w:color w:val="auto"/>
          <w:highlight w:val="none"/>
        </w:rPr>
      </w:pPr>
      <w:r>
        <w:rPr>
          <w:color w:val="auto"/>
          <w:highlight w:val="none"/>
        </w:rPr>
        <w:fldChar w:fldCharType="begin"/>
      </w:r>
      <w:r>
        <w:rPr>
          <w:color w:val="auto"/>
          <w:highlight w:val="none"/>
        </w:rPr>
        <w:instrText xml:space="preserve"> HYPERLINK \l "_Toc28813" </w:instrText>
      </w:r>
      <w:r>
        <w:rPr>
          <w:color w:val="auto"/>
          <w:highlight w:val="none"/>
        </w:rPr>
        <w:fldChar w:fldCharType="separate"/>
      </w:r>
      <w:r>
        <w:rPr>
          <w:rFonts w:hint="eastAsia" w:ascii="宋体" w:hAnsi="宋体" w:cs="宋体"/>
          <w:color w:val="auto"/>
          <w:highlight w:val="none"/>
        </w:rPr>
        <w:t>第四章  评标方法和标准</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2</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"_Toc5317" </w:instrText>
      </w:r>
      <w:r>
        <w:rPr>
          <w:color w:val="auto"/>
          <w:highlight w:val="none"/>
        </w:rPr>
        <w:fldChar w:fldCharType="separate"/>
      </w:r>
      <w:r>
        <w:rPr>
          <w:rFonts w:hint="eastAsia" w:ascii="宋体" w:hAnsi="宋体" w:cs="宋体"/>
          <w:color w:val="auto"/>
          <w:szCs w:val="21"/>
          <w:highlight w:val="none"/>
        </w:rPr>
        <w:t>一、评标方法</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2</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"_Toc420" </w:instrText>
      </w:r>
      <w:r>
        <w:rPr>
          <w:color w:val="auto"/>
          <w:highlight w:val="none"/>
        </w:rPr>
        <w:fldChar w:fldCharType="separate"/>
      </w:r>
      <w:r>
        <w:rPr>
          <w:rFonts w:hint="eastAsia" w:ascii="宋体" w:hAnsi="宋体" w:cs="宋体"/>
          <w:color w:val="auto"/>
          <w:szCs w:val="21"/>
          <w:highlight w:val="none"/>
        </w:rPr>
        <w:t>二、评分标准</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2</w:t>
      </w:r>
    </w:p>
    <w:p>
      <w:pPr>
        <w:pStyle w:val="24"/>
        <w:tabs>
          <w:tab w:val="right" w:leader="dot" w:pos="9525"/>
        </w:tabs>
        <w:rPr>
          <w:rFonts w:hint="default" w:ascii="宋体" w:hAnsi="宋体" w:eastAsia="宋体" w:cs="宋体"/>
          <w:color w:val="auto"/>
          <w:highlight w:val="none"/>
          <w:lang w:val="en-US" w:eastAsia="zh-CN"/>
        </w:rPr>
      </w:pPr>
      <w:r>
        <w:rPr>
          <w:rFonts w:hint="eastAsia" w:ascii="宋体" w:hAnsi="宋体" w:cs="宋体"/>
          <w:color w:val="auto"/>
          <w:highlight w:val="none"/>
          <w:lang w:eastAsia="zh-CN"/>
        </w:rPr>
        <w:t>第五章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投标文件格式</w:t>
      </w:r>
      <w:r>
        <w:rPr>
          <w:color w:val="auto"/>
          <w:highlight w:val="none"/>
        </w:rPr>
        <w:tab/>
      </w:r>
      <w:r>
        <w:rPr>
          <w:rFonts w:hint="eastAsia"/>
          <w:color w:val="auto"/>
          <w:highlight w:val="none"/>
          <w:lang w:val="en-US" w:eastAsia="zh-CN"/>
        </w:rPr>
        <w:t>27</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"_Toc2016" </w:instrText>
      </w:r>
      <w:r>
        <w:rPr>
          <w:color w:val="auto"/>
          <w:highlight w:val="none"/>
        </w:rPr>
        <w:fldChar w:fldCharType="separate"/>
      </w:r>
      <w:r>
        <w:rPr>
          <w:rFonts w:hint="eastAsia" w:ascii="宋体" w:hAnsi="宋体" w:cs="宋体"/>
          <w:bCs/>
          <w:color w:val="auto"/>
          <w:szCs w:val="21"/>
          <w:highlight w:val="none"/>
        </w:rPr>
        <w:t>一、开标一览表(报价表)（格式）</w:t>
      </w:r>
      <w:r>
        <w:rPr>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7</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"_Toc20607" </w:instrText>
      </w:r>
      <w:r>
        <w:rPr>
          <w:color w:val="auto"/>
          <w:highlight w:val="none"/>
        </w:rPr>
        <w:fldChar w:fldCharType="separate"/>
      </w:r>
      <w:r>
        <w:rPr>
          <w:rFonts w:hint="eastAsia" w:ascii="宋体" w:hAnsi="宋体" w:cs="宋体"/>
          <w:color w:val="auto"/>
          <w:kern w:val="0"/>
          <w:szCs w:val="28"/>
          <w:highlight w:val="none"/>
        </w:rPr>
        <w:t>三、法定代表人授权委托书(格式）</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0</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"_Toc16030" </w:instrText>
      </w:r>
      <w:r>
        <w:rPr>
          <w:color w:val="auto"/>
          <w:highlight w:val="none"/>
        </w:rPr>
        <w:fldChar w:fldCharType="separate"/>
      </w:r>
      <w:r>
        <w:rPr>
          <w:rFonts w:hint="eastAsia" w:ascii="宋体" w:hAnsi="宋体" w:cs="宋体"/>
          <w:color w:val="auto"/>
          <w:kern w:val="0"/>
          <w:szCs w:val="28"/>
          <w:highlight w:val="none"/>
        </w:rPr>
        <w:t>四、投标书（格式）</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1</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"_Toc30393" </w:instrText>
      </w:r>
      <w:r>
        <w:rPr>
          <w:color w:val="auto"/>
          <w:highlight w:val="none"/>
        </w:rPr>
        <w:fldChar w:fldCharType="separate"/>
      </w:r>
      <w:r>
        <w:rPr>
          <w:rFonts w:hint="eastAsia" w:ascii="宋体" w:hAnsi="宋体" w:cs="宋体"/>
          <w:color w:val="auto"/>
          <w:kern w:val="0"/>
          <w:szCs w:val="28"/>
          <w:highlight w:val="none"/>
        </w:rPr>
        <w:t>五、盐城市政府采购事前信用承诺书（格式）</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2</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"_Toc8626" </w:instrText>
      </w:r>
      <w:r>
        <w:rPr>
          <w:color w:val="auto"/>
          <w:highlight w:val="none"/>
        </w:rPr>
        <w:fldChar w:fldCharType="separate"/>
      </w:r>
      <w:r>
        <w:rPr>
          <w:rFonts w:hint="eastAsia" w:ascii="宋体" w:hAnsi="宋体" w:cs="宋体"/>
          <w:color w:val="auto"/>
          <w:kern w:val="0"/>
          <w:szCs w:val="28"/>
          <w:highlight w:val="none"/>
        </w:rPr>
        <w:t>六、投标分项报价表（格式）</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3</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"_Toc22230" </w:instrText>
      </w:r>
      <w:r>
        <w:rPr>
          <w:color w:val="auto"/>
          <w:highlight w:val="none"/>
        </w:rPr>
        <w:fldChar w:fldCharType="separate"/>
      </w:r>
      <w:r>
        <w:rPr>
          <w:rFonts w:hint="eastAsia" w:ascii="宋体" w:hAnsi="宋体" w:cs="宋体"/>
          <w:color w:val="auto"/>
          <w:kern w:val="0"/>
          <w:szCs w:val="28"/>
          <w:highlight w:val="none"/>
        </w:rPr>
        <w:t>七、商务要求响应情况表</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4</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"_Toc17775" </w:instrText>
      </w:r>
      <w:r>
        <w:rPr>
          <w:color w:val="auto"/>
          <w:highlight w:val="none"/>
        </w:rPr>
        <w:fldChar w:fldCharType="separate"/>
      </w:r>
      <w:r>
        <w:rPr>
          <w:rFonts w:hint="eastAsia" w:ascii="宋体" w:hAnsi="宋体" w:cs="宋体"/>
          <w:color w:val="auto"/>
          <w:kern w:val="0"/>
          <w:szCs w:val="28"/>
          <w:highlight w:val="none"/>
        </w:rPr>
        <w:t>八、技术要求响应情况表</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5</w:t>
      </w:r>
    </w:p>
    <w:p>
      <w:pPr>
        <w:pStyle w:val="27"/>
        <w:tabs>
          <w:tab w:val="right" w:leader="dot" w:pos="9525"/>
        </w:tabs>
        <w:rPr>
          <w:color w:val="auto"/>
          <w:highlight w:val="none"/>
        </w:rPr>
      </w:pPr>
      <w:r>
        <w:rPr>
          <w:color w:val="auto"/>
          <w:highlight w:val="none"/>
        </w:rPr>
        <w:fldChar w:fldCharType="begin"/>
      </w:r>
      <w:r>
        <w:rPr>
          <w:color w:val="auto"/>
          <w:highlight w:val="none"/>
        </w:rPr>
        <w:instrText xml:space="preserve"> HYPERLINK \l "_Toc32518" </w:instrText>
      </w:r>
      <w:r>
        <w:rPr>
          <w:color w:val="auto"/>
          <w:highlight w:val="none"/>
        </w:rPr>
        <w:fldChar w:fldCharType="separate"/>
      </w:r>
      <w:r>
        <w:rPr>
          <w:rFonts w:hint="eastAsia" w:ascii="宋体" w:hAnsi="宋体" w:cs="宋体"/>
          <w:color w:val="auto"/>
          <w:szCs w:val="28"/>
          <w:highlight w:val="none"/>
        </w:rPr>
        <w:t>九、投标文件的其它内容</w:t>
      </w:r>
      <w:r>
        <w:rPr>
          <w:color w:val="auto"/>
          <w:highlight w:val="none"/>
        </w:rPr>
        <w:tab/>
      </w:r>
      <w:r>
        <w:rPr>
          <w:rFonts w:hint="eastAsia"/>
          <w:color w:val="auto"/>
          <w:highlight w:val="none"/>
        </w:rPr>
        <w:t>3</w:t>
      </w:r>
      <w:r>
        <w:rPr>
          <w:rFonts w:hint="eastAsia"/>
          <w:color w:val="auto"/>
          <w:highlight w:val="none"/>
        </w:rPr>
        <w:fldChar w:fldCharType="end"/>
      </w:r>
      <w:r>
        <w:rPr>
          <w:rFonts w:hint="eastAsia"/>
          <w:color w:val="auto"/>
          <w:highlight w:val="none"/>
        </w:rPr>
        <w:t>6</w:t>
      </w:r>
    </w:p>
    <w:p>
      <w:pPr>
        <w:rPr>
          <w:rFonts w:ascii="宋体" w:hAnsi="宋体" w:cs="宋体"/>
          <w:color w:val="auto"/>
          <w:szCs w:val="21"/>
          <w:highlight w:val="none"/>
        </w:rPr>
      </w:pPr>
      <w:r>
        <w:rPr>
          <w:rFonts w:hint="eastAsia" w:ascii="宋体" w:hAnsi="宋体" w:cs="宋体"/>
          <w:color w:val="auto"/>
          <w:szCs w:val="21"/>
          <w:highlight w:val="none"/>
        </w:rPr>
        <w:fldChar w:fldCharType="end"/>
      </w:r>
    </w:p>
    <w:p>
      <w:pPr>
        <w:spacing w:line="460" w:lineRule="exact"/>
        <w:jc w:val="center"/>
        <w:rPr>
          <w:rFonts w:ascii="宋体" w:hAnsi="宋体" w:cs="宋体"/>
          <w:b/>
          <w:color w:val="auto"/>
          <w:szCs w:val="21"/>
          <w:highlight w:val="none"/>
        </w:rPr>
      </w:pPr>
    </w:p>
    <w:p>
      <w:pPr>
        <w:spacing w:line="460" w:lineRule="exact"/>
        <w:jc w:val="center"/>
        <w:rPr>
          <w:rFonts w:ascii="宋体" w:hAnsi="宋体" w:cs="宋体"/>
          <w:b/>
          <w:color w:val="auto"/>
          <w:szCs w:val="21"/>
          <w:highlight w:val="none"/>
        </w:rPr>
      </w:pPr>
    </w:p>
    <w:p>
      <w:pPr>
        <w:spacing w:line="460" w:lineRule="exact"/>
        <w:rPr>
          <w:rFonts w:ascii="宋体" w:hAnsi="宋体" w:cs="宋体"/>
          <w:b/>
          <w:color w:val="auto"/>
          <w:szCs w:val="21"/>
          <w:highlight w:val="none"/>
        </w:rPr>
      </w:pPr>
      <w:bookmarkStart w:id="1" w:name="_Toc10069"/>
    </w:p>
    <w:p>
      <w:pPr>
        <w:spacing w:line="460" w:lineRule="exact"/>
        <w:rPr>
          <w:rFonts w:ascii="宋体" w:hAnsi="宋体" w:cs="宋体"/>
          <w:b/>
          <w:color w:val="auto"/>
          <w:szCs w:val="21"/>
          <w:highlight w:val="none"/>
        </w:rPr>
      </w:pPr>
    </w:p>
    <w:p>
      <w:pPr>
        <w:spacing w:line="460" w:lineRule="exact"/>
        <w:jc w:val="center"/>
        <w:outlineLvl w:val="0"/>
        <w:rPr>
          <w:rFonts w:ascii="宋体" w:hAnsi="宋体" w:cs="宋体"/>
          <w:color w:val="auto"/>
          <w:sz w:val="28"/>
          <w:szCs w:val="21"/>
          <w:highlight w:val="none"/>
        </w:rPr>
      </w:pPr>
      <w:r>
        <w:rPr>
          <w:rFonts w:hint="eastAsia" w:ascii="宋体" w:hAnsi="宋体" w:cs="宋体"/>
          <w:b/>
          <w:color w:val="auto"/>
          <w:sz w:val="28"/>
          <w:szCs w:val="21"/>
          <w:highlight w:val="none"/>
        </w:rPr>
        <w:t xml:space="preserve">第一章  </w:t>
      </w:r>
      <w:r>
        <w:rPr>
          <w:rFonts w:hint="eastAsia" w:ascii="宋体" w:hAnsi="宋体" w:cs="宋体"/>
          <w:b/>
          <w:bCs/>
          <w:color w:val="auto"/>
          <w:sz w:val="28"/>
          <w:szCs w:val="21"/>
          <w:highlight w:val="none"/>
        </w:rPr>
        <w:t>招标公告</w:t>
      </w:r>
      <w:bookmarkEnd w:id="0"/>
      <w:bookmarkEnd w:id="1"/>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盐城市携手阳光集中采购代理有限公司（本次采购可简称：携手阳光公司）受采购人的委托，根据《中华人民共和国政府采购法》等有关规定，现对下列项目进行采购，欢迎合格的供应商前来投标。</w:t>
      </w:r>
    </w:p>
    <w:p>
      <w:pPr>
        <w:pBdr>
          <w:top w:val="single" w:color="auto" w:sz="4" w:space="1"/>
          <w:left w:val="single" w:color="auto" w:sz="4" w:space="4"/>
          <w:bottom w:val="single" w:color="auto" w:sz="4" w:space="1"/>
          <w:right w:val="single" w:color="auto" w:sz="4" w:space="4"/>
        </w:pBd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u w:val="single"/>
        </w:rPr>
        <w:t>江苏医药职业学院公务用车（19座及以上客车）租赁服务项目</w:t>
      </w:r>
      <w:r>
        <w:rPr>
          <w:rFonts w:hint="eastAsia" w:ascii="宋体" w:hAnsi="宋体" w:cs="宋体"/>
          <w:color w:val="auto"/>
          <w:szCs w:val="21"/>
          <w:highlight w:val="none"/>
        </w:rPr>
        <w:t>的潜在投标人应在</w:t>
      </w:r>
      <w:r>
        <w:rPr>
          <w:rFonts w:hint="eastAsia" w:ascii="宋体" w:hAnsi="宋体" w:cs="宋体"/>
          <w:color w:val="auto"/>
          <w:szCs w:val="21"/>
          <w:highlight w:val="none"/>
          <w:u w:val="single"/>
        </w:rPr>
        <w:t>盐城市府西路华邦国际西厦A302室（3楼东区）</w:t>
      </w:r>
      <w:r>
        <w:rPr>
          <w:rFonts w:hint="eastAsia" w:ascii="宋体" w:hAnsi="宋体" w:cs="宋体"/>
          <w:color w:val="auto"/>
          <w:szCs w:val="21"/>
          <w:highlight w:val="none"/>
        </w:rPr>
        <w:t>获取招标文件，并于</w:t>
      </w:r>
      <w:r>
        <w:rPr>
          <w:rFonts w:hint="eastAsia" w:ascii="宋体" w:hAnsi="宋体" w:cs="宋体"/>
          <w:b/>
          <w:bCs/>
          <w:color w:val="auto"/>
          <w:szCs w:val="21"/>
          <w:highlight w:val="none"/>
          <w:u w:val="single"/>
        </w:rPr>
        <w:t>2023年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点00分（</w:t>
      </w:r>
      <w:r>
        <w:rPr>
          <w:rFonts w:hint="eastAsia" w:ascii="宋体" w:hAnsi="宋体" w:cs="宋体"/>
          <w:b/>
          <w:bCs/>
          <w:color w:val="auto"/>
          <w:szCs w:val="21"/>
          <w:highlight w:val="none"/>
        </w:rPr>
        <w:t>北京时间）前递交投标文件。</w:t>
      </w:r>
    </w:p>
    <w:p>
      <w:pPr>
        <w:keepNext w:val="0"/>
        <w:keepLines w:val="0"/>
        <w:pageBreakBefore w:val="0"/>
        <w:widowControl w:val="0"/>
        <w:kinsoku/>
        <w:wordWrap/>
        <w:overflowPunct/>
        <w:topLinePunct w:val="0"/>
        <w:bidi w:val="0"/>
        <w:adjustRightInd/>
        <w:snapToGrid/>
        <w:spacing w:line="360" w:lineRule="auto"/>
        <w:textAlignment w:val="auto"/>
        <w:outlineLvl w:val="1"/>
        <w:rPr>
          <w:rFonts w:ascii="宋体" w:hAnsi="宋体" w:cs="宋体"/>
          <w:b/>
          <w:color w:val="auto"/>
          <w:szCs w:val="21"/>
          <w:highlight w:val="none"/>
        </w:rPr>
      </w:pPr>
      <w:bookmarkStart w:id="2" w:name="_Toc28359002"/>
      <w:bookmarkStart w:id="3" w:name="_Toc26074"/>
      <w:bookmarkStart w:id="4" w:name="_Toc35393790"/>
      <w:bookmarkStart w:id="5" w:name="_Toc28359079"/>
      <w:bookmarkStart w:id="6" w:name="_Toc35393621"/>
      <w:bookmarkStart w:id="7" w:name="_Toc17102"/>
      <w:bookmarkStart w:id="8" w:name="_Hlk24379207"/>
      <w:r>
        <w:rPr>
          <w:rFonts w:hint="eastAsia" w:ascii="宋体" w:hAnsi="宋体" w:cs="宋体"/>
          <w:b/>
          <w:color w:val="auto"/>
          <w:szCs w:val="21"/>
          <w:highlight w:val="none"/>
        </w:rPr>
        <w:t>一、项目基本情况</w:t>
      </w:r>
      <w:bookmarkEnd w:id="2"/>
      <w:bookmarkEnd w:id="3"/>
      <w:bookmarkEnd w:id="4"/>
      <w:bookmarkEnd w:id="5"/>
      <w:bookmarkEnd w:id="6"/>
      <w:bookmarkEnd w:id="7"/>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项目编号：SY2023-053-FW-JC</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项目名称：江苏医药职业学院公务用车（19座及以上客车）租赁服务项目</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项目预算（限价）：具体划分如下：</w:t>
      </w:r>
    </w:p>
    <w:p>
      <w:pPr>
        <w:keepNext w:val="0"/>
        <w:keepLines w:val="0"/>
        <w:pageBreakBefore w:val="0"/>
        <w:kinsoku/>
        <w:wordWrap/>
        <w:overflowPunct/>
        <w:topLinePunct w:val="0"/>
        <w:bidi w:val="0"/>
        <w:snapToGrid w:val="0"/>
        <w:spacing w:line="520" w:lineRule="exact"/>
        <w:ind w:firstLine="422" w:firstLineChars="200"/>
        <w:rPr>
          <w:rFonts w:hint="eastAsia"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本项目采用下浮率报价</w:t>
      </w:r>
      <w:r>
        <w:rPr>
          <w:rFonts w:hint="eastAsia" w:asciiTheme="minorEastAsia" w:hAnsiTheme="minorEastAsia" w:eastAsiaTheme="minorEastAsia" w:cstheme="minorEastAsia"/>
          <w:b/>
          <w:bCs/>
          <w:color w:val="auto"/>
          <w:highlight w:val="none"/>
          <w:lang w:eastAsia="zh-CN"/>
        </w:rPr>
        <w:t>（如下表</w:t>
      </w:r>
      <w:r>
        <w:rPr>
          <w:rFonts w:hint="eastAsia" w:asciiTheme="minorEastAsia" w:hAnsiTheme="minorEastAsia" w:eastAsiaTheme="minorEastAsia" w:cstheme="minorEastAsia"/>
          <w:b/>
          <w:bCs/>
          <w:color w:val="auto"/>
          <w:highlight w:val="none"/>
          <w:lang w:val="en-US" w:eastAsia="zh-CN"/>
        </w:rPr>
        <w:t>A为例</w:t>
      </w:r>
      <w:r>
        <w:rPr>
          <w:rFonts w:hint="eastAsia" w:asciiTheme="minorEastAsia" w:hAnsiTheme="minorEastAsia" w:eastAsiaTheme="minorEastAsia" w:cstheme="minorEastAsia"/>
          <w:b/>
          <w:bCs/>
          <w:color w:val="auto"/>
          <w:highlight w:val="none"/>
          <w:lang w:eastAsia="zh-CN"/>
        </w:rPr>
        <w:t>：①</w:t>
      </w:r>
      <w:r>
        <w:rPr>
          <w:rFonts w:hint="eastAsia" w:asciiTheme="minorEastAsia" w:hAnsiTheme="minorEastAsia" w:eastAsiaTheme="minorEastAsia" w:cstheme="minorEastAsia"/>
          <w:b/>
          <w:bCs/>
          <w:color w:val="auto"/>
          <w:highlight w:val="none"/>
          <w:lang w:eastAsia="en-US"/>
        </w:rPr>
        <w:t>租赁价</w:t>
      </w:r>
      <w:r>
        <w:rPr>
          <w:rFonts w:hint="eastAsia" w:asciiTheme="minorEastAsia" w:hAnsiTheme="minorEastAsia" w:eastAsiaTheme="minorEastAsia" w:cstheme="minorEastAsia"/>
          <w:b/>
          <w:bCs/>
          <w:color w:val="auto"/>
          <w:highlight w:val="none"/>
          <w:lang w:eastAsia="zh-CN"/>
        </w:rPr>
        <w:t>报价为</w:t>
      </w:r>
      <w:r>
        <w:rPr>
          <w:rFonts w:hint="eastAsia" w:asciiTheme="minorEastAsia" w:hAnsiTheme="minorEastAsia" w:eastAsiaTheme="minorEastAsia" w:cstheme="minorEastAsia"/>
          <w:b/>
          <w:bCs/>
          <w:color w:val="auto"/>
          <w:highlight w:val="none"/>
          <w:lang w:val="en-US" w:eastAsia="zh-CN"/>
        </w:rPr>
        <w:t>10%，则400*（1-10%）=360元；②</w:t>
      </w:r>
      <w:r>
        <w:rPr>
          <w:rFonts w:hint="eastAsia" w:asciiTheme="minorEastAsia" w:hAnsiTheme="minorEastAsia" w:eastAsiaTheme="minorEastAsia" w:cstheme="minorEastAsia"/>
          <w:b/>
          <w:bCs/>
          <w:color w:val="auto"/>
          <w:highlight w:val="none"/>
          <w:lang w:val="en-US" w:eastAsia="en-US"/>
        </w:rPr>
        <w:t>超出基准里程公里费用</w:t>
      </w:r>
      <w:r>
        <w:rPr>
          <w:rFonts w:hint="eastAsia" w:asciiTheme="minorEastAsia" w:hAnsiTheme="minorEastAsia" w:eastAsiaTheme="minorEastAsia" w:cstheme="minorEastAsia"/>
          <w:b/>
          <w:bCs/>
          <w:color w:val="auto"/>
          <w:highlight w:val="none"/>
          <w:lang w:val="en-US" w:eastAsia="zh-CN"/>
        </w:rPr>
        <w:t>报价为10%，则4.1*（1-10%）=3.69元。），确定2名入围服</w:t>
      </w:r>
      <w:r>
        <w:rPr>
          <w:rFonts w:hint="eastAsia" w:asciiTheme="minorEastAsia" w:hAnsiTheme="minorEastAsia" w:eastAsiaTheme="minorEastAsia" w:cstheme="minorEastAsia"/>
          <w:b/>
          <w:bCs/>
          <w:color w:val="auto"/>
          <w:highlight w:val="none"/>
        </w:rPr>
        <w:t>务单位。</w:t>
      </w:r>
    </w:p>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19座以上车辆(一般是19座含司机小型客车、20-45座含司机中型客车、 45-55座含司机大型客车)</w:t>
      </w:r>
    </w:p>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租赁限价和基准里程公里限价是报价的最高价格。如报价中的代号F租赁一天不超过900元，公里费用不超过4.5元/Km。（学校用车所产生的高速公路费、过路费、停车费、油费、驾驶员食宿费、乘客安全保险等费用均由中标服务公司承担。）</w:t>
      </w:r>
    </w:p>
    <w:tbl>
      <w:tblPr>
        <w:tblStyle w:val="48"/>
        <w:tblW w:w="9656"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159"/>
        <w:gridCol w:w="1786"/>
        <w:gridCol w:w="1684"/>
        <w:gridCol w:w="1402"/>
        <w:gridCol w:w="2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代号</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车型</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参照或相当于</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租赁限价(元)</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基准里程</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超出基准里程公里费用(元)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color w:val="auto"/>
                <w:highlight w:val="none"/>
                <w:lang w:eastAsia="en-US"/>
              </w:rPr>
              <w:t>A</w:t>
            </w:r>
          </w:p>
        </w:tc>
        <w:tc>
          <w:tcPr>
            <w:tcW w:w="1159" w:type="dxa"/>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color w:val="auto"/>
                <w:highlight w:val="none"/>
                <w:lang w:eastAsia="en-US"/>
              </w:rPr>
              <w:t>19 座</w:t>
            </w:r>
          </w:p>
        </w:tc>
        <w:tc>
          <w:tcPr>
            <w:tcW w:w="1786" w:type="dxa"/>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color w:val="auto"/>
                <w:highlight w:val="none"/>
                <w:lang w:eastAsia="en-US"/>
              </w:rPr>
              <w:t>考斯特</w:t>
            </w:r>
          </w:p>
        </w:tc>
        <w:tc>
          <w:tcPr>
            <w:tcW w:w="1684" w:type="dxa"/>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color w:val="auto"/>
                <w:highlight w:val="none"/>
                <w:lang w:eastAsia="en-US"/>
              </w:rPr>
              <w:t>400元/半天</w:t>
            </w:r>
          </w:p>
        </w:tc>
        <w:tc>
          <w:tcPr>
            <w:tcW w:w="1402" w:type="dxa"/>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color w:val="auto"/>
                <w:highlight w:val="none"/>
                <w:lang w:eastAsia="en-US"/>
              </w:rPr>
              <w:t>100Km</w:t>
            </w:r>
          </w:p>
        </w:tc>
        <w:tc>
          <w:tcPr>
            <w:tcW w:w="2948" w:type="dxa"/>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color w:val="auto"/>
                <w:highlight w:val="none"/>
                <w:lang w:eastAsia="en-US"/>
              </w:rPr>
              <w:t>超过100Km，增加到4.10元/Km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B</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19 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考斯特</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800元/天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超过200Km，增加到4.10元/Km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C</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20-35座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400元/半天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超过100Km，增加到4.30元/Km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D</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20-35座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800元/天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超过200Km，增加到4.30元/Km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E</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36-45座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450元/半天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超过100Km，增加到4.70元/Km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F</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36-45座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900元/天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超过200Km，增加到4.70元/Km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G</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46-55座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500元/半天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超过100Km，增加到5.30元/Km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H</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46-55座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1000元/天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超过200Km，增加到5.30元/Km</w:t>
            </w:r>
          </w:p>
        </w:tc>
      </w:tr>
    </w:tbl>
    <w:p>
      <w:pPr>
        <w:pStyle w:val="26"/>
        <w:rPr>
          <w:color w:val="auto"/>
          <w:highlight w:val="none"/>
        </w:rPr>
      </w:pP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宋体" w:hAnsi="宋体" w:cs="宋体"/>
          <w:b/>
          <w:bCs/>
          <w:color w:val="auto"/>
          <w:szCs w:val="21"/>
          <w:highlight w:val="none"/>
        </w:rPr>
      </w:pPr>
      <w:r>
        <w:rPr>
          <w:rFonts w:hint="eastAsia" w:ascii="宋体" w:hAnsi="宋体" w:cs="宋体"/>
          <w:b/>
          <w:bCs/>
          <w:color w:val="auto"/>
          <w:szCs w:val="21"/>
          <w:highlight w:val="none"/>
        </w:rPr>
        <w:t>说明：</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1.以代号A为例：车辆租用半天，</w:t>
      </w:r>
      <w:r>
        <w:rPr>
          <w:rFonts w:hint="eastAsia" w:ascii="宋体" w:hAnsi="宋体" w:cs="宋体"/>
          <w:color w:val="auto"/>
          <w:szCs w:val="21"/>
          <w:highlight w:val="none"/>
          <w:lang w:eastAsia="zh-CN"/>
        </w:rPr>
        <w:t>如</w:t>
      </w:r>
      <w:r>
        <w:rPr>
          <w:rFonts w:hint="eastAsia" w:ascii="宋体" w:hAnsi="宋体" w:cs="宋体"/>
          <w:color w:val="auto"/>
          <w:szCs w:val="21"/>
          <w:highlight w:val="none"/>
        </w:rPr>
        <w:t>行驶里程不超过100Km，租车费用为400元；如半天行驶里程为200Km，则租车费用＝400+(200-100)×4.</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0＝8</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0.00元。</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2.以代号D为例：车辆租用2天，</w:t>
      </w:r>
      <w:r>
        <w:rPr>
          <w:rFonts w:hint="eastAsia" w:ascii="宋体" w:hAnsi="宋体" w:cs="宋体"/>
          <w:color w:val="auto"/>
          <w:szCs w:val="21"/>
          <w:highlight w:val="none"/>
          <w:lang w:eastAsia="zh-CN"/>
        </w:rPr>
        <w:t>如</w:t>
      </w:r>
      <w:r>
        <w:rPr>
          <w:rFonts w:hint="eastAsia" w:ascii="宋体" w:hAnsi="宋体" w:cs="宋体"/>
          <w:color w:val="auto"/>
          <w:szCs w:val="21"/>
          <w:highlight w:val="none"/>
        </w:rPr>
        <w:t>行驶里程为</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00Km，则租车费用＝800×2+(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00)×4.30＝</w:t>
      </w:r>
      <w:r>
        <w:rPr>
          <w:rFonts w:hint="eastAsia" w:ascii="宋体" w:hAnsi="宋体" w:cs="宋体"/>
          <w:color w:val="auto"/>
          <w:szCs w:val="21"/>
          <w:highlight w:val="none"/>
          <w:lang w:val="en-US" w:eastAsia="zh-CN"/>
        </w:rPr>
        <w:t>2460</w:t>
      </w:r>
      <w:r>
        <w:rPr>
          <w:rFonts w:hint="eastAsia" w:ascii="宋体" w:hAnsi="宋体" w:cs="宋体"/>
          <w:color w:val="auto"/>
          <w:szCs w:val="21"/>
          <w:highlight w:val="none"/>
        </w:rPr>
        <w:t>.00元。</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b/>
          <w:bCs/>
          <w:color w:val="auto"/>
          <w:highlight w:val="none"/>
        </w:rPr>
        <w:t>采购需求：</w:t>
      </w:r>
      <w:r>
        <w:rPr>
          <w:rFonts w:hint="eastAsia" w:ascii="宋体" w:hAnsi="宋体"/>
          <w:color w:val="auto"/>
          <w:highlight w:val="none"/>
        </w:rPr>
        <w:t>江苏医药职业学院公务用车租赁（19座及以上客车）服务项目，</w:t>
      </w:r>
      <w:r>
        <w:rPr>
          <w:rFonts w:hint="eastAsia" w:ascii="宋体" w:hAnsi="宋体"/>
          <w:color w:val="auto"/>
          <w:highlight w:val="none"/>
          <w:lang w:eastAsia="zh-CN"/>
        </w:rPr>
        <w:t>确定</w:t>
      </w:r>
      <w:r>
        <w:rPr>
          <w:rFonts w:hint="eastAsia" w:ascii="宋体" w:hAnsi="宋体"/>
          <w:color w:val="auto"/>
          <w:highlight w:val="none"/>
          <w:lang w:val="en-US" w:eastAsia="zh-CN"/>
        </w:rPr>
        <w:t>2</w:t>
      </w:r>
      <w:r>
        <w:rPr>
          <w:rFonts w:hint="eastAsia" w:ascii="宋体" w:hAnsi="宋体"/>
          <w:color w:val="auto"/>
          <w:highlight w:val="none"/>
        </w:rPr>
        <w:t>家公司作为学校公务用车租赁服务单位，由学校与租赁服务单位签订租车服务协议，明确服务内容、价格、期限以及安全等双方责任义务，校内各单位根据实际需求从中选择租赁服务单位</w:t>
      </w:r>
      <w:r>
        <w:rPr>
          <w:rFonts w:hint="eastAsia" w:ascii="宋体" w:hAnsi="宋体"/>
          <w:color w:val="auto"/>
          <w:highlight w:val="none"/>
          <w:lang w:eastAsia="zh-CN"/>
        </w:rPr>
        <w:t>，采购</w:t>
      </w:r>
      <w:r>
        <w:rPr>
          <w:rFonts w:hint="eastAsia" w:ascii="宋体" w:hAnsi="宋体"/>
          <w:color w:val="auto"/>
          <w:highlight w:val="none"/>
        </w:rPr>
        <w:t>人不保证</w:t>
      </w:r>
      <w:r>
        <w:rPr>
          <w:rFonts w:hint="eastAsia" w:ascii="宋体" w:hAnsi="宋体"/>
          <w:color w:val="auto"/>
          <w:highlight w:val="none"/>
          <w:lang w:eastAsia="zh-CN"/>
        </w:rPr>
        <w:t>投标人</w:t>
      </w:r>
      <w:r>
        <w:rPr>
          <w:rFonts w:hint="eastAsia" w:ascii="宋体" w:hAnsi="宋体"/>
          <w:color w:val="auto"/>
          <w:highlight w:val="none"/>
        </w:rPr>
        <w:t>在合同有效期内的车辆租赁服务的业务量。</w:t>
      </w:r>
      <w:r>
        <w:rPr>
          <w:rFonts w:hint="eastAsia" w:ascii="宋体" w:hAnsi="宋体" w:cs="宋体"/>
          <w:color w:val="auto"/>
          <w:szCs w:val="21"/>
          <w:highlight w:val="none"/>
        </w:rPr>
        <w:t>详细业务用车需求以招标文件清单和招标人要求为准。</w:t>
      </w:r>
    </w:p>
    <w:p>
      <w:pPr>
        <w:keepNext w:val="0"/>
        <w:keepLines w:val="0"/>
        <w:pageBreakBefore w:val="0"/>
        <w:widowControl w:val="0"/>
        <w:kinsoku/>
        <w:wordWrap/>
        <w:overflowPunct/>
        <w:topLinePunct w:val="0"/>
        <w:bidi w:val="0"/>
        <w:adjustRightInd/>
        <w:snapToGrid/>
        <w:spacing w:before="1" w:line="360" w:lineRule="auto"/>
        <w:ind w:firstLine="422" w:firstLineChars="200"/>
        <w:textAlignment w:val="auto"/>
        <w:rPr>
          <w:rFonts w:ascii="宋体" w:hAnsi="宋体" w:cs="宋体"/>
          <w:color w:val="auto"/>
          <w:szCs w:val="21"/>
          <w:highlight w:val="none"/>
        </w:rPr>
      </w:pPr>
      <w:r>
        <w:rPr>
          <w:rFonts w:hint="eastAsia" w:ascii="宋体" w:hAnsi="宋体" w:cs="宋体"/>
          <w:b/>
          <w:bCs/>
          <w:color w:val="auto"/>
          <w:szCs w:val="21"/>
          <w:highlight w:val="none"/>
        </w:rPr>
        <w:t>服务期限：</w:t>
      </w:r>
      <w:r>
        <w:rPr>
          <w:rFonts w:hint="eastAsia" w:ascii="宋体" w:hAnsi="宋体" w:cs="宋体"/>
          <w:color w:val="auto"/>
          <w:szCs w:val="21"/>
          <w:highlight w:val="none"/>
        </w:rPr>
        <w:t>三年，合同一年一签，每年考核合格可续签（服务期满后在满足最新财政政策的同时，服务期限内无事故、无特殊情况下，经考核，可续期签订第二年的服务合同，续签次数不超过2次）；</w:t>
      </w:r>
    </w:p>
    <w:bookmarkEnd w:id="8"/>
    <w:p>
      <w:pPr>
        <w:pStyle w:val="32"/>
        <w:keepNext w:val="0"/>
        <w:keepLines w:val="0"/>
        <w:pageBreakBefore w:val="0"/>
        <w:widowControl w:val="0"/>
        <w:kinsoku/>
        <w:wordWrap/>
        <w:overflowPunct/>
        <w:topLinePunct w:val="0"/>
        <w:bidi w:val="0"/>
        <w:adjustRightInd/>
        <w:snapToGrid/>
        <w:spacing w:line="360" w:lineRule="auto"/>
        <w:ind w:left="420" w:leftChars="200" w:firstLine="0" w:firstLineChars="0"/>
        <w:textAlignment w:val="auto"/>
        <w:rPr>
          <w:rFonts w:cs="宋体"/>
          <w:color w:val="auto"/>
          <w:szCs w:val="21"/>
          <w:highlight w:val="none"/>
        </w:rPr>
      </w:pPr>
      <w:bookmarkStart w:id="9" w:name="_Toc28359003"/>
      <w:bookmarkStart w:id="10" w:name="_Toc35393791"/>
      <w:bookmarkStart w:id="11" w:name="_Toc35393622"/>
      <w:bookmarkStart w:id="12" w:name="_Toc28359080"/>
      <w:r>
        <w:rPr>
          <w:rFonts w:hint="eastAsia" w:cs="宋体"/>
          <w:color w:val="auto"/>
          <w:szCs w:val="21"/>
          <w:highlight w:val="none"/>
        </w:rPr>
        <w:t>本项目</w:t>
      </w:r>
      <w:r>
        <w:rPr>
          <w:rFonts w:hint="eastAsia" w:cs="宋体"/>
          <w:color w:val="auto"/>
          <w:szCs w:val="21"/>
          <w:highlight w:val="none"/>
          <w:u w:val="single"/>
        </w:rPr>
        <w:t>不接受</w:t>
      </w:r>
      <w:r>
        <w:rPr>
          <w:rFonts w:hint="eastAsia" w:cs="宋体"/>
          <w:color w:val="auto"/>
          <w:szCs w:val="21"/>
          <w:highlight w:val="none"/>
        </w:rPr>
        <w:t>联合体参与投标，</w:t>
      </w:r>
    </w:p>
    <w:p>
      <w:pPr>
        <w:pStyle w:val="32"/>
        <w:keepNext w:val="0"/>
        <w:keepLines w:val="0"/>
        <w:pageBreakBefore w:val="0"/>
        <w:widowControl w:val="0"/>
        <w:kinsoku/>
        <w:wordWrap/>
        <w:overflowPunct/>
        <w:topLinePunct w:val="0"/>
        <w:bidi w:val="0"/>
        <w:adjustRightInd/>
        <w:snapToGrid/>
        <w:spacing w:line="360" w:lineRule="auto"/>
        <w:ind w:firstLine="211" w:firstLineChars="100"/>
        <w:textAlignment w:val="auto"/>
        <w:outlineLvl w:val="1"/>
        <w:rPr>
          <w:rFonts w:cs="宋体"/>
          <w:b/>
          <w:color w:val="auto"/>
          <w:szCs w:val="21"/>
          <w:highlight w:val="none"/>
        </w:rPr>
      </w:pPr>
      <w:bookmarkStart w:id="13" w:name="_Toc17584"/>
      <w:bookmarkStart w:id="14" w:name="_Toc4706"/>
      <w:r>
        <w:rPr>
          <w:rFonts w:hint="eastAsia" w:cs="宋体"/>
          <w:b/>
          <w:color w:val="auto"/>
          <w:szCs w:val="21"/>
          <w:highlight w:val="none"/>
        </w:rPr>
        <w:t>二、申请人的资格要求（投标人的资格要求）：</w:t>
      </w:r>
      <w:bookmarkEnd w:id="9"/>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bookmarkStart w:id="15" w:name="_Toc6413"/>
      <w:bookmarkStart w:id="16" w:name="_Toc28359004"/>
      <w:bookmarkStart w:id="17" w:name="_Toc35393623"/>
      <w:bookmarkStart w:id="18" w:name="_Toc35393792"/>
      <w:bookmarkStart w:id="19" w:name="_Toc28359081"/>
      <w:r>
        <w:rPr>
          <w:rFonts w:hint="eastAsia" w:ascii="宋体" w:hAnsi="宋体" w:cs="宋体"/>
          <w:color w:val="auto"/>
          <w:szCs w:val="21"/>
          <w:highlight w:val="none"/>
        </w:rPr>
        <w:t>1.投标人必须是在中华人民共和国境内注册从事车辆租赁经营实体，有长期提供招标人所需车辆租赁能力的服务商</w:t>
      </w:r>
      <w:r>
        <w:rPr>
          <w:rFonts w:hint="eastAsia" w:ascii="宋体" w:hAnsi="宋体" w:cs="宋体"/>
          <w:color w:val="auto"/>
          <w:szCs w:val="21"/>
          <w:highlight w:val="none"/>
          <w:lang w:eastAsia="zh-CN"/>
        </w:rPr>
        <w:t>。</w:t>
      </w:r>
      <w:r>
        <w:rPr>
          <w:rFonts w:hint="eastAsia" w:ascii="宋体" w:hAnsi="宋体" w:cs="宋体"/>
          <w:color w:val="auto"/>
          <w:szCs w:val="21"/>
          <w:highlight w:val="none"/>
        </w:rPr>
        <w:t>（提供营业执照并加盖公章）；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olor w:val="auto"/>
          <w:highlight w:val="none"/>
          <w:lang w:eastAsia="zh-CN"/>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szCs w:val="21"/>
          <w:highlight w:val="none"/>
        </w:rPr>
        <w:t>有依法缴纳税收和社会保障资金的良好记录等（</w:t>
      </w:r>
      <w:r>
        <w:rPr>
          <w:rFonts w:hint="eastAsia"/>
          <w:color w:val="auto"/>
          <w:highlight w:val="none"/>
        </w:rPr>
        <w:t>提供近三个月来任意一个月的</w:t>
      </w:r>
      <w:r>
        <w:rPr>
          <w:color w:val="auto"/>
          <w:highlight w:val="none"/>
        </w:rPr>
        <w:t>依法缴纳税收和社会保障资金的相关材料</w:t>
      </w:r>
      <w:r>
        <w:rPr>
          <w:rFonts w:hint="eastAsia" w:ascii="宋体" w:hAnsi="宋体"/>
          <w:color w:val="auto"/>
          <w:highlight w:val="none"/>
        </w:rPr>
        <w:t>，并加盖公章</w:t>
      </w:r>
      <w:r>
        <w:rPr>
          <w:rFonts w:hint="eastAsia" w:ascii="宋体" w:hAnsi="宋体"/>
          <w:color w:val="auto"/>
          <w:szCs w:val="21"/>
          <w:highlight w:val="none"/>
        </w:rPr>
        <w:t>）</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3.投标人不得为“信用中国”网站（www.creditchina.gov.cn）中列入失信被执行人和重大税收违法案件当事人名单的供应商（提供“信用中国”的截图，并加盖公章）；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olor w:val="auto"/>
          <w:highlight w:val="none"/>
        </w:rPr>
      </w:pPr>
      <w:r>
        <w:rPr>
          <w:rFonts w:hint="eastAsia" w:ascii="宋体" w:hAnsi="宋体"/>
          <w:color w:val="auto"/>
          <w:highlight w:val="none"/>
        </w:rPr>
        <w:t>4.落实政府采购政策需满足的资格要求：无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投标人须具有道路运输经营许可证(经营范围包含省际旅游客运)，且须保证所供出租车辆行驶安全，如发生交通事故，一切责任均由投标人承担。（投标时需提供相关证明材料</w:t>
      </w:r>
      <w:r>
        <w:rPr>
          <w:rFonts w:hint="eastAsia" w:ascii="宋体" w:hAnsi="宋体" w:cs="宋体"/>
          <w:color w:val="auto"/>
          <w:szCs w:val="21"/>
          <w:highlight w:val="none"/>
          <w:lang w:eastAsia="zh-CN"/>
        </w:rPr>
        <w:t>或承诺函，格式自拟</w:t>
      </w:r>
      <w:r>
        <w:rPr>
          <w:rFonts w:hint="eastAsia" w:ascii="宋体" w:hAnsi="宋体" w:cs="宋体"/>
          <w:color w:val="auto"/>
          <w:szCs w:val="21"/>
          <w:highlight w:val="none"/>
        </w:rPr>
        <w:t>）。</w:t>
      </w:r>
      <w:bookmarkStart w:id="20" w:name="_Toc7411"/>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5.2车辆要求：</w:t>
      </w:r>
      <w:r>
        <w:rPr>
          <w:rFonts w:hint="eastAsia" w:ascii="宋体" w:hAnsi="宋体" w:cs="宋体"/>
          <w:color w:val="auto"/>
          <w:highlight w:val="none"/>
        </w:rPr>
        <w:t>车辆符合安全国家标准，取得有效期内的机动车检验合格证明，并已经在公安机关交通管理部</w:t>
      </w:r>
      <w:r>
        <w:rPr>
          <w:rFonts w:hint="eastAsia" w:ascii="宋体" w:hAnsi="宋体" w:cs="宋体"/>
          <w:color w:val="auto"/>
          <w:highlight w:val="none"/>
          <w:lang w:eastAsia="zh-CN"/>
        </w:rPr>
        <w:t>门</w:t>
      </w:r>
      <w:r>
        <w:rPr>
          <w:rFonts w:hint="eastAsia" w:ascii="宋体" w:hAnsi="宋体" w:cs="宋体"/>
          <w:color w:val="auto"/>
          <w:highlight w:val="none"/>
        </w:rPr>
        <w:t>办理注册登记；具有客车营运资质；所提供服务的车辆保险须是机动车交通事故责任强制保险(交强险)、机动车第三者责任险(保额</w:t>
      </w:r>
      <w:r>
        <w:rPr>
          <w:rFonts w:hint="eastAsia" w:ascii="宋体" w:hAnsi="宋体" w:cs="宋体"/>
          <w:color w:val="auto"/>
          <w:highlight w:val="none"/>
          <w:lang w:eastAsia="zh-CN"/>
        </w:rPr>
        <w:t>不低于</w:t>
      </w:r>
      <w:r>
        <w:rPr>
          <w:rFonts w:hint="eastAsia" w:ascii="宋体" w:hAnsi="宋体" w:cs="宋体"/>
          <w:color w:val="auto"/>
          <w:highlight w:val="none"/>
        </w:rPr>
        <w:t>100万元)、机动车车损险(含驾驶员险)、机动车全车车上人员险(每个座位险不低于50万)、不计免赔率险及汽车租赁性质险种</w:t>
      </w:r>
      <w:r>
        <w:rPr>
          <w:rFonts w:hint="eastAsia" w:ascii="宋体" w:hAnsi="宋体" w:cs="宋体"/>
          <w:color w:val="auto"/>
          <w:highlight w:val="none"/>
          <w:lang w:eastAsia="zh-CN"/>
        </w:rPr>
        <w:t>（</w:t>
      </w:r>
      <w:r>
        <w:rPr>
          <w:rFonts w:hint="eastAsia" w:ascii="宋体" w:hAnsi="宋体" w:cs="宋体"/>
          <w:color w:val="auto"/>
          <w:highlight w:val="none"/>
          <w:lang w:val="en-US" w:eastAsia="zh-CN"/>
        </w:rPr>
        <w:t>旅游客运或公路客运险</w:t>
      </w:r>
      <w:r>
        <w:rPr>
          <w:rFonts w:hint="eastAsia" w:ascii="宋体" w:hAnsi="宋体" w:cs="宋体"/>
          <w:color w:val="auto"/>
          <w:highlight w:val="none"/>
          <w:lang w:eastAsia="zh-CN"/>
        </w:rPr>
        <w:t>），</w:t>
      </w:r>
      <w:r>
        <w:rPr>
          <w:rFonts w:hint="eastAsia" w:ascii="宋体" w:hAnsi="宋体" w:cs="宋体"/>
          <w:color w:val="auto"/>
          <w:highlight w:val="none"/>
        </w:rPr>
        <w:t>如招标人承租中标人的车辆发生保险事故时，由中标人负责索赔事宜，并承担相应法律责任。（投标时需提供相关证明材料</w:t>
      </w:r>
      <w:r>
        <w:rPr>
          <w:rFonts w:hint="eastAsia" w:ascii="宋体" w:hAnsi="宋体" w:cs="宋体"/>
          <w:color w:val="auto"/>
          <w:highlight w:val="none"/>
          <w:lang w:eastAsia="zh-CN"/>
        </w:rPr>
        <w:t>并加盖投标人公章</w:t>
      </w:r>
      <w:r>
        <w:rPr>
          <w:rFonts w:hint="eastAsia" w:ascii="宋体" w:hAnsi="宋体" w:cs="宋体"/>
          <w:color w:val="auto"/>
          <w:highlight w:val="none"/>
        </w:rPr>
        <w:t>）。</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三、获取招标文件</w:t>
      </w:r>
      <w:bookmarkEnd w:id="15"/>
      <w:bookmarkEnd w:id="16"/>
      <w:bookmarkEnd w:id="17"/>
      <w:bookmarkEnd w:id="18"/>
      <w:bookmarkEnd w:id="19"/>
      <w:bookmarkEnd w:id="20"/>
    </w:p>
    <w:p>
      <w:pPr>
        <w:keepNext w:val="0"/>
        <w:keepLines w:val="0"/>
        <w:pageBreakBefore w:val="0"/>
        <w:widowControl w:val="0"/>
        <w:kinsoku/>
        <w:wordWrap/>
        <w:overflowPunct/>
        <w:topLinePunct w:val="0"/>
        <w:bidi w:val="0"/>
        <w:adjustRightInd/>
        <w:snapToGrid/>
        <w:spacing w:line="360" w:lineRule="auto"/>
        <w:ind w:firstLine="420" w:firstLineChars="200"/>
        <w:jc w:val="left"/>
        <w:textAlignment w:val="auto"/>
        <w:rPr>
          <w:rFonts w:ascii="宋体" w:hAnsi="宋体" w:cs="宋体"/>
          <w:b/>
          <w:bCs/>
          <w:color w:val="auto"/>
          <w:szCs w:val="21"/>
          <w:highlight w:val="none"/>
        </w:rPr>
      </w:pPr>
      <w:r>
        <w:rPr>
          <w:rFonts w:hint="eastAsia" w:ascii="宋体" w:hAnsi="宋体" w:cs="宋体"/>
          <w:color w:val="auto"/>
          <w:szCs w:val="21"/>
          <w:highlight w:val="none"/>
        </w:rPr>
        <w:t>时间：</w:t>
      </w:r>
      <w:r>
        <w:rPr>
          <w:rFonts w:hint="eastAsia" w:ascii="宋体" w:hAnsi="宋体" w:cs="宋体"/>
          <w:b/>
          <w:bCs/>
          <w:color w:val="auto"/>
          <w:szCs w:val="21"/>
          <w:highlight w:val="none"/>
          <w:u w:val="single"/>
        </w:rPr>
        <w:t>2023年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06</w:t>
      </w:r>
      <w:r>
        <w:rPr>
          <w:rFonts w:hint="eastAsia" w:ascii="宋体" w:hAnsi="宋体" w:cs="宋体"/>
          <w:b/>
          <w:bCs/>
          <w:color w:val="auto"/>
          <w:szCs w:val="21"/>
          <w:highlight w:val="none"/>
          <w:u w:val="single"/>
        </w:rPr>
        <w:t>日至2023年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08</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rPr>
        <w:t>（每个工作日的9时至12时，15时至18时）</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地点：盐城市府西路华邦国际西厦A302室（3楼东区）</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方式：投标人凭加盖公章的《采购文件领购登记表》（见公告附件）、营业执照（复印件即可）到携手阳光公司领购（地址见本公告。注:未领购的任何单位或个人没有参与权以及相关知情权）</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售价：400元，售后不退；交纳方式：现金、支付宝（18662096009）等。</w:t>
      </w:r>
    </w:p>
    <w:p>
      <w:pPr>
        <w:keepNext w:val="0"/>
        <w:keepLines w:val="0"/>
        <w:pageBreakBefore w:val="0"/>
        <w:widowControl w:val="0"/>
        <w:kinsoku/>
        <w:wordWrap/>
        <w:overflowPunct/>
        <w:topLinePunct w:val="0"/>
        <w:bidi w:val="0"/>
        <w:adjustRightInd/>
        <w:snapToGrid/>
        <w:spacing w:line="360" w:lineRule="auto"/>
        <w:textAlignment w:val="auto"/>
        <w:outlineLvl w:val="1"/>
        <w:rPr>
          <w:rFonts w:ascii="宋体" w:hAnsi="宋体" w:cs="宋体"/>
          <w:b/>
          <w:color w:val="auto"/>
          <w:szCs w:val="21"/>
          <w:highlight w:val="none"/>
        </w:rPr>
      </w:pPr>
      <w:bookmarkStart w:id="21" w:name="_Toc28359005"/>
      <w:bookmarkStart w:id="22" w:name="_Toc28359082"/>
      <w:bookmarkStart w:id="23" w:name="_Toc15002"/>
      <w:bookmarkStart w:id="24" w:name="_Toc35393793"/>
      <w:bookmarkStart w:id="25" w:name="_Toc35393624"/>
      <w:bookmarkStart w:id="26" w:name="_Toc13170"/>
      <w:r>
        <w:rPr>
          <w:rFonts w:hint="eastAsia" w:ascii="宋体" w:hAnsi="宋体" w:cs="宋体"/>
          <w:b/>
          <w:color w:val="auto"/>
          <w:szCs w:val="21"/>
          <w:highlight w:val="none"/>
        </w:rPr>
        <w:t>四、提交投标文件</w:t>
      </w:r>
      <w:bookmarkEnd w:id="21"/>
      <w:bookmarkEnd w:id="22"/>
      <w:r>
        <w:rPr>
          <w:rFonts w:hint="eastAsia" w:ascii="宋体" w:hAnsi="宋体" w:cs="宋体"/>
          <w:b/>
          <w:color w:val="auto"/>
          <w:szCs w:val="21"/>
          <w:highlight w:val="none"/>
        </w:rPr>
        <w:t>截止时间（</w:t>
      </w:r>
      <w:r>
        <w:rPr>
          <w:rFonts w:hint="eastAsia" w:ascii="宋体" w:hAnsi="宋体" w:cs="宋体"/>
          <w:b/>
          <w:color w:val="auto"/>
          <w:kern w:val="0"/>
          <w:szCs w:val="21"/>
          <w:highlight w:val="none"/>
        </w:rPr>
        <w:t>投标截止时间）</w:t>
      </w:r>
      <w:r>
        <w:rPr>
          <w:rFonts w:hint="eastAsia" w:ascii="宋体" w:hAnsi="宋体" w:cs="宋体"/>
          <w:b/>
          <w:color w:val="auto"/>
          <w:szCs w:val="21"/>
          <w:highlight w:val="none"/>
        </w:rPr>
        <w:t>、开标时间和地点</w:t>
      </w:r>
      <w:bookmarkEnd w:id="23"/>
      <w:bookmarkEnd w:id="24"/>
      <w:bookmarkEnd w:id="25"/>
      <w:bookmarkEnd w:id="26"/>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宋体" w:hAnsi="宋体" w:cs="宋体"/>
          <w:b/>
          <w:color w:val="auto"/>
          <w:szCs w:val="21"/>
          <w:highlight w:val="none"/>
          <w:u w:val="single"/>
        </w:rPr>
      </w:pPr>
      <w:r>
        <w:rPr>
          <w:rFonts w:hint="eastAsia" w:ascii="宋体" w:hAnsi="宋体" w:cs="宋体"/>
          <w:b/>
          <w:bCs/>
          <w:color w:val="auto"/>
          <w:szCs w:val="21"/>
          <w:highlight w:val="none"/>
          <w:u w:val="single"/>
        </w:rPr>
        <w:t>时间：2023年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18</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点00分（北京时间）</w:t>
      </w:r>
      <w:r>
        <w:rPr>
          <w:rFonts w:hint="eastAsia" w:ascii="宋体" w:hAnsi="宋体" w:cs="宋体"/>
          <w:b/>
          <w:color w:val="auto"/>
          <w:szCs w:val="21"/>
          <w:highlight w:val="none"/>
        </w:rPr>
        <w:t>（逾期送达的为无效文件）</w:t>
      </w:r>
    </w:p>
    <w:p>
      <w:pPr>
        <w:keepNext w:val="0"/>
        <w:keepLines w:val="0"/>
        <w:pageBreakBefore w:val="0"/>
        <w:widowControl w:val="0"/>
        <w:kinsoku/>
        <w:wordWrap/>
        <w:overflowPunct/>
        <w:topLinePunct w:val="0"/>
        <w:bidi w:val="0"/>
        <w:adjustRightInd/>
        <w:snapToGrid/>
        <w:spacing w:line="360" w:lineRule="auto"/>
        <w:ind w:firstLine="422" w:firstLineChars="200"/>
        <w:textAlignment w:val="auto"/>
        <w:rPr>
          <w:rFonts w:ascii="宋体" w:hAnsi="宋体" w:cs="宋体"/>
          <w:b/>
          <w:bCs/>
          <w:color w:val="auto"/>
          <w:szCs w:val="21"/>
          <w:highlight w:val="none"/>
          <w:u w:val="single"/>
        </w:rPr>
      </w:pPr>
      <w:r>
        <w:rPr>
          <w:rFonts w:hint="eastAsia" w:ascii="宋体" w:hAnsi="宋体" w:cs="宋体"/>
          <w:b/>
          <w:bCs/>
          <w:color w:val="auto"/>
          <w:szCs w:val="21"/>
          <w:highlight w:val="none"/>
          <w:u w:val="single"/>
        </w:rPr>
        <w:t>地点：江苏医药职业学院（盐城市解放南路283号）行政楼210室。</w:t>
      </w:r>
    </w:p>
    <w:p>
      <w:pPr>
        <w:keepNext w:val="0"/>
        <w:keepLines w:val="0"/>
        <w:pageBreakBefore w:val="0"/>
        <w:widowControl w:val="0"/>
        <w:kinsoku/>
        <w:wordWrap/>
        <w:overflowPunct/>
        <w:topLinePunct w:val="0"/>
        <w:bidi w:val="0"/>
        <w:adjustRightInd/>
        <w:snapToGrid/>
        <w:spacing w:line="360" w:lineRule="auto"/>
        <w:textAlignment w:val="auto"/>
        <w:outlineLvl w:val="1"/>
        <w:rPr>
          <w:rFonts w:ascii="宋体" w:hAnsi="宋体" w:cs="宋体"/>
          <w:b/>
          <w:color w:val="auto"/>
          <w:szCs w:val="21"/>
          <w:highlight w:val="none"/>
        </w:rPr>
      </w:pPr>
      <w:bookmarkStart w:id="27" w:name="_Toc22862"/>
      <w:bookmarkStart w:id="28" w:name="_Toc13298"/>
      <w:r>
        <w:rPr>
          <w:rFonts w:hint="eastAsia" w:ascii="宋体" w:hAnsi="宋体" w:cs="宋体"/>
          <w:b/>
          <w:color w:val="auto"/>
          <w:szCs w:val="21"/>
          <w:highlight w:val="none"/>
        </w:rPr>
        <w:t>五、</w:t>
      </w:r>
      <w:bookmarkStart w:id="29" w:name="_Toc28359007"/>
      <w:bookmarkStart w:id="30" w:name="_Toc35393625"/>
      <w:bookmarkStart w:id="31" w:name="_Toc28359084"/>
      <w:bookmarkStart w:id="32" w:name="_Toc35393794"/>
      <w:r>
        <w:rPr>
          <w:rFonts w:hint="eastAsia" w:ascii="宋体" w:hAnsi="宋体" w:cs="宋体"/>
          <w:b/>
          <w:color w:val="auto"/>
          <w:szCs w:val="21"/>
          <w:highlight w:val="none"/>
        </w:rPr>
        <w:t>公告期限</w:t>
      </w:r>
      <w:bookmarkEnd w:id="27"/>
      <w:bookmarkEnd w:id="28"/>
      <w:bookmarkEnd w:id="29"/>
      <w:bookmarkEnd w:id="30"/>
      <w:bookmarkEnd w:id="31"/>
      <w:bookmarkEnd w:id="32"/>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自本公告发布之日起5个工作日（“江苏医药职业学院网站”）</w:t>
      </w:r>
    </w:p>
    <w:p>
      <w:pPr>
        <w:keepNext w:val="0"/>
        <w:keepLines w:val="0"/>
        <w:pageBreakBefore w:val="0"/>
        <w:widowControl w:val="0"/>
        <w:kinsoku/>
        <w:wordWrap/>
        <w:overflowPunct/>
        <w:topLinePunct w:val="0"/>
        <w:bidi w:val="0"/>
        <w:adjustRightInd/>
        <w:snapToGrid/>
        <w:spacing w:line="360" w:lineRule="auto"/>
        <w:textAlignment w:val="auto"/>
        <w:outlineLvl w:val="1"/>
        <w:rPr>
          <w:rFonts w:ascii="宋体" w:hAnsi="宋体" w:cs="宋体"/>
          <w:b/>
          <w:color w:val="auto"/>
          <w:szCs w:val="21"/>
          <w:highlight w:val="none"/>
        </w:rPr>
      </w:pPr>
      <w:bookmarkStart w:id="33" w:name="_Toc16414"/>
      <w:bookmarkStart w:id="34" w:name="_Toc18398"/>
      <w:bookmarkStart w:id="35" w:name="_Toc35393626"/>
      <w:bookmarkStart w:id="36" w:name="_Toc35393795"/>
      <w:r>
        <w:rPr>
          <w:rFonts w:hint="eastAsia" w:ascii="宋体" w:hAnsi="宋体" w:cs="宋体"/>
          <w:b/>
          <w:color w:val="auto"/>
          <w:szCs w:val="21"/>
          <w:highlight w:val="none"/>
        </w:rPr>
        <w:t>六、对本次招标提出询问，请按以下方式联系</w:t>
      </w:r>
      <w:bookmarkEnd w:id="33"/>
      <w:bookmarkEnd w:id="34"/>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1.项目联系方式：</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cs="宋体"/>
          <w:color w:val="auto"/>
          <w:szCs w:val="21"/>
          <w:highlight w:val="none"/>
        </w:rPr>
      </w:pPr>
      <w:bookmarkStart w:id="37" w:name="_Toc28359086"/>
      <w:bookmarkStart w:id="38" w:name="_Toc28359009"/>
      <w:r>
        <w:rPr>
          <w:rFonts w:hint="eastAsia" w:ascii="宋体" w:hAnsi="宋体" w:cs="宋体"/>
          <w:color w:val="auto"/>
          <w:szCs w:val="21"/>
          <w:highlight w:val="none"/>
        </w:rPr>
        <w:t>项目联系人：江老师；电话：18361061356</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bookmarkEnd w:id="37"/>
      <w:bookmarkEnd w:id="38"/>
      <w:bookmarkStart w:id="39" w:name="_Toc28359010"/>
      <w:bookmarkStart w:id="40" w:name="_Toc28359087"/>
      <w:r>
        <w:rPr>
          <w:rFonts w:hint="eastAsia" w:ascii="宋体" w:hAnsi="宋体" w:cs="宋体"/>
          <w:color w:val="auto"/>
          <w:szCs w:val="21"/>
          <w:highlight w:val="none"/>
        </w:rPr>
        <w:t>采购人信息：</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名称：江苏医药职业学院；</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地址：盐城市解放南路283号行政楼208室</w:t>
      </w:r>
      <w:r>
        <w:rPr>
          <w:rFonts w:hint="eastAsia"/>
          <w:color w:val="auto"/>
          <w:highlight w:val="none"/>
          <w:lang w:eastAsia="zh-CN"/>
        </w:rPr>
        <w:t>；</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联系方式：刘老师；电话：0515-88550311；</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w:t>
      </w:r>
      <w:bookmarkEnd w:id="35"/>
      <w:bookmarkEnd w:id="36"/>
      <w:bookmarkEnd w:id="39"/>
      <w:bookmarkEnd w:id="40"/>
      <w:r>
        <w:rPr>
          <w:rFonts w:hint="eastAsia" w:ascii="宋体" w:hAnsi="宋体" w:cs="宋体"/>
          <w:color w:val="auto"/>
          <w:szCs w:val="21"/>
          <w:highlight w:val="none"/>
        </w:rPr>
        <w:t>采购代理机构信息：名称：盐城市携手阳光集中采购代理有限公司；</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联系方式：秦工；电话：18551503089；</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地址：盐城市府西路2号华邦国际西厦A（东）区302室（邮编224000）</w:t>
      </w:r>
      <w:r>
        <w:rPr>
          <w:rFonts w:hint="eastAsia" w:ascii="宋体" w:hAnsi="宋体" w:cs="宋体"/>
          <w:b/>
          <w:bCs/>
          <w:color w:val="auto"/>
          <w:szCs w:val="21"/>
          <w:highlight w:val="none"/>
        </w:rPr>
        <w:t>邮箱：xsyg006@163.com</w:t>
      </w:r>
    </w:p>
    <w:p>
      <w:pPr>
        <w:pStyle w:val="32"/>
        <w:keepNext w:val="0"/>
        <w:keepLines w:val="0"/>
        <w:pageBreakBefore w:val="0"/>
        <w:widowControl w:val="0"/>
        <w:kinsoku/>
        <w:wordWrap/>
        <w:overflowPunct/>
        <w:topLinePunct w:val="0"/>
        <w:bidi w:val="0"/>
        <w:adjustRightInd/>
        <w:snapToGrid/>
        <w:spacing w:line="360" w:lineRule="auto"/>
        <w:textAlignment w:val="auto"/>
        <w:rPr>
          <w:rFonts w:cs="宋体"/>
          <w:color w:val="auto"/>
          <w:szCs w:val="21"/>
          <w:highlight w:val="none"/>
        </w:rPr>
      </w:pPr>
      <w:r>
        <w:rPr>
          <w:rFonts w:hint="eastAsia" w:cs="宋体"/>
          <w:color w:val="auto"/>
          <w:szCs w:val="21"/>
          <w:highlight w:val="none"/>
        </w:rPr>
        <w:t>对项目需求部分的询问、质疑请向项目联系人提出，由项目联系人负责答复；对项目招标文件其它部分的询问、质疑向采购代理机构提出。</w:t>
      </w:r>
    </w:p>
    <w:p>
      <w:pPr>
        <w:keepNext w:val="0"/>
        <w:keepLines w:val="0"/>
        <w:pageBreakBefore w:val="0"/>
        <w:widowControl w:val="0"/>
        <w:kinsoku/>
        <w:wordWrap/>
        <w:overflowPunct/>
        <w:topLinePunct w:val="0"/>
        <w:bidi w:val="0"/>
        <w:adjustRightInd/>
        <w:snapToGrid/>
        <w:spacing w:line="360" w:lineRule="auto"/>
        <w:textAlignment w:val="auto"/>
        <w:outlineLvl w:val="1"/>
        <w:rPr>
          <w:rFonts w:ascii="宋体" w:hAnsi="宋体" w:cs="宋体"/>
          <w:b/>
          <w:color w:val="auto"/>
          <w:szCs w:val="21"/>
          <w:highlight w:val="none"/>
        </w:rPr>
      </w:pPr>
      <w:bookmarkStart w:id="41" w:name="_Toc15471"/>
      <w:bookmarkStart w:id="42" w:name="_Toc18227"/>
      <w:r>
        <w:rPr>
          <w:rFonts w:hint="eastAsia" w:ascii="宋体" w:hAnsi="宋体" w:cs="宋体"/>
          <w:b/>
          <w:color w:val="auto"/>
          <w:szCs w:val="21"/>
          <w:highlight w:val="none"/>
        </w:rPr>
        <w:t>七、投标保证金</w:t>
      </w:r>
      <w:bookmarkEnd w:id="41"/>
      <w:bookmarkEnd w:id="42"/>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根据江苏省财政厅的规定，为降低</w:t>
      </w:r>
      <w:r>
        <w:rPr>
          <w:rFonts w:hint="eastAsia" w:ascii="宋体" w:hAnsi="宋体" w:cs="宋体"/>
          <w:color w:val="auto"/>
          <w:kern w:val="0"/>
          <w:szCs w:val="21"/>
          <w:highlight w:val="none"/>
        </w:rPr>
        <w:t>投标人</w:t>
      </w:r>
      <w:r>
        <w:rPr>
          <w:rFonts w:hint="eastAsia" w:ascii="宋体" w:hAnsi="宋体" w:cs="宋体"/>
          <w:color w:val="auto"/>
          <w:szCs w:val="21"/>
          <w:highlight w:val="none"/>
        </w:rPr>
        <w:t>投标成本，取消政府采购投标保证金。</w:t>
      </w:r>
      <w:r>
        <w:rPr>
          <w:rFonts w:hint="eastAsia" w:ascii="宋体" w:hAnsi="宋体" w:cs="宋体"/>
          <w:color w:val="auto"/>
          <w:kern w:val="0"/>
          <w:szCs w:val="21"/>
          <w:highlight w:val="none"/>
        </w:rPr>
        <w:t>投标人</w:t>
      </w:r>
      <w:r>
        <w:rPr>
          <w:rFonts w:hint="eastAsia" w:ascii="宋体" w:hAnsi="宋体" w:cs="宋体"/>
          <w:color w:val="auto"/>
          <w:szCs w:val="21"/>
          <w:highlight w:val="none"/>
        </w:rPr>
        <w:t>无须在投标截止时间之前交纳（提交）投标保证金。</w:t>
      </w:r>
    </w:p>
    <w:p>
      <w:pPr>
        <w:keepNext w:val="0"/>
        <w:keepLines w:val="0"/>
        <w:pageBreakBefore w:val="0"/>
        <w:widowControl w:val="0"/>
        <w:kinsoku/>
        <w:wordWrap/>
        <w:overflowPunct/>
        <w:topLinePunct w:val="0"/>
        <w:bidi w:val="0"/>
        <w:adjustRightInd/>
        <w:snapToGrid/>
        <w:spacing w:line="360" w:lineRule="auto"/>
        <w:textAlignment w:val="auto"/>
        <w:outlineLvl w:val="1"/>
        <w:rPr>
          <w:rFonts w:ascii="宋体" w:hAnsi="宋体" w:cs="宋体"/>
          <w:b/>
          <w:bCs/>
          <w:color w:val="auto"/>
          <w:szCs w:val="21"/>
          <w:highlight w:val="none"/>
        </w:rPr>
      </w:pPr>
      <w:bookmarkStart w:id="43" w:name="_Toc2220"/>
      <w:bookmarkStart w:id="44" w:name="_Toc31461"/>
      <w:r>
        <w:rPr>
          <w:rFonts w:hint="eastAsia" w:ascii="宋体" w:hAnsi="宋体" w:cs="宋体"/>
          <w:b/>
          <w:bCs/>
          <w:color w:val="auto"/>
          <w:szCs w:val="21"/>
          <w:highlight w:val="none"/>
        </w:rPr>
        <w:t>八、</w:t>
      </w:r>
      <w:r>
        <w:rPr>
          <w:rFonts w:hint="eastAsia" w:ascii="宋体" w:hAnsi="宋体" w:cs="宋体"/>
          <w:b/>
          <w:color w:val="auto"/>
          <w:szCs w:val="21"/>
          <w:highlight w:val="none"/>
        </w:rPr>
        <w:t>其他补充事宜</w:t>
      </w:r>
      <w:bookmarkEnd w:id="43"/>
      <w:bookmarkEnd w:id="44"/>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欢迎对携手阳光公司的服务质量、业务水平进行监督，并提出宝贵的意见（柏经理，18662096009）</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本项目鼓励供应商开展信用担保（0515-88285999）、扶持不发达地区等政府采购政策。</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本项目使用时间：北京时间，24小时制；货币单位：人民币；</w:t>
      </w:r>
    </w:p>
    <w:p>
      <w:pPr>
        <w:keepNext w:val="0"/>
        <w:keepLines w:val="0"/>
        <w:pageBreakBefore w:val="0"/>
        <w:widowControl w:val="0"/>
        <w:kinsoku/>
        <w:wordWrap/>
        <w:overflowPunct/>
        <w:topLinePunct w:val="0"/>
        <w:bidi w:val="0"/>
        <w:adjustRightInd/>
        <w:snapToGrid/>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附件：《采购文件领购登记表》、《采购需求》</w:t>
      </w:r>
    </w:p>
    <w:p>
      <w:pPr>
        <w:keepNext w:val="0"/>
        <w:keepLines w:val="0"/>
        <w:pageBreakBefore w:val="0"/>
        <w:widowControl w:val="0"/>
        <w:kinsoku/>
        <w:wordWrap/>
        <w:overflowPunct/>
        <w:topLinePunct w:val="0"/>
        <w:bidi w:val="0"/>
        <w:adjustRightInd/>
        <w:snapToGrid/>
        <w:spacing w:line="360" w:lineRule="auto"/>
        <w:textAlignment w:val="auto"/>
        <w:rPr>
          <w:rFonts w:ascii="宋体" w:hAnsi="宋体" w:cs="宋体"/>
          <w:color w:val="auto"/>
          <w:szCs w:val="21"/>
          <w:highlight w:val="none"/>
        </w:rPr>
      </w:pPr>
    </w:p>
    <w:p>
      <w:pPr>
        <w:keepNext w:val="0"/>
        <w:keepLines w:val="0"/>
        <w:pageBreakBefore w:val="0"/>
        <w:widowControl w:val="0"/>
        <w:kinsoku/>
        <w:wordWrap/>
        <w:overflowPunct/>
        <w:topLinePunct w:val="0"/>
        <w:bidi w:val="0"/>
        <w:adjustRightInd/>
        <w:snapToGrid/>
        <w:spacing w:line="360" w:lineRule="auto"/>
        <w:ind w:right="420"/>
        <w:jc w:val="right"/>
        <w:textAlignment w:val="auto"/>
        <w:rPr>
          <w:rFonts w:ascii="宋体" w:hAnsi="宋体" w:cs="宋体"/>
          <w:color w:val="auto"/>
          <w:szCs w:val="21"/>
          <w:highlight w:val="none"/>
        </w:rPr>
      </w:pPr>
      <w:r>
        <w:rPr>
          <w:rFonts w:hint="eastAsia" w:ascii="宋体" w:hAnsi="宋体" w:cs="宋体"/>
          <w:color w:val="auto"/>
          <w:szCs w:val="21"/>
          <w:highlight w:val="none"/>
        </w:rPr>
        <w:t>盐城市携手阳光集中采购代理有限公司</w:t>
      </w:r>
    </w:p>
    <w:p>
      <w:pPr>
        <w:keepNext w:val="0"/>
        <w:keepLines w:val="0"/>
        <w:pageBreakBefore w:val="0"/>
        <w:widowControl w:val="0"/>
        <w:kinsoku/>
        <w:wordWrap/>
        <w:overflowPunct/>
        <w:topLinePunct w:val="0"/>
        <w:bidi w:val="0"/>
        <w:adjustRightInd/>
        <w:snapToGrid/>
        <w:spacing w:line="360" w:lineRule="auto"/>
        <w:ind w:right="420"/>
        <w:jc w:val="right"/>
        <w:textAlignment w:val="auto"/>
        <w:rPr>
          <w:rFonts w:ascii="宋体" w:hAnsi="宋体" w:cs="宋体"/>
          <w:color w:val="auto"/>
          <w:szCs w:val="21"/>
          <w:highlight w:val="none"/>
        </w:rPr>
      </w:pPr>
      <w:r>
        <w:rPr>
          <w:rFonts w:hint="eastAsia" w:ascii="宋体" w:hAnsi="宋体" w:cs="宋体"/>
          <w:color w:val="auto"/>
          <w:szCs w:val="21"/>
          <w:highlight w:val="none"/>
        </w:rPr>
        <w:t>2023年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日</w:t>
      </w:r>
      <w:bookmarkStart w:id="45" w:name="_Toc21489"/>
      <w:bookmarkStart w:id="46" w:name="_Toc108881165"/>
      <w:bookmarkStart w:id="47" w:name="_Toc115881306"/>
    </w:p>
    <w:p>
      <w:pPr>
        <w:spacing w:line="460" w:lineRule="exact"/>
        <w:jc w:val="both"/>
        <w:outlineLvl w:val="0"/>
        <w:rPr>
          <w:rFonts w:ascii="宋体" w:hAnsi="宋体" w:cs="宋体"/>
          <w:b/>
          <w:color w:val="auto"/>
          <w:sz w:val="28"/>
          <w:szCs w:val="21"/>
          <w:highlight w:val="none"/>
        </w:rPr>
      </w:pPr>
      <w:bookmarkStart w:id="199" w:name="_GoBack"/>
      <w:bookmarkEnd w:id="199"/>
    </w:p>
    <w:p>
      <w:pPr>
        <w:spacing w:line="460" w:lineRule="exact"/>
        <w:jc w:val="center"/>
        <w:outlineLvl w:val="0"/>
        <w:rPr>
          <w:rFonts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both"/>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hint="eastAsia" w:ascii="宋体" w:hAnsi="宋体" w:cs="宋体"/>
          <w:b/>
          <w:color w:val="auto"/>
          <w:sz w:val="28"/>
          <w:szCs w:val="21"/>
          <w:highlight w:val="none"/>
        </w:rPr>
      </w:pPr>
    </w:p>
    <w:p>
      <w:pPr>
        <w:jc w:val="center"/>
        <w:rPr>
          <w:rFonts w:ascii="宋体" w:hAnsi="宋体" w:cs="宋体"/>
          <w:b/>
          <w:color w:val="auto"/>
          <w:sz w:val="28"/>
          <w:szCs w:val="21"/>
          <w:highlight w:val="none"/>
        </w:rPr>
      </w:pPr>
      <w:r>
        <w:rPr>
          <w:rFonts w:hint="eastAsia" w:ascii="宋体" w:hAnsi="宋体" w:cs="宋体"/>
          <w:b/>
          <w:color w:val="auto"/>
          <w:sz w:val="28"/>
          <w:szCs w:val="21"/>
          <w:highlight w:val="none"/>
        </w:rPr>
        <w:t>第二章 投标人须知</w:t>
      </w:r>
      <w:bookmarkEnd w:id="45"/>
      <w:bookmarkEnd w:id="46"/>
      <w:bookmarkEnd w:id="47"/>
    </w:p>
    <w:p>
      <w:pPr>
        <w:spacing w:line="440" w:lineRule="exact"/>
        <w:jc w:val="center"/>
        <w:outlineLvl w:val="1"/>
        <w:rPr>
          <w:rFonts w:ascii="宋体" w:hAnsi="宋体" w:cs="宋体"/>
          <w:b/>
          <w:color w:val="auto"/>
          <w:szCs w:val="21"/>
          <w:highlight w:val="none"/>
        </w:rPr>
      </w:pPr>
      <w:bookmarkStart w:id="48" w:name="_Toc32439"/>
      <w:bookmarkStart w:id="49" w:name="_Toc115881307"/>
      <w:bookmarkStart w:id="50" w:name="_Toc108881166"/>
      <w:r>
        <w:rPr>
          <w:rFonts w:hint="eastAsia" w:ascii="宋体" w:hAnsi="宋体" w:cs="宋体"/>
          <w:b/>
          <w:color w:val="auto"/>
          <w:szCs w:val="21"/>
          <w:highlight w:val="none"/>
        </w:rPr>
        <w:t>投标人须知资料表</w:t>
      </w:r>
      <w:bookmarkEnd w:id="48"/>
      <w:bookmarkEnd w:id="49"/>
      <w:bookmarkEnd w:id="50"/>
    </w:p>
    <w:p>
      <w:pPr>
        <w:spacing w:line="440" w:lineRule="exact"/>
        <w:ind w:firstLine="316" w:firstLineChars="150"/>
        <w:rPr>
          <w:rFonts w:ascii="宋体" w:hAnsi="宋体" w:cs="宋体"/>
          <w:b/>
          <w:color w:val="auto"/>
          <w:szCs w:val="21"/>
          <w:highlight w:val="none"/>
        </w:rPr>
      </w:pPr>
      <w:r>
        <w:rPr>
          <w:rFonts w:hint="eastAsia" w:ascii="宋体" w:hAnsi="宋体" w:cs="宋体"/>
          <w:b/>
          <w:color w:val="auto"/>
          <w:szCs w:val="21"/>
          <w:highlight w:val="none"/>
        </w:rPr>
        <w:t>★本表是本招标项目的具体资料，是对投标人须知的具体补充和修改，如有矛盾，应以本资料表为准。</w:t>
      </w:r>
    </w:p>
    <w:tbl>
      <w:tblPr>
        <w:tblStyle w:val="33"/>
        <w:tblW w:w="9359" w:type="dxa"/>
        <w:tblInd w:w="2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06"/>
        <w:gridCol w:w="8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1" w:hRule="atLeast"/>
        </w:trPr>
        <w:tc>
          <w:tcPr>
            <w:tcW w:w="1306" w:type="dxa"/>
            <w:vAlign w:val="center"/>
          </w:tcPr>
          <w:p>
            <w:pPr>
              <w:spacing w:line="300" w:lineRule="auto"/>
              <w:jc w:val="center"/>
              <w:rPr>
                <w:rFonts w:ascii="宋体" w:hAnsi="宋体" w:cs="宋体"/>
                <w:b/>
                <w:color w:val="auto"/>
                <w:szCs w:val="21"/>
                <w:highlight w:val="none"/>
              </w:rPr>
            </w:pPr>
            <w:r>
              <w:rPr>
                <w:rFonts w:hint="eastAsia" w:ascii="宋体" w:hAnsi="宋体" w:cs="宋体"/>
                <w:b/>
                <w:color w:val="auto"/>
                <w:szCs w:val="21"/>
                <w:highlight w:val="none"/>
              </w:rPr>
              <w:t>条款号/名称</w:t>
            </w:r>
          </w:p>
        </w:tc>
        <w:tc>
          <w:tcPr>
            <w:tcW w:w="8053" w:type="dxa"/>
            <w:vAlign w:val="center"/>
          </w:tcPr>
          <w:p>
            <w:pPr>
              <w:spacing w:line="30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color w:val="auto"/>
                <w:szCs w:val="21"/>
                <w:highlight w:val="none"/>
              </w:rPr>
            </w:pPr>
            <w:r>
              <w:rPr>
                <w:rFonts w:hint="eastAsia" w:asciiTheme="minorEastAsia" w:hAnsiTheme="minorEastAsia" w:eastAsiaTheme="minorEastAsia" w:cstheme="minorEastAsia"/>
                <w:b/>
                <w:bCs/>
                <w:color w:val="auto"/>
                <w:szCs w:val="21"/>
                <w:highlight w:val="none"/>
              </w:rPr>
              <w:t>说明</w:t>
            </w:r>
          </w:p>
        </w:tc>
        <w:tc>
          <w:tcPr>
            <w:tcW w:w="8053" w:type="dxa"/>
            <w:vAlign w:val="center"/>
          </w:tcPr>
          <w:p>
            <w:pPr>
              <w:spacing w:line="300" w:lineRule="auto"/>
              <w:ind w:firstLine="422" w:firstLineChars="200"/>
              <w:jc w:val="left"/>
              <w:rPr>
                <w:rFonts w:ascii="宋体" w:hAnsi="宋体" w:cs="宋体"/>
                <w:b/>
                <w:color w:val="auto"/>
                <w:szCs w:val="21"/>
                <w:highlight w:val="none"/>
              </w:rPr>
            </w:pPr>
            <w:r>
              <w:rPr>
                <w:rFonts w:hint="eastAsia" w:asciiTheme="minorEastAsia" w:hAnsiTheme="minorEastAsia" w:eastAsiaTheme="minorEastAsia" w:cstheme="minorEastAsia"/>
                <w:b/>
                <w:bCs/>
                <w:color w:val="auto"/>
                <w:szCs w:val="21"/>
                <w:highlight w:val="none"/>
              </w:rPr>
              <w:t>江苏医药职业学院是省卫健委直属全日制公办专科层次普通高等学校。本项目预算未达到现时有效的政府采购的限额标准，同时本项目的采购内容也未列入现时有效的集中采购目录，因此，本项目并不属于政府采购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bCs/>
                <w:color w:val="auto"/>
                <w:szCs w:val="21"/>
                <w:highlight w:val="none"/>
              </w:rPr>
            </w:pPr>
            <w:r>
              <w:rPr>
                <w:rFonts w:hint="eastAsia" w:ascii="宋体" w:hAnsi="宋体" w:cs="宋体"/>
                <w:b/>
                <w:bCs/>
                <w:color w:val="auto"/>
                <w:szCs w:val="21"/>
                <w:highlight w:val="none"/>
              </w:rPr>
              <w:t>适用</w:t>
            </w:r>
          </w:p>
          <w:p>
            <w:pPr>
              <w:spacing w:line="300" w:lineRule="auto"/>
              <w:jc w:val="center"/>
              <w:rPr>
                <w:rFonts w:ascii="宋体" w:hAnsi="宋体" w:cs="宋体"/>
                <w:b/>
                <w:bCs/>
                <w:color w:val="auto"/>
                <w:szCs w:val="21"/>
                <w:highlight w:val="none"/>
              </w:rPr>
            </w:pPr>
            <w:r>
              <w:rPr>
                <w:rFonts w:hint="eastAsia" w:ascii="宋体" w:hAnsi="宋体" w:cs="宋体"/>
                <w:b/>
                <w:bCs/>
                <w:color w:val="auto"/>
                <w:szCs w:val="21"/>
                <w:highlight w:val="none"/>
              </w:rPr>
              <w:t>法律</w:t>
            </w:r>
          </w:p>
        </w:tc>
        <w:tc>
          <w:tcPr>
            <w:tcW w:w="8053" w:type="dxa"/>
            <w:vAlign w:val="center"/>
          </w:tcPr>
          <w:p>
            <w:pPr>
              <w:spacing w:line="30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本次采购适用于采购人的内控制度（政府采购限额以下项目或非必招项目）。为规范采购活动，携手阳光公司参照政府采购程序组织本次采购活动。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bCs/>
                <w:color w:val="auto"/>
                <w:szCs w:val="21"/>
                <w:highlight w:val="none"/>
              </w:rPr>
            </w:pPr>
            <w:r>
              <w:rPr>
                <w:rFonts w:hint="eastAsia" w:ascii="宋体" w:hAnsi="宋体" w:cs="宋体"/>
                <w:b/>
                <w:bCs/>
                <w:color w:val="auto"/>
                <w:szCs w:val="21"/>
                <w:highlight w:val="none"/>
              </w:rPr>
              <w:t>与投标人</w:t>
            </w:r>
          </w:p>
          <w:p>
            <w:pPr>
              <w:spacing w:line="300" w:lineRule="auto"/>
              <w:jc w:val="center"/>
              <w:rPr>
                <w:rFonts w:ascii="宋体" w:hAnsi="宋体" w:cs="宋体"/>
                <w:b/>
                <w:color w:val="auto"/>
                <w:szCs w:val="21"/>
                <w:highlight w:val="none"/>
              </w:rPr>
            </w:pPr>
            <w:r>
              <w:rPr>
                <w:rFonts w:hint="eastAsia" w:ascii="宋体" w:hAnsi="宋体" w:cs="宋体"/>
                <w:b/>
                <w:bCs/>
                <w:color w:val="auto"/>
                <w:szCs w:val="21"/>
                <w:highlight w:val="none"/>
              </w:rPr>
              <w:t>的联系</w:t>
            </w:r>
          </w:p>
        </w:tc>
        <w:tc>
          <w:tcPr>
            <w:tcW w:w="8053" w:type="dxa"/>
            <w:vAlign w:val="center"/>
          </w:tcPr>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法律法规中规定采购人、采购代理机构须以书面形式通知投标人的，为提高政府采购效率，采购人、采购代理机构可以以电子邮件</w:t>
            </w:r>
            <w:r>
              <w:rPr>
                <w:rFonts w:hint="eastAsia" w:ascii="宋体" w:hAnsi="宋体" w:cs="宋体"/>
                <w:b/>
                <w:color w:val="auto"/>
                <w:szCs w:val="21"/>
                <w:highlight w:val="none"/>
              </w:rPr>
              <w:t>（</w:t>
            </w:r>
            <w:r>
              <w:rPr>
                <w:color w:val="auto"/>
                <w:highlight w:val="none"/>
              </w:rPr>
              <w:fldChar w:fldCharType="begin"/>
            </w:r>
            <w:r>
              <w:rPr>
                <w:color w:val="auto"/>
                <w:highlight w:val="none"/>
              </w:rPr>
              <w:instrText xml:space="preserve"> HYPERLINK "mailto:XSYG0515@163.COM" </w:instrText>
            </w:r>
            <w:r>
              <w:rPr>
                <w:color w:val="auto"/>
                <w:highlight w:val="none"/>
              </w:rPr>
              <w:fldChar w:fldCharType="separate"/>
            </w:r>
            <w:r>
              <w:rPr>
                <w:rFonts w:hint="eastAsia" w:ascii="宋体" w:hAnsi="宋体" w:cs="宋体"/>
                <w:b/>
                <w:color w:val="auto"/>
                <w:szCs w:val="21"/>
                <w:highlight w:val="none"/>
              </w:rPr>
              <w:t>xsyg006@163.com</w:t>
            </w:r>
            <w:r>
              <w:rPr>
                <w:rFonts w:hint="eastAsia" w:ascii="宋体" w:hAnsi="宋体" w:cs="宋体"/>
                <w:b/>
                <w:color w:val="auto"/>
                <w:szCs w:val="21"/>
                <w:highlight w:val="none"/>
              </w:rPr>
              <w:fldChar w:fldCharType="end"/>
            </w:r>
            <w:r>
              <w:rPr>
                <w:rFonts w:hint="eastAsia" w:ascii="宋体" w:hAnsi="宋体" w:cs="宋体"/>
                <w:b/>
                <w:color w:val="auto"/>
                <w:szCs w:val="21"/>
                <w:highlight w:val="none"/>
              </w:rPr>
              <w:t>）</w:t>
            </w:r>
            <w:r>
              <w:rPr>
                <w:rFonts w:hint="eastAsia" w:ascii="宋体" w:hAnsi="宋体" w:cs="宋体"/>
                <w:color w:val="auto"/>
                <w:szCs w:val="21"/>
                <w:highlight w:val="none"/>
              </w:rPr>
              <w:t>方式通知投标人（视为书面通知）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color w:val="auto"/>
                <w:szCs w:val="21"/>
                <w:highlight w:val="none"/>
              </w:rPr>
            </w:pPr>
            <w:r>
              <w:rPr>
                <w:rFonts w:hint="eastAsia" w:ascii="宋体" w:hAnsi="宋体" w:cs="宋体"/>
                <w:b/>
                <w:color w:val="auto"/>
                <w:szCs w:val="21"/>
                <w:highlight w:val="none"/>
              </w:rPr>
              <w:t>招标文件</w:t>
            </w:r>
          </w:p>
        </w:tc>
        <w:tc>
          <w:tcPr>
            <w:tcW w:w="8053" w:type="dxa"/>
            <w:vAlign w:val="center"/>
          </w:tcPr>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投标人一旦参加本项目采购活动，即代表投标人已阅读了本招标文件每一条条款，并接受了本招标文件所有的规定和约束。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6" w:hRule="atLeast"/>
        </w:trPr>
        <w:tc>
          <w:tcPr>
            <w:tcW w:w="1306" w:type="dxa"/>
            <w:vAlign w:val="center"/>
          </w:tcPr>
          <w:p>
            <w:pPr>
              <w:spacing w:line="300" w:lineRule="auto"/>
              <w:jc w:val="center"/>
              <w:rPr>
                <w:rFonts w:ascii="宋体" w:hAnsi="宋体" w:cs="宋体"/>
                <w:b/>
                <w:color w:val="auto"/>
                <w:szCs w:val="21"/>
                <w:highlight w:val="none"/>
              </w:rPr>
            </w:pPr>
            <w:r>
              <w:rPr>
                <w:rFonts w:hint="eastAsia" w:ascii="宋体" w:hAnsi="宋体" w:cs="宋体"/>
                <w:b/>
                <w:color w:val="auto"/>
                <w:szCs w:val="21"/>
                <w:highlight w:val="none"/>
              </w:rPr>
              <w:t>13.1</w:t>
            </w:r>
          </w:p>
        </w:tc>
        <w:tc>
          <w:tcPr>
            <w:tcW w:w="8053" w:type="dxa"/>
            <w:vAlign w:val="center"/>
          </w:tcPr>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投标有效期：自投标截止之日起60个日历日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6" w:hRule="atLeast"/>
        </w:trPr>
        <w:tc>
          <w:tcPr>
            <w:tcW w:w="1306" w:type="dxa"/>
            <w:vAlign w:val="center"/>
          </w:tcPr>
          <w:p>
            <w:pPr>
              <w:spacing w:line="300" w:lineRule="auto"/>
              <w:jc w:val="center"/>
              <w:rPr>
                <w:rFonts w:ascii="宋体" w:hAnsi="宋体" w:cs="宋体"/>
                <w:b/>
                <w:color w:val="auto"/>
                <w:szCs w:val="21"/>
                <w:highlight w:val="none"/>
              </w:rPr>
            </w:pPr>
            <w:r>
              <w:rPr>
                <w:rFonts w:hint="eastAsia" w:ascii="宋体" w:hAnsi="宋体" w:cs="宋体"/>
                <w:b/>
                <w:color w:val="auto"/>
                <w:szCs w:val="21"/>
                <w:highlight w:val="none"/>
              </w:rPr>
              <w:t>14.1</w:t>
            </w:r>
          </w:p>
        </w:tc>
        <w:tc>
          <w:tcPr>
            <w:tcW w:w="8053" w:type="dxa"/>
            <w:vAlign w:val="center"/>
          </w:tcPr>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投标文件（每个分包）：正本：1份、副本：4份（建议正本与副本分开封装），同时递交一份电子版投标文件（U盘）。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8" w:hRule="atLeast"/>
        </w:trPr>
        <w:tc>
          <w:tcPr>
            <w:tcW w:w="1306" w:type="dxa"/>
            <w:vAlign w:val="center"/>
          </w:tcPr>
          <w:p>
            <w:pPr>
              <w:spacing w:line="300" w:lineRule="auto"/>
              <w:jc w:val="center"/>
              <w:rPr>
                <w:rFonts w:ascii="宋体" w:hAnsi="宋体" w:cs="宋体"/>
                <w:b/>
                <w:color w:val="auto"/>
                <w:szCs w:val="21"/>
                <w:highlight w:val="none"/>
              </w:rPr>
            </w:pPr>
            <w:r>
              <w:rPr>
                <w:rFonts w:hint="eastAsia" w:ascii="宋体" w:hAnsi="宋体" w:cs="宋体"/>
                <w:b/>
                <w:color w:val="auto"/>
                <w:szCs w:val="21"/>
                <w:highlight w:val="none"/>
              </w:rPr>
              <w:t>31.1</w:t>
            </w:r>
          </w:p>
        </w:tc>
        <w:tc>
          <w:tcPr>
            <w:tcW w:w="8053" w:type="dxa"/>
            <w:vAlign w:val="center"/>
          </w:tcPr>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在签订合同前，中标人需向招标人交纳履约保证金（请将履约保证金汇款凭证发送至QQ邮箱：</w:t>
            </w:r>
            <w:r>
              <w:rPr>
                <w:rFonts w:hint="eastAsia"/>
                <w:color w:val="auto"/>
                <w:highlight w:val="none"/>
              </w:rPr>
              <w:fldChar w:fldCharType="begin"/>
            </w:r>
            <w:r>
              <w:rPr>
                <w:color w:val="auto"/>
                <w:highlight w:val="none"/>
              </w:rPr>
              <w:instrText xml:space="preserve"> HYPERLINK "mailto:532223373@qq.com），具体金额为中标价的5%25。拟中标人应当按照招标人的要求及时、足额缴纳履约保证金，履约保证金待项目到期后20日内一次性无息退还。（凭" </w:instrText>
            </w:r>
            <w:r>
              <w:rPr>
                <w:rFonts w:hint="eastAsia"/>
                <w:color w:val="auto"/>
                <w:highlight w:val="none"/>
              </w:rPr>
              <w:fldChar w:fldCharType="separate"/>
            </w:r>
            <w:r>
              <w:rPr>
                <w:rFonts w:hint="eastAsia" w:ascii="宋体" w:hAnsi="宋体" w:cs="宋体"/>
                <w:color w:val="auto"/>
                <w:szCs w:val="21"/>
                <w:highlight w:val="none"/>
              </w:rPr>
              <w:t>532223373@qq.com），具体金额为中标价的5%。拟中标人应当按照招标人的要求及时、足额缴纳履约保证金，履约保证金待项目到期后一次性无息退还。（凭“保证金请退函”到学校国资处办理退款手续）。如果中标人不履行合同约定的义务，未能完全履行合同规定的义务或其履行不符合合同的约定，招标人有权扣除履约保证金取得补偿。</w:t>
            </w:r>
            <w:r>
              <w:rPr>
                <w:rFonts w:hint="eastAsia" w:ascii="宋体" w:hAnsi="宋体" w:cs="宋体"/>
                <w:color w:val="auto"/>
                <w:szCs w:val="21"/>
                <w:highlight w:val="none"/>
              </w:rPr>
              <w:fldChar w:fldCharType="end"/>
            </w:r>
            <w:r>
              <w:rPr>
                <w:rFonts w:hint="eastAsia" w:ascii="宋体" w:hAnsi="宋体" w:cs="宋体"/>
                <w:color w:val="auto"/>
                <w:szCs w:val="21"/>
                <w:highlight w:val="none"/>
              </w:rPr>
              <w:t>（详见履约保证金条款）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46" w:hRule="atLeast"/>
        </w:trPr>
        <w:tc>
          <w:tcPr>
            <w:tcW w:w="1306" w:type="dxa"/>
            <w:vAlign w:val="center"/>
          </w:tcPr>
          <w:p>
            <w:pPr>
              <w:spacing w:line="300" w:lineRule="auto"/>
              <w:jc w:val="center"/>
              <w:rPr>
                <w:rFonts w:ascii="宋体" w:hAnsi="宋体" w:cs="宋体"/>
                <w:b/>
                <w:color w:val="auto"/>
                <w:szCs w:val="21"/>
                <w:highlight w:val="none"/>
              </w:rPr>
            </w:pPr>
            <w:r>
              <w:rPr>
                <w:rFonts w:hint="eastAsia" w:ascii="宋体" w:hAnsi="宋体" w:cs="宋体"/>
                <w:b/>
                <w:color w:val="auto"/>
                <w:szCs w:val="21"/>
                <w:highlight w:val="none"/>
              </w:rPr>
              <w:t>32</w:t>
            </w:r>
          </w:p>
        </w:tc>
        <w:tc>
          <w:tcPr>
            <w:tcW w:w="8053" w:type="dxa"/>
            <w:vAlign w:val="center"/>
          </w:tcPr>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代理服务费（中标服务费）：本项目的代理服务费由中标人承担。</w:t>
            </w:r>
          </w:p>
          <w:p>
            <w:pPr>
              <w:spacing w:line="30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代理服务费收费标准：为方便计算，代理服务费参照原《招标代理服务收费管理暂行办法》（计价格[2002]1980号）收费标准计取</w:t>
            </w:r>
            <w:r>
              <w:rPr>
                <w:rFonts w:hint="eastAsia" w:ascii="宋体" w:hAnsi="宋体" w:cs="宋体"/>
                <w:color w:val="auto"/>
                <w:szCs w:val="21"/>
                <w:highlight w:val="none"/>
                <w:lang w:eastAsia="zh-CN"/>
              </w:rPr>
              <w:t>，金额为：</w:t>
            </w:r>
            <w:r>
              <w:rPr>
                <w:rFonts w:hint="eastAsia" w:ascii="宋体" w:hAnsi="宋体" w:cs="宋体"/>
                <w:color w:val="auto"/>
                <w:szCs w:val="21"/>
                <w:highlight w:val="none"/>
              </w:rPr>
              <w:t>3000元</w:t>
            </w:r>
            <w:r>
              <w:rPr>
                <w:rFonts w:hint="eastAsia" w:ascii="宋体" w:hAnsi="宋体" w:cs="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8" w:hRule="atLeast"/>
        </w:trPr>
        <w:tc>
          <w:tcPr>
            <w:tcW w:w="1306" w:type="dxa"/>
            <w:vAlign w:val="center"/>
          </w:tcPr>
          <w:p>
            <w:pPr>
              <w:spacing w:line="300" w:lineRule="auto"/>
              <w:jc w:val="center"/>
              <w:rPr>
                <w:rFonts w:ascii="宋体" w:hAnsi="宋体" w:cs="宋体"/>
                <w:b/>
                <w:bCs/>
                <w:color w:val="auto"/>
                <w:szCs w:val="21"/>
                <w:highlight w:val="none"/>
              </w:rPr>
            </w:pPr>
            <w:r>
              <w:rPr>
                <w:rFonts w:hint="eastAsia" w:asciiTheme="minorEastAsia" w:hAnsiTheme="minorEastAsia" w:eastAsiaTheme="minorEastAsia" w:cstheme="minorEastAsia"/>
                <w:b/>
                <w:color w:val="auto"/>
                <w:szCs w:val="21"/>
                <w:highlight w:val="none"/>
              </w:rPr>
              <w:t>责任说明</w:t>
            </w:r>
          </w:p>
        </w:tc>
        <w:tc>
          <w:tcPr>
            <w:tcW w:w="8053" w:type="dxa"/>
            <w:vAlign w:val="center"/>
          </w:tcPr>
          <w:p>
            <w:pPr>
              <w:spacing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p>
        </w:tc>
      </w:tr>
    </w:tbl>
    <w:p>
      <w:pPr>
        <w:spacing w:line="262" w:lineRule="auto"/>
        <w:rPr>
          <w:rFonts w:ascii="宋体" w:hAnsi="宋体" w:cs="宋体"/>
          <w:b/>
          <w:color w:val="auto"/>
          <w:szCs w:val="21"/>
          <w:highlight w:val="none"/>
        </w:rPr>
      </w:pPr>
    </w:p>
    <w:p>
      <w:pPr>
        <w:spacing w:line="262" w:lineRule="auto"/>
        <w:jc w:val="center"/>
        <w:outlineLvl w:val="1"/>
        <w:rPr>
          <w:rFonts w:ascii="宋体" w:hAnsi="宋体" w:cs="宋体"/>
          <w:b/>
          <w:color w:val="auto"/>
          <w:szCs w:val="21"/>
          <w:highlight w:val="none"/>
        </w:rPr>
      </w:pPr>
      <w:bookmarkStart w:id="51" w:name="_Toc8536"/>
    </w:p>
    <w:p>
      <w:pPr>
        <w:spacing w:line="262" w:lineRule="auto"/>
        <w:jc w:val="center"/>
        <w:outlineLvl w:val="1"/>
        <w:rPr>
          <w:rFonts w:ascii="宋体" w:hAnsi="宋体" w:cs="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Cs w:val="21"/>
          <w:highlight w:val="none"/>
        </w:rPr>
      </w:pPr>
      <w:r>
        <w:rPr>
          <w:rFonts w:hint="eastAsia" w:ascii="宋体" w:hAnsi="宋体" w:cs="宋体"/>
          <w:b/>
          <w:color w:val="auto"/>
          <w:szCs w:val="21"/>
          <w:highlight w:val="none"/>
        </w:rPr>
        <w:t>一、总则</w:t>
      </w:r>
      <w:bookmarkEnd w:id="51"/>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1、特别说明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b/>
          <w:color w:val="auto"/>
          <w:szCs w:val="21"/>
          <w:highlight w:val="none"/>
        </w:rPr>
        <w:t>本次采购适用于采购人的内控制度（政府采购限额以下项目或非必招项目）。为规范采购活动，携手阳光公司参照政府采购程序组织本次采购活动。</w:t>
      </w:r>
      <w:r>
        <w:rPr>
          <w:rFonts w:hint="eastAsia" w:ascii="宋体" w:hAnsi="宋体" w:cs="宋体"/>
          <w:color w:val="auto"/>
          <w:szCs w:val="21"/>
          <w:highlight w:val="none"/>
        </w:rPr>
        <w:t>本次采购及由此产生的合同受中华人民共和国有关的法律法规制约和保护。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1.2本招标文件采购代理机构是指盐城市携手阳光集中采购代理有限公司（本采购活动中可简称：携手阳光公司）；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1.3本招标文件中未尽事宜遵照《政府采购法》和国家有关规定处理；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1.4</w:t>
      </w:r>
      <w:r>
        <w:rPr>
          <w:rFonts w:hint="eastAsia" w:ascii="宋体" w:hAnsi="宋体" w:cs="宋体"/>
          <w:b/>
          <w:color w:val="auto"/>
          <w:szCs w:val="21"/>
          <w:highlight w:val="none"/>
        </w:rPr>
        <w:t>★特别说明（约定性条款）：供应商获取本采购文件后，必须完全阅知采购文件全部内容及相关事宜。携手阳光公司不能保证采购文件绝对的无编辑错误，如采购文件中有表述不清或不完整的（包括界定不清、形容不清、可多层理解或解释的等任何情形），供应商必须（有责任及义务）以电邮或书面方式（均须加盖公章）向携手阳光公司提出询问。如供应商投标前未向携手阳光公司提出询问的，视为供应商完全认同“本采购文件所有的理解或解释均以携手阳光公司解释为准（本采购文件所有的解释权完全归携手阳光公司所有）”</w:t>
      </w:r>
      <w:r>
        <w:rPr>
          <w:rFonts w:hint="eastAsia" w:ascii="宋体" w:hAnsi="宋体" w:cs="宋体"/>
          <w:color w:val="auto"/>
          <w:szCs w:val="21"/>
          <w:highlight w:val="none"/>
        </w:rPr>
        <w:t>；在法律法规许可范围内，本采购文件的解释权属于盐城市携手阳光集中采购代理有限公司；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1.5在法律法规许可范围内，</w:t>
      </w:r>
      <w:r>
        <w:rPr>
          <w:rFonts w:hint="eastAsia" w:ascii="宋体" w:hAnsi="宋体" w:cs="宋体"/>
          <w:color w:val="auto"/>
          <w:kern w:val="0"/>
          <w:szCs w:val="21"/>
          <w:highlight w:val="none"/>
        </w:rPr>
        <w:t>按照有利于采购人采购项目实施的原则处理本项目的所有争议。</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2、项目采购方式、适用范围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2.1本次采购采取公开招标的方式。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2.2本招标文件仅适用此项目。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2.3本项目如设多个分包的，如无特殊说明，按照项目分包，分别确定各分包成交供应商。</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3、合格的供应商及</w:t>
      </w:r>
      <w:r>
        <w:rPr>
          <w:rFonts w:hint="eastAsia" w:ascii="宋体" w:hAnsi="宋体" w:cs="宋体"/>
          <w:b/>
          <w:color w:val="auto"/>
          <w:kern w:val="0"/>
          <w:szCs w:val="21"/>
          <w:highlight w:val="none"/>
        </w:rPr>
        <w:t>采购邀请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3.1满足本招标文件中</w:t>
      </w:r>
      <w:r>
        <w:rPr>
          <w:rFonts w:hint="eastAsia" w:ascii="宋体" w:hAnsi="宋体" w:cs="宋体"/>
          <w:b/>
          <w:color w:val="auto"/>
          <w:szCs w:val="21"/>
          <w:highlight w:val="none"/>
        </w:rPr>
        <w:t>供应商</w:t>
      </w:r>
      <w:r>
        <w:rPr>
          <w:rFonts w:hint="eastAsia" w:ascii="宋体" w:hAnsi="宋体" w:cs="宋体"/>
          <w:b/>
          <w:color w:val="auto"/>
          <w:kern w:val="0"/>
          <w:szCs w:val="21"/>
          <w:highlight w:val="none"/>
        </w:rPr>
        <w:t>资格</w:t>
      </w:r>
      <w:r>
        <w:rPr>
          <w:rFonts w:hint="eastAsia" w:ascii="宋体" w:hAnsi="宋体" w:cs="宋体"/>
          <w:b/>
          <w:color w:val="auto"/>
          <w:szCs w:val="21"/>
          <w:highlight w:val="none"/>
        </w:rPr>
        <w:t>条件的</w:t>
      </w:r>
      <w:r>
        <w:rPr>
          <w:rFonts w:hint="eastAsia" w:ascii="宋体" w:hAnsi="宋体" w:cs="宋体"/>
          <w:b/>
          <w:color w:val="auto"/>
          <w:kern w:val="0"/>
          <w:szCs w:val="21"/>
          <w:highlight w:val="none"/>
        </w:rPr>
        <w:t>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3.2满足法律法规以及财政部门规定的（含释义等）其它要求。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kern w:val="0"/>
          <w:szCs w:val="21"/>
          <w:highlight w:val="none"/>
        </w:rPr>
        <w:t>3.3采购邀请：略，本项目的采购邀请书同采购公告</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4、参加招标费用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供应商应自行承担所有与参加招标响应有关的费用。无论招标过程中的做法和结果如何，采购人及携手阳光公司在任何情况下均无义务和责任承担这些费用。</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5、招标文件的约束力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一旦下载了本招标文件并决定参加招标，即代表供应商已阅读了本采购文件每一条条款，并接受了本招标文件所有的规定和约束。并且视为自采购公告期限届满之日起已经知道或应当知道自身权益是否受到了损害。</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6、</w:t>
      </w:r>
      <w:bookmarkStart w:id="52" w:name="_Toc462564070"/>
      <w:bookmarkStart w:id="53" w:name="_Toc16938527"/>
      <w:bookmarkStart w:id="54" w:name="_Toc20823283"/>
      <w:bookmarkStart w:id="55" w:name="_Toc513029211"/>
      <w:r>
        <w:rPr>
          <w:rFonts w:hint="eastAsia" w:ascii="宋体" w:hAnsi="宋体" w:cs="宋体"/>
          <w:b/>
          <w:color w:val="auto"/>
          <w:szCs w:val="21"/>
          <w:highlight w:val="none"/>
        </w:rPr>
        <w:t>招标文件的澄清</w:t>
      </w:r>
      <w:bookmarkEnd w:id="52"/>
      <w:bookmarkEnd w:id="53"/>
      <w:bookmarkEnd w:id="54"/>
      <w:bookmarkEnd w:id="55"/>
      <w:r>
        <w:rPr>
          <w:rFonts w:hint="eastAsia" w:ascii="宋体" w:hAnsi="宋体" w:cs="宋体"/>
          <w:b/>
          <w:color w:val="auto"/>
          <w:szCs w:val="21"/>
          <w:highlight w:val="none"/>
        </w:rPr>
        <w:t>及修改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6.1提交首次响应文件截止之日前，采购人、采购代理机构或者专家小组可以对已发出的招标文件进行必要的澄清或者修改，澄清或者修改的内容作为招标文件的组成部分。澄清或者修改的内容可能影响响应文件编制的，采购人、采购代理机构或者招标小组应当在提交首次响应文件截止之日3个工作日前，以书面形式通知所有接收招标文件的供应商，不足3个工作日的，应当顺延提交首次响应文件截止之日。</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Cs w:val="21"/>
          <w:highlight w:val="none"/>
        </w:rPr>
      </w:pPr>
      <w:bookmarkStart w:id="56" w:name="_Toc61149553"/>
      <w:bookmarkStart w:id="57" w:name="_Toc14577351"/>
      <w:bookmarkStart w:id="58" w:name="_Toc462564072"/>
      <w:bookmarkStart w:id="59" w:name="_Toc513029213"/>
      <w:bookmarkStart w:id="60" w:name="_Toc17034"/>
      <w:r>
        <w:rPr>
          <w:rFonts w:hint="eastAsia" w:ascii="宋体" w:hAnsi="宋体" w:cs="宋体"/>
          <w:b/>
          <w:color w:val="auto"/>
          <w:szCs w:val="21"/>
          <w:highlight w:val="none"/>
        </w:rPr>
        <w:t>二、响应文件的编制</w:t>
      </w:r>
      <w:bookmarkEnd w:id="56"/>
      <w:bookmarkEnd w:id="57"/>
      <w:bookmarkEnd w:id="58"/>
      <w:bookmarkEnd w:id="59"/>
      <w:r>
        <w:rPr>
          <w:rFonts w:hint="eastAsia" w:ascii="宋体" w:hAnsi="宋体" w:cs="宋体"/>
          <w:b/>
          <w:color w:val="auto"/>
          <w:szCs w:val="21"/>
          <w:highlight w:val="none"/>
        </w:rPr>
        <w:t>及保证金收取</w:t>
      </w:r>
      <w:bookmarkEnd w:id="60"/>
      <w:bookmarkStart w:id="61" w:name="_Toc61149561"/>
      <w:bookmarkStart w:id="62" w:name="_Toc14577361"/>
      <w:bookmarkStart w:id="63" w:name="_Toc513029223"/>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1、招标响应文件份数和签署</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1.1供应商应按</w:t>
      </w:r>
      <w:r>
        <w:rPr>
          <w:rFonts w:hint="eastAsia" w:ascii="宋体" w:hAnsi="宋体" w:cs="宋体"/>
          <w:color w:val="auto"/>
          <w:szCs w:val="21"/>
          <w:highlight w:val="none"/>
          <w:u w:val="single"/>
        </w:rPr>
        <w:t>采购文件</w:t>
      </w:r>
      <w:r>
        <w:rPr>
          <w:rFonts w:hint="eastAsia" w:ascii="宋体" w:hAnsi="宋体" w:cs="宋体"/>
          <w:color w:val="auto"/>
          <w:szCs w:val="21"/>
          <w:highlight w:val="none"/>
        </w:rPr>
        <w:t>中的规定，准备和递交投标（响应）文件正本、副本和电子文档，每份投标（响应）文件封皮须清楚地标明“正本”或“副本”。若正本和副本不符，以正本为准。如投标（响应）文件未标明或未清楚标准明正本或副本的，所引起的后果由供应商负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供应商的响应文件的正本和副本均需打印或复印，文字材料需打印或用不褪色墨水书写。并按招标文件的要求提交相关证明。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供应商应该当按招标文件的要求在响应文件正本中签字、盖（公）章（副本可以是复印件）否作无效响应文件处理。公章是指刻有供应商法定名称的印章，不包括合同、发票等业务专用章。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 除供应商对错处做必要修改外，响应文件不得行间插字、涂改或增删。如有修改错漏处，须由响应文件签署人签字或盖章。否由专家小组自行认定。</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2、响应文件编制要求</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2.1供应商应当按照采购文件的要求编制响应文件，并对其提交的响应文件的真实性、合法性承担法律责任。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2.2供应商提交的响应文件以及本次采购活动的所有来往函电均应使用简体中文。采购过程中，既有中文也有外文的，以简体中文为准。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2.3除技术性能另有规定外，响应文件所使用的度量衡单位，均须采用国家法定计量单位。</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3、证明投标标的的合格性和符合招标文件规定的技术文件（响应文件）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bookmarkStart w:id="64" w:name="_Toc14577355"/>
      <w:bookmarkStart w:id="65" w:name="_Toc61149557"/>
      <w:bookmarkStart w:id="66" w:name="_Toc513029217"/>
      <w:r>
        <w:rPr>
          <w:rFonts w:hint="eastAsia" w:ascii="宋体" w:hAnsi="宋体" w:cs="宋体"/>
          <w:color w:val="auto"/>
          <w:szCs w:val="21"/>
          <w:highlight w:val="none"/>
        </w:rPr>
        <w:t>3.1供应商应提交证明文件，证明其投标内容符合采购文件规定。该证明文件是投标（响应）文件的一部分。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3.2上款所述的证明文件，可以是文字资料、图纸和数据。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3.3供应商证明材料非简体中文的，供应商须同时提供简体中文翻译说明并加盖公章，否评审人员有权仅按简体中文部分评审。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3.4供应商应当以详细具体的内容证明投标（响应）文件响应采购文件，以“完全响应”等简单文字而无具体内容的，按未提供处理（无效内容）。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3.5 </w:t>
      </w:r>
      <w:r>
        <w:rPr>
          <w:rFonts w:hint="eastAsia" w:ascii="宋体" w:hAnsi="宋体" w:cs="宋体"/>
          <w:b/>
          <w:color w:val="auto"/>
          <w:szCs w:val="21"/>
          <w:highlight w:val="none"/>
        </w:rPr>
        <w:t>供应商提交的证明应当证明提供的产品质量和服务均能满足采购文件规定的实质性要求。</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w:t>
      </w:r>
      <w:bookmarkEnd w:id="64"/>
      <w:bookmarkEnd w:id="65"/>
      <w:bookmarkEnd w:id="66"/>
      <w:r>
        <w:rPr>
          <w:rFonts w:hint="eastAsia" w:ascii="宋体" w:hAnsi="宋体" w:cs="宋体"/>
          <w:b/>
          <w:color w:val="auto"/>
          <w:szCs w:val="21"/>
          <w:highlight w:val="none"/>
        </w:rPr>
        <w:t>报价一览表(报价表)</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4.1供应商应按照采购文件规定格式填报报价一览表(报价表)以及相关内容。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每项产品或服务只允许有一个报价（单次报价中），任何有选择的报价将不予接受，采购文件中另有规定的按规定执行。供应商报价（含每次报价）大写金额和小写金额不一致的，以大写金额为准。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4.2标的物：略，详见采购需求。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4.3供应商投标（响应）分项报价表内容应当全面完整，充分体现其报价的组成。如：知识产权、人员工资、加班费、设备使用或损耗、技术服务和培训费用、以及相关税费等。</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本次采购采用总承包方式，因此供应商的报价应包括全部产品（货物、工程、服务）的价格、相关税费以及履行合同产生的所有费用等（在合同履行过程中，采购人不再增加任何费用）。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4.4 其它费用处理：采购文件未列明，而供应商认为必需的费用也需列入报价。</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4.5</w:t>
      </w:r>
      <w:bookmarkStart w:id="67" w:name="_Hlt26954846"/>
      <w:bookmarkEnd w:id="67"/>
      <w:bookmarkStart w:id="68" w:name="_Hlt26670425"/>
      <w:bookmarkEnd w:id="68"/>
      <w:bookmarkStart w:id="69" w:name="_Hlt26954848"/>
      <w:bookmarkEnd w:id="69"/>
      <w:bookmarkStart w:id="70" w:name="_Hlt26670482"/>
      <w:bookmarkEnd w:id="70"/>
      <w:bookmarkStart w:id="71" w:name="_Hlt26668983"/>
      <w:bookmarkEnd w:id="71"/>
      <w:bookmarkStart w:id="72" w:name="_Hlt26954844"/>
      <w:bookmarkEnd w:id="72"/>
      <w:bookmarkStart w:id="73" w:name="_Hlt26670486"/>
      <w:bookmarkEnd w:id="73"/>
      <w:bookmarkStart w:id="74" w:name="_Hlt26954842"/>
      <w:bookmarkEnd w:id="74"/>
      <w:bookmarkStart w:id="75" w:name="_Hlt26954731"/>
      <w:bookmarkEnd w:id="75"/>
      <w:bookmarkStart w:id="76" w:name="_Hlt26670403"/>
      <w:bookmarkEnd w:id="76"/>
      <w:r>
        <w:rPr>
          <w:rFonts w:hint="eastAsia" w:ascii="宋体" w:hAnsi="宋体" w:cs="宋体"/>
          <w:b/>
          <w:color w:val="auto"/>
          <w:szCs w:val="21"/>
          <w:highlight w:val="none"/>
        </w:rPr>
        <w:t>供应商的投标报价应遵守《中华人民共和国价格法》。同时，根据《中华人民共和国政府采购法》第二条的规定，为保证公平竞争，如有货物主体部分，服务过程应当支出的人员工资，法定加班费（如果有），主要的必然支出等主体投标标的的赠与行为（含主体投标标的低于商品进价的报价等），其投标将被认定为</w:t>
      </w:r>
      <w:r>
        <w:rPr>
          <w:rFonts w:hint="eastAsia" w:ascii="宋体" w:hAnsi="宋体" w:cs="宋体"/>
          <w:b/>
          <w:bCs/>
          <w:color w:val="auto"/>
          <w:szCs w:val="21"/>
          <w:highlight w:val="none"/>
        </w:rPr>
        <w:t>投标无效</w:t>
      </w:r>
      <w:r>
        <w:rPr>
          <w:rFonts w:hint="eastAsia" w:ascii="宋体" w:hAnsi="宋体" w:cs="宋体"/>
          <w:b/>
          <w:color w:val="auto"/>
          <w:szCs w:val="21"/>
          <w:highlight w:val="none"/>
        </w:rPr>
        <w:t>。采购人也不接受明显不合理或者低于成本的报价（有可能影响商品质量和不能诚信履约的报价）。</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5、投标保证金</w:t>
      </w:r>
      <w:r>
        <w:rPr>
          <w:rFonts w:hint="eastAsia" w:ascii="宋体" w:hAnsi="宋体" w:cs="宋体"/>
          <w:b/>
          <w:bCs/>
          <w:color w:val="auto"/>
          <w:szCs w:val="21"/>
          <w:highlight w:val="none"/>
        </w:rPr>
        <w:t>（招标响应保证金）</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5.1供应商在投标时，须按采购文件的要求交纳投标保证金（部分项目不须要交，请看采购公告）。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采购文件要求供应商交纳保证金的，供应商应当及时提交。对于未按要求及时提交保证金的询价响应文件，</w:t>
      </w:r>
      <w:r>
        <w:rPr>
          <w:rFonts w:hint="eastAsia" w:ascii="宋体" w:hAnsi="宋体" w:cs="宋体"/>
          <w:b/>
          <w:color w:val="auto"/>
          <w:szCs w:val="21"/>
          <w:highlight w:val="none"/>
        </w:rPr>
        <w:t>将被视为无效文件而予以拒绝</w:t>
      </w:r>
      <w:r>
        <w:rPr>
          <w:rFonts w:hint="eastAsia" w:ascii="宋体" w:hAnsi="宋体" w:cs="宋体"/>
          <w:color w:val="auto"/>
          <w:szCs w:val="21"/>
          <w:highlight w:val="none"/>
        </w:rPr>
        <w:t>。联合体以一方名义提交保证金的，对联合体各方均具有约束力。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5.2投标保证金应当及时退还（无息退还）。供应商应及时向携手阳光公司办理退还手续（提供账户信息、收据等。成交供应商须已如数缴纳履约保证金），否视为因供应商自身原因导致无法及时退还。</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5.3有下列情形之一的，保证金不予退还</w:t>
      </w:r>
      <w:r>
        <w:rPr>
          <w:rFonts w:hint="eastAsia" w:ascii="宋体" w:hAnsi="宋体" w:cs="宋体"/>
          <w:color w:val="auto"/>
          <w:szCs w:val="21"/>
          <w:highlight w:val="none"/>
        </w:rPr>
        <w:t>（预定的损害赔偿而非罚款。全额赔偿给携手阳光公司）：</w:t>
      </w:r>
      <w:r>
        <w:rPr>
          <w:rFonts w:hint="eastAsia" w:ascii="宋体" w:hAnsi="宋体" w:cs="宋体"/>
          <w:color w:val="auto"/>
          <w:szCs w:val="21"/>
          <w:highlight w:val="none"/>
        </w:rPr>
        <w:br w:type="textWrapping"/>
      </w:r>
      <w:r>
        <w:rPr>
          <w:rFonts w:hint="eastAsia" w:ascii="宋体" w:hAnsi="宋体" w:cs="宋体"/>
          <w:color w:val="auto"/>
          <w:szCs w:val="21"/>
          <w:highlight w:val="none"/>
        </w:rPr>
        <w:t>　　（一）供应商在提交响应文件截止时间后撤回响应文件的；</w:t>
      </w:r>
      <w:r>
        <w:rPr>
          <w:rFonts w:hint="eastAsia" w:ascii="宋体" w:hAnsi="宋体" w:cs="宋体"/>
          <w:color w:val="auto"/>
          <w:szCs w:val="21"/>
          <w:highlight w:val="none"/>
        </w:rPr>
        <w:br w:type="textWrapping"/>
      </w:r>
      <w:r>
        <w:rPr>
          <w:rFonts w:hint="eastAsia" w:ascii="宋体" w:hAnsi="宋体" w:cs="宋体"/>
          <w:color w:val="auto"/>
          <w:szCs w:val="21"/>
          <w:highlight w:val="none"/>
        </w:rPr>
        <w:t>　　（二）供应商在响应文件中提供虚假材料的；</w:t>
      </w:r>
      <w:r>
        <w:rPr>
          <w:rFonts w:hint="eastAsia" w:ascii="宋体" w:hAnsi="宋体" w:cs="宋体"/>
          <w:color w:val="auto"/>
          <w:szCs w:val="21"/>
          <w:highlight w:val="none"/>
        </w:rPr>
        <w:br w:type="textWrapping"/>
      </w:r>
      <w:r>
        <w:rPr>
          <w:rFonts w:hint="eastAsia" w:ascii="宋体" w:hAnsi="宋体" w:cs="宋体"/>
          <w:color w:val="auto"/>
          <w:szCs w:val="21"/>
          <w:highlight w:val="none"/>
        </w:rPr>
        <w:t>　　（三）除因不可抗力或招标文件认可的情形以外，成交供应商不与采购人签订合同的；</w:t>
      </w:r>
      <w:r>
        <w:rPr>
          <w:rFonts w:hint="eastAsia" w:ascii="宋体" w:hAnsi="宋体" w:cs="宋体"/>
          <w:color w:val="auto"/>
          <w:szCs w:val="21"/>
          <w:highlight w:val="none"/>
        </w:rPr>
        <w:br w:type="textWrapping"/>
      </w:r>
      <w:r>
        <w:rPr>
          <w:rFonts w:hint="eastAsia" w:ascii="宋体" w:hAnsi="宋体" w:cs="宋体"/>
          <w:color w:val="auto"/>
          <w:szCs w:val="21"/>
          <w:highlight w:val="none"/>
        </w:rPr>
        <w:t>　　（四）供应商与采购人、其他供应商或者采购代理机构恶意串通的；</w:t>
      </w:r>
      <w:r>
        <w:rPr>
          <w:rFonts w:hint="eastAsia" w:ascii="宋体" w:hAnsi="宋体" w:cs="宋体"/>
          <w:color w:val="auto"/>
          <w:szCs w:val="21"/>
          <w:highlight w:val="none"/>
        </w:rPr>
        <w:br w:type="textWrapping"/>
      </w:r>
      <w:r>
        <w:rPr>
          <w:rFonts w:hint="eastAsia" w:ascii="宋体" w:hAnsi="宋体" w:cs="宋体"/>
          <w:color w:val="auto"/>
          <w:szCs w:val="21"/>
          <w:highlight w:val="none"/>
        </w:rPr>
        <w:t>　　（五）采购文件规定的其他情形</w:t>
      </w:r>
      <w:r>
        <w:rPr>
          <w:rFonts w:hint="eastAsia" w:ascii="宋体" w:hAnsi="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（1）供应商报名后未参加投标的或在招标过程中无正当理由退出招标活动的；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（2）供应商提供的有关资料（含质疑材料）不真实或</w:t>
      </w:r>
      <w:r>
        <w:rPr>
          <w:rFonts w:hint="eastAsia" w:ascii="宋体" w:hAnsi="宋体" w:cs="宋体"/>
          <w:color w:val="auto"/>
          <w:kern w:val="0"/>
          <w:szCs w:val="21"/>
          <w:highlight w:val="none"/>
        </w:rPr>
        <w:t>以非法手段取得。</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（3）成交供应商在规定期限内未能根据规定交纳代理服务费、履约保证金的。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（六）法律、法规规定的其他情况。</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Cs w:val="21"/>
          <w:highlight w:val="none"/>
        </w:rPr>
      </w:pPr>
      <w:bookmarkStart w:id="77" w:name="_Hlt26670489"/>
      <w:bookmarkEnd w:id="77"/>
      <w:bookmarkStart w:id="78" w:name="_Hlt26670493"/>
      <w:bookmarkEnd w:id="78"/>
      <w:bookmarkStart w:id="79" w:name="_Hlt26954852"/>
      <w:bookmarkEnd w:id="79"/>
      <w:bookmarkStart w:id="80" w:name="_Hlt26954734"/>
      <w:bookmarkEnd w:id="80"/>
      <w:bookmarkStart w:id="81" w:name="_Hlt26954850"/>
      <w:bookmarkEnd w:id="81"/>
      <w:bookmarkStart w:id="82" w:name="_Hlt26954739"/>
      <w:bookmarkEnd w:id="82"/>
      <w:bookmarkStart w:id="83" w:name="_Hlt26954749"/>
      <w:bookmarkEnd w:id="83"/>
      <w:bookmarkStart w:id="84" w:name="_Hlt26954854"/>
      <w:bookmarkEnd w:id="84"/>
      <w:bookmarkStart w:id="85" w:name="_Toc513029224"/>
      <w:bookmarkStart w:id="86" w:name="_Toc14577362"/>
      <w:bookmarkStart w:id="87" w:name="_Toc61149562"/>
      <w:bookmarkStart w:id="88" w:name="_Toc11748"/>
      <w:r>
        <w:rPr>
          <w:rFonts w:hint="eastAsia" w:ascii="宋体" w:hAnsi="宋体" w:cs="宋体"/>
          <w:b/>
          <w:color w:val="auto"/>
          <w:szCs w:val="21"/>
          <w:highlight w:val="none"/>
        </w:rPr>
        <w:t>三、招标响应文件的</w:t>
      </w:r>
      <w:bookmarkEnd w:id="85"/>
      <w:bookmarkEnd w:id="86"/>
      <w:bookmarkEnd w:id="87"/>
      <w:r>
        <w:rPr>
          <w:rFonts w:hint="eastAsia" w:ascii="宋体" w:hAnsi="宋体" w:cs="宋体"/>
          <w:b/>
          <w:color w:val="auto"/>
          <w:szCs w:val="21"/>
          <w:highlight w:val="none"/>
        </w:rPr>
        <w:t>密封、递交</w:t>
      </w:r>
      <w:bookmarkEnd w:id="88"/>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bookmarkStart w:id="89" w:name="_Hlt26954856"/>
      <w:bookmarkEnd w:id="89"/>
      <w:bookmarkStart w:id="90" w:name="_Toc513029225"/>
      <w:bookmarkStart w:id="91" w:name="_Toc61149563"/>
      <w:bookmarkStart w:id="92" w:name="_Toc14577363"/>
      <w:bookmarkStart w:id="93" w:name="_Toc462564084"/>
      <w:r>
        <w:rPr>
          <w:rFonts w:hint="eastAsia" w:ascii="宋体" w:hAnsi="宋体" w:cs="宋体"/>
          <w:b/>
          <w:color w:val="auto"/>
          <w:szCs w:val="21"/>
          <w:highlight w:val="none"/>
        </w:rPr>
        <w:t>1、响应文件</w:t>
      </w:r>
      <w:bookmarkStart w:id="94" w:name="_Hlt26954743"/>
      <w:bookmarkEnd w:id="94"/>
      <w:r>
        <w:rPr>
          <w:rFonts w:hint="eastAsia" w:ascii="宋体" w:hAnsi="宋体" w:cs="宋体"/>
          <w:b/>
          <w:color w:val="auto"/>
          <w:szCs w:val="21"/>
          <w:highlight w:val="none"/>
        </w:rPr>
        <w:t>的密封</w:t>
      </w:r>
      <w:bookmarkEnd w:id="90"/>
      <w:bookmarkEnd w:id="91"/>
      <w:bookmarkEnd w:id="92"/>
      <w:bookmarkEnd w:id="93"/>
      <w:r>
        <w:rPr>
          <w:rFonts w:hint="eastAsia" w:ascii="宋体" w:hAnsi="宋体" w:cs="宋体"/>
          <w:b/>
          <w:color w:val="auto"/>
          <w:szCs w:val="21"/>
          <w:highlight w:val="none"/>
        </w:rPr>
        <w:t>、递交</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供应商应当在招标文件要求的截止时间前，将响应文件密封（在不破坏外包装的情况下，无法直接取出响应文件即可）送达指定地点[按采购公告（采购邀请）中注明的地点及时送达]。在截止时间后送达的响应文件为无效文件，采购人、采购代理机构或者招标小组应当拒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请供应商在密封包装上注明供应商名称、项目名称（编号）以及参加的分包号等相关信息，以便采购代理机构接受（识别）。</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1.2采购人、采购代理机构、招标小组对供应商误投或过早启封概不负责。</w:t>
      </w:r>
      <w:bookmarkStart w:id="95" w:name="_Hlt26954752"/>
      <w:bookmarkEnd w:id="95"/>
      <w:bookmarkStart w:id="96" w:name="_Hlt26670496"/>
      <w:bookmarkEnd w:id="96"/>
      <w:bookmarkStart w:id="97" w:name="_Hlt26954858"/>
      <w:bookmarkEnd w:id="97"/>
      <w:bookmarkStart w:id="98" w:name="_Toc61149564"/>
      <w:bookmarkStart w:id="99" w:name="_Toc513029226"/>
      <w:bookmarkStart w:id="100" w:name="_Toc14577364"/>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2、</w:t>
      </w:r>
      <w:bookmarkEnd w:id="98"/>
      <w:bookmarkEnd w:id="99"/>
      <w:bookmarkEnd w:id="100"/>
      <w:r>
        <w:rPr>
          <w:rFonts w:hint="eastAsia" w:ascii="宋体" w:hAnsi="宋体" w:cs="宋体"/>
          <w:b/>
          <w:color w:val="auto"/>
          <w:szCs w:val="21"/>
          <w:highlight w:val="none"/>
        </w:rPr>
        <w:t>采购人、采购代理机构或者招标小组顺延提交首次响应文件截止时间、地点的，供应商应当按新的（变更后）接收截止时间、地点为准（准时送达）。</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bookmarkStart w:id="101" w:name="_Toc513029227"/>
      <w:bookmarkStart w:id="102" w:name="_Toc61149565"/>
      <w:bookmarkStart w:id="103" w:name="_Toc14577365"/>
      <w:r>
        <w:rPr>
          <w:rFonts w:hint="eastAsia" w:ascii="宋体" w:hAnsi="宋体" w:cs="宋体"/>
          <w:b/>
          <w:color w:val="auto"/>
          <w:szCs w:val="21"/>
          <w:highlight w:val="none"/>
        </w:rPr>
        <w:t>3、</w:t>
      </w:r>
      <w:bookmarkEnd w:id="101"/>
      <w:bookmarkEnd w:id="102"/>
      <w:bookmarkEnd w:id="103"/>
      <w:r>
        <w:rPr>
          <w:rFonts w:hint="eastAsia" w:ascii="宋体" w:hAnsi="宋体" w:cs="宋体"/>
          <w:b/>
          <w:color w:val="auto"/>
          <w:szCs w:val="21"/>
          <w:highlight w:val="none"/>
        </w:rPr>
        <w:t>供应商撤回响应文件、退出招标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3.1</w:t>
      </w:r>
      <w:bookmarkStart w:id="104" w:name="_Hlt26954862"/>
      <w:bookmarkEnd w:id="104"/>
      <w:bookmarkStart w:id="105" w:name="_Hlt26954754"/>
      <w:bookmarkEnd w:id="105"/>
      <w:r>
        <w:rPr>
          <w:rFonts w:hint="eastAsia" w:ascii="宋体" w:hAnsi="宋体" w:cs="宋体"/>
          <w:color w:val="auto"/>
          <w:szCs w:val="21"/>
          <w:highlight w:val="none"/>
        </w:rPr>
        <w:t>供应商在提交响应文件截止时间后撤回响应文件的，</w:t>
      </w:r>
      <w:r>
        <w:rPr>
          <w:rFonts w:hint="eastAsia" w:ascii="宋体" w:hAnsi="宋体" w:cs="宋体"/>
          <w:b/>
          <w:color w:val="auto"/>
          <w:szCs w:val="21"/>
          <w:highlight w:val="none"/>
        </w:rPr>
        <w:t>保证金不予退还。</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3.2供应商在提交最后报价之前，可以根据招标情况退出招标。但如无正当理由退出且造成在采购过程中符合竞争要求的供应商或者报价未超过采购预算的供应商不足3家的，</w:t>
      </w:r>
      <w:r>
        <w:rPr>
          <w:rFonts w:hint="eastAsia" w:ascii="宋体" w:hAnsi="宋体" w:cs="宋体"/>
          <w:b/>
          <w:color w:val="auto"/>
          <w:szCs w:val="21"/>
          <w:highlight w:val="none"/>
        </w:rPr>
        <w:t>保证金不予退还。</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bookmarkStart w:id="106" w:name="_Toc61149566"/>
      <w:bookmarkStart w:id="107" w:name="_Toc513029228"/>
      <w:bookmarkStart w:id="108" w:name="_Toc14577366"/>
      <w:r>
        <w:rPr>
          <w:rFonts w:hint="eastAsia" w:ascii="宋体" w:hAnsi="宋体" w:cs="宋体"/>
          <w:b/>
          <w:color w:val="auto"/>
          <w:szCs w:val="21"/>
          <w:highlight w:val="none"/>
        </w:rPr>
        <w:t>4、</w:t>
      </w:r>
      <w:bookmarkEnd w:id="106"/>
      <w:bookmarkEnd w:id="107"/>
      <w:bookmarkEnd w:id="108"/>
      <w:r>
        <w:rPr>
          <w:rFonts w:hint="eastAsia" w:ascii="宋体" w:hAnsi="宋体" w:cs="宋体"/>
          <w:b/>
          <w:color w:val="auto"/>
          <w:szCs w:val="21"/>
          <w:highlight w:val="none"/>
        </w:rPr>
        <w:t>投标有效期（招标响应有效期）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4.1投标有效期见</w:t>
      </w:r>
      <w:r>
        <w:rPr>
          <w:rFonts w:hint="eastAsia" w:ascii="宋体" w:hAnsi="宋体" w:cs="宋体"/>
          <w:color w:val="auto"/>
          <w:szCs w:val="21"/>
          <w:highlight w:val="none"/>
          <w:u w:val="single"/>
        </w:rPr>
        <w:t>供应商须知资料表</w:t>
      </w:r>
      <w:r>
        <w:rPr>
          <w:rFonts w:hint="eastAsia" w:ascii="宋体" w:hAnsi="宋体" w:cs="宋体"/>
          <w:color w:val="auto"/>
          <w:szCs w:val="21"/>
          <w:highlight w:val="none"/>
        </w:rPr>
        <w:t>，投标有效期比规定短的</w:t>
      </w:r>
      <w:r>
        <w:rPr>
          <w:rFonts w:hint="eastAsia" w:ascii="宋体" w:hAnsi="宋体" w:cs="宋体"/>
          <w:b/>
          <w:color w:val="auto"/>
          <w:szCs w:val="21"/>
          <w:highlight w:val="none"/>
        </w:rPr>
        <w:t>将按无效文件处理。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4.2为保证有充分时间签订合同，采购人或采购代理机构可根据实际情况，在原投标有效期截止之前，要求投标人延长投标文件的有效期。接受该要求的投标人将不会被要求和允许修正其投标，且本须知中有关保证金的要求须在延长的有效期内继续有效。投标人可以拒绝延长投标有效期的要求，其保证金将及时无息退还。上述要求和答复都应以书面形式提交。</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Cs w:val="21"/>
          <w:highlight w:val="none"/>
        </w:rPr>
      </w:pPr>
      <w:bookmarkStart w:id="109" w:name="_Hlt26670523"/>
      <w:bookmarkEnd w:id="109"/>
      <w:bookmarkStart w:id="110" w:name="_Hlt26954864"/>
      <w:bookmarkEnd w:id="110"/>
      <w:bookmarkStart w:id="111" w:name="_Toc113"/>
      <w:r>
        <w:rPr>
          <w:rFonts w:hint="eastAsia" w:ascii="宋体" w:hAnsi="宋体" w:cs="宋体"/>
          <w:b/>
          <w:color w:val="auto"/>
          <w:szCs w:val="21"/>
          <w:highlight w:val="none"/>
        </w:rPr>
        <w:t>四、招标与评审</w:t>
      </w:r>
      <w:bookmarkEnd w:id="111"/>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bookmarkStart w:id="112" w:name="_Toc513029230"/>
      <w:bookmarkStart w:id="113" w:name="_Toc16938546"/>
      <w:bookmarkStart w:id="114" w:name="_Toc20823302"/>
      <w:r>
        <w:rPr>
          <w:rFonts w:hint="eastAsia" w:ascii="宋体" w:hAnsi="宋体" w:cs="宋体"/>
          <w:b/>
          <w:color w:val="auto"/>
          <w:szCs w:val="21"/>
          <w:highlight w:val="none"/>
        </w:rPr>
        <w:t>1、</w:t>
      </w:r>
      <w:bookmarkEnd w:id="112"/>
      <w:bookmarkEnd w:id="113"/>
      <w:bookmarkEnd w:id="114"/>
      <w:bookmarkStart w:id="115" w:name="_Toc20823303"/>
      <w:bookmarkStart w:id="116" w:name="_Toc513029231"/>
      <w:bookmarkStart w:id="117" w:name="_Toc16938547"/>
      <w:r>
        <w:rPr>
          <w:rFonts w:hint="eastAsia" w:ascii="宋体" w:hAnsi="宋体" w:cs="宋体"/>
          <w:b/>
          <w:color w:val="auto"/>
          <w:szCs w:val="21"/>
          <w:highlight w:val="none"/>
        </w:rPr>
        <w:t>采购人、采购代理机构将参照《政府采购法》等规定组织开展本次采购活动，任何单位和个人不得非法干预、影响评审过程和结果。</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2、招标小组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竞争性招标小组由采购人代表和评审专家共3人以上单数组成，其中评审专家人数不得少于竞争性招标小组成员总数的2/3。</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3、评审过程的保密</w:t>
      </w:r>
      <w:bookmarkEnd w:id="115"/>
      <w:bookmarkEnd w:id="116"/>
      <w:bookmarkEnd w:id="117"/>
      <w:r>
        <w:rPr>
          <w:rFonts w:hint="eastAsia" w:ascii="宋体" w:hAnsi="宋体" w:cs="宋体"/>
          <w:b/>
          <w:color w:val="auto"/>
          <w:szCs w:val="21"/>
          <w:highlight w:val="none"/>
        </w:rPr>
        <w:t>与公正</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3.1专家小组所有成员集中与单一供应商分别进行招标。在招标中，招标的任何一方不得透露与招标有关的其他供应商的技术资料、价格和其他信息。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3.2在评审过程中，如果供应商试图向采购代理机构和参与评审的人员施加任何影响，都将会导致其招标响应文件被拒绝。</w:t>
      </w:r>
      <w:bookmarkStart w:id="118" w:name="_Toc513029232"/>
      <w:bookmarkStart w:id="119" w:name="_Toc16938548"/>
      <w:bookmarkStart w:id="120" w:name="_Toc20823304"/>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4、资格审查、符合性审查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4.1专家小组依据法律法规和采购文件的规定，对供应商的资格证明文件进行资格审查，以确定供应商是否</w:t>
      </w:r>
      <w:r>
        <w:rPr>
          <w:rFonts w:hint="eastAsia" w:ascii="宋体" w:hAnsi="宋体" w:cs="宋体"/>
          <w:color w:val="auto"/>
          <w:spacing w:val="15"/>
          <w:kern w:val="0"/>
          <w:szCs w:val="21"/>
          <w:highlight w:val="none"/>
        </w:rPr>
        <w:t>符合相应的资格条件</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4.2招标小组依据法律法规和采购文件的规定，对供应商响应文件的有效性、完整性和响应程度进行审查。以确定供应商提供的产品质量和服务均能满足采购文件规定的实质性要求。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实质性响应的招标响应文件应该是与采购文件要求的全部条款、条件和规格相符，没有重大负偏离或保留。所谓重大负偏离或保留是指与采购文件规定的实质性要求存在负偏离，或者在实质上与招标文件不一致，而且限制了合同中买方的权利或供应商的义务，纠正这些偏离或保留将会对其他实质性响应要求的供应商的竞争地位产生不公正的影响。重大偏离由招标小组按照少数服从多数的原则认定。招标小组决定响应文件的响应性只根据招标响应文件本身的内容，而不寻求外部的证据。</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4.3</w:t>
      </w:r>
      <w:r>
        <w:rPr>
          <w:rFonts w:hint="eastAsia" w:ascii="宋体" w:hAnsi="宋体" w:cs="宋体"/>
          <w:b/>
          <w:bCs/>
          <w:color w:val="auto"/>
          <w:szCs w:val="21"/>
          <w:highlight w:val="none"/>
        </w:rPr>
        <w:t>供应商</w:t>
      </w:r>
      <w:r>
        <w:rPr>
          <w:rFonts w:hint="eastAsia" w:ascii="宋体" w:hAnsi="宋体" w:cs="宋体"/>
          <w:b/>
          <w:color w:val="auto"/>
          <w:szCs w:val="21"/>
          <w:highlight w:val="none"/>
        </w:rPr>
        <w:t>存在不良信用记录的，其投标将被认定为</w:t>
      </w:r>
      <w:r>
        <w:rPr>
          <w:rFonts w:hint="eastAsia" w:ascii="宋体" w:hAnsi="宋体" w:cs="宋体"/>
          <w:b/>
          <w:bCs/>
          <w:color w:val="auto"/>
          <w:szCs w:val="21"/>
          <w:highlight w:val="none"/>
        </w:rPr>
        <w:t>投标</w:t>
      </w:r>
      <w:r>
        <w:rPr>
          <w:rFonts w:hint="eastAsia" w:ascii="宋体" w:hAnsi="宋体" w:cs="宋体"/>
          <w:b/>
          <w:color w:val="auto"/>
          <w:szCs w:val="21"/>
          <w:highlight w:val="none"/>
        </w:rPr>
        <w:t>（报价）</w:t>
      </w:r>
      <w:r>
        <w:rPr>
          <w:rFonts w:hint="eastAsia" w:ascii="宋体" w:hAnsi="宋体" w:cs="宋体"/>
          <w:b/>
          <w:bCs/>
          <w:color w:val="auto"/>
          <w:szCs w:val="21"/>
          <w:highlight w:val="none"/>
        </w:rPr>
        <w:t>无效</w:t>
      </w:r>
      <w:r>
        <w:rPr>
          <w:rFonts w:hint="eastAsia" w:ascii="宋体" w:hAnsi="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不良信用记录指：供应商在中国政府采购网（www.ccgp.gov.cn）被列入政府采购严重违法失信行为记录名单，或在“信用中国”网站（www.creditchina.gov.cn）被列入失信被执行人、重大税收违法案件当事人名单。以联合体形式参加投标的，联合体任何成员存在以上不良信用记录的，联合体投标将被认定为投标无效。</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4.4★被认定为未实质性响应招标文件的响应文件的情形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（1）供应商未按要求交纳保证金的（限要求响应文件提交截止时间之前提交保证金的项目）；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（2）供应商未按照招标文件规定要求密封、签署、盖章的；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（3）供应商不符合招标文件中规定的供应商资格条件（要求）的；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（4）投标有效期不符合采购文件要求的；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（5）供应商在报价时（单次报价中）采用选择性报价；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（6）供应商提供的产品质量和服务均没有满足采购文件规定的实质性要求；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（7）供应商被“信用中国”网站（www.creditchina.gov.cn）列入失信被执行人或重大税收违法案件当事人名单或政府采购严重失信行为记录名单；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（8）出现法律、法规及本招标文件规定的属未实质性响应的响应文件的情形。</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5、评审过程的澄清</w:t>
      </w:r>
      <w:bookmarkEnd w:id="118"/>
      <w:bookmarkEnd w:id="119"/>
      <w:bookmarkEnd w:id="120"/>
      <w:r>
        <w:rPr>
          <w:rFonts w:hint="eastAsia" w:ascii="宋体" w:hAnsi="宋体" w:cs="宋体"/>
          <w:b/>
          <w:color w:val="auto"/>
          <w:szCs w:val="21"/>
          <w:highlight w:val="none"/>
        </w:rPr>
        <w:t>、说明和更正</w:t>
      </w:r>
      <w:bookmarkStart w:id="121" w:name="_Toc513029233"/>
      <w:bookmarkStart w:id="122" w:name="_Toc16938549"/>
      <w:bookmarkStart w:id="123" w:name="_Toc2082330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5.1专家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b/>
          <w:color w:val="auto"/>
          <w:szCs w:val="21"/>
          <w:highlight w:val="none"/>
        </w:rPr>
        <w:t>招标小组要求供应商澄清、说明或者更正响应文件应当以书面形式作出。</w:t>
      </w:r>
      <w:r>
        <w:rPr>
          <w:rFonts w:hint="eastAsia" w:ascii="宋体" w:hAnsi="宋体" w:cs="宋体"/>
          <w:color w:val="auto"/>
          <w:szCs w:val="21"/>
          <w:highlight w:val="none"/>
        </w:rPr>
        <w:t>接到招标小组要求（采购机构工作人员传达）的供应商应派人按招标小组通知的时间和地点做出澄清、说明或更正。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5.3 接到招标小组澄清要求的供应商如未按规定做出澄清、说明或者更正的，其风险自行承担。</w:t>
      </w:r>
      <w:bookmarkEnd w:id="121"/>
      <w:bookmarkEnd w:id="122"/>
      <w:bookmarkEnd w:id="123"/>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bookmarkStart w:id="124" w:name="_Toc20823306"/>
      <w:bookmarkStart w:id="125" w:name="_Toc16938550"/>
      <w:bookmarkStart w:id="126" w:name="_Toc513029234"/>
      <w:r>
        <w:rPr>
          <w:rFonts w:hint="eastAsia" w:ascii="宋体" w:hAnsi="宋体" w:cs="宋体"/>
          <w:b/>
          <w:color w:val="auto"/>
          <w:szCs w:val="21"/>
          <w:highlight w:val="none"/>
        </w:rPr>
        <w:t>6、</w:t>
      </w:r>
      <w:bookmarkEnd w:id="124"/>
      <w:bookmarkEnd w:id="125"/>
      <w:bookmarkEnd w:id="126"/>
      <w:r>
        <w:rPr>
          <w:rFonts w:hint="eastAsia" w:ascii="宋体" w:hAnsi="宋体" w:cs="宋体"/>
          <w:b/>
          <w:color w:val="auto"/>
          <w:szCs w:val="21"/>
          <w:highlight w:val="none"/>
        </w:rPr>
        <w:t>招标程序及成交原则</w:t>
      </w:r>
      <w:bookmarkStart w:id="127" w:name="_Toc20823307"/>
      <w:bookmarkStart w:id="128" w:name="_Toc513029235"/>
      <w:bookmarkStart w:id="129" w:name="_Toc1693855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6.1招标程序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6.1.1对于通过资格性和符合性审查的供应商，招标小组所有成员将集中与单一供应商分别进行招标。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在招标过程中，招标小组可能根据招标文件和招标情况实质性变动的内容有：</w:t>
      </w:r>
      <w:r>
        <w:rPr>
          <w:rFonts w:hint="eastAsia" w:ascii="宋体" w:hAnsi="宋体" w:cs="宋体"/>
          <w:b/>
          <w:color w:val="auto"/>
          <w:szCs w:val="21"/>
          <w:highlight w:val="none"/>
        </w:rPr>
        <w:t>采购需求中的技术、服务要求以及合同草案条款。</w:t>
      </w:r>
      <w:r>
        <w:rPr>
          <w:rFonts w:hint="eastAsia" w:ascii="宋体" w:hAnsi="宋体" w:cs="宋体"/>
          <w:color w:val="auto"/>
          <w:szCs w:val="21"/>
          <w:highlight w:val="none"/>
        </w:rPr>
        <w:t>对招标文件作出的实质性变动是招标文件的有效组成部分，招标小组将以书面形式同时通知所有参加招标的供应商。供应商应当按照招标文件的变动情况和招标小组的要求重新提交响应文件，并由其法定代表人或授权代表签字或者加盖公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6.1.2招标文件能够详细列明采购标的的技术、服务要求的，招标结束后，招标小组将要求所有实质性响应的供应商在规定时间内提交最后报价。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招标文件不能详细列明采购标的的技术、服务要求，需经招标由供应商提供最终设计方案或解决方案的，招标结束后，招标小组将按照少数服从多数的原则投票推荐2家以上供应商的设计方案或者解决方案，并要求其在规定时间内提交最后报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最后报价是供应商响应文件的有效组成部分。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6.1.3供应商未在招标小组规定的时间内完成最后报价的视为放弃招标，其招标响应按无效响应处理。最后报价须由供应商法定代表人或授权代表签字或者加盖公章。已提交响应文件的供应商，在提交最后报价之前，可以根据招标情况退出招标。</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6.1.4 各供应商最后报价结束后,如招标小组认为最后最低的供应商的报价明显低于其自身成本，涉嫌恶意竞争，有可能影响商品质量和不能诚信履约的，则有权要求其在接到通知半小时内提供书面文件予以说明理由，并提交相关证明材料（请在递交报价文件时一同携带相关证明材料原件）。若该供应商拒绝说明或未在规定期限内提供书面说明，或虽有书面说明但仍无法证明其报价合理性的，则招标小组有权取消其招标成交资格（</w:t>
      </w:r>
      <w:r>
        <w:rPr>
          <w:rFonts w:hint="eastAsia" w:ascii="宋体" w:hAnsi="宋体" w:cs="宋体"/>
          <w:color w:val="auto"/>
          <w:kern w:val="0"/>
          <w:szCs w:val="21"/>
          <w:highlight w:val="none"/>
        </w:rPr>
        <w:t>将其作为无效投标处理。</w:t>
      </w:r>
      <w:r>
        <w:rPr>
          <w:rFonts w:hint="eastAsia" w:ascii="宋体" w:hAnsi="宋体" w:cs="宋体"/>
          <w:color w:val="auto"/>
          <w:szCs w:val="21"/>
          <w:highlight w:val="none"/>
        </w:rPr>
        <w:t>本采购文件约定条款），按顺序由最后报价次低的供应商递补，以此类推。</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6.2 成交原则</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专家小组应当从质量和服务（供应商提供的产品质量和服务）均能满足采购文件实质性响应要求的供应商中，按照最后报价由低到高的顺序（</w:t>
      </w:r>
      <w:r>
        <w:rPr>
          <w:rFonts w:hint="eastAsia" w:ascii="宋体" w:hAnsi="宋体" w:cs="宋体"/>
          <w:b/>
          <w:color w:val="auto"/>
          <w:kern w:val="0"/>
          <w:szCs w:val="21"/>
          <w:highlight w:val="none"/>
        </w:rPr>
        <w:t>报价相同的并列</w:t>
      </w:r>
      <w:r>
        <w:rPr>
          <w:rFonts w:hint="eastAsia" w:ascii="宋体" w:hAnsi="宋体" w:cs="宋体"/>
          <w:b/>
          <w:color w:val="auto"/>
          <w:szCs w:val="21"/>
          <w:highlight w:val="none"/>
        </w:rPr>
        <w:t>）提出成交候选人。</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6.3采购活动终止的情况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出现下列情形之一的，采购人或者采购代理机构应当终止竞争性招标采购活动，发布项目终止公告并说明原因，重新开展采购活动：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（一）因情况变化，不再符合规定的竞争性招标采购方式适用情形的；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（二）出现影响采购公正的违法、违规行为的；</w:t>
      </w:r>
    </w:p>
    <w:bookmarkEnd w:id="127"/>
    <w:bookmarkEnd w:id="128"/>
    <w:bookmarkEnd w:id="129"/>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在采购过程中符合竞争要求的供应商或者报价未超过采购预算的供应商不足3家的，采购人可以终止采购活动，也可以按照“以合理的价格购买数量、质量合适的产品”的原则继续评审（须符合质优价廉，且价格低于市场平均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Cs w:val="21"/>
          <w:highlight w:val="none"/>
        </w:rPr>
      </w:pPr>
      <w:bookmarkStart w:id="130" w:name="_Toc1706"/>
      <w:r>
        <w:rPr>
          <w:rFonts w:hint="eastAsia" w:ascii="宋体" w:hAnsi="宋体" w:cs="宋体"/>
          <w:b/>
          <w:color w:val="auto"/>
          <w:szCs w:val="21"/>
          <w:highlight w:val="none"/>
        </w:rPr>
        <w:t>五、成交</w:t>
      </w:r>
      <w:bookmarkEnd w:id="130"/>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bookmarkStart w:id="131" w:name="_Toc513029238"/>
      <w:bookmarkStart w:id="132" w:name="_Toc20823310"/>
      <w:bookmarkStart w:id="133" w:name="_Toc16938554"/>
      <w:r>
        <w:rPr>
          <w:rFonts w:hint="eastAsia" w:ascii="宋体" w:hAnsi="宋体" w:cs="宋体"/>
          <w:b/>
          <w:color w:val="auto"/>
          <w:szCs w:val="21"/>
          <w:highlight w:val="none"/>
        </w:rPr>
        <w:t>1、</w:t>
      </w:r>
      <w:bookmarkEnd w:id="131"/>
      <w:r>
        <w:rPr>
          <w:rFonts w:hint="eastAsia" w:ascii="宋体" w:hAnsi="宋体" w:cs="宋体"/>
          <w:b/>
          <w:color w:val="auto"/>
          <w:szCs w:val="21"/>
          <w:highlight w:val="none"/>
        </w:rPr>
        <w:t>确定</w:t>
      </w:r>
      <w:bookmarkEnd w:id="132"/>
      <w:bookmarkEnd w:id="133"/>
      <w:r>
        <w:rPr>
          <w:rFonts w:hint="eastAsia" w:ascii="宋体" w:hAnsi="宋体" w:cs="宋体"/>
          <w:b/>
          <w:color w:val="auto"/>
          <w:szCs w:val="21"/>
          <w:highlight w:val="none"/>
        </w:rPr>
        <w:t>成交单位</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1.1招标小组应当从质量和服务均能满足采购文件实质性响应要求的供应商中，按照最后报价由低到高的顺序提出成交候选人，并编写评审报告。</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1.2采购代理机构应当在评审结束后2个工作日内将评审报告送采购人确认。</w:t>
      </w:r>
      <w:r>
        <w:rPr>
          <w:rFonts w:hint="eastAsia" w:ascii="宋体" w:hAnsi="宋体" w:cs="宋体"/>
          <w:color w:val="auto"/>
          <w:szCs w:val="21"/>
          <w:highlight w:val="none"/>
        </w:rPr>
        <w:br w:type="textWrapping"/>
      </w:r>
      <w:r>
        <w:rPr>
          <w:rFonts w:hint="eastAsia" w:ascii="宋体" w:hAnsi="宋体" w:cs="宋体"/>
          <w:color w:val="auto"/>
          <w:szCs w:val="21"/>
          <w:highlight w:val="none"/>
        </w:rPr>
        <w:t>　　采购人应当在收到评审报告后5个工作日内，从评审报告提出的成交候选人中，根据质量和服务均能满足采购文件实质性响应要求且最后报价最低的原则确定成交供应商（多种并列情形的，采购人将自行确定），也可以书面授权招标小组直接确定成交供应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采购人确定成交供应商后，将以电子邮件等方式通知所有参加采购的供应商。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1.3若有充分证据证明，成交供应商出现下列情况之一的，一经查实，将被取消成交资格：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（1）提供虚假材料谋取成交的；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（2）与评审专家、采购人、其他供应商或者采购代理机构工作人员恶意串通的；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（3）向评审专家、采购人或采购代理机构工作人员行贿或者提供其他不正当利益的；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（4）恶意竞争，最终总报价明显低于其自身合理成本且又无法提供证明的；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（5）不满足本采购文件规定的实质性要求，但在评审过程中又未被招标小组发现的；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（6）成交后无正当理由拒不与采购人签订政府采购合同或者未按照采购文件确定的事项签订政府采购合同；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（7）违法将政府采购合同转包；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（8）法律、法规、规章规定的属于成交无效的其他情形。</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2、质疑处理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2.1供应商认为采购文件、采购过程和采购结果使自己的权益受到损害的，须在知道或者应知其权益受到损害之日起三天内以书面形式送达的方式（请使用EMS等书面形式）向采购代理机构或采购人提出质疑。非书面形式、逾期（以采购代理机构或采购人收悉时间为准）提交以及匿名的质疑将不予受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2.2质疑函应当包括下列内容：供应商提出质疑应当提交质疑函和必要的证明材料。质疑函应当包括下列内容：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（二）质疑项目的名称、编号；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（三）具体、明确的质疑事项和与质疑事项相关的请求；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（四）事实依据；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（五）必要的法律依据；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（六）提出质疑的日期。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供应商为自然人的，应当由本人签字；供应商为法人或者其他组织的，应当由法定代表人、主要负责人，或者其授权代表签字或者盖章，并加盖公章。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注：对可以质疑的采购文件提出质疑的，为收到采购文件之日或者采购文件公告期限届满之日；对采购过程提出质疑的，为各采购程序环节结束之日；对中标或者成交结果提出质疑的，为中标或者成交结果公告期限届满之日。未参加招标采购活动的供应商或在招标采购活动中自身权益未受到损害的供应商所提出的质疑不予受理。未购买采购文件的供应商，无权知道本采购文件相关内容，采购人、采购代理机构有权不予受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2.3</w:t>
      </w:r>
      <w:r>
        <w:rPr>
          <w:rFonts w:hint="eastAsia" w:ascii="宋体" w:hAnsi="宋体" w:cs="宋体"/>
          <w:b/>
          <w:color w:val="auto"/>
          <w:szCs w:val="21"/>
          <w:highlight w:val="none"/>
        </w:rPr>
        <w:t>质疑供应商对采购人、采购代理机构的答复不满意或者采购人、采购代理机构未在规定的时间内作出答复的，可以在答复期满后3天内向采购人的领导班子投诉或向纪检组反映情况。</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2.4供应商提出书面质疑必须有理、有据，不得恶意质疑或提交虚假质疑。否则，一经查实，采购代理机构有权依据政府采购的有关规定，报请政府采购监管部门对该供应商进行相应的行政处罚。</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cs="宋体"/>
          <w:b/>
          <w:color w:val="auto"/>
          <w:szCs w:val="21"/>
          <w:highlight w:val="none"/>
        </w:rPr>
      </w:pPr>
      <w:bookmarkStart w:id="134" w:name="_Toc1876"/>
      <w:bookmarkStart w:id="135" w:name="_Toc20823309"/>
      <w:bookmarkStart w:id="136" w:name="_Toc513029237"/>
      <w:bookmarkStart w:id="137" w:name="_Toc16938553"/>
      <w:r>
        <w:rPr>
          <w:rFonts w:hint="eastAsia" w:ascii="宋体" w:hAnsi="宋体" w:cs="宋体"/>
          <w:b/>
          <w:color w:val="auto"/>
          <w:szCs w:val="21"/>
          <w:highlight w:val="none"/>
        </w:rPr>
        <w:t>六、合同签订相关事项</w:t>
      </w:r>
      <w:bookmarkEnd w:id="134"/>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1、签订合同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l成交供应商确定后，采购代理机构将向成交供应商发出成交通知书。成交供应商应按成交通知书规定的时间、地点,按照采购文件确定的事项与采购人签订政府采购合同，且不得迟于成交通知书发出之日起三十日内，否则保证金将不予退还，由此给采购人造成损失的，成交供应商还应承担赔偿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1.2 采购文件、成交供应商的招标响应文件及招标采购过程中有关澄清、承诺文件均应作为合同附件。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2、履约保证金（详见合同中履约保证金条款）</w:t>
      </w:r>
    </w:p>
    <w:bookmarkEnd w:id="135"/>
    <w:bookmarkEnd w:id="136"/>
    <w:bookmarkEnd w:id="137"/>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2.1履约保证金金额：合同总价的5%（去尾法，到百元）。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2.2在签订合同前，中标人需向招标人交纳履约保证金（请将履约保证金汇款凭证发送至QQ邮箱：532223373@qq.com），具体金额为中标价的5%。拟中标人应当按照招标人的要求及时、足额缴纳履约保证金，履约保证金待项目到期后一次性无息退还。（凭“保证金请退函”到学校国资处办理退款手续）。如果中标人不履行合同约定的义务，未能完全履行合同规定的义务或其履行不符合合同的约定，招标人有权扣除履约保证金取得补偿。</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2.3履约保证金专户帐户信息。</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单位名称：江苏医药职业学院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开户行名称：建行盐城市城南支行</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银行帐号：32001735038052500575</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地址：江苏省盐城市解放南路283号</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电话：0515-88550311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2.4具有AA评级及以上政府采购供应商，提供信用管理部门备案的第三方信用报告（可在“信用盐城”查证），可以向采购人申请免收履约保证金或降低履约保证金缴纳比例；否则采购人有权取消其成交资格。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2.5履约保证金用以约束成交供应商在合同履行中的行为，弥补合同执行中由于自身行为可能给采购人带来的各种损失。如果成交供应商不同意按照规定去做，采购人有权取消本次采购成交决定。</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3、代理服务费(详见前附表）</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3.1代理服务费收费标准：代理服务费（中标服务费）：本项目的代理服务费由成交供应商承担。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3.2代理服务费支付形式为：电款、转账等；发票为普通发票。账户信息：开户名：盐城市携手阳光集中采购代理有限公司；开户行：兴业银行盐城分行；帐号：402010100100119375）。如中标单位逾期未支持中标服务费的，携手阳光公司有权全额没收其相关保证金作为预定的损害赔偿（超出收费标准部分作为资金占用赔偿），并保留诉讼的权利。</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4、成交供应商违约、违规责任</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pacing w:val="15"/>
          <w:kern w:val="0"/>
          <w:szCs w:val="21"/>
          <w:highlight w:val="none"/>
        </w:rPr>
      </w:pPr>
      <w:r>
        <w:rPr>
          <w:rFonts w:hint="eastAsia" w:ascii="宋体" w:hAnsi="宋体" w:cs="宋体"/>
          <w:color w:val="auto"/>
          <w:szCs w:val="21"/>
          <w:highlight w:val="none"/>
        </w:rPr>
        <w:t>4.1</w:t>
      </w:r>
      <w:r>
        <w:rPr>
          <w:rFonts w:hint="eastAsia" w:ascii="宋体" w:hAnsi="宋体" w:cs="宋体"/>
          <w:color w:val="auto"/>
          <w:spacing w:val="15"/>
          <w:kern w:val="0"/>
          <w:szCs w:val="21"/>
          <w:highlight w:val="none"/>
        </w:rPr>
        <w:t>政府采购遵循诚实信用原则。为保证政府采购效率及采购人的合法权益，</w:t>
      </w:r>
      <w:r>
        <w:rPr>
          <w:rFonts w:hint="eastAsia" w:ascii="宋体" w:hAnsi="宋体" w:cs="宋体"/>
          <w:color w:val="auto"/>
          <w:szCs w:val="21"/>
          <w:highlight w:val="none"/>
        </w:rPr>
        <w:t>成交供应商出现违约、违规的，按照有利于采购人的原则处理。即：如采购文件、投标（响应）文件及合同条款约定中对成交供应商有不同违约、违规规定的，按照处罚最高的规定处理（供应商承担）。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4.2如成交供应商出现下例情况的，采购人或采购代理机构有权拒绝其供应商参加采购代理机构代理的或采购人的各类招标采购活动（视为没有良好的商业信誉而拒绝参加）：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逾期未与采购人签订合同（放弃成交）；2、未能在规定的时间内完成施工或达到采购人的验收；3、未按照采购文件、投标（响应）文件及合同条款履约；4、成交供应商逾期未向携手阳光公司支持招标代理服务费的（视为没有良好的商业信誉）；5、出现其它违法、违规、违约行为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以上情节严重的，将报请政府采购监督管理部门进行相应的行政处罚。造成采购人损失的，成交供应商须承担全部赔偿责任，采购人保留诉讼的权利。</w:t>
      </w:r>
      <w:r>
        <w:rPr>
          <w:rFonts w:hint="eastAsia" w:ascii="宋体" w:hAnsi="宋体" w:cs="宋体"/>
          <w:color w:val="auto"/>
          <w:spacing w:val="15"/>
          <w:kern w:val="0"/>
          <w:szCs w:val="21"/>
          <w:highlight w:val="none"/>
        </w:rPr>
        <w:t>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4.3法律法规规定的其它违约、违规责任。</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center"/>
        <w:textAlignment w:val="auto"/>
        <w:outlineLvl w:val="1"/>
        <w:rPr>
          <w:rFonts w:ascii="宋体" w:hAnsi="宋体" w:cs="宋体"/>
          <w:color w:val="auto"/>
          <w:szCs w:val="21"/>
          <w:highlight w:val="none"/>
        </w:rPr>
      </w:pPr>
      <w:bookmarkStart w:id="138" w:name="_Toc25736"/>
      <w:r>
        <w:rPr>
          <w:rFonts w:hint="eastAsia" w:ascii="宋体" w:hAnsi="宋体" w:cs="宋体"/>
          <w:b/>
          <w:color w:val="auto"/>
          <w:szCs w:val="21"/>
          <w:highlight w:val="none"/>
        </w:rPr>
        <w:t>七、其他</w:t>
      </w:r>
      <w:bookmarkEnd w:id="138"/>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1、政府采购履约资金扶持政策</w:t>
      </w:r>
      <w:r>
        <w:rPr>
          <w:rFonts w:hint="eastAsia" w:ascii="宋体" w:hAnsi="宋体" w:cs="宋体"/>
          <w:color w:val="auto"/>
          <w:szCs w:val="21"/>
          <w:highlight w:val="none"/>
        </w:rPr>
        <w:t>：根据国家扶持中小企业的有关政策，政府采购中标人在履约过程中如遇到资金困难，凭中标通知书在相关金融机构办理授信申请。相关事宜向采购代理机构咨询。</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2、解释（定义）及其它：</w:t>
      </w:r>
      <w:r>
        <w:rPr>
          <w:rFonts w:hint="eastAsia" w:ascii="宋体" w:hAnsi="宋体" w:cs="宋体"/>
          <w:color w:val="auto"/>
          <w:szCs w:val="21"/>
          <w:highlight w:val="none"/>
        </w:rPr>
        <w:t>本次采购活动（含采购文件）中的“货物”包含需要涉及（使用）的服务、工程等有关的所有事宜，“服务”包含需要涉及（使用）的货物、工程等有关的所有事宜，“工程”包含需要涉及（使用）的货物、服务等有关的所有事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如无特殊说明，本次招标使用时间为北京时间（24小时制）、日历天；使用货币单位为人民币。</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如无特殊说明，本招标文件中近三个月、近三年等时间均以投标文件递交截止时间（当年或当月）为准[例：递交截止时间为2020年7月1日，近三个月以来是指2020年4月（含）以来；近三年以来是指2017年（含）以来]。如为2018年以来的，是指2018年1月1日以来。如设定年龄的，以出生当年计[不以具体出生月日计。例：递交截止时间为2020年，50岁以下是指1970年1月1日（含）以后出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如投标人为非法人单位的，“法定代表人”可为自然人本人、经营者本人、负责人。</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如招标文件中要求提供原件的，原件须与投标文件一起递交，否视为未提供（未响应）。如相关原件以装订等方式装订在投标文件中的，视为一次性证明，不再退还给投标人。“原件备查”是指原件须与投标文件一起携带到投标文件递交地点直至评审结束。评审期间，如评委需要核查原件时，携手阳光公司工作人员将以电话方式通知投标人代表</w:t>
      </w:r>
      <w:r>
        <w:rPr>
          <w:rFonts w:hint="eastAsia" w:ascii="宋体" w:hAnsi="宋体" w:cs="宋体"/>
          <w:bCs/>
          <w:color w:val="auto"/>
          <w:szCs w:val="21"/>
          <w:highlight w:val="none"/>
        </w:rPr>
        <w:t>（以投标文件为准）</w:t>
      </w:r>
      <w:r>
        <w:rPr>
          <w:rFonts w:hint="eastAsia" w:ascii="宋体" w:hAnsi="宋体" w:cs="宋体"/>
          <w:color w:val="auto"/>
          <w:szCs w:val="21"/>
          <w:highlight w:val="none"/>
        </w:rPr>
        <w:t>，投标人代表必须在接到通知15分钟以内向评委提供（可由携手阳光公司工作人员转交），否视为未提供。</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投标人应确保相关证书的有效性（如：证书所注明的有效时间在投标文件递交时间之后）。如证书有效性可以不受证书时间限制的，投标人应当在投标文件中进行说明并提供相关法律依据，以便评委评审。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本采购文件中所称的“以上”、“以下”、“内”、“以内”，包括本数；所称的“不足”，不包括本数；本采购文件当中“投标”、“投标人”、“投标文件”、“中标”、“中标人”等，分别是指（本次采购活动中可以称为）“参加招标响应”、“参加竞争性招标的供应商”、“招标响应文件”、“成交”、“ 成交供应商”等；</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3、特别说明：采购文件如有异议或表达不准，供应商应当在获取采购文件后及时（3个工作日内）与采购代理机构联系。由此导致投标（响应）文件无效，由各供应商自行承担责任。</w:t>
      </w:r>
    </w:p>
    <w:p>
      <w:pPr>
        <w:spacing w:line="440" w:lineRule="exact"/>
        <w:ind w:firstLine="422" w:firstLineChars="200"/>
        <w:jc w:val="left"/>
        <w:rPr>
          <w:rFonts w:ascii="宋体" w:hAnsi="宋体" w:cs="宋体"/>
          <w:b/>
          <w:color w:val="auto"/>
          <w:szCs w:val="21"/>
          <w:highlight w:val="none"/>
        </w:rPr>
      </w:pPr>
    </w:p>
    <w:p>
      <w:pPr>
        <w:pStyle w:val="32"/>
        <w:spacing w:line="440" w:lineRule="exact"/>
        <w:rPr>
          <w:rFonts w:cs="宋体"/>
          <w:color w:val="auto"/>
          <w:szCs w:val="21"/>
          <w:highlight w:val="none"/>
        </w:rPr>
      </w:pPr>
    </w:p>
    <w:p>
      <w:pPr>
        <w:pStyle w:val="32"/>
        <w:spacing w:line="440" w:lineRule="exact"/>
        <w:rPr>
          <w:rFonts w:cs="宋体"/>
          <w:color w:val="auto"/>
          <w:szCs w:val="21"/>
          <w:highlight w:val="none"/>
        </w:rPr>
      </w:pPr>
    </w:p>
    <w:p>
      <w:pPr>
        <w:pStyle w:val="32"/>
        <w:spacing w:line="440" w:lineRule="exact"/>
        <w:rPr>
          <w:rFonts w:cs="宋体"/>
          <w:color w:val="auto"/>
          <w:szCs w:val="21"/>
          <w:highlight w:val="none"/>
        </w:rPr>
      </w:pPr>
    </w:p>
    <w:p>
      <w:pPr>
        <w:pStyle w:val="32"/>
        <w:spacing w:line="440" w:lineRule="exact"/>
        <w:rPr>
          <w:rFonts w:cs="宋体"/>
          <w:color w:val="auto"/>
          <w:szCs w:val="21"/>
          <w:highlight w:val="none"/>
        </w:rPr>
      </w:pPr>
    </w:p>
    <w:p>
      <w:pPr>
        <w:pStyle w:val="32"/>
        <w:spacing w:line="440" w:lineRule="exact"/>
        <w:rPr>
          <w:rFonts w:cs="宋体"/>
          <w:color w:val="auto"/>
          <w:szCs w:val="21"/>
          <w:highlight w:val="none"/>
        </w:rPr>
      </w:pPr>
    </w:p>
    <w:p>
      <w:pPr>
        <w:pStyle w:val="32"/>
        <w:spacing w:line="440" w:lineRule="exact"/>
        <w:rPr>
          <w:rFonts w:cs="宋体"/>
          <w:color w:val="auto"/>
          <w:szCs w:val="21"/>
          <w:highlight w:val="none"/>
        </w:rPr>
      </w:pPr>
    </w:p>
    <w:p>
      <w:pPr>
        <w:spacing w:line="440" w:lineRule="exact"/>
        <w:rPr>
          <w:rFonts w:ascii="宋体" w:hAnsi="宋体" w:cs="宋体"/>
          <w:b/>
          <w:color w:val="auto"/>
          <w:szCs w:val="21"/>
          <w:highlight w:val="none"/>
        </w:rPr>
      </w:pPr>
      <w:bookmarkStart w:id="139" w:name="_Toc108041640"/>
    </w:p>
    <w:p>
      <w:pPr>
        <w:spacing w:line="440" w:lineRule="exact"/>
        <w:jc w:val="center"/>
        <w:rPr>
          <w:rFonts w:ascii="宋体" w:hAnsi="宋体" w:cs="宋体"/>
          <w:b/>
          <w:color w:val="auto"/>
          <w:szCs w:val="21"/>
          <w:highlight w:val="none"/>
        </w:rPr>
      </w:pPr>
      <w:bookmarkStart w:id="140" w:name="_Toc108881174"/>
    </w:p>
    <w:p>
      <w:pPr>
        <w:spacing w:line="440" w:lineRule="exact"/>
        <w:jc w:val="center"/>
        <w:rPr>
          <w:rFonts w:ascii="宋体" w:hAnsi="宋体" w:cs="宋体"/>
          <w:b/>
          <w:color w:val="auto"/>
          <w:szCs w:val="21"/>
          <w:highlight w:val="none"/>
        </w:rPr>
      </w:pPr>
    </w:p>
    <w:p>
      <w:pPr>
        <w:spacing w:line="440" w:lineRule="exact"/>
        <w:jc w:val="center"/>
        <w:rPr>
          <w:rFonts w:ascii="宋体" w:hAnsi="宋体" w:cs="宋体"/>
          <w:b/>
          <w:color w:val="auto"/>
          <w:szCs w:val="21"/>
          <w:highlight w:val="none"/>
        </w:rPr>
      </w:pPr>
    </w:p>
    <w:p>
      <w:pPr>
        <w:spacing w:line="440" w:lineRule="exact"/>
        <w:jc w:val="center"/>
        <w:rPr>
          <w:rFonts w:ascii="宋体" w:hAnsi="宋体" w:cs="宋体"/>
          <w:b/>
          <w:color w:val="auto"/>
          <w:szCs w:val="21"/>
          <w:highlight w:val="none"/>
        </w:rPr>
      </w:pPr>
    </w:p>
    <w:p>
      <w:pPr>
        <w:spacing w:line="440" w:lineRule="exact"/>
        <w:jc w:val="center"/>
        <w:rPr>
          <w:rFonts w:ascii="宋体" w:hAnsi="宋体" w:cs="宋体"/>
          <w:b/>
          <w:color w:val="auto"/>
          <w:szCs w:val="21"/>
          <w:highlight w:val="none"/>
        </w:rPr>
      </w:pPr>
    </w:p>
    <w:p>
      <w:pPr>
        <w:spacing w:line="440" w:lineRule="exact"/>
        <w:jc w:val="center"/>
        <w:rPr>
          <w:rFonts w:ascii="宋体" w:hAnsi="宋体" w:cs="宋体"/>
          <w:b/>
          <w:color w:val="auto"/>
          <w:szCs w:val="21"/>
          <w:highlight w:val="none"/>
        </w:rPr>
      </w:pPr>
    </w:p>
    <w:p>
      <w:pPr>
        <w:spacing w:line="440" w:lineRule="exact"/>
        <w:jc w:val="center"/>
        <w:rPr>
          <w:rFonts w:ascii="宋体" w:hAnsi="宋体" w:cs="宋体"/>
          <w:b/>
          <w:color w:val="auto"/>
          <w:szCs w:val="21"/>
          <w:highlight w:val="none"/>
        </w:rPr>
      </w:pPr>
    </w:p>
    <w:p>
      <w:pPr>
        <w:rPr>
          <w:rFonts w:ascii="宋体" w:hAnsi="宋体" w:cs="宋体"/>
          <w:color w:val="auto"/>
          <w:szCs w:val="21"/>
          <w:highlight w:val="none"/>
        </w:rPr>
      </w:pPr>
      <w:bookmarkStart w:id="141" w:name="_Toc115881315"/>
    </w:p>
    <w:p>
      <w:pPr>
        <w:spacing w:line="440" w:lineRule="exact"/>
        <w:rPr>
          <w:rFonts w:ascii="宋体" w:hAnsi="宋体" w:cs="宋体"/>
          <w:b/>
          <w:color w:val="auto"/>
          <w:szCs w:val="21"/>
          <w:highlight w:val="none"/>
        </w:rPr>
      </w:pPr>
    </w:p>
    <w:p>
      <w:pPr>
        <w:spacing w:line="460" w:lineRule="exact"/>
        <w:jc w:val="center"/>
        <w:outlineLvl w:val="0"/>
        <w:rPr>
          <w:rFonts w:ascii="宋体" w:hAnsi="宋体" w:cs="宋体"/>
          <w:b/>
          <w:color w:val="auto"/>
          <w:sz w:val="28"/>
          <w:szCs w:val="21"/>
          <w:highlight w:val="none"/>
        </w:rPr>
      </w:pPr>
      <w:bookmarkStart w:id="142" w:name="_Toc9156"/>
      <w:r>
        <w:rPr>
          <w:rFonts w:hint="eastAsia" w:ascii="宋体" w:hAnsi="宋体" w:cs="宋体"/>
          <w:b/>
          <w:color w:val="auto"/>
          <w:sz w:val="28"/>
          <w:szCs w:val="21"/>
          <w:highlight w:val="none"/>
        </w:rPr>
        <w:t>第三章 采购需求及政府采购合同（拟签订的合同文本）</w:t>
      </w:r>
      <w:bookmarkEnd w:id="139"/>
      <w:bookmarkEnd w:id="140"/>
      <w:bookmarkEnd w:id="141"/>
      <w:bookmarkEnd w:id="142"/>
      <w:bookmarkStart w:id="143" w:name="_Toc108041641"/>
    </w:p>
    <w:p>
      <w:pPr>
        <w:spacing w:line="440" w:lineRule="exact"/>
        <w:jc w:val="center"/>
        <w:rPr>
          <w:rFonts w:ascii="宋体" w:hAnsi="宋体" w:cs="宋体"/>
          <w:b/>
          <w:color w:val="auto"/>
          <w:szCs w:val="21"/>
          <w:highlight w:val="none"/>
        </w:rPr>
      </w:pPr>
      <w:r>
        <w:rPr>
          <w:rFonts w:hint="eastAsia" w:ascii="宋体" w:hAnsi="宋体" w:cs="宋体"/>
          <w:b/>
          <w:bCs/>
          <w:color w:val="auto"/>
          <w:szCs w:val="21"/>
          <w:highlight w:val="none"/>
        </w:rPr>
        <w:t>采购需求及</w:t>
      </w:r>
      <w:r>
        <w:rPr>
          <w:rFonts w:hint="eastAsia" w:ascii="宋体" w:hAnsi="宋体" w:cs="宋体"/>
          <w:b/>
          <w:color w:val="auto"/>
          <w:szCs w:val="21"/>
          <w:highlight w:val="none"/>
        </w:rPr>
        <w:t>政府采购合同</w:t>
      </w:r>
      <w:r>
        <w:rPr>
          <w:rFonts w:hint="eastAsia" w:ascii="宋体" w:hAnsi="宋体" w:cs="宋体"/>
          <w:b/>
          <w:bCs/>
          <w:color w:val="auto"/>
          <w:szCs w:val="21"/>
          <w:highlight w:val="none"/>
        </w:rPr>
        <w:t>前附表</w:t>
      </w:r>
      <w:bookmarkEnd w:id="143"/>
    </w:p>
    <w:p>
      <w:pPr>
        <w:spacing w:line="440" w:lineRule="exact"/>
        <w:ind w:left="420"/>
        <w:jc w:val="center"/>
        <w:rPr>
          <w:rFonts w:ascii="宋体" w:hAnsi="宋体" w:cs="宋体"/>
          <w:b/>
          <w:color w:val="auto"/>
          <w:szCs w:val="21"/>
          <w:highlight w:val="none"/>
        </w:rPr>
      </w:pPr>
      <w:r>
        <w:rPr>
          <w:rFonts w:hint="eastAsia" w:ascii="宋体" w:hAnsi="宋体" w:cs="宋体"/>
          <w:b/>
          <w:color w:val="auto"/>
          <w:szCs w:val="21"/>
          <w:highlight w:val="none"/>
        </w:rPr>
        <w:t>★本表是</w:t>
      </w:r>
      <w:r>
        <w:rPr>
          <w:rFonts w:hint="eastAsia" w:ascii="宋体" w:hAnsi="宋体" w:cs="宋体"/>
          <w:b/>
          <w:bCs/>
          <w:color w:val="auto"/>
          <w:szCs w:val="21"/>
          <w:highlight w:val="none"/>
        </w:rPr>
        <w:t>采购需求及</w:t>
      </w:r>
      <w:r>
        <w:rPr>
          <w:rFonts w:hint="eastAsia" w:ascii="宋体" w:hAnsi="宋体" w:cs="宋体"/>
          <w:b/>
          <w:color w:val="auto"/>
          <w:szCs w:val="21"/>
          <w:highlight w:val="none"/>
        </w:rPr>
        <w:t>政府采购合同相关内容的说明和补充，如有矛盾，应以本表为准。</w:t>
      </w:r>
    </w:p>
    <w:tbl>
      <w:tblPr>
        <w:tblStyle w:val="33"/>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910"/>
        <w:gridCol w:w="67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82" w:hRule="atLeast"/>
          <w:jc w:val="center"/>
        </w:trPr>
        <w:tc>
          <w:tcPr>
            <w:tcW w:w="2910"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6729"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相关要求（说明）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05" w:hRule="atLeast"/>
          <w:jc w:val="center"/>
        </w:trPr>
        <w:tc>
          <w:tcPr>
            <w:tcW w:w="2910"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采购标的需实现的功能或者目标，采购标的的数量，所有技术、服务、安全等要求</w:t>
            </w:r>
          </w:p>
        </w:tc>
        <w:tc>
          <w:tcPr>
            <w:tcW w:w="6729" w:type="dxa"/>
            <w:vAlign w:val="center"/>
          </w:tcPr>
          <w:p>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略，详见“采购需求”部分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4" w:hRule="atLeast"/>
          <w:jc w:val="center"/>
        </w:trPr>
        <w:tc>
          <w:tcPr>
            <w:tcW w:w="2910"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★服务期限</w:t>
            </w:r>
          </w:p>
        </w:tc>
        <w:tc>
          <w:tcPr>
            <w:tcW w:w="6729" w:type="dxa"/>
            <w:vAlign w:val="center"/>
          </w:tcPr>
          <w:p>
            <w:pPr>
              <w:widowControl/>
              <w:tabs>
                <w:tab w:val="left" w:pos="851"/>
              </w:tabs>
              <w:spacing w:before="163" w:after="163" w:line="440" w:lineRule="exact"/>
              <w:jc w:val="left"/>
              <w:rPr>
                <w:rFonts w:ascii="宋体" w:hAnsi="宋体" w:cs="宋体"/>
                <w:b/>
                <w:bCs/>
                <w:color w:val="auto"/>
                <w:szCs w:val="21"/>
                <w:highlight w:val="none"/>
              </w:rPr>
            </w:pPr>
            <w:r>
              <w:rPr>
                <w:rFonts w:hint="eastAsia" w:ascii="宋体" w:hAnsi="宋体" w:cs="宋体"/>
                <w:color w:val="auto"/>
                <w:szCs w:val="21"/>
                <w:highlight w:val="none"/>
              </w:rPr>
              <w:t>三年，合同一年一签，每年考核合格可续签（服务期满后在满足最新财政政策的同时，服务期限内无事故、无特殊情况下，经考核，可续期签订第二年的服务合同，续签次数不超过 2次）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4" w:hRule="atLeast"/>
          <w:jc w:val="center"/>
        </w:trPr>
        <w:tc>
          <w:tcPr>
            <w:tcW w:w="2910"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★交付或者实施的地点</w:t>
            </w:r>
          </w:p>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（交付地点或施工地点）</w:t>
            </w:r>
          </w:p>
        </w:tc>
        <w:tc>
          <w:tcPr>
            <w:tcW w:w="6729" w:type="dxa"/>
            <w:vAlign w:val="center"/>
          </w:tcPr>
          <w:p>
            <w:pPr>
              <w:spacing w:line="44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江苏医药职业学院指定地点（具体地点以采购人通知为准）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61" w:hRule="atLeast"/>
          <w:jc w:val="center"/>
        </w:trPr>
        <w:tc>
          <w:tcPr>
            <w:tcW w:w="2910" w:type="dxa"/>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★采购资金的支付方式、时间、条件（付款方式）</w:t>
            </w:r>
          </w:p>
        </w:tc>
        <w:tc>
          <w:tcPr>
            <w:tcW w:w="6729" w:type="dxa"/>
            <w:vAlign w:val="center"/>
          </w:tcPr>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1.支付方式：电汇或转账等非现金方式</w:t>
            </w:r>
          </w:p>
          <w:p>
            <w:pPr>
              <w:pStyle w:val="19"/>
              <w:adjustRightInd w:val="0"/>
              <w:snapToGrid w:val="0"/>
              <w:spacing w:line="360" w:lineRule="auto"/>
              <w:ind w:firstLine="40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2.支付时间、条件付款方式：</w:t>
            </w:r>
            <w:r>
              <w:rPr>
                <w:rFonts w:hint="eastAsia" w:ascii="宋体" w:hAnsi="宋体" w:eastAsia="宋体" w:cs="宋体"/>
                <w:color w:val="auto"/>
                <w:kern w:val="2"/>
                <w:sz w:val="21"/>
                <w:szCs w:val="21"/>
                <w:highlight w:val="none"/>
                <w:lang w:val="en-US" w:eastAsia="zh-CN" w:bidi="ar-SA"/>
              </w:rPr>
              <w:t>本项目车辆租赁费用按次或分批结算，具体根据招标人要求执行。结算时按招标人实际使用数量（招标人保留与中标单位共同协调租车费用的权利，中标单位提供经招标人确认的租车费用结算清单）结合中标单位中标单价（下浮率）结算，中标单位在招标人支付前须提供有效合法的等额增值税专用发票，详见合同（十、货款支付）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13" w:hRule="atLeast"/>
          <w:jc w:val="center"/>
        </w:trPr>
        <w:tc>
          <w:tcPr>
            <w:tcW w:w="9639" w:type="dxa"/>
            <w:gridSpan w:val="2"/>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本表当中，加★部分为实质性要求，不接受负偏离。</w:t>
            </w:r>
          </w:p>
        </w:tc>
      </w:tr>
    </w:tbl>
    <w:p>
      <w:pPr>
        <w:pStyle w:val="2"/>
        <w:spacing w:line="440" w:lineRule="exact"/>
        <w:jc w:val="center"/>
        <w:rPr>
          <w:rFonts w:ascii="宋体" w:hAnsi="宋体" w:eastAsia="宋体" w:cs="宋体"/>
          <w:b/>
          <w:color w:val="auto"/>
          <w:sz w:val="21"/>
          <w:szCs w:val="21"/>
          <w:highlight w:val="none"/>
        </w:rPr>
      </w:pPr>
      <w:bookmarkStart w:id="144" w:name="_Toc18313"/>
      <w:bookmarkStart w:id="145" w:name="_Toc115881316"/>
      <w:bookmarkStart w:id="146" w:name="_Toc108881176"/>
      <w:bookmarkStart w:id="147" w:name="_Toc108041642"/>
    </w:p>
    <w:p>
      <w:pPr>
        <w:rPr>
          <w:color w:val="auto"/>
          <w:highlight w:val="none"/>
        </w:rPr>
      </w:pPr>
    </w:p>
    <w:p>
      <w:pPr>
        <w:pStyle w:val="2"/>
        <w:spacing w:line="440" w:lineRule="exact"/>
        <w:rPr>
          <w:rFonts w:ascii="宋体" w:hAnsi="宋体" w:eastAsia="宋体" w:cs="宋体"/>
          <w:b/>
          <w:color w:val="auto"/>
          <w:sz w:val="21"/>
          <w:szCs w:val="21"/>
          <w:highlight w:val="none"/>
        </w:rPr>
      </w:pPr>
    </w:p>
    <w:p>
      <w:pPr>
        <w:rPr>
          <w:color w:val="auto"/>
          <w:highlight w:val="none"/>
        </w:rPr>
      </w:pPr>
    </w:p>
    <w:p>
      <w:pPr>
        <w:rPr>
          <w:color w:val="auto"/>
          <w:highlight w:val="none"/>
        </w:rPr>
      </w:pPr>
    </w:p>
    <w:p>
      <w:pPr>
        <w:rPr>
          <w:color w:val="auto"/>
          <w:highlight w:val="none"/>
        </w:rPr>
      </w:pPr>
    </w:p>
    <w:p>
      <w:pPr>
        <w:pStyle w:val="2"/>
        <w:spacing w:line="440" w:lineRule="exact"/>
        <w:jc w:val="center"/>
        <w:outlineLvl w:val="1"/>
        <w:rPr>
          <w:rFonts w:ascii="宋体" w:hAnsi="宋体" w:eastAsia="宋体" w:cs="宋体"/>
          <w:b/>
          <w:color w:val="auto"/>
          <w:sz w:val="21"/>
          <w:szCs w:val="21"/>
          <w:highlight w:val="none"/>
        </w:rPr>
      </w:pPr>
      <w:bookmarkStart w:id="148" w:name="_Toc17460"/>
    </w:p>
    <w:p>
      <w:pPr>
        <w:pStyle w:val="2"/>
        <w:spacing w:line="440" w:lineRule="exact"/>
        <w:outlineLvl w:val="1"/>
        <w:rPr>
          <w:rFonts w:ascii="宋体" w:hAnsi="宋体" w:eastAsia="宋体" w:cs="宋体"/>
          <w:b/>
          <w:color w:val="auto"/>
          <w:sz w:val="21"/>
          <w:szCs w:val="21"/>
          <w:highlight w:val="none"/>
        </w:rPr>
      </w:pPr>
    </w:p>
    <w:p>
      <w:pPr>
        <w:pStyle w:val="2"/>
        <w:spacing w:line="440" w:lineRule="exact"/>
        <w:jc w:val="center"/>
        <w:outlineLvl w:val="1"/>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第一部分：采购需求及参数要求</w:t>
      </w:r>
      <w:bookmarkEnd w:id="144"/>
      <w:bookmarkEnd w:id="145"/>
      <w:bookmarkEnd w:id="148"/>
    </w:p>
    <w:bookmarkEnd w:id="146"/>
    <w:bookmarkEnd w:id="147"/>
    <w:p>
      <w:pPr>
        <w:spacing w:line="360" w:lineRule="auto"/>
        <w:rPr>
          <w:rFonts w:ascii="宋体" w:hAnsi="宋体" w:cs="宋体"/>
          <w:b/>
          <w:color w:val="auto"/>
          <w:szCs w:val="21"/>
          <w:highlight w:val="none"/>
        </w:rPr>
      </w:pPr>
      <w:bookmarkStart w:id="149" w:name="_Toc115881320"/>
      <w:bookmarkStart w:id="150" w:name="_Toc108041646"/>
      <w:bookmarkStart w:id="151" w:name="_Toc108881184"/>
      <w:r>
        <w:rPr>
          <w:rFonts w:hint="eastAsia" w:ascii="宋体" w:hAnsi="宋体" w:cs="宋体"/>
          <w:b/>
          <w:color w:val="auto"/>
          <w:szCs w:val="21"/>
          <w:highlight w:val="none"/>
        </w:rPr>
        <w:t>一、项目综合说明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1、项目名称：江苏医药职业学院公务用车租赁（19座及以上客车）服务项目。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2、服务地点：江苏医药职业学院校外公务用车部门指定地点。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3、招标范围及招标内容：江苏医药职业学院公务用车租赁（19座及以上客车）服务项目，详细业务用车需求以招标文件清单和招标人要求为准。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4、标段划分：19座以上车辆(一般是19座含司机小型客车、20-45座含司机中型客车、45-55座含司机大型客车)。</w:t>
      </w:r>
    </w:p>
    <w:p>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szCs w:val="21"/>
          <w:highlight w:val="none"/>
        </w:rPr>
        <w:t>5、服务期：三年，合同一年一签，每年考核合格可续签（服务期满后在满足最新财政政策的同时，服务期限内无事故、无特殊情况下，经考核，可续期签订第二年的服务合同，续签次数不超过 2 次）</w:t>
      </w:r>
    </w:p>
    <w:bookmarkEnd w:id="149"/>
    <w:bookmarkEnd w:id="150"/>
    <w:bookmarkEnd w:id="151"/>
    <w:p>
      <w:pPr>
        <w:spacing w:line="360" w:lineRule="auto"/>
        <w:rPr>
          <w:rFonts w:ascii="宋体" w:hAnsi="宋体" w:cs="宋体"/>
          <w:b/>
          <w:color w:val="auto"/>
          <w:szCs w:val="21"/>
          <w:highlight w:val="none"/>
        </w:rPr>
      </w:pPr>
      <w:bookmarkStart w:id="152" w:name="_Toc108881185"/>
      <w:bookmarkStart w:id="153" w:name="_Toc108041647"/>
      <w:r>
        <w:rPr>
          <w:rFonts w:hint="eastAsia" w:ascii="宋体" w:hAnsi="宋体" w:cs="宋体"/>
          <w:b/>
          <w:color w:val="auto"/>
          <w:szCs w:val="21"/>
          <w:highlight w:val="none"/>
        </w:rPr>
        <w:t>二、车辆及限价要求</w:t>
      </w:r>
    </w:p>
    <w:p>
      <w:pPr>
        <w:spacing w:line="276"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租赁限价和基准里程公里限价是报价的最高价格。如报价中的代号F租赁一天不超过900元，公里费用不超过4.5元/Km。（学校用车所产生的高速公路费、过路费、停车费、油费、驾驶员食宿费、乘客安全保险等费用均由中标服务公司承担。）</w:t>
      </w:r>
    </w:p>
    <w:tbl>
      <w:tblPr>
        <w:tblStyle w:val="48"/>
        <w:tblW w:w="9656"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7"/>
        <w:gridCol w:w="1159"/>
        <w:gridCol w:w="1786"/>
        <w:gridCol w:w="1684"/>
        <w:gridCol w:w="1402"/>
        <w:gridCol w:w="29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代号</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车型</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参照或相当于</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租赁限价(元)</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基准里程</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超出基准里程公里费用(元)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A</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19 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考斯特</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400元/半天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超过100Km，增加到4.10元/Km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B</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19 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考斯特</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800元/天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超过200Km，增加到4.10元/Km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C</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20-35座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400元/半天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超过100Km，增加到4.30元/Km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D</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20-35座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800元/天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超过200Km，增加到4.30元/Km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E</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36-45座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450元/半天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超过100Km，增加到4.70元/Km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F</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36-45座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900元/天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超过200Km，增加到4.70元/Km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6"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G</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46-55座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500元/半天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超过100Km，增加到5.30元/Km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67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H</w:t>
            </w:r>
          </w:p>
        </w:tc>
        <w:tc>
          <w:tcPr>
            <w:tcW w:w="1159"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46-55座</w:t>
            </w:r>
          </w:p>
        </w:tc>
        <w:tc>
          <w:tcPr>
            <w:tcW w:w="1786"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68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1000元/天</w:t>
            </w:r>
          </w:p>
        </w:tc>
        <w:tc>
          <w:tcPr>
            <w:tcW w:w="140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948"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超过200Km，增加到5.30元/Km</w:t>
            </w:r>
          </w:p>
        </w:tc>
      </w:tr>
    </w:tbl>
    <w:p>
      <w:pPr>
        <w:spacing w:line="360" w:lineRule="auto"/>
        <w:rPr>
          <w:rFonts w:hint="eastAsia"/>
          <w:b/>
          <w:bCs/>
          <w:color w:val="auto"/>
          <w:highlight w:val="none"/>
        </w:rPr>
      </w:pPr>
      <w:r>
        <w:rPr>
          <w:rFonts w:hint="eastAsia"/>
          <w:b/>
          <w:bCs/>
          <w:color w:val="auto"/>
          <w:highlight w:val="none"/>
        </w:rPr>
        <w:t>说明：</w:t>
      </w:r>
    </w:p>
    <w:p>
      <w:pPr>
        <w:spacing w:line="360" w:lineRule="auto"/>
        <w:ind w:firstLine="420" w:firstLineChars="200"/>
        <w:rPr>
          <w:rFonts w:hint="eastAsia"/>
          <w:color w:val="auto"/>
          <w:highlight w:val="none"/>
        </w:rPr>
      </w:pPr>
      <w:r>
        <w:rPr>
          <w:rFonts w:hint="eastAsia"/>
          <w:color w:val="auto"/>
          <w:highlight w:val="none"/>
        </w:rPr>
        <w:t>1.以代号A为例：车辆租用半天，</w:t>
      </w:r>
      <w:r>
        <w:rPr>
          <w:rFonts w:hint="eastAsia"/>
          <w:color w:val="auto"/>
          <w:highlight w:val="none"/>
          <w:lang w:eastAsia="zh-CN"/>
        </w:rPr>
        <w:t>如</w:t>
      </w:r>
      <w:r>
        <w:rPr>
          <w:rFonts w:hint="eastAsia"/>
          <w:color w:val="auto"/>
          <w:highlight w:val="none"/>
        </w:rPr>
        <w:t>行驶里程不超过100Km，租车费用为400元；如半天行驶里程为200Km，则租车费用＝400+(200-100)×4.</w:t>
      </w:r>
      <w:r>
        <w:rPr>
          <w:rFonts w:hint="eastAsia"/>
          <w:color w:val="auto"/>
          <w:highlight w:val="none"/>
          <w:lang w:val="en-US" w:eastAsia="zh-CN"/>
        </w:rPr>
        <w:t>1</w:t>
      </w:r>
      <w:r>
        <w:rPr>
          <w:rFonts w:hint="eastAsia"/>
          <w:color w:val="auto"/>
          <w:highlight w:val="none"/>
        </w:rPr>
        <w:t>0＝8</w:t>
      </w:r>
      <w:r>
        <w:rPr>
          <w:rFonts w:hint="eastAsia"/>
          <w:color w:val="auto"/>
          <w:highlight w:val="none"/>
          <w:lang w:val="en-US" w:eastAsia="zh-CN"/>
        </w:rPr>
        <w:t>1</w:t>
      </w:r>
      <w:r>
        <w:rPr>
          <w:rFonts w:hint="eastAsia"/>
          <w:color w:val="auto"/>
          <w:highlight w:val="none"/>
        </w:rPr>
        <w:t>0.00元。</w:t>
      </w:r>
    </w:p>
    <w:p>
      <w:pPr>
        <w:spacing w:line="360" w:lineRule="auto"/>
        <w:ind w:firstLine="420" w:firstLineChars="200"/>
        <w:rPr>
          <w:rFonts w:hint="eastAsia"/>
          <w:color w:val="auto"/>
          <w:highlight w:val="none"/>
        </w:rPr>
      </w:pPr>
      <w:r>
        <w:rPr>
          <w:rFonts w:hint="eastAsia"/>
          <w:color w:val="auto"/>
          <w:highlight w:val="none"/>
        </w:rPr>
        <w:t>2.以代号D为例：车辆租用2天，</w:t>
      </w:r>
      <w:r>
        <w:rPr>
          <w:rFonts w:hint="eastAsia"/>
          <w:color w:val="auto"/>
          <w:highlight w:val="none"/>
          <w:lang w:eastAsia="zh-CN"/>
        </w:rPr>
        <w:t>如</w:t>
      </w:r>
      <w:r>
        <w:rPr>
          <w:rFonts w:hint="eastAsia"/>
          <w:color w:val="auto"/>
          <w:highlight w:val="none"/>
        </w:rPr>
        <w:t>行驶里程为</w:t>
      </w:r>
      <w:r>
        <w:rPr>
          <w:rFonts w:hint="eastAsia"/>
          <w:color w:val="auto"/>
          <w:highlight w:val="none"/>
          <w:lang w:val="en-US" w:eastAsia="zh-CN"/>
        </w:rPr>
        <w:t>6</w:t>
      </w:r>
      <w:r>
        <w:rPr>
          <w:rFonts w:hint="eastAsia"/>
          <w:color w:val="auto"/>
          <w:highlight w:val="none"/>
        </w:rPr>
        <w:t>00Km，则租车费用＝800×2+(</w:t>
      </w:r>
      <w:r>
        <w:rPr>
          <w:rFonts w:hint="eastAsia"/>
          <w:color w:val="auto"/>
          <w:highlight w:val="none"/>
          <w:lang w:val="en-US" w:eastAsia="zh-CN"/>
        </w:rPr>
        <w:t>6</w:t>
      </w:r>
      <w:r>
        <w:rPr>
          <w:rFonts w:hint="eastAsia"/>
          <w:color w:val="auto"/>
          <w:highlight w:val="none"/>
        </w:rPr>
        <w:t>00-</w:t>
      </w:r>
      <w:r>
        <w:rPr>
          <w:rFonts w:hint="eastAsia"/>
          <w:color w:val="auto"/>
          <w:highlight w:val="none"/>
          <w:lang w:val="en-US" w:eastAsia="zh-CN"/>
        </w:rPr>
        <w:t>4</w:t>
      </w:r>
      <w:r>
        <w:rPr>
          <w:rFonts w:hint="eastAsia"/>
          <w:color w:val="auto"/>
          <w:highlight w:val="none"/>
        </w:rPr>
        <w:t>00)×4.30＝</w:t>
      </w:r>
      <w:r>
        <w:rPr>
          <w:rFonts w:hint="eastAsia"/>
          <w:color w:val="auto"/>
          <w:highlight w:val="none"/>
          <w:lang w:val="en-US" w:eastAsia="zh-CN"/>
        </w:rPr>
        <w:t>2460</w:t>
      </w:r>
      <w:r>
        <w:rPr>
          <w:rFonts w:hint="eastAsia"/>
          <w:color w:val="auto"/>
          <w:highlight w:val="none"/>
        </w:rPr>
        <w:t>.00元。</w:t>
      </w:r>
    </w:p>
    <w:p>
      <w:pPr>
        <w:spacing w:line="360" w:lineRule="auto"/>
        <w:rPr>
          <w:b/>
          <w:bCs/>
          <w:color w:val="auto"/>
          <w:highlight w:val="none"/>
        </w:rPr>
      </w:pPr>
      <w:r>
        <w:rPr>
          <w:rFonts w:hint="eastAsia"/>
          <w:b/>
          <w:bCs/>
          <w:color w:val="auto"/>
          <w:highlight w:val="none"/>
        </w:rPr>
        <w:t>三、投标报价要求</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1、</w:t>
      </w:r>
      <w:r>
        <w:rPr>
          <w:rFonts w:hint="eastAsia" w:asciiTheme="minorEastAsia" w:hAnsiTheme="minorEastAsia" w:eastAsiaTheme="minorEastAsia" w:cstheme="minorEastAsia"/>
          <w:b/>
          <w:bCs/>
          <w:color w:val="auto"/>
          <w:highlight w:val="none"/>
        </w:rPr>
        <w:t>本项目采用下浮率报价</w:t>
      </w:r>
      <w:r>
        <w:rPr>
          <w:rFonts w:hint="eastAsia" w:asciiTheme="minorEastAsia" w:hAnsiTheme="minorEastAsia" w:eastAsiaTheme="minorEastAsia" w:cstheme="minorEastAsia"/>
          <w:b/>
          <w:bCs/>
          <w:color w:val="auto"/>
          <w:highlight w:val="none"/>
          <w:lang w:eastAsia="zh-CN"/>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、中标人中标后，中标下浮率不再调整，用车业务量按实结算。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投标报价应是满足招标人使用车辆需要的所有费用。投标人应充分考虑为满足招标业务用车需求内容所必须的直接和间接成本、油(电、气)费、过路过桥(渡)费、停车费、司机食宿费(市区)、驾驶员全额工资(含福利、社保等)、企业管理费、利润、税金以及车辆保养、修理、救援、中途换车、违章罚款、交通事故赔偿、风险费、材料损耗、车辆及驾乘人员以外事故的善后处理费用以及其他一切费用等所需的全部费用及其税金的价格体现，凡漏项或少计均视为优惠，招标人不另行增加费用。</w:t>
      </w:r>
    </w:p>
    <w:p>
      <w:pPr>
        <w:spacing w:line="360" w:lineRule="auto"/>
        <w:rPr>
          <w:rFonts w:ascii="宋体" w:hAnsi="宋体" w:cs="宋体"/>
          <w:b/>
          <w:bCs/>
          <w:color w:val="auto"/>
          <w:highlight w:val="none"/>
        </w:rPr>
      </w:pPr>
      <w:r>
        <w:rPr>
          <w:rFonts w:hint="eastAsia" w:ascii="宋体" w:hAnsi="宋体" w:cs="宋体"/>
          <w:b/>
          <w:bCs/>
          <w:color w:val="auto"/>
          <w:highlight w:val="none"/>
        </w:rPr>
        <w:t>四、其他要求</w:t>
      </w:r>
      <w:r>
        <w:rPr>
          <w:rFonts w:hint="eastAsia" w:ascii="宋体" w:hAnsi="宋体" w:cs="宋体"/>
          <w:b/>
          <w:bCs/>
          <w:color w:val="auto"/>
          <w:highlight w:val="none"/>
          <w:lang w:eastAsia="zh-CN"/>
        </w:rPr>
        <w:t>（投标时提供承诺函，格式自拟。）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1、在学校遇外事等重大公务接待时，有权指定租赁车辆、车型，且租车费用不变，若定点单位不能提供累计满3次的，学校有权终止合同。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2、定点单位未经学校相关租赁人员许可擅自变更驾驶人员、取消预约、服务不到位或未按约定时间提供租赁服务,上述情况累计满3次，学校有权终止合同。</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3、车辆配置要求：配置先进的安全装置；全部座椅安装安全带；车辆维护、技术管理规定要求明确；人员聘用及培训规范完善；所有车辆安装GPS装置并具备行业监管平台连通条件，并制定相应的运行监控制度。</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4、根据自身情况，在基本服务质量要求外，必须承诺卫生保洁、服务创新、服务质量标准化、应急方案、服务监督和重大活动服务保障等工作。</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所供出租车辆手续齐全，必须符合国家、行业技术标准和招标文件要求。投标人所供出租车辆使用年限应不超过7年,车辆需按照国家相关规定进行投保(交强险，商业险以及相关的车损险)。承租车辆的驾驶员需持有有效的相应准驾车型的中华人民共和国正式驾驶证。</w:t>
      </w:r>
    </w:p>
    <w:p>
      <w:pPr>
        <w:spacing w:line="360" w:lineRule="auto"/>
        <w:rPr>
          <w:rFonts w:hint="eastAsia" w:ascii="宋体" w:hAnsi="宋体" w:eastAsia="宋体" w:cs="宋体"/>
          <w:b/>
          <w:bCs/>
          <w:color w:val="auto"/>
          <w:highlight w:val="none"/>
          <w:lang w:eastAsia="zh-CN"/>
        </w:rPr>
      </w:pPr>
      <w:r>
        <w:rPr>
          <w:rFonts w:hint="eastAsia" w:ascii="宋体" w:hAnsi="宋体" w:cs="宋体"/>
          <w:b/>
          <w:bCs/>
          <w:color w:val="auto"/>
          <w:highlight w:val="none"/>
        </w:rPr>
        <w:t>五、服务承诺</w:t>
      </w:r>
      <w:r>
        <w:rPr>
          <w:rFonts w:hint="eastAsia" w:ascii="宋体" w:hAnsi="宋体" w:cs="宋体"/>
          <w:b/>
          <w:bCs/>
          <w:color w:val="auto"/>
          <w:highlight w:val="none"/>
          <w:lang w:eastAsia="zh-CN"/>
        </w:rPr>
        <w:t>（投标时提供承诺函，格式自拟。）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投标人中标后，应遵守招标人相关车辆管理规定，并承诺做到以下几点：</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1、进校服务使用的车辆停放服从学校安排。</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2、在随车的服务监督卡上公示服务监督内容，在接到投诉后，在5个工作日内将处理结果告知用户。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、未经招标人车辆管理部门同意，不得使用平台之外的车辆，如有违反，自愿接受招标人的处罚。</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、向招标人提供中标人名下驾驶员的用工合同(复印件)，不得使用非自己名下的驾驶员、有犯罪记录的驾驶员为招标人提供服务。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、为招标人提供用车服务的过程中，如发生安全事故，一切责任由中标人承担。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、投标人为招标人提供服务的驾驶人员按照安全生产的规定要求规范操作，并具备处理应急事务的能力。</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7</w:t>
      </w:r>
      <w:r>
        <w:rPr>
          <w:rFonts w:hint="eastAsia" w:ascii="宋体" w:hAnsi="宋体" w:cs="宋体"/>
          <w:color w:val="auto"/>
          <w:highlight w:val="none"/>
        </w:rPr>
        <w:t>、用车期间，保持服务车辆的良好车况，在车辆达到规定的里程或时限需要技术维护保养时，应及时召回进行有效维护并提供同档次的替换车。如车辆服务期间，出现机械故障或异常情况，无法及时修复时，投标人应及时提供救援服务，若1小时内不能修复时，须提供同档次的车型服务。投标人应当在收到招标人求救信息后及时到达救援现场并提供免费救援服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8</w:t>
      </w:r>
      <w:r>
        <w:rPr>
          <w:rFonts w:hint="eastAsia" w:ascii="宋体" w:hAnsi="宋体" w:cs="宋体"/>
          <w:color w:val="auto"/>
          <w:highlight w:val="none"/>
        </w:rPr>
        <w:t>、对于各种服务车辆，如招标人需要，服务车辆应加装卫星定位装置，并为招标人提供卫星定位数据管理支持且能做到为招标人保密。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9</w:t>
      </w:r>
      <w:r>
        <w:rPr>
          <w:rFonts w:hint="eastAsia" w:ascii="宋体" w:hAnsi="宋体" w:cs="宋体"/>
          <w:color w:val="auto"/>
          <w:highlight w:val="none"/>
        </w:rPr>
        <w:t>、中标人名称、地址、联系人、联系方式、预约电话、投诉电话等发生变化时，应及时通知招标人并按照招标人要求报送相关材料，出现不能联系到中标人的情况所造成的影响由中标人承担。</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10</w:t>
      </w:r>
      <w:r>
        <w:rPr>
          <w:rFonts w:hint="eastAsia" w:ascii="宋体" w:hAnsi="宋体" w:cs="宋体"/>
          <w:color w:val="auto"/>
          <w:highlight w:val="none"/>
        </w:rPr>
        <w:t>、中标人应保证各项设备、设施完好，具备履行合同的能力。向招标人提供技术性能良好、符合安全行驶条件的车辆以及该车行驶必备的有关证件、备件、工具。</w:t>
      </w:r>
    </w:p>
    <w:p>
      <w:pPr>
        <w:spacing w:line="360" w:lineRule="auto"/>
        <w:ind w:firstLine="420" w:firstLineChars="200"/>
        <w:rPr>
          <w:color w:val="auto"/>
          <w:highlight w:val="none"/>
        </w:rPr>
      </w:pPr>
    </w:p>
    <w:p>
      <w:pPr>
        <w:rPr>
          <w:color w:val="auto"/>
          <w:highlight w:val="none"/>
        </w:rPr>
      </w:pPr>
    </w:p>
    <w:p>
      <w:pPr>
        <w:rPr>
          <w:color w:val="auto"/>
          <w:highlight w:val="none"/>
        </w:rPr>
      </w:pPr>
    </w:p>
    <w:p>
      <w:pPr>
        <w:spacing w:line="276" w:lineRule="auto"/>
        <w:jc w:val="center"/>
        <w:rPr>
          <w:rFonts w:ascii="宋体" w:hAnsi="宋体" w:cs="宋体"/>
          <w:b/>
          <w:color w:val="auto"/>
          <w:szCs w:val="21"/>
          <w:highlight w:val="none"/>
        </w:rPr>
      </w:pPr>
      <w:bookmarkStart w:id="154" w:name="_Toc115881326"/>
    </w:p>
    <w:p>
      <w:pPr>
        <w:spacing w:line="276" w:lineRule="auto"/>
        <w:rPr>
          <w:rFonts w:ascii="宋体" w:hAnsi="宋体" w:cs="宋体"/>
          <w:b/>
          <w:color w:val="auto"/>
          <w:szCs w:val="21"/>
          <w:highlight w:val="none"/>
        </w:rPr>
      </w:pPr>
    </w:p>
    <w:bookmarkEnd w:id="152"/>
    <w:bookmarkEnd w:id="153"/>
    <w:bookmarkEnd w:id="154"/>
    <w:p>
      <w:pPr>
        <w:rPr>
          <w:rFonts w:ascii="宋体" w:hAnsi="宋体" w:cs="宋体"/>
          <w:b/>
          <w:color w:val="auto"/>
          <w:sz w:val="24"/>
          <w:highlight w:val="none"/>
        </w:rPr>
      </w:pPr>
      <w:bookmarkStart w:id="155" w:name="_Toc24677"/>
      <w:bookmarkStart w:id="156" w:name="_Toc115881327"/>
      <w:bookmarkStart w:id="157" w:name="_Toc108881186"/>
      <w:r>
        <w:rPr>
          <w:rFonts w:hint="eastAsia" w:ascii="宋体" w:hAnsi="宋体" w:cs="宋体"/>
          <w:b/>
          <w:color w:val="auto"/>
          <w:sz w:val="24"/>
          <w:highlight w:val="none"/>
        </w:rPr>
        <w:br w:type="page"/>
      </w:r>
    </w:p>
    <w:p>
      <w:pPr>
        <w:spacing w:line="276" w:lineRule="auto"/>
        <w:jc w:val="center"/>
        <w:outlineLvl w:val="1"/>
        <w:rPr>
          <w:rFonts w:ascii="宋体" w:hAnsi="宋体" w:cs="宋体"/>
          <w:color w:val="auto"/>
          <w:sz w:val="24"/>
          <w:highlight w:val="none"/>
        </w:rPr>
      </w:pPr>
      <w:r>
        <w:rPr>
          <w:rFonts w:hint="eastAsia" w:ascii="宋体" w:hAnsi="宋体" w:cs="宋体"/>
          <w:b/>
          <w:color w:val="auto"/>
          <w:sz w:val="24"/>
          <w:highlight w:val="none"/>
        </w:rPr>
        <w:t>第二部分：政府采购合同（拟签订的合同文本</w:t>
      </w:r>
      <w:r>
        <w:rPr>
          <w:rFonts w:hint="eastAsia" w:ascii="宋体" w:hAnsi="宋体" w:cs="宋体"/>
          <w:b/>
          <w:bCs/>
          <w:color w:val="auto"/>
          <w:sz w:val="24"/>
          <w:highlight w:val="none"/>
        </w:rPr>
        <w:t>）</w:t>
      </w:r>
      <w:bookmarkEnd w:id="155"/>
    </w:p>
    <w:p>
      <w:pPr>
        <w:snapToGrid w:val="0"/>
        <w:spacing w:before="50"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（样稿，在未改变实质性条件下，可双方协商确定）</w:t>
      </w:r>
    </w:p>
    <w:p>
      <w:pPr>
        <w:spacing w:line="276"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以下为成交后签定本项目合同的通用条款，成交</w:t>
      </w:r>
      <w:r>
        <w:rPr>
          <w:rFonts w:hint="eastAsia" w:ascii="宋体" w:hAnsi="宋体"/>
          <w:color w:val="auto"/>
          <w:szCs w:val="21"/>
          <w:highlight w:val="none"/>
        </w:rPr>
        <w:t>磋商</w:t>
      </w:r>
      <w:r>
        <w:rPr>
          <w:rFonts w:hint="eastAsia" w:ascii="宋体" w:hAnsi="宋体"/>
          <w:color w:val="auto"/>
          <w:kern w:val="0"/>
          <w:szCs w:val="21"/>
          <w:highlight w:val="none"/>
        </w:rPr>
        <w:t>供应商不得提出实质性的修改，关于专用条款将由采购人与成交</w:t>
      </w:r>
      <w:r>
        <w:rPr>
          <w:rFonts w:hint="eastAsia" w:ascii="宋体" w:hAnsi="宋体"/>
          <w:color w:val="auto"/>
          <w:szCs w:val="21"/>
          <w:highlight w:val="none"/>
        </w:rPr>
        <w:t>磋商</w:t>
      </w:r>
      <w:r>
        <w:rPr>
          <w:rFonts w:hint="eastAsia" w:ascii="宋体" w:hAnsi="宋体"/>
          <w:color w:val="auto"/>
          <w:kern w:val="0"/>
          <w:szCs w:val="21"/>
          <w:highlight w:val="none"/>
        </w:rPr>
        <w:t>供应商结合本项目具体情况协商后签订。</w:t>
      </w:r>
    </w:p>
    <w:p>
      <w:pPr>
        <w:pStyle w:val="26"/>
        <w:ind w:left="3360"/>
        <w:rPr>
          <w:color w:val="auto"/>
          <w:highlight w:val="none"/>
        </w:rPr>
      </w:pPr>
    </w:p>
    <w:p>
      <w:pPr>
        <w:snapToGrid w:val="0"/>
        <w:spacing w:line="440" w:lineRule="exact"/>
        <w:jc w:val="center"/>
        <w:outlineLvl w:val="0"/>
        <w:rPr>
          <w:rFonts w:ascii="宋体" w:hAnsi="宋体" w:cs="宋体"/>
          <w:b/>
          <w:bCs/>
          <w:color w:val="auto"/>
          <w:szCs w:val="21"/>
          <w:highlight w:val="none"/>
        </w:rPr>
      </w:pPr>
      <w:bookmarkStart w:id="158" w:name="_Toc118275566"/>
      <w:bookmarkStart w:id="159" w:name="_Toc118235421"/>
      <w:bookmarkStart w:id="160" w:name="_Toc118275646"/>
      <w:bookmarkStart w:id="161" w:name="_Toc118275526"/>
      <w:r>
        <w:rPr>
          <w:rFonts w:hint="eastAsia" w:ascii="宋体" w:hAnsi="宋体" w:cs="宋体"/>
          <w:b/>
          <w:color w:val="auto"/>
          <w:szCs w:val="21"/>
          <w:highlight w:val="none"/>
        </w:rPr>
        <w:t>采购合同</w:t>
      </w:r>
      <w:bookmarkEnd w:id="158"/>
      <w:bookmarkEnd w:id="159"/>
      <w:bookmarkEnd w:id="160"/>
      <w:bookmarkEnd w:id="161"/>
    </w:p>
    <w:p>
      <w:pPr>
        <w:pStyle w:val="19"/>
        <w:adjustRightInd w:val="0"/>
        <w:snapToGrid w:val="0"/>
        <w:spacing w:line="360" w:lineRule="auto"/>
        <w:ind w:left="3360" w:firstLine="420" w:firstLineChars="200"/>
        <w:jc w:val="left"/>
        <w:rPr>
          <w:rFonts w:hAnsi="宋体" w:cs="宋体"/>
          <w:color w:val="auto"/>
          <w:sz w:val="21"/>
          <w:szCs w:val="21"/>
          <w:highlight w:val="none"/>
        </w:rPr>
      </w:pPr>
    </w:p>
    <w:p>
      <w:pPr>
        <w:pStyle w:val="19"/>
        <w:adjustRightInd w:val="0"/>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甲方：</w:t>
      </w:r>
      <w:r>
        <w:rPr>
          <w:rFonts w:hint="eastAsia" w:hAnsi="宋体" w:cs="宋体"/>
          <w:color w:val="auto"/>
          <w:sz w:val="21"/>
          <w:szCs w:val="21"/>
          <w:highlight w:val="none"/>
          <w:u w:val="single"/>
        </w:rPr>
        <w:t>江苏医药职业学院</w:t>
      </w:r>
    </w:p>
    <w:p>
      <w:pPr>
        <w:pStyle w:val="19"/>
        <w:adjustRightInd w:val="0"/>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乙方：</w:t>
      </w:r>
    </w:p>
    <w:p>
      <w:pP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甲、乙双方根据</w:t>
      </w:r>
      <w:r>
        <w:rPr>
          <w:rFonts w:hint="eastAsia" w:ascii="宋体" w:hAnsi="宋体" w:cs="宋体"/>
          <w:color w:val="auto"/>
          <w:kern w:val="0"/>
          <w:szCs w:val="21"/>
          <w:highlight w:val="none"/>
          <w:u w:val="single"/>
        </w:rPr>
        <w:t>江苏医药职业学院公务用车（19座及以上客车）租赁服务项目</w:t>
      </w:r>
      <w:r>
        <w:rPr>
          <w:rFonts w:hint="eastAsia" w:ascii="宋体" w:hAnsi="宋体" w:cs="宋体"/>
          <w:color w:val="auto"/>
          <w:szCs w:val="21"/>
          <w:highlight w:val="none"/>
        </w:rPr>
        <w:t>招标的结果，签署本合同。</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一、项目内容</w:t>
      </w:r>
    </w:p>
    <w:p>
      <w:pPr>
        <w:pStyle w:val="19"/>
        <w:adjustRightInd w:val="0"/>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1.1 项目名称：</w:t>
      </w:r>
      <w:r>
        <w:rPr>
          <w:rFonts w:hint="eastAsia" w:hAnsi="宋体" w:cs="宋体"/>
          <w:color w:val="auto"/>
          <w:sz w:val="21"/>
          <w:szCs w:val="21"/>
          <w:highlight w:val="none"/>
          <w:u w:val="single"/>
        </w:rPr>
        <w:t>江苏医药职业学院公务用车（19座及以上客车）租赁服务项目</w:t>
      </w:r>
      <w:r>
        <w:rPr>
          <w:rFonts w:hint="eastAsia" w:hAnsi="宋体" w:cs="宋体"/>
          <w:color w:val="auto"/>
          <w:sz w:val="21"/>
          <w:szCs w:val="21"/>
          <w:highlight w:val="none"/>
        </w:rPr>
        <w:t>。</w:t>
      </w:r>
    </w:p>
    <w:p>
      <w:pPr>
        <w:pStyle w:val="19"/>
        <w:adjustRightInd w:val="0"/>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1.2 型号规格及其他要求：</w:t>
      </w:r>
      <w:r>
        <w:rPr>
          <w:rFonts w:hint="eastAsia" w:hAnsi="宋体" w:cs="宋体"/>
          <w:color w:val="auto"/>
          <w:sz w:val="21"/>
          <w:szCs w:val="21"/>
          <w:highlight w:val="none"/>
          <w:u w:val="single"/>
        </w:rPr>
        <w:t>详按项目需求</w:t>
      </w:r>
      <w:r>
        <w:rPr>
          <w:rFonts w:hint="eastAsia" w:hAnsi="宋体" w:cs="宋体"/>
          <w:color w:val="auto"/>
          <w:sz w:val="21"/>
          <w:szCs w:val="21"/>
          <w:highlight w:val="none"/>
        </w:rPr>
        <w:t>。</w:t>
      </w:r>
    </w:p>
    <w:p>
      <w:pPr>
        <w:pStyle w:val="19"/>
        <w:adjustRightInd w:val="0"/>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1.3 数量（单位）：</w:t>
      </w:r>
      <w:r>
        <w:rPr>
          <w:rFonts w:hint="eastAsia" w:hAnsi="宋体" w:cs="宋体"/>
          <w:color w:val="auto"/>
          <w:sz w:val="21"/>
          <w:szCs w:val="21"/>
          <w:highlight w:val="none"/>
          <w:u w:val="single"/>
        </w:rPr>
        <w:t>详按项目需求</w:t>
      </w:r>
      <w:r>
        <w:rPr>
          <w:rFonts w:hint="eastAsia" w:hAnsi="宋体" w:cs="宋体"/>
          <w:color w:val="auto"/>
          <w:sz w:val="21"/>
          <w:szCs w:val="21"/>
          <w:highlight w:val="none"/>
        </w:rPr>
        <w:t>。</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二、合同金额</w:t>
      </w:r>
    </w:p>
    <w:tbl>
      <w:tblPr>
        <w:tblStyle w:val="48"/>
        <w:tblW w:w="9379"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5"/>
        <w:gridCol w:w="248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52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租赁限价</w:t>
            </w:r>
            <w:r>
              <w:rPr>
                <w:rFonts w:hint="eastAsia" w:ascii="宋体" w:hAnsi="宋体" w:cs="宋体"/>
                <w:color w:val="auto"/>
                <w:highlight w:val="none"/>
                <w:lang w:eastAsia="zh-CN"/>
              </w:rPr>
              <w:t>下浮率</w:t>
            </w:r>
            <w:r>
              <w:rPr>
                <w:rFonts w:hint="eastAsia" w:ascii="宋体" w:hAnsi="宋体" w:cs="宋体"/>
                <w:color w:val="auto"/>
                <w:highlight w:val="none"/>
                <w:lang w:eastAsia="en-US"/>
              </w:rPr>
              <w:t>(</w:t>
            </w:r>
            <w:r>
              <w:rPr>
                <w:rFonts w:hint="eastAsia" w:ascii="宋体" w:hAnsi="宋体" w:cs="宋体"/>
                <w:color w:val="auto"/>
                <w:highlight w:val="none"/>
                <w:lang w:val="en-US" w:eastAsia="zh-CN"/>
              </w:rPr>
              <w:t>%</w:t>
            </w:r>
            <w:r>
              <w:rPr>
                <w:rFonts w:hint="eastAsia" w:ascii="宋体" w:hAnsi="宋体" w:cs="宋体"/>
                <w:color w:val="auto"/>
                <w:highlight w:val="none"/>
                <w:lang w:eastAsia="en-US"/>
              </w:rPr>
              <w:t>)</w:t>
            </w:r>
          </w:p>
        </w:tc>
        <w:tc>
          <w:tcPr>
            <w:tcW w:w="2481" w:type="dxa"/>
            <w:vMerge w:val="restart"/>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基准里程</w:t>
            </w:r>
          </w:p>
        </w:tc>
        <w:tc>
          <w:tcPr>
            <w:tcW w:w="4373"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超出基准里程公里费用</w:t>
            </w:r>
            <w:r>
              <w:rPr>
                <w:rFonts w:hint="eastAsia" w:ascii="宋体" w:hAnsi="宋体" w:cs="宋体"/>
                <w:color w:val="auto"/>
                <w:highlight w:val="none"/>
                <w:lang w:eastAsia="zh-CN"/>
              </w:rPr>
              <w:t>下浮率</w:t>
            </w:r>
            <w:r>
              <w:rPr>
                <w:rFonts w:hint="eastAsia" w:ascii="宋体" w:hAnsi="宋体" w:cs="宋体"/>
                <w:color w:val="auto"/>
                <w:highlight w:val="none"/>
                <w:lang w:eastAsia="en-US"/>
              </w:rPr>
              <w:t>(</w:t>
            </w:r>
            <w:r>
              <w:rPr>
                <w:rFonts w:hint="eastAsia" w:ascii="宋体" w:hAnsi="宋体" w:cs="宋体"/>
                <w:color w:val="auto"/>
                <w:highlight w:val="none"/>
                <w:lang w:val="en-US" w:eastAsia="zh-CN"/>
              </w:rPr>
              <w:t>%</w:t>
            </w:r>
            <w:r>
              <w:rPr>
                <w:rFonts w:hint="eastAsia" w:ascii="宋体" w:hAnsi="宋体" w:cs="宋体"/>
                <w:color w:val="auto"/>
                <w:highlight w:val="none"/>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525" w:type="dxa"/>
            <w:vAlign w:val="center"/>
          </w:tcPr>
          <w:p>
            <w:pPr>
              <w:autoSpaceDE w:val="0"/>
              <w:autoSpaceDN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下浮率</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w:t>
            </w:r>
          </w:p>
        </w:tc>
        <w:tc>
          <w:tcPr>
            <w:tcW w:w="2481" w:type="dxa"/>
            <w:vMerge w:val="continue"/>
            <w:vAlign w:val="center"/>
          </w:tcPr>
          <w:p>
            <w:pPr>
              <w:autoSpaceDE w:val="0"/>
              <w:autoSpaceDN w:val="0"/>
              <w:spacing w:line="360" w:lineRule="auto"/>
              <w:jc w:val="center"/>
              <w:rPr>
                <w:rFonts w:ascii="宋体" w:hAnsi="宋体" w:cs="宋体"/>
                <w:color w:val="auto"/>
                <w:highlight w:val="none"/>
                <w:lang w:eastAsia="en-US"/>
              </w:rPr>
            </w:pPr>
          </w:p>
        </w:tc>
        <w:tc>
          <w:tcPr>
            <w:tcW w:w="4373"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w:t>
            </w:r>
            <w:r>
              <w:rPr>
                <w:rFonts w:hint="eastAsia" w:ascii="宋体" w:hAnsi="宋体" w:cs="宋体"/>
                <w:color w:val="auto"/>
                <w:highlight w:val="none"/>
                <w:lang w:eastAsia="zh-CN"/>
              </w:rPr>
              <w:t>单价下浮率</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w:t>
            </w:r>
          </w:p>
        </w:tc>
      </w:tr>
    </w:tbl>
    <w:p>
      <w:pPr>
        <w:pStyle w:val="19"/>
        <w:adjustRightInd w:val="0"/>
        <w:snapToGrid w:val="0"/>
        <w:spacing w:line="360" w:lineRule="auto"/>
        <w:ind w:left="3360" w:firstLine="422" w:firstLineChars="200"/>
        <w:rPr>
          <w:rFonts w:hAnsi="宋体" w:cs="宋体"/>
          <w:b/>
          <w:color w:val="auto"/>
          <w:sz w:val="21"/>
          <w:szCs w:val="21"/>
          <w:highlight w:val="none"/>
        </w:rPr>
      </w:pP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上述价格是满足甲方使用车辆需要的所有费用。乙方已充分考虑为满足招标业务用车需求内容所必须的直接和间接成本、油（电、气）费、驾驶员全额工资（含福利、社保等，不含出车补贴）、企业管理费、利润、税金以及车辆保养、修理、救援、中途换车、违章罚款、交通事故赔偿、风险费、材料损耗、车辆及驾乘人员以外事故的善后处理费用以及其他一切费用等所需的全部费用及其税金的价格体现，凡漏项或少计均视为优惠，甲方不另行增加费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2、市外基础里程数外距离与时间同时计价，互不矛盾，按实结算。</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3、短途租赁服务来回接送不限趟数，如遇特殊情况经双方协商收取租赁费。</w:t>
      </w:r>
    </w:p>
    <w:p>
      <w:pPr>
        <w:pStyle w:val="19"/>
        <w:adjustRightInd w:val="0"/>
        <w:snapToGrid w:val="0"/>
        <w:spacing w:line="360" w:lineRule="auto"/>
        <w:ind w:firstLine="422" w:firstLineChars="200"/>
        <w:jc w:val="left"/>
        <w:rPr>
          <w:rFonts w:hAnsi="宋体" w:cs="宋体"/>
          <w:b/>
          <w:color w:val="auto"/>
          <w:sz w:val="21"/>
          <w:szCs w:val="21"/>
          <w:highlight w:val="none"/>
        </w:rPr>
      </w:pPr>
      <w:r>
        <w:rPr>
          <w:rFonts w:hint="eastAsia" w:hAnsi="宋体" w:cs="宋体"/>
          <w:b/>
          <w:color w:val="auto"/>
          <w:sz w:val="21"/>
          <w:szCs w:val="21"/>
          <w:highlight w:val="none"/>
        </w:rPr>
        <w:t>三、技术资料</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3.1乙方应按招标文件规定及甲方要求的时间向甲方提供使用货物（根据甲方要求需要租赁的车辆，余同）和服务的有关技术资料。</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四、知识产权</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4.1乙方应保证甲方在使用、接受本合同货物和服务或其任何一部分时不受第三方提出侵犯其专利权、版权、商标权和工业设计权等知识产权的起诉。一旦出现侵权，由乙方负全部责任。</w:t>
      </w:r>
    </w:p>
    <w:p>
      <w:pPr>
        <w:pStyle w:val="19"/>
        <w:adjustRightInd w:val="0"/>
        <w:snapToGrid w:val="0"/>
        <w:spacing w:line="360" w:lineRule="auto"/>
        <w:ind w:firstLine="422" w:firstLineChars="200"/>
        <w:rPr>
          <w:rFonts w:hAnsi="宋体" w:cs="宋体"/>
          <w:color w:val="auto"/>
          <w:sz w:val="21"/>
          <w:szCs w:val="21"/>
          <w:highlight w:val="none"/>
          <w:u w:val="single"/>
        </w:rPr>
      </w:pPr>
      <w:r>
        <w:rPr>
          <w:rFonts w:hint="eastAsia" w:hAnsi="宋体" w:cs="宋体"/>
          <w:b/>
          <w:color w:val="auto"/>
          <w:sz w:val="21"/>
          <w:szCs w:val="21"/>
          <w:highlight w:val="none"/>
        </w:rPr>
        <w:t>五、产权担保</w:t>
      </w:r>
    </w:p>
    <w:p>
      <w:pPr>
        <w:pStyle w:val="19"/>
        <w:adjustRightInd w:val="0"/>
        <w:snapToGrid w:val="0"/>
        <w:spacing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rPr>
        <w:t>5.1 乙方保证所提供的货物</w:t>
      </w:r>
      <w:r>
        <w:rPr>
          <w:rFonts w:hint="eastAsia" w:hAnsi="宋体" w:cs="宋体"/>
          <w:bCs/>
          <w:color w:val="auto"/>
          <w:sz w:val="21"/>
          <w:szCs w:val="21"/>
          <w:highlight w:val="none"/>
        </w:rPr>
        <w:t>和服务</w:t>
      </w:r>
      <w:r>
        <w:rPr>
          <w:rFonts w:hint="eastAsia" w:hAnsi="宋体" w:cs="宋体"/>
          <w:color w:val="auto"/>
          <w:sz w:val="21"/>
          <w:szCs w:val="21"/>
          <w:highlight w:val="none"/>
        </w:rPr>
        <w:t>的所有权完全属于乙方且无任何抵押、查封等产权瑕疵。</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六、履约保证金</w:t>
      </w:r>
    </w:p>
    <w:p>
      <w:pPr>
        <w:pStyle w:val="19"/>
        <w:adjustRightInd w:val="0"/>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6.1本项目不设履约保证金。</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七、转包或分包</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7.1本合同范围的货物</w:t>
      </w:r>
      <w:r>
        <w:rPr>
          <w:rFonts w:hint="eastAsia" w:ascii="宋体" w:hAnsi="宋体" w:cs="宋体"/>
          <w:bCs/>
          <w:color w:val="auto"/>
          <w:szCs w:val="21"/>
          <w:highlight w:val="none"/>
        </w:rPr>
        <w:t>和服务</w:t>
      </w:r>
      <w:r>
        <w:rPr>
          <w:rFonts w:hint="eastAsia" w:ascii="宋体" w:hAnsi="宋体" w:cs="宋体"/>
          <w:color w:val="auto"/>
          <w:szCs w:val="21"/>
          <w:highlight w:val="none"/>
        </w:rPr>
        <w:t>，应由乙方直接供应，不得转让他人供应；</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 除非得到甲方的书面同意，乙方不得部分分包给他人供应。</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7.3如有转让和未经甲方同意的分包行为，甲方有权给予终止合同。</w:t>
      </w:r>
    </w:p>
    <w:p>
      <w:pPr>
        <w:pStyle w:val="19"/>
        <w:adjustRightInd w:val="0"/>
        <w:snapToGrid w:val="0"/>
        <w:spacing w:line="360" w:lineRule="auto"/>
        <w:ind w:firstLine="422" w:firstLineChars="200"/>
        <w:rPr>
          <w:rFonts w:hAnsi="宋体" w:cs="宋体"/>
          <w:color w:val="auto"/>
          <w:sz w:val="21"/>
          <w:szCs w:val="21"/>
          <w:highlight w:val="none"/>
        </w:rPr>
      </w:pPr>
      <w:r>
        <w:rPr>
          <w:rFonts w:hint="eastAsia" w:hAnsi="宋体" w:cs="宋体"/>
          <w:b/>
          <w:color w:val="auto"/>
          <w:sz w:val="21"/>
          <w:szCs w:val="21"/>
          <w:highlight w:val="none"/>
        </w:rPr>
        <w:t>八、质保期（服务期）</w:t>
      </w:r>
    </w:p>
    <w:p>
      <w:pPr>
        <w:pStyle w:val="19"/>
        <w:adjustRightInd w:val="0"/>
        <w:snapToGrid w:val="0"/>
        <w:spacing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u w:val="single"/>
        </w:rPr>
        <w:t>8.1 三年，合同一年一签，每年考核合格可续签（服务期满后在满足最新财政政策的同时，服务期限内无事故、无特殊情况下，经考核，可续期签订第二年的服务合同，续签次数不超过2次）</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九、交货期、交货方式及交货地点</w:t>
      </w:r>
    </w:p>
    <w:p>
      <w:pPr>
        <w:pStyle w:val="19"/>
        <w:adjustRightInd w:val="0"/>
        <w:snapToGrid w:val="0"/>
        <w:spacing w:line="360" w:lineRule="auto"/>
        <w:ind w:firstLine="420" w:firstLineChars="200"/>
        <w:rPr>
          <w:rFonts w:hAnsi="宋体" w:cs="宋体"/>
          <w:color w:val="auto"/>
          <w:sz w:val="21"/>
          <w:szCs w:val="21"/>
          <w:highlight w:val="none"/>
          <w:u w:val="single"/>
        </w:rPr>
      </w:pPr>
      <w:r>
        <w:rPr>
          <w:rFonts w:hint="eastAsia" w:hAnsi="宋体" w:cs="宋体"/>
          <w:color w:val="auto"/>
          <w:sz w:val="21"/>
          <w:szCs w:val="21"/>
          <w:highlight w:val="none"/>
        </w:rPr>
        <w:t>9.1 合同签订：</w:t>
      </w:r>
      <w:r>
        <w:rPr>
          <w:rFonts w:hint="eastAsia" w:hAnsi="宋体" w:cs="宋体"/>
          <w:color w:val="auto"/>
          <w:sz w:val="21"/>
          <w:szCs w:val="21"/>
          <w:highlight w:val="none"/>
          <w:u w:val="single"/>
        </w:rPr>
        <w:t>乙方自收到中标通知书之日起7个工作日内签订合同，具体合同内容签订时详细洽谈，但不得违背招标文件要求及乙方的投标承诺。</w:t>
      </w:r>
    </w:p>
    <w:p>
      <w:pPr>
        <w:pStyle w:val="19"/>
        <w:adjustRightInd w:val="0"/>
        <w:snapToGrid w:val="0"/>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 xml:space="preserve">9.2 </w:t>
      </w:r>
      <w:r>
        <w:rPr>
          <w:rFonts w:hint="eastAsia" w:hAnsi="宋体" w:cs="宋体"/>
          <w:color w:val="auto"/>
          <w:sz w:val="21"/>
          <w:szCs w:val="21"/>
          <w:highlight w:val="none"/>
          <w:u w:val="single"/>
        </w:rPr>
        <w:t>甲方需要用车服务时须根据甲方要求及时提供服务，一般自甲方通知之时起2小时内响应并到指定地点，收费起始时间、收费起始里程数均从到达甲方指定地点、用车人员上车确认后起算，用车结束后由用车人员现场签署当次用车记录，逾期签署的均不作为结算依据。</w:t>
      </w:r>
    </w:p>
    <w:p>
      <w:pPr>
        <w:pStyle w:val="19"/>
        <w:adjustRightInd w:val="0"/>
        <w:snapToGrid w:val="0"/>
        <w:spacing w:line="360" w:lineRule="auto"/>
        <w:ind w:firstLine="420" w:firstLineChars="200"/>
        <w:rPr>
          <w:rFonts w:hAnsi="宋体" w:cs="宋体"/>
          <w:color w:val="auto"/>
          <w:sz w:val="21"/>
          <w:szCs w:val="21"/>
          <w:highlight w:val="none"/>
          <w:u w:val="single"/>
        </w:rPr>
      </w:pPr>
      <w:r>
        <w:rPr>
          <w:rFonts w:hint="eastAsia" w:hAnsi="宋体" w:cs="宋体"/>
          <w:bCs/>
          <w:color w:val="auto"/>
          <w:sz w:val="21"/>
          <w:szCs w:val="21"/>
          <w:highlight w:val="none"/>
        </w:rPr>
        <w:t>9.3 地点：</w:t>
      </w:r>
      <w:r>
        <w:rPr>
          <w:rFonts w:hint="eastAsia" w:hAnsi="宋体" w:cs="宋体"/>
          <w:color w:val="auto"/>
          <w:sz w:val="21"/>
          <w:szCs w:val="21"/>
          <w:highlight w:val="none"/>
          <w:u w:val="single"/>
        </w:rPr>
        <w:t>江苏医药职业学院业务用车部门指定地点。</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十、货款支付</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 付款方式：</w:t>
      </w:r>
      <w:r>
        <w:rPr>
          <w:rFonts w:hint="eastAsia" w:ascii="宋体" w:hAnsi="宋体" w:cs="宋体"/>
          <w:color w:val="auto"/>
          <w:szCs w:val="21"/>
          <w:highlight w:val="none"/>
          <w:u w:val="single"/>
        </w:rPr>
        <w:t>本项目车辆租赁费用按次或分批结算，具体根据甲方要求执行。结算时按甲方实际使用数量（甲方保留与中标单位共同协调租车费用的权利，乙方提供经甲方确认的租车费用结算清单）结合乙方中标单价</w:t>
      </w:r>
      <w:r>
        <w:rPr>
          <w:rFonts w:hint="eastAsia" w:ascii="宋体" w:hAnsi="宋体" w:cs="宋体"/>
          <w:color w:val="auto"/>
          <w:szCs w:val="21"/>
          <w:highlight w:val="none"/>
          <w:u w:val="single"/>
          <w:lang w:eastAsia="zh-CN"/>
        </w:rPr>
        <w:t>（下浮率）</w:t>
      </w:r>
      <w:r>
        <w:rPr>
          <w:rFonts w:hint="eastAsia" w:ascii="宋体" w:hAnsi="宋体" w:cs="宋体"/>
          <w:color w:val="auto"/>
          <w:szCs w:val="21"/>
          <w:highlight w:val="none"/>
          <w:u w:val="single"/>
        </w:rPr>
        <w:t>结算，乙方在甲方支付前须提供有效合法的等额增值税专用发票</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b/>
          <w:bCs/>
          <w:color w:val="auto"/>
          <w:szCs w:val="21"/>
          <w:highlight w:val="none"/>
          <w:u w:val="single"/>
        </w:rPr>
      </w:pPr>
      <w:r>
        <w:rPr>
          <w:rFonts w:hint="eastAsia" w:ascii="宋体" w:hAnsi="宋体" w:cs="宋体"/>
          <w:color w:val="auto"/>
          <w:szCs w:val="21"/>
          <w:highlight w:val="none"/>
        </w:rPr>
        <w:t xml:space="preserve">10.2 </w:t>
      </w:r>
      <w:r>
        <w:rPr>
          <w:rFonts w:hint="eastAsia" w:ascii="宋体" w:hAnsi="宋体" w:cs="宋体"/>
          <w:b/>
          <w:bCs/>
          <w:color w:val="auto"/>
          <w:szCs w:val="21"/>
          <w:highlight w:val="none"/>
          <w:u w:val="single"/>
        </w:rPr>
        <w:t>本项目结算价以综合评审得分最高的报价为服务结算标准</w:t>
      </w:r>
    </w:p>
    <w:p>
      <w:pPr>
        <w:pStyle w:val="2"/>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10.3计算标准：</w:t>
      </w:r>
    </w:p>
    <w:tbl>
      <w:tblPr>
        <w:tblStyle w:val="48"/>
        <w:tblW w:w="9379"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5"/>
        <w:gridCol w:w="2481"/>
        <w:gridCol w:w="43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52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租赁</w:t>
            </w:r>
            <w:r>
              <w:rPr>
                <w:rFonts w:hint="eastAsia" w:ascii="宋体" w:hAnsi="宋体" w:cs="宋体"/>
                <w:color w:val="auto"/>
                <w:highlight w:val="none"/>
                <w:lang w:eastAsia="zh-CN"/>
              </w:rPr>
              <w:t>价格（元）</w:t>
            </w:r>
          </w:p>
        </w:tc>
        <w:tc>
          <w:tcPr>
            <w:tcW w:w="2481" w:type="dxa"/>
            <w:vMerge w:val="restart"/>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基准里程</w:t>
            </w:r>
          </w:p>
        </w:tc>
        <w:tc>
          <w:tcPr>
            <w:tcW w:w="4373"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超出基准里程公里费用</w:t>
            </w:r>
            <w:r>
              <w:rPr>
                <w:rFonts w:hint="eastAsia" w:ascii="宋体" w:hAnsi="宋体" w:cs="宋体"/>
                <w:color w:val="auto"/>
                <w:highlight w:val="none"/>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2525" w:type="dxa"/>
            <w:vAlign w:val="center"/>
          </w:tcPr>
          <w:p>
            <w:pPr>
              <w:autoSpaceDE w:val="0"/>
              <w:autoSpaceDN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kern w:val="2"/>
                <w:sz w:val="21"/>
                <w:szCs w:val="21"/>
                <w:highlight w:val="none"/>
                <w:lang w:val="en-US" w:eastAsia="zh-CN" w:bidi="ar-SA"/>
              </w:rPr>
              <w:t>预算金额*（</w:t>
            </w:r>
            <w:r>
              <w:rPr>
                <w:rFonts w:hint="eastAsia" w:ascii="宋体" w:hAnsi="宋体" w:eastAsia="宋体" w:cs="宋体"/>
                <w:color w:val="auto"/>
                <w:kern w:val="2"/>
                <w:sz w:val="21"/>
                <w:szCs w:val="21"/>
                <w:highlight w:val="none"/>
                <w:lang w:val="en-US" w:eastAsia="en-US" w:bidi="ar-SA"/>
              </w:rPr>
              <w:t>租赁限价</w:t>
            </w:r>
            <w:r>
              <w:rPr>
                <w:rFonts w:hint="eastAsia" w:ascii="宋体" w:hAnsi="宋体" w:eastAsia="宋体" w:cs="宋体"/>
                <w:color w:val="auto"/>
                <w:kern w:val="2"/>
                <w:sz w:val="21"/>
                <w:szCs w:val="21"/>
                <w:highlight w:val="none"/>
                <w:lang w:val="en-US" w:eastAsia="zh-CN" w:bidi="ar-SA"/>
              </w:rPr>
              <w:t>投标下浮率%）</w:t>
            </w:r>
          </w:p>
        </w:tc>
        <w:tc>
          <w:tcPr>
            <w:tcW w:w="2481" w:type="dxa"/>
            <w:vMerge w:val="continue"/>
            <w:vAlign w:val="center"/>
          </w:tcPr>
          <w:p>
            <w:pPr>
              <w:autoSpaceDE w:val="0"/>
              <w:autoSpaceDN w:val="0"/>
              <w:spacing w:line="360" w:lineRule="auto"/>
              <w:jc w:val="center"/>
              <w:rPr>
                <w:rFonts w:ascii="宋体" w:hAnsi="宋体" w:cs="宋体"/>
                <w:color w:val="auto"/>
                <w:highlight w:val="none"/>
                <w:lang w:eastAsia="en-US"/>
              </w:rPr>
            </w:pPr>
          </w:p>
        </w:tc>
        <w:tc>
          <w:tcPr>
            <w:tcW w:w="4373"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zh-CN"/>
              </w:rPr>
              <w:t>预算金额</w:t>
            </w:r>
            <w:r>
              <w:rPr>
                <w:rFonts w:hint="eastAsia" w:ascii="宋体" w:hAnsi="宋体" w:cs="宋体"/>
                <w:color w:val="auto"/>
                <w:highlight w:val="none"/>
                <w:lang w:val="en-US" w:eastAsia="zh-CN"/>
              </w:rPr>
              <w:t>*（</w:t>
            </w:r>
            <w:r>
              <w:rPr>
                <w:rFonts w:hint="eastAsia" w:ascii="宋体" w:hAnsi="宋体" w:cs="宋体"/>
                <w:color w:val="auto"/>
                <w:highlight w:val="none"/>
                <w:lang w:eastAsia="en-US"/>
              </w:rPr>
              <w:t>超过100Km，</w:t>
            </w:r>
            <w:r>
              <w:rPr>
                <w:rFonts w:hint="eastAsia" w:ascii="宋体" w:hAnsi="宋体" w:cs="宋体"/>
                <w:color w:val="auto"/>
                <w:highlight w:val="none"/>
                <w:lang w:eastAsia="zh-CN"/>
              </w:rPr>
              <w:t>投标单价下浮率</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lang w:val="en-US" w:eastAsia="zh-CN"/>
              </w:rPr>
              <w:t>%）</w:t>
            </w:r>
          </w:p>
        </w:tc>
      </w:tr>
    </w:tbl>
    <w:p>
      <w:pPr>
        <w:pStyle w:val="3"/>
        <w:rPr>
          <w:rFonts w:hint="default"/>
          <w:color w:val="auto"/>
          <w:highlight w:val="none"/>
          <w:lang w:val="en-US" w:eastAsia="zh-CN"/>
        </w:rPr>
      </w:pP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十一、税费</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11.1本合同执行中相关的一切税费均由乙方负担。</w:t>
      </w:r>
    </w:p>
    <w:p>
      <w:pPr>
        <w:pStyle w:val="19"/>
        <w:adjustRightInd w:val="0"/>
        <w:snapToGrid w:val="0"/>
        <w:spacing w:line="360" w:lineRule="auto"/>
        <w:ind w:firstLine="422" w:firstLineChars="200"/>
        <w:rPr>
          <w:rFonts w:hAnsi="宋体" w:cs="宋体"/>
          <w:color w:val="auto"/>
          <w:sz w:val="21"/>
          <w:szCs w:val="21"/>
          <w:highlight w:val="none"/>
        </w:rPr>
      </w:pPr>
      <w:r>
        <w:rPr>
          <w:rFonts w:hint="eastAsia" w:hAnsi="宋体" w:cs="宋体"/>
          <w:b/>
          <w:color w:val="auto"/>
          <w:sz w:val="21"/>
          <w:szCs w:val="21"/>
          <w:highlight w:val="none"/>
        </w:rPr>
        <w:t>十二、质量保证及售后服务</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 乙方应按招标文件规定的货物性能、技术要求、质量标准向甲方提供货物</w:t>
      </w:r>
      <w:r>
        <w:rPr>
          <w:rFonts w:hint="eastAsia" w:ascii="宋体" w:hAnsi="宋体" w:cs="宋体"/>
          <w:bCs/>
          <w:color w:val="auto"/>
          <w:szCs w:val="21"/>
          <w:highlight w:val="none"/>
        </w:rPr>
        <w:t>和服务</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 乙方提供的货物</w:t>
      </w:r>
      <w:r>
        <w:rPr>
          <w:rFonts w:hint="eastAsia" w:ascii="宋体" w:hAnsi="宋体" w:cs="宋体"/>
          <w:bCs/>
          <w:color w:val="auto"/>
          <w:szCs w:val="21"/>
          <w:highlight w:val="none"/>
        </w:rPr>
        <w:t>和服务</w:t>
      </w:r>
      <w:r>
        <w:rPr>
          <w:rFonts w:hint="eastAsia" w:ascii="宋体" w:hAnsi="宋体" w:cs="宋体"/>
          <w:color w:val="auto"/>
          <w:szCs w:val="21"/>
          <w:highlight w:val="none"/>
        </w:rPr>
        <w:t>在质量期内因本身的质量问题发生故障，乙方应负责免费更换。对达不到技术要求者，根据实际情况，经双方协商，可按以下办法处理：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⑴更换：由乙方承担所发生的全部费用。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⑵退货处理：乙方应退还甲方支付的合同款，同时应承担该货物</w:t>
      </w:r>
      <w:r>
        <w:rPr>
          <w:rFonts w:hint="eastAsia" w:ascii="宋体" w:hAnsi="宋体" w:cs="宋体"/>
          <w:bCs/>
          <w:color w:val="auto"/>
          <w:szCs w:val="21"/>
          <w:highlight w:val="none"/>
        </w:rPr>
        <w:t>和服务</w:t>
      </w:r>
      <w:r>
        <w:rPr>
          <w:rFonts w:hint="eastAsia" w:ascii="宋体" w:hAnsi="宋体" w:cs="宋体"/>
          <w:color w:val="auto"/>
          <w:szCs w:val="21"/>
          <w:highlight w:val="none"/>
        </w:rPr>
        <w:t>的直接费用（运输、保险、检验、货款利息及银行手续费等）。</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 在质保期内，乙方应对货物</w:t>
      </w:r>
      <w:r>
        <w:rPr>
          <w:rFonts w:hint="eastAsia" w:ascii="宋体" w:hAnsi="宋体" w:cs="宋体"/>
          <w:bCs/>
          <w:color w:val="auto"/>
          <w:szCs w:val="21"/>
          <w:highlight w:val="none"/>
        </w:rPr>
        <w:t>和服务</w:t>
      </w:r>
      <w:r>
        <w:rPr>
          <w:rFonts w:hint="eastAsia" w:ascii="宋体" w:hAnsi="宋体" w:cs="宋体"/>
          <w:color w:val="auto"/>
          <w:szCs w:val="21"/>
          <w:highlight w:val="none"/>
        </w:rPr>
        <w:t>出现的质量及安全问题负责处理解决并承担一切费用。</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十三、验收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 每次车辆租赁服务结束后，须经甲方相关部门人员确认并签署书面回执（载明用车起止日期及时间、行驶公里数、用车部门及用车人、本次应计费用等），作为结算依据。乘坐人员有权对服务提出评价意见，甲方将视乙方履约及服务情况在后期需要车辆租赁服务时进行选择的权利。</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十四、违约责任</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甲方无故逾期验收和办理合同款支付手续的，甲方应按逾期付款总额每日万分之五向乙方支付违约金。</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14.2在学校遇外事等重大公务接待时，甲方有权指定租赁车辆、车型，且租车费用不变，若乙方不能提供累计满3次的，甲方有权终止合同。</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14.3乙方未经甲方相关租赁人员许可擅自变更驾驶人员、取消预约、服务不到位或未按约定时间提供租赁服务,上述情况累计满3次，甲方有权终止合同。</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14.4 乙方所提供的货物</w:t>
      </w:r>
      <w:r>
        <w:rPr>
          <w:rFonts w:hint="eastAsia" w:ascii="宋体" w:hAnsi="宋体" w:cs="宋体"/>
          <w:bCs/>
          <w:color w:val="auto"/>
          <w:szCs w:val="21"/>
          <w:highlight w:val="none"/>
        </w:rPr>
        <w:t>和服务</w:t>
      </w:r>
      <w:r>
        <w:rPr>
          <w:rFonts w:hint="eastAsia" w:ascii="宋体" w:hAnsi="宋体" w:cs="宋体"/>
          <w:color w:val="auto"/>
          <w:szCs w:val="21"/>
          <w:highlight w:val="none"/>
        </w:rPr>
        <w:t>型号、规格、技术参数、质量不符合合同规定、招标文件规定标准以及投标承诺的，甲方有权拒收该货物</w:t>
      </w:r>
      <w:r>
        <w:rPr>
          <w:rFonts w:hint="eastAsia" w:ascii="宋体" w:hAnsi="宋体" w:cs="宋体"/>
          <w:bCs/>
          <w:color w:val="auto"/>
          <w:szCs w:val="21"/>
          <w:highlight w:val="none"/>
        </w:rPr>
        <w:t>和服务</w:t>
      </w:r>
      <w:r>
        <w:rPr>
          <w:rFonts w:hint="eastAsia" w:ascii="宋体" w:hAnsi="宋体" w:cs="宋体"/>
          <w:color w:val="auto"/>
          <w:szCs w:val="21"/>
          <w:highlight w:val="none"/>
        </w:rPr>
        <w:t>，乙方愿意更换货物但逾期交货的，按乙方逾期交货处理，乙方拒绝更换货物</w:t>
      </w:r>
      <w:r>
        <w:rPr>
          <w:rFonts w:hint="eastAsia" w:ascii="宋体" w:hAnsi="宋体" w:cs="宋体"/>
          <w:bCs/>
          <w:color w:val="auto"/>
          <w:szCs w:val="21"/>
          <w:highlight w:val="none"/>
        </w:rPr>
        <w:t>和服务</w:t>
      </w:r>
      <w:r>
        <w:rPr>
          <w:rFonts w:hint="eastAsia" w:ascii="宋体" w:hAnsi="宋体" w:cs="宋体"/>
          <w:color w:val="auto"/>
          <w:szCs w:val="21"/>
          <w:highlight w:val="none"/>
        </w:rPr>
        <w:t>的，甲方可单方面解除合同。</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十五、不可抗力事件处理</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 在合同有效期内，任何一方因不可抗力事件导致不能履行合同，则合同履行期可延长，其延长期与不可抗力影响期相同。</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 不可抗力事件发生后，应立即通知对方，并寄送有关权威机构出具的证明。</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 不可抗力事件延续120天以上，双方应通过友好协商，确定是否继续履行合同。</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十六、诉讼</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 双方在执行合同中所发生的一切争议，应通过协商解决。如协商不成，可向合同签订地法院起诉，合同签订地在此约定为盐城市。</w:t>
      </w:r>
    </w:p>
    <w:p>
      <w:pPr>
        <w:pStyle w:val="19"/>
        <w:adjustRightInd w:val="0"/>
        <w:snapToGrid w:val="0"/>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十七、合同生效及其它</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 合同经双方法定代表人或授权委托代表人签字并加盖单位公章后生效。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17.2本合同未尽事宜，遵照《合同法》有关条文执行。</w:t>
      </w:r>
    </w:p>
    <w:p>
      <w:pPr>
        <w:adjustRightInd w:val="0"/>
        <w:snapToGrid w:val="0"/>
        <w:spacing w:line="360" w:lineRule="auto"/>
        <w:ind w:firstLine="420" w:firstLineChars="200"/>
        <w:rPr>
          <w:rFonts w:hAnsi="宋体" w:cs="宋体"/>
          <w:color w:val="auto"/>
          <w:sz w:val="21"/>
          <w:szCs w:val="21"/>
          <w:highlight w:val="none"/>
        </w:rPr>
      </w:pPr>
      <w:r>
        <w:rPr>
          <w:rFonts w:hint="eastAsia" w:ascii="宋体" w:hAnsi="宋体" w:cs="宋体"/>
          <w:color w:val="auto"/>
          <w:szCs w:val="21"/>
          <w:highlight w:val="none"/>
        </w:rPr>
        <w:t>17.3 本合同正本一式二份，副本一式六份，具有同等法律效力。</w:t>
      </w:r>
    </w:p>
    <w:p>
      <w:pPr>
        <w:pStyle w:val="19"/>
        <w:adjustRightInd w:val="0"/>
        <w:snapToGrid w:val="0"/>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 xml:space="preserve">甲方：                                   乙方： </w:t>
      </w:r>
    </w:p>
    <w:p>
      <w:pPr>
        <w:pStyle w:val="19"/>
        <w:adjustRightInd w:val="0"/>
        <w:snapToGrid w:val="0"/>
        <w:spacing w:line="360" w:lineRule="auto"/>
        <w:ind w:left="142" w:firstLine="420" w:firstLineChars="200"/>
        <w:rPr>
          <w:rFonts w:hAnsi="宋体" w:cs="宋体"/>
          <w:color w:val="auto"/>
          <w:sz w:val="21"/>
          <w:szCs w:val="21"/>
          <w:highlight w:val="none"/>
        </w:rPr>
      </w:pPr>
      <w:r>
        <w:rPr>
          <w:rFonts w:hint="eastAsia" w:hAnsi="宋体" w:cs="宋体"/>
          <w:color w:val="auto"/>
          <w:sz w:val="21"/>
          <w:szCs w:val="21"/>
          <w:highlight w:val="none"/>
        </w:rPr>
        <w:t xml:space="preserve">  地址：                                   地址： </w:t>
      </w:r>
    </w:p>
    <w:p>
      <w:pPr>
        <w:pStyle w:val="19"/>
        <w:adjustRightInd w:val="0"/>
        <w:snapToGrid w:val="0"/>
        <w:spacing w:line="360" w:lineRule="auto"/>
        <w:ind w:left="142" w:firstLine="420" w:firstLineChars="200"/>
        <w:rPr>
          <w:rFonts w:hAnsi="宋体" w:cs="宋体"/>
          <w:color w:val="auto"/>
          <w:sz w:val="21"/>
          <w:szCs w:val="21"/>
          <w:highlight w:val="none"/>
        </w:rPr>
      </w:pPr>
      <w:r>
        <w:rPr>
          <w:rFonts w:hint="eastAsia" w:hAnsi="宋体" w:cs="宋体"/>
          <w:color w:val="auto"/>
          <w:sz w:val="21"/>
          <w:szCs w:val="21"/>
          <w:highlight w:val="none"/>
        </w:rPr>
        <w:t xml:space="preserve">  法定代表人或授权代表：                   法定代表人或授权代表：</w:t>
      </w:r>
    </w:p>
    <w:p>
      <w:pPr>
        <w:pStyle w:val="19"/>
        <w:adjustRightInd w:val="0"/>
        <w:snapToGrid w:val="0"/>
        <w:spacing w:line="360" w:lineRule="auto"/>
        <w:ind w:left="142" w:firstLine="420" w:firstLineChars="200"/>
        <w:rPr>
          <w:rFonts w:hAnsi="宋体" w:cs="宋体"/>
          <w:color w:val="auto"/>
          <w:sz w:val="21"/>
          <w:szCs w:val="21"/>
          <w:highlight w:val="none"/>
        </w:rPr>
      </w:pPr>
      <w:r>
        <w:rPr>
          <w:rFonts w:hint="eastAsia" w:hAnsi="宋体" w:cs="宋体"/>
          <w:color w:val="auto"/>
          <w:sz w:val="21"/>
          <w:szCs w:val="21"/>
          <w:highlight w:val="none"/>
        </w:rPr>
        <w:t xml:space="preserve">  采购单位负责人：</w:t>
      </w:r>
    </w:p>
    <w:p>
      <w:pPr>
        <w:pStyle w:val="19"/>
        <w:adjustRightInd w:val="0"/>
        <w:snapToGrid w:val="0"/>
        <w:spacing w:line="360" w:lineRule="auto"/>
        <w:ind w:left="142" w:firstLine="420" w:firstLineChars="200"/>
        <w:rPr>
          <w:rFonts w:hAnsi="宋体" w:cs="宋体"/>
          <w:color w:val="auto"/>
          <w:sz w:val="21"/>
          <w:szCs w:val="21"/>
          <w:highlight w:val="none"/>
        </w:rPr>
      </w:pPr>
      <w:r>
        <w:rPr>
          <w:rFonts w:hint="eastAsia" w:hAnsi="宋体" w:cs="宋体"/>
          <w:color w:val="auto"/>
          <w:sz w:val="21"/>
          <w:szCs w:val="21"/>
          <w:highlight w:val="none"/>
        </w:rPr>
        <w:t xml:space="preserve">  联系电话：                               联系电话：</w:t>
      </w:r>
    </w:p>
    <w:p>
      <w:pPr>
        <w:pStyle w:val="19"/>
        <w:adjustRightInd w:val="0"/>
        <w:snapToGrid w:val="0"/>
        <w:spacing w:line="360" w:lineRule="auto"/>
        <w:ind w:left="142"/>
        <w:rPr>
          <w:rFonts w:ascii="宋体" w:hAnsi="宋体" w:cs="宋体"/>
          <w:b/>
          <w:color w:val="auto"/>
          <w:szCs w:val="21"/>
          <w:highlight w:val="none"/>
        </w:rPr>
      </w:pPr>
      <w:r>
        <w:rPr>
          <w:rFonts w:hint="eastAsia" w:hAnsi="宋体" w:cs="宋体"/>
          <w:color w:val="auto"/>
          <w:sz w:val="21"/>
          <w:szCs w:val="21"/>
          <w:highlight w:val="none"/>
        </w:rPr>
        <w:t xml:space="preserve">                                               签订日期：      年  月  日</w:t>
      </w:r>
    </w:p>
    <w:p>
      <w:pPr>
        <w:jc w:val="center"/>
        <w:rPr>
          <w:rFonts w:ascii="宋体" w:hAnsi="宋体" w:cs="宋体"/>
          <w:b/>
          <w:color w:val="auto"/>
          <w:szCs w:val="21"/>
          <w:highlight w:val="none"/>
        </w:rPr>
      </w:pPr>
      <w:bookmarkStart w:id="162" w:name="_Toc28813"/>
      <w:r>
        <w:rPr>
          <w:rFonts w:hint="eastAsia" w:ascii="宋体" w:hAnsi="宋体" w:cs="宋体"/>
          <w:b/>
          <w:color w:val="auto"/>
          <w:sz w:val="28"/>
          <w:szCs w:val="21"/>
          <w:highlight w:val="none"/>
        </w:rPr>
        <w:t>第四章  评标方法和标准</w:t>
      </w:r>
      <w:bookmarkEnd w:id="156"/>
      <w:bookmarkEnd w:id="157"/>
      <w:bookmarkEnd w:id="162"/>
    </w:p>
    <w:p>
      <w:pPr>
        <w:spacing w:line="440" w:lineRule="exact"/>
        <w:jc w:val="center"/>
        <w:outlineLvl w:val="1"/>
        <w:rPr>
          <w:rFonts w:ascii="宋体" w:hAnsi="宋体" w:cs="宋体"/>
          <w:b/>
          <w:color w:val="auto"/>
          <w:szCs w:val="21"/>
          <w:highlight w:val="none"/>
        </w:rPr>
      </w:pPr>
      <w:bookmarkStart w:id="163" w:name="_Toc108881187"/>
      <w:bookmarkStart w:id="164" w:name="_Toc5317"/>
      <w:bookmarkStart w:id="165" w:name="_Toc115881328"/>
      <w:r>
        <w:rPr>
          <w:rFonts w:hint="eastAsia" w:ascii="宋体" w:hAnsi="宋体" w:cs="宋体"/>
          <w:b/>
          <w:color w:val="auto"/>
          <w:szCs w:val="21"/>
          <w:highlight w:val="none"/>
        </w:rPr>
        <w:t>一、评标方法</w:t>
      </w:r>
      <w:bookmarkEnd w:id="163"/>
      <w:bookmarkEnd w:id="164"/>
      <w:bookmarkEnd w:id="165"/>
    </w:p>
    <w:p>
      <w:pPr>
        <w:spacing w:line="44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1.本项目采用“综合评分法”。本项目将按照法律法规及招标文件规定（投标人须知等）及本章的规定评标。</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应当以合理的报价参加竞争。评标委员会认为投标人的报价明显低于其他通过符合性检查投标人的报价，有可能影响产品质量或者不能诚信履约的，且投标人未按照规定证明其报价合理性的，按无效投标处理。</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3.各项评分均保证到小数点后2位；评分统计（含报价分计算）按4舍5入精确到小数点后 2 位。</w:t>
      </w:r>
    </w:p>
    <w:p>
      <w:pPr>
        <w:spacing w:line="440" w:lineRule="exact"/>
        <w:jc w:val="center"/>
        <w:outlineLvl w:val="1"/>
        <w:rPr>
          <w:rFonts w:ascii="宋体" w:hAnsi="宋体" w:cs="宋体"/>
          <w:b/>
          <w:color w:val="auto"/>
          <w:szCs w:val="21"/>
          <w:highlight w:val="none"/>
        </w:rPr>
      </w:pPr>
      <w:bookmarkStart w:id="166" w:name="_Toc108881188"/>
      <w:bookmarkStart w:id="167" w:name="_Toc115881329"/>
      <w:bookmarkStart w:id="168" w:name="_Toc420"/>
    </w:p>
    <w:p>
      <w:pPr>
        <w:spacing w:line="440" w:lineRule="exact"/>
        <w:jc w:val="center"/>
        <w:outlineLvl w:val="1"/>
        <w:rPr>
          <w:rFonts w:ascii="宋体" w:hAnsi="宋体" w:cs="宋体"/>
          <w:b/>
          <w:color w:val="auto"/>
          <w:szCs w:val="21"/>
          <w:highlight w:val="none"/>
        </w:rPr>
      </w:pPr>
    </w:p>
    <w:p>
      <w:pPr>
        <w:spacing w:line="440" w:lineRule="exact"/>
        <w:jc w:val="center"/>
        <w:outlineLvl w:val="1"/>
        <w:rPr>
          <w:rFonts w:ascii="宋体" w:hAnsi="宋体" w:cs="宋体"/>
          <w:b/>
          <w:color w:val="auto"/>
          <w:szCs w:val="21"/>
          <w:highlight w:val="none"/>
        </w:rPr>
      </w:pPr>
    </w:p>
    <w:p>
      <w:pPr>
        <w:spacing w:line="440" w:lineRule="exact"/>
        <w:jc w:val="center"/>
        <w:outlineLvl w:val="1"/>
        <w:rPr>
          <w:rFonts w:ascii="宋体" w:hAnsi="宋体" w:cs="宋体"/>
          <w:b/>
          <w:color w:val="auto"/>
          <w:szCs w:val="21"/>
          <w:highlight w:val="none"/>
        </w:rPr>
      </w:pPr>
    </w:p>
    <w:p>
      <w:pPr>
        <w:spacing w:line="440" w:lineRule="exact"/>
        <w:jc w:val="center"/>
        <w:outlineLvl w:val="1"/>
        <w:rPr>
          <w:rFonts w:ascii="宋体" w:hAnsi="宋体" w:cs="宋体"/>
          <w:b/>
          <w:color w:val="auto"/>
          <w:szCs w:val="21"/>
          <w:highlight w:val="none"/>
        </w:rPr>
      </w:pPr>
    </w:p>
    <w:p>
      <w:pPr>
        <w:spacing w:line="440" w:lineRule="exact"/>
        <w:jc w:val="center"/>
        <w:outlineLvl w:val="1"/>
        <w:rPr>
          <w:rFonts w:ascii="宋体" w:hAnsi="宋体" w:cs="宋体"/>
          <w:b/>
          <w:color w:val="auto"/>
          <w:szCs w:val="21"/>
          <w:highlight w:val="none"/>
        </w:rPr>
      </w:pPr>
    </w:p>
    <w:p>
      <w:pPr>
        <w:spacing w:line="440" w:lineRule="exact"/>
        <w:jc w:val="center"/>
        <w:outlineLvl w:val="1"/>
        <w:rPr>
          <w:rFonts w:ascii="宋体" w:hAnsi="宋体" w:cs="宋体"/>
          <w:b/>
          <w:color w:val="auto"/>
          <w:szCs w:val="21"/>
          <w:highlight w:val="none"/>
        </w:rPr>
      </w:pPr>
    </w:p>
    <w:p>
      <w:pPr>
        <w:spacing w:line="440" w:lineRule="exact"/>
        <w:jc w:val="center"/>
        <w:outlineLvl w:val="1"/>
        <w:rPr>
          <w:rFonts w:ascii="宋体" w:hAnsi="宋体" w:cs="宋体"/>
          <w:b/>
          <w:color w:val="auto"/>
          <w:szCs w:val="21"/>
          <w:highlight w:val="none"/>
        </w:rPr>
      </w:pPr>
    </w:p>
    <w:p>
      <w:pPr>
        <w:spacing w:line="440" w:lineRule="exact"/>
        <w:jc w:val="center"/>
        <w:outlineLvl w:val="1"/>
        <w:rPr>
          <w:rFonts w:ascii="宋体" w:hAnsi="宋体" w:cs="宋体"/>
          <w:b/>
          <w:color w:val="auto"/>
          <w:szCs w:val="21"/>
          <w:highlight w:val="none"/>
        </w:rPr>
      </w:pPr>
    </w:p>
    <w:p>
      <w:pPr>
        <w:spacing w:line="440" w:lineRule="exact"/>
        <w:jc w:val="center"/>
        <w:outlineLvl w:val="1"/>
        <w:rPr>
          <w:rFonts w:ascii="宋体" w:hAnsi="宋体" w:cs="宋体"/>
          <w:b/>
          <w:color w:val="auto"/>
          <w:szCs w:val="21"/>
          <w:highlight w:val="none"/>
        </w:rPr>
      </w:pPr>
    </w:p>
    <w:p>
      <w:pPr>
        <w:spacing w:line="440" w:lineRule="exact"/>
        <w:jc w:val="center"/>
        <w:outlineLvl w:val="1"/>
        <w:rPr>
          <w:rFonts w:ascii="宋体" w:hAnsi="宋体" w:cs="宋体"/>
          <w:b/>
          <w:color w:val="auto"/>
          <w:szCs w:val="21"/>
          <w:highlight w:val="none"/>
        </w:rPr>
      </w:pPr>
    </w:p>
    <w:p>
      <w:pPr>
        <w:rPr>
          <w:rFonts w:hint="eastAsia" w:ascii="宋体" w:hAnsi="宋体" w:cs="宋体"/>
          <w:b/>
          <w:color w:val="auto"/>
          <w:szCs w:val="21"/>
          <w:highlight w:val="none"/>
        </w:rPr>
      </w:pPr>
      <w:r>
        <w:rPr>
          <w:rFonts w:hint="eastAsia" w:ascii="宋体" w:hAnsi="宋体" w:cs="宋体"/>
          <w:b/>
          <w:color w:val="auto"/>
          <w:szCs w:val="21"/>
          <w:highlight w:val="none"/>
        </w:rPr>
        <w:br w:type="page"/>
      </w:r>
    </w:p>
    <w:p>
      <w:pPr>
        <w:spacing w:line="440" w:lineRule="exact"/>
        <w:jc w:val="center"/>
        <w:outlineLvl w:val="1"/>
        <w:rPr>
          <w:rFonts w:ascii="宋体" w:hAnsi="宋体" w:cs="宋体"/>
          <w:b/>
          <w:color w:val="auto"/>
          <w:szCs w:val="21"/>
          <w:highlight w:val="none"/>
        </w:rPr>
      </w:pPr>
      <w:r>
        <w:rPr>
          <w:rFonts w:hint="eastAsia" w:ascii="宋体" w:hAnsi="宋体" w:cs="宋体"/>
          <w:b/>
          <w:color w:val="auto"/>
          <w:szCs w:val="21"/>
          <w:highlight w:val="none"/>
        </w:rPr>
        <w:t>二、评分标准</w:t>
      </w:r>
      <w:bookmarkEnd w:id="166"/>
      <w:bookmarkEnd w:id="167"/>
      <w:bookmarkEnd w:id="168"/>
    </w:p>
    <w:tbl>
      <w:tblPr>
        <w:tblStyle w:val="33"/>
        <w:tblW w:w="9909"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742"/>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trPr>
        <w:tc>
          <w:tcPr>
            <w:tcW w:w="1180" w:type="dxa"/>
            <w:vAlign w:val="center"/>
          </w:tcPr>
          <w:p>
            <w:pPr>
              <w:spacing w:line="300" w:lineRule="exact"/>
              <w:jc w:val="center"/>
              <w:textAlignment w:val="center"/>
              <w:rPr>
                <w:rFonts w:ascii="宋体" w:hAnsi="宋体" w:cs="宋体"/>
                <w:b/>
                <w:color w:val="auto"/>
                <w:szCs w:val="21"/>
                <w:highlight w:val="none"/>
              </w:rPr>
            </w:pPr>
            <w:bookmarkStart w:id="169" w:name="_Toc108881189"/>
            <w:r>
              <w:rPr>
                <w:rFonts w:hint="eastAsia" w:ascii="宋体" w:hAnsi="宋体" w:cs="宋体"/>
                <w:b/>
                <w:color w:val="auto"/>
                <w:szCs w:val="21"/>
                <w:highlight w:val="none"/>
              </w:rPr>
              <w:t>评判内容</w:t>
            </w:r>
          </w:p>
        </w:tc>
        <w:tc>
          <w:tcPr>
            <w:tcW w:w="742" w:type="dxa"/>
            <w:vAlign w:val="center"/>
          </w:tcPr>
          <w:p>
            <w:pPr>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7987" w:type="dxa"/>
            <w:vAlign w:val="center"/>
          </w:tcPr>
          <w:p>
            <w:pPr>
              <w:spacing w:line="300" w:lineRule="exact"/>
              <w:jc w:val="center"/>
              <w:textAlignment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180" w:type="dxa"/>
            <w:vAlign w:val="center"/>
          </w:tcPr>
          <w:p>
            <w:pPr>
              <w:numPr>
                <w:ilvl w:val="0"/>
                <w:numId w:val="0"/>
              </w:numPr>
              <w:spacing w:line="30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rPr>
              <w:t>投标报价（20分）</w:t>
            </w:r>
          </w:p>
        </w:tc>
        <w:tc>
          <w:tcPr>
            <w:tcW w:w="742" w:type="dxa"/>
            <w:vAlign w:val="center"/>
          </w:tcPr>
          <w:p>
            <w:pPr>
              <w:numPr>
                <w:ilvl w:val="0"/>
                <w:numId w:val="0"/>
              </w:numPr>
              <w:spacing w:line="30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rPr>
              <w:t>20分</w:t>
            </w:r>
          </w:p>
        </w:tc>
        <w:tc>
          <w:tcPr>
            <w:tcW w:w="7987" w:type="dxa"/>
            <w:vAlign w:val="center"/>
          </w:tcPr>
          <w:p>
            <w:pPr>
              <w:numPr>
                <w:ilvl w:val="0"/>
                <w:numId w:val="0"/>
              </w:numPr>
              <w:spacing w:line="300" w:lineRule="exact"/>
              <w:ind w:firstLine="210" w:firstLineChars="100"/>
              <w:textAlignment w:val="center"/>
              <w:rPr>
                <w:rFonts w:hint="eastAsia" w:ascii="宋体" w:hAnsi="宋体" w:cs="宋体"/>
                <w:color w:val="auto"/>
                <w:szCs w:val="21"/>
                <w:highlight w:val="none"/>
              </w:rPr>
            </w:pPr>
            <w:r>
              <w:rPr>
                <w:rFonts w:hint="eastAsia" w:ascii="宋体" w:hAnsi="宋体" w:cs="宋体"/>
                <w:color w:val="auto"/>
                <w:szCs w:val="21"/>
                <w:highlight w:val="none"/>
              </w:rPr>
              <w:t>用低价优先法计算，即满足招标文件要求且</w:t>
            </w:r>
            <w:r>
              <w:rPr>
                <w:rFonts w:hint="eastAsia" w:ascii="宋体" w:hAnsi="宋体" w:cs="宋体"/>
                <w:color w:val="auto"/>
                <w:szCs w:val="21"/>
                <w:highlight w:val="none"/>
                <w:lang w:eastAsia="zh-CN"/>
              </w:rPr>
              <w:t>下浮率</w:t>
            </w:r>
            <w:r>
              <w:rPr>
                <w:rFonts w:hint="eastAsia" w:ascii="宋体" w:hAnsi="宋体" w:cs="宋体"/>
                <w:color w:val="auto"/>
                <w:szCs w:val="21"/>
                <w:highlight w:val="none"/>
              </w:rPr>
              <w:t>最</w:t>
            </w:r>
            <w:r>
              <w:rPr>
                <w:rFonts w:hint="eastAsia" w:ascii="宋体" w:hAnsi="宋体" w:cs="宋体"/>
                <w:color w:val="auto"/>
                <w:szCs w:val="21"/>
                <w:highlight w:val="none"/>
                <w:lang w:eastAsia="zh-CN"/>
              </w:rPr>
              <w:t>高</w:t>
            </w:r>
            <w:r>
              <w:rPr>
                <w:rFonts w:hint="eastAsia" w:ascii="宋体" w:hAnsi="宋体" w:cs="宋体"/>
                <w:color w:val="auto"/>
                <w:szCs w:val="21"/>
                <w:highlight w:val="none"/>
              </w:rPr>
              <w:t>的报价为评审基准价，其价格分为满分。</w:t>
            </w:r>
          </w:p>
          <w:p>
            <w:pPr>
              <w:numPr>
                <w:ilvl w:val="0"/>
                <w:numId w:val="0"/>
              </w:numPr>
              <w:spacing w:line="300" w:lineRule="exact"/>
              <w:ind w:firstLine="210" w:firstLineChars="100"/>
              <w:textAlignment w:val="center"/>
              <w:rPr>
                <w:rFonts w:hint="eastAsia" w:ascii="宋体" w:hAnsi="宋体" w:cs="宋体"/>
                <w:color w:val="auto"/>
                <w:szCs w:val="21"/>
                <w:highlight w:val="none"/>
              </w:rPr>
            </w:pPr>
            <w:r>
              <w:rPr>
                <w:rFonts w:hint="eastAsia" w:ascii="宋体" w:hAnsi="宋体" w:cs="宋体"/>
                <w:color w:val="auto"/>
                <w:szCs w:val="21"/>
                <w:highlight w:val="none"/>
              </w:rPr>
              <w:t>其他供应商的价格分统一按照下列公式计算:</w:t>
            </w:r>
          </w:p>
          <w:p>
            <w:pPr>
              <w:numPr>
                <w:ilvl w:val="0"/>
                <w:numId w:val="0"/>
              </w:numPr>
              <w:spacing w:line="300" w:lineRule="exact"/>
              <w:ind w:firstLine="210" w:firstLineChars="100"/>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en-US"/>
              </w:rPr>
              <w:t>租赁限价</w:t>
            </w:r>
            <w:r>
              <w:rPr>
                <w:rFonts w:hint="eastAsia" w:ascii="宋体" w:hAnsi="宋体" w:cs="宋体"/>
                <w:color w:val="auto"/>
                <w:szCs w:val="21"/>
                <w:highlight w:val="none"/>
                <w:lang w:eastAsia="zh-CN"/>
              </w:rPr>
              <w:t>下浮率</w:t>
            </w:r>
            <w:r>
              <w:rPr>
                <w:rFonts w:hint="eastAsia" w:ascii="宋体" w:hAnsi="宋体" w:cs="宋体"/>
                <w:color w:val="auto"/>
                <w:szCs w:val="21"/>
                <w:highlight w:val="none"/>
                <w:lang w:eastAsia="en-US"/>
              </w:rPr>
              <w:t>(</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en-US"/>
              </w:rPr>
              <w:t>)</w:t>
            </w:r>
            <w:r>
              <w:rPr>
                <w:rFonts w:hint="eastAsia" w:ascii="宋体" w:hAnsi="宋体" w:cs="宋体"/>
                <w:color w:val="auto"/>
                <w:szCs w:val="21"/>
                <w:highlight w:val="none"/>
              </w:rPr>
              <w:t>报价得分=(评审基准价/报价)×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0（小数点保留两位）</w:t>
            </w:r>
            <w:r>
              <w:rPr>
                <w:rFonts w:hint="eastAsia" w:ascii="宋体" w:hAnsi="宋体" w:cs="宋体"/>
                <w:color w:val="auto"/>
                <w:szCs w:val="21"/>
                <w:highlight w:val="none"/>
                <w:lang w:eastAsia="zh-CN"/>
              </w:rPr>
              <w:t>；</w:t>
            </w:r>
          </w:p>
          <w:p>
            <w:pPr>
              <w:numPr>
                <w:ilvl w:val="0"/>
                <w:numId w:val="0"/>
              </w:numPr>
              <w:spacing w:line="300" w:lineRule="exact"/>
              <w:ind w:firstLine="210" w:firstLineChars="100"/>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lang w:eastAsia="en-US"/>
              </w:rPr>
              <w:t>超出基准里程公里费用</w:t>
            </w:r>
            <w:r>
              <w:rPr>
                <w:rFonts w:hint="eastAsia" w:ascii="宋体" w:hAnsi="宋体" w:cs="宋体"/>
                <w:color w:val="auto"/>
                <w:szCs w:val="21"/>
                <w:highlight w:val="none"/>
                <w:lang w:eastAsia="zh-CN"/>
              </w:rPr>
              <w:t>下浮率</w:t>
            </w:r>
            <w:r>
              <w:rPr>
                <w:rFonts w:hint="eastAsia" w:ascii="宋体" w:hAnsi="宋体" w:cs="宋体"/>
                <w:color w:val="auto"/>
                <w:szCs w:val="21"/>
                <w:highlight w:val="none"/>
              </w:rPr>
              <w:t>报价得分=(评审基准价/报价)×</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0（小数点保留两位）</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1180" w:type="dxa"/>
            <w:vMerge w:val="restart"/>
            <w:vAlign w:val="center"/>
          </w:tcPr>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租赁服务</w:t>
            </w:r>
          </w:p>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方案</w:t>
            </w:r>
          </w:p>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42</w:t>
            </w:r>
            <w:r>
              <w:rPr>
                <w:rFonts w:hint="eastAsia" w:ascii="宋体" w:hAnsi="宋体" w:cs="宋体"/>
                <w:color w:val="auto"/>
                <w:szCs w:val="21"/>
                <w:highlight w:val="none"/>
              </w:rPr>
              <w:t>分）</w:t>
            </w:r>
          </w:p>
        </w:tc>
        <w:tc>
          <w:tcPr>
            <w:tcW w:w="742" w:type="dxa"/>
            <w:vAlign w:val="center"/>
          </w:tcPr>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7987" w:type="dxa"/>
            <w:vAlign w:val="center"/>
          </w:tcPr>
          <w:p>
            <w:pPr>
              <w:spacing w:line="30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1．投标供应商针对项目的完整技术和服务解决方案：针对项目的实施方案；包括(但不限于)方案具体实施步骤、时间进度安排、车辆安排、主要服务内容及实施方式等，</w:t>
            </w:r>
          </w:p>
          <w:p>
            <w:pPr>
              <w:spacing w:line="30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方案描述准确、内容较细致，满足本项目要求，得</w:t>
            </w:r>
            <w:r>
              <w:rPr>
                <w:rFonts w:hint="eastAsia" w:ascii="宋体" w:hAnsi="宋体" w:cs="宋体"/>
                <w:color w:val="auto"/>
                <w:szCs w:val="21"/>
                <w:highlight w:val="none"/>
                <w:lang w:val="en-US" w:eastAsia="zh-CN"/>
              </w:rPr>
              <w:t>12.1-15</w:t>
            </w:r>
            <w:r>
              <w:rPr>
                <w:rFonts w:hint="eastAsia" w:ascii="宋体" w:hAnsi="宋体" w:cs="宋体"/>
                <w:color w:val="auto"/>
                <w:szCs w:val="21"/>
                <w:highlight w:val="none"/>
              </w:rPr>
              <w:t>分；</w:t>
            </w:r>
          </w:p>
          <w:p>
            <w:pPr>
              <w:spacing w:line="30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方案描述准确、内容较细致，较能满足本项目要求，得</w:t>
            </w:r>
            <w:r>
              <w:rPr>
                <w:rFonts w:hint="eastAsia" w:ascii="宋体" w:hAnsi="宋体" w:cs="宋体"/>
                <w:color w:val="auto"/>
                <w:szCs w:val="21"/>
                <w:highlight w:val="none"/>
                <w:lang w:val="en-US" w:eastAsia="zh-CN"/>
              </w:rPr>
              <w:t>9.1-12</w:t>
            </w:r>
            <w:r>
              <w:rPr>
                <w:rFonts w:hint="eastAsia" w:ascii="宋体" w:hAnsi="宋体" w:cs="宋体"/>
                <w:color w:val="auto"/>
                <w:szCs w:val="21"/>
                <w:highlight w:val="none"/>
              </w:rPr>
              <w:t>分；</w:t>
            </w:r>
          </w:p>
          <w:p>
            <w:pPr>
              <w:spacing w:line="30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方案描述基本准确、内容基本细致、基本满足本项目要求得</w:t>
            </w:r>
            <w:r>
              <w:rPr>
                <w:rFonts w:hint="eastAsia" w:ascii="宋体" w:hAnsi="宋体" w:cs="宋体"/>
                <w:color w:val="auto"/>
                <w:szCs w:val="21"/>
                <w:highlight w:val="none"/>
                <w:lang w:val="en-US" w:eastAsia="zh-CN"/>
              </w:rPr>
              <w:t>6.1-9</w:t>
            </w:r>
            <w:r>
              <w:rPr>
                <w:rFonts w:hint="eastAsia" w:ascii="宋体" w:hAnsi="宋体" w:cs="宋体"/>
                <w:color w:val="auto"/>
                <w:szCs w:val="21"/>
                <w:highlight w:val="none"/>
              </w:rPr>
              <w:t>分</w:t>
            </w:r>
            <w:r>
              <w:rPr>
                <w:rFonts w:hint="eastAsia" w:ascii="宋体" w:hAnsi="宋体" w:cs="宋体"/>
                <w:color w:val="auto"/>
                <w:kern w:val="0"/>
                <w:szCs w:val="21"/>
                <w:highlight w:val="none"/>
              </w:rPr>
              <w:t>；方案</w:t>
            </w:r>
            <w:r>
              <w:rPr>
                <w:rFonts w:hint="eastAsia" w:ascii="宋体" w:hAnsi="宋体" w:cs="宋体"/>
                <w:color w:val="auto"/>
                <w:szCs w:val="21"/>
                <w:highlight w:val="none"/>
              </w:rPr>
              <w:t>差的或</w:t>
            </w:r>
            <w:r>
              <w:rPr>
                <w:rFonts w:hint="eastAsia" w:ascii="宋体" w:hAnsi="宋体" w:cs="宋体"/>
                <w:color w:val="auto"/>
                <w:kern w:val="0"/>
                <w:szCs w:val="21"/>
                <w:highlight w:val="none"/>
              </w:rPr>
              <w:t>未提供不得分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180" w:type="dxa"/>
            <w:vMerge w:val="continue"/>
            <w:vAlign w:val="center"/>
          </w:tcPr>
          <w:p>
            <w:pPr>
              <w:spacing w:line="300" w:lineRule="exact"/>
              <w:jc w:val="center"/>
              <w:textAlignment w:val="center"/>
              <w:rPr>
                <w:rFonts w:ascii="宋体" w:hAnsi="宋体" w:cs="宋体"/>
                <w:color w:val="auto"/>
                <w:szCs w:val="21"/>
                <w:highlight w:val="none"/>
              </w:rPr>
            </w:pPr>
          </w:p>
        </w:tc>
        <w:tc>
          <w:tcPr>
            <w:tcW w:w="742" w:type="dxa"/>
            <w:vAlign w:val="center"/>
          </w:tcPr>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分</w:t>
            </w:r>
          </w:p>
        </w:tc>
        <w:tc>
          <w:tcPr>
            <w:tcW w:w="7987" w:type="dxa"/>
            <w:vAlign w:val="center"/>
          </w:tcPr>
          <w:p>
            <w:pPr>
              <w:spacing w:line="30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 xml:space="preserve">2．投标供应商对针对本项目的安全措施等进行评分， </w:t>
            </w:r>
          </w:p>
          <w:p>
            <w:pPr>
              <w:spacing w:line="30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安全措施方案全面完整，思路清晰，可行性和可操作性强的，得</w:t>
            </w:r>
            <w:r>
              <w:rPr>
                <w:rFonts w:hint="eastAsia" w:ascii="宋体" w:hAnsi="宋体" w:cs="宋体"/>
                <w:color w:val="auto"/>
                <w:szCs w:val="21"/>
                <w:highlight w:val="none"/>
                <w:lang w:val="en-US" w:eastAsia="zh-CN"/>
              </w:rPr>
              <w:t>12.1-15</w:t>
            </w:r>
            <w:r>
              <w:rPr>
                <w:rFonts w:hint="eastAsia" w:ascii="宋体" w:hAnsi="宋体" w:cs="宋体"/>
                <w:color w:val="auto"/>
                <w:szCs w:val="21"/>
                <w:highlight w:val="none"/>
              </w:rPr>
              <w:t>分；安全措施方案较全面完整，思路较清晰，可行性和可操作性较强的，得</w:t>
            </w:r>
            <w:r>
              <w:rPr>
                <w:rFonts w:hint="eastAsia" w:ascii="宋体" w:hAnsi="宋体" w:cs="宋体"/>
                <w:color w:val="auto"/>
                <w:szCs w:val="21"/>
                <w:highlight w:val="none"/>
                <w:lang w:val="en-US" w:eastAsia="zh-CN"/>
              </w:rPr>
              <w:t>9.1-12</w:t>
            </w:r>
            <w:r>
              <w:rPr>
                <w:rFonts w:hint="eastAsia" w:ascii="宋体" w:hAnsi="宋体" w:cs="宋体"/>
                <w:color w:val="auto"/>
                <w:szCs w:val="21"/>
                <w:highlight w:val="none"/>
              </w:rPr>
              <w:t>分；全措施方案基本全面，思路一般，可行性和可操作性一般的，得</w:t>
            </w:r>
            <w:r>
              <w:rPr>
                <w:rFonts w:hint="eastAsia" w:ascii="宋体" w:hAnsi="宋体" w:cs="宋体"/>
                <w:color w:val="auto"/>
                <w:szCs w:val="21"/>
                <w:highlight w:val="none"/>
                <w:lang w:val="en-US" w:eastAsia="zh-CN"/>
              </w:rPr>
              <w:t>6.1-9</w:t>
            </w:r>
            <w:r>
              <w:rPr>
                <w:rFonts w:hint="eastAsia" w:ascii="宋体" w:hAnsi="宋体" w:cs="宋体"/>
                <w:color w:val="auto"/>
                <w:szCs w:val="21"/>
                <w:highlight w:val="none"/>
              </w:rPr>
              <w:t>分</w:t>
            </w:r>
            <w:r>
              <w:rPr>
                <w:rFonts w:hint="eastAsia" w:ascii="宋体" w:hAnsi="宋体" w:cs="宋体"/>
                <w:color w:val="auto"/>
                <w:kern w:val="0"/>
                <w:szCs w:val="21"/>
                <w:highlight w:val="none"/>
              </w:rPr>
              <w:t>；</w:t>
            </w:r>
            <w:r>
              <w:rPr>
                <w:rFonts w:hint="eastAsia" w:ascii="宋体" w:hAnsi="宋体" w:cs="宋体"/>
                <w:color w:val="auto"/>
                <w:szCs w:val="21"/>
                <w:highlight w:val="none"/>
              </w:rPr>
              <w:t>安全措施方案差、可操作性差的或</w:t>
            </w:r>
            <w:r>
              <w:rPr>
                <w:rFonts w:hint="eastAsia" w:ascii="宋体" w:hAnsi="宋体" w:cs="宋体"/>
                <w:color w:val="auto"/>
                <w:kern w:val="0"/>
                <w:szCs w:val="21"/>
                <w:highlight w:val="none"/>
              </w:rPr>
              <w:t>未提供不得分</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180" w:type="dxa"/>
            <w:vMerge w:val="continue"/>
            <w:vAlign w:val="center"/>
          </w:tcPr>
          <w:p>
            <w:pPr>
              <w:spacing w:line="300" w:lineRule="exact"/>
              <w:jc w:val="center"/>
              <w:textAlignment w:val="center"/>
              <w:rPr>
                <w:rFonts w:ascii="宋体" w:hAnsi="宋体" w:cs="宋体"/>
                <w:color w:val="auto"/>
                <w:szCs w:val="21"/>
                <w:highlight w:val="none"/>
              </w:rPr>
            </w:pPr>
          </w:p>
        </w:tc>
        <w:tc>
          <w:tcPr>
            <w:tcW w:w="742" w:type="dxa"/>
            <w:vAlign w:val="center"/>
          </w:tcPr>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p>
            <w:pPr>
              <w:spacing w:line="300" w:lineRule="exact"/>
              <w:jc w:val="center"/>
              <w:textAlignment w:val="center"/>
              <w:rPr>
                <w:rFonts w:ascii="宋体" w:hAnsi="宋体" w:cs="宋体"/>
                <w:color w:val="auto"/>
                <w:szCs w:val="21"/>
                <w:highlight w:val="none"/>
              </w:rPr>
            </w:pPr>
          </w:p>
        </w:tc>
        <w:tc>
          <w:tcPr>
            <w:tcW w:w="7987" w:type="dxa"/>
            <w:vAlign w:val="center"/>
          </w:tcPr>
          <w:p>
            <w:pPr>
              <w:spacing w:line="30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3．根据各投标供应商的应急方案及处理措施进行评分：</w:t>
            </w:r>
          </w:p>
          <w:p>
            <w:pPr>
              <w:spacing w:line="300" w:lineRule="exact"/>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应急方案重点突出、具有针对性、处理措施全面合理的，得得</w:t>
            </w:r>
            <w:r>
              <w:rPr>
                <w:rFonts w:hint="eastAsia" w:ascii="宋体" w:hAnsi="宋体" w:cs="宋体"/>
                <w:color w:val="auto"/>
                <w:szCs w:val="21"/>
                <w:highlight w:val="none"/>
                <w:lang w:val="en-US" w:eastAsia="zh-CN"/>
              </w:rPr>
              <w:t>10.1-12</w:t>
            </w:r>
            <w:r>
              <w:rPr>
                <w:rFonts w:hint="eastAsia" w:ascii="宋体" w:hAnsi="宋体" w:cs="宋体"/>
                <w:color w:val="auto"/>
                <w:szCs w:val="21"/>
                <w:highlight w:val="none"/>
              </w:rPr>
              <w:t>分；应急方案较突出、较具有针对性、处理措施全较合理的，得</w:t>
            </w:r>
            <w:r>
              <w:rPr>
                <w:rFonts w:hint="eastAsia" w:ascii="宋体" w:hAnsi="宋体" w:cs="宋体"/>
                <w:color w:val="auto"/>
                <w:szCs w:val="21"/>
                <w:highlight w:val="none"/>
                <w:lang w:val="en-US" w:eastAsia="zh-CN"/>
              </w:rPr>
              <w:t>8.1-10</w:t>
            </w:r>
            <w:r>
              <w:rPr>
                <w:rFonts w:hint="eastAsia" w:ascii="宋体" w:hAnsi="宋体" w:cs="宋体"/>
                <w:color w:val="auto"/>
                <w:szCs w:val="21"/>
                <w:highlight w:val="none"/>
              </w:rPr>
              <w:t>分；应急方案基本突出、针对性一般、处理措施一般的，得</w:t>
            </w:r>
            <w:r>
              <w:rPr>
                <w:rFonts w:hint="eastAsia" w:ascii="宋体" w:hAnsi="宋体" w:cs="宋体"/>
                <w:color w:val="auto"/>
                <w:szCs w:val="21"/>
                <w:highlight w:val="none"/>
                <w:lang w:val="en-US" w:eastAsia="zh-CN"/>
              </w:rPr>
              <w:t>6.1-8</w:t>
            </w:r>
            <w:r>
              <w:rPr>
                <w:rFonts w:hint="eastAsia" w:ascii="宋体" w:hAnsi="宋体" w:cs="宋体"/>
                <w:color w:val="auto"/>
                <w:szCs w:val="21"/>
                <w:highlight w:val="none"/>
              </w:rPr>
              <w:t>分</w:t>
            </w:r>
            <w:r>
              <w:rPr>
                <w:rFonts w:hint="eastAsia" w:ascii="宋体" w:hAnsi="宋体" w:cs="宋体"/>
                <w:color w:val="auto"/>
                <w:kern w:val="0"/>
                <w:szCs w:val="21"/>
                <w:highlight w:val="none"/>
              </w:rPr>
              <w:t>；</w:t>
            </w:r>
            <w:r>
              <w:rPr>
                <w:rFonts w:hint="eastAsia" w:ascii="宋体" w:hAnsi="宋体" w:cs="宋体"/>
                <w:color w:val="auto"/>
                <w:szCs w:val="21"/>
                <w:highlight w:val="none"/>
              </w:rPr>
              <w:t>方案及措施差不提供的不得分。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180" w:type="dxa"/>
            <w:vAlign w:val="center"/>
          </w:tcPr>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车辆配备(</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742" w:type="dxa"/>
            <w:vAlign w:val="center"/>
          </w:tcPr>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tc>
        <w:tc>
          <w:tcPr>
            <w:tcW w:w="7987" w:type="dxa"/>
            <w:vAlign w:val="center"/>
          </w:tcPr>
          <w:p>
            <w:pPr>
              <w:numPr>
                <w:ilvl w:val="0"/>
                <w:numId w:val="0"/>
              </w:numPr>
              <w:spacing w:line="300" w:lineRule="exact"/>
              <w:ind w:firstLine="210" w:firstLineChars="100"/>
              <w:textAlignment w:val="center"/>
              <w:rPr>
                <w:rFonts w:hint="default" w:ascii="宋体" w:hAnsi="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cs="宋体"/>
                <w:color w:val="auto"/>
                <w:szCs w:val="21"/>
                <w:highlight w:val="none"/>
              </w:rPr>
              <w:t>投标供应商具有有效期内符合服务用车要求10</w:t>
            </w:r>
            <w:r>
              <w:rPr>
                <w:rFonts w:hint="eastAsia" w:ascii="宋体" w:hAnsi="宋体" w:cs="宋体"/>
                <w:color w:val="auto"/>
                <w:szCs w:val="21"/>
                <w:highlight w:val="none"/>
                <w:lang w:val="en-US" w:eastAsia="zh-CN"/>
              </w:rPr>
              <w:t>（含）-15（含）辆车</w:t>
            </w:r>
            <w:r>
              <w:rPr>
                <w:rFonts w:hint="eastAsia" w:ascii="宋体" w:hAnsi="宋体" w:cs="宋体"/>
                <w:color w:val="auto"/>
                <w:szCs w:val="21"/>
                <w:highlight w:val="none"/>
                <w:lang w:eastAsia="zh-CN"/>
              </w:rPr>
              <w:t>的得</w:t>
            </w:r>
            <w:r>
              <w:rPr>
                <w:rFonts w:hint="eastAsia" w:ascii="宋体" w:hAnsi="宋体" w:cs="宋体"/>
                <w:color w:val="auto"/>
                <w:szCs w:val="21"/>
                <w:highlight w:val="none"/>
                <w:lang w:val="en-US" w:eastAsia="zh-CN"/>
              </w:rPr>
              <w:t>2分</w:t>
            </w:r>
            <w:r>
              <w:rPr>
                <w:rFonts w:hint="eastAsia" w:ascii="宋体" w:hAnsi="宋体" w:cs="宋体"/>
                <w:color w:val="auto"/>
                <w:szCs w:val="21"/>
                <w:highlight w:val="none"/>
                <w:lang w:eastAsia="zh-CN"/>
              </w:rPr>
              <w:t>；</w:t>
            </w:r>
            <w:r>
              <w:rPr>
                <w:rFonts w:hint="eastAsia" w:ascii="宋体" w:hAnsi="宋体" w:cs="宋体"/>
                <w:color w:val="auto"/>
                <w:szCs w:val="21"/>
                <w:highlight w:val="none"/>
              </w:rPr>
              <w:t>符合服务用车要求1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辆车</w:t>
            </w:r>
            <w:r>
              <w:rPr>
                <w:rFonts w:hint="eastAsia" w:ascii="宋体" w:hAnsi="宋体" w:cs="宋体"/>
                <w:color w:val="auto"/>
                <w:szCs w:val="21"/>
                <w:highlight w:val="none"/>
                <w:lang w:eastAsia="zh-CN"/>
              </w:rPr>
              <w:t>以上（不含）的得</w:t>
            </w:r>
            <w:r>
              <w:rPr>
                <w:rFonts w:hint="eastAsia" w:ascii="宋体" w:hAnsi="宋体" w:cs="宋体"/>
                <w:color w:val="auto"/>
                <w:szCs w:val="21"/>
                <w:highlight w:val="none"/>
                <w:lang w:val="en-US" w:eastAsia="zh-CN"/>
              </w:rPr>
              <w:t>3分，本项最高得3分。</w:t>
            </w:r>
          </w:p>
          <w:p>
            <w:pPr>
              <w:numPr>
                <w:ilvl w:val="0"/>
                <w:numId w:val="0"/>
              </w:numPr>
              <w:spacing w:line="300" w:lineRule="exact"/>
              <w:ind w:firstLine="210" w:firstLineChars="100"/>
              <w:textAlignment w:val="center"/>
              <w:rPr>
                <w:rFonts w:hint="default"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szCs w:val="21"/>
                <w:highlight w:val="none"/>
                <w:lang w:eastAsia="zh-CN"/>
              </w:rPr>
              <w:t>提供的</w:t>
            </w:r>
            <w:r>
              <w:rPr>
                <w:rFonts w:hint="eastAsia" w:ascii="宋体" w:hAnsi="宋体" w:cs="宋体"/>
                <w:color w:val="auto"/>
                <w:szCs w:val="21"/>
                <w:highlight w:val="none"/>
              </w:rPr>
              <w:t>车辆</w:t>
            </w:r>
            <w:r>
              <w:rPr>
                <w:rFonts w:hint="eastAsia" w:ascii="宋体" w:hAnsi="宋体" w:cs="宋体"/>
                <w:color w:val="auto"/>
                <w:szCs w:val="21"/>
                <w:highlight w:val="none"/>
                <w:lang w:eastAsia="zh-CN"/>
              </w:rPr>
              <w:t>中，</w:t>
            </w:r>
            <w:r>
              <w:rPr>
                <w:rFonts w:hint="eastAsia" w:ascii="宋体" w:hAnsi="宋体" w:cs="宋体"/>
                <w:color w:val="auto"/>
                <w:szCs w:val="21"/>
                <w:highlight w:val="none"/>
              </w:rPr>
              <w:t>登记日期为大于等于2018年的车辆</w:t>
            </w:r>
            <w:r>
              <w:rPr>
                <w:rFonts w:hint="eastAsia" w:ascii="宋体" w:hAnsi="宋体" w:cs="宋体"/>
                <w:color w:val="auto"/>
                <w:szCs w:val="21"/>
                <w:highlight w:val="none"/>
                <w:lang w:eastAsia="zh-CN"/>
              </w:rPr>
              <w:t>，每提供一辆，得</w:t>
            </w:r>
            <w:r>
              <w:rPr>
                <w:rFonts w:hint="eastAsia" w:ascii="宋体" w:hAnsi="宋体" w:cs="宋体"/>
                <w:color w:val="auto"/>
                <w:szCs w:val="21"/>
                <w:highlight w:val="none"/>
                <w:lang w:val="en-US" w:eastAsia="zh-CN"/>
              </w:rPr>
              <w:t>1分，最多得5分。</w:t>
            </w:r>
          </w:p>
          <w:p>
            <w:pPr>
              <w:spacing w:line="300" w:lineRule="exact"/>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投标时须提供行驶证复印件等相关证明材料</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1180" w:type="dxa"/>
            <w:vAlign w:val="center"/>
          </w:tcPr>
          <w:p>
            <w:pPr>
              <w:spacing w:line="300" w:lineRule="exact"/>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驾驶员要求</w:t>
            </w:r>
            <w:r>
              <w:rPr>
                <w:rFonts w:hint="eastAsia" w:ascii="宋体" w:hAnsi="宋体" w:cs="宋体"/>
                <w:color w:val="auto"/>
                <w:szCs w:val="21"/>
                <w:highlight w:val="none"/>
              </w:rPr>
              <w:t>(10分)</w:t>
            </w:r>
          </w:p>
        </w:tc>
        <w:tc>
          <w:tcPr>
            <w:tcW w:w="742" w:type="dxa"/>
            <w:vAlign w:val="center"/>
          </w:tcPr>
          <w:p>
            <w:pPr>
              <w:spacing w:line="300" w:lineRule="exact"/>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10分</w:t>
            </w:r>
          </w:p>
        </w:tc>
        <w:tc>
          <w:tcPr>
            <w:tcW w:w="7987" w:type="dxa"/>
            <w:vAlign w:val="center"/>
          </w:tcPr>
          <w:p>
            <w:pPr>
              <w:numPr>
                <w:ilvl w:val="0"/>
                <w:numId w:val="0"/>
              </w:numPr>
              <w:spacing w:line="300" w:lineRule="exact"/>
              <w:textAlignment w:val="center"/>
              <w:rPr>
                <w:rFonts w:hint="eastAsia" w:ascii="宋体" w:hAnsi="宋体" w:cs="宋体"/>
                <w:color w:val="auto"/>
                <w:szCs w:val="21"/>
                <w:highlight w:val="none"/>
              </w:rPr>
            </w:pPr>
            <w:r>
              <w:rPr>
                <w:rFonts w:hint="eastAsia" w:ascii="宋体" w:hAnsi="宋体" w:cs="宋体"/>
                <w:color w:val="auto"/>
                <w:szCs w:val="21"/>
                <w:highlight w:val="none"/>
              </w:rPr>
              <w:t>具有符合招标项目驾照和安全驾驶要求的且驾驶证在有效期内的驾驶员10名</w:t>
            </w:r>
            <w:r>
              <w:rPr>
                <w:rFonts w:hint="eastAsia" w:ascii="宋体" w:hAnsi="宋体" w:cs="宋体"/>
                <w:color w:val="auto"/>
                <w:szCs w:val="21"/>
                <w:highlight w:val="none"/>
                <w:lang w:eastAsia="zh-CN"/>
              </w:rPr>
              <w:t>及以上的</w:t>
            </w:r>
            <w:r>
              <w:rPr>
                <w:rFonts w:hint="eastAsia" w:ascii="宋体" w:hAnsi="宋体" w:cs="宋体"/>
                <w:color w:val="auto"/>
                <w:szCs w:val="21"/>
                <w:highlight w:val="none"/>
              </w:rPr>
              <w:t>，</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1分；其中</w:t>
            </w:r>
            <w:r>
              <w:rPr>
                <w:rFonts w:hint="eastAsia" w:ascii="宋体" w:hAnsi="宋体" w:cs="宋体"/>
                <w:color w:val="auto"/>
                <w:szCs w:val="21"/>
                <w:highlight w:val="none"/>
              </w:rPr>
              <w:t>驾龄在10年</w:t>
            </w:r>
            <w:r>
              <w:rPr>
                <w:rFonts w:hint="eastAsia" w:ascii="宋体" w:hAnsi="宋体" w:cs="宋体"/>
                <w:color w:val="auto"/>
                <w:szCs w:val="21"/>
                <w:highlight w:val="none"/>
                <w:lang w:eastAsia="zh-CN"/>
              </w:rPr>
              <w:t>（不含）</w:t>
            </w:r>
            <w:r>
              <w:rPr>
                <w:rFonts w:hint="eastAsia" w:ascii="宋体" w:hAnsi="宋体" w:cs="宋体"/>
                <w:color w:val="auto"/>
                <w:szCs w:val="21"/>
                <w:highlight w:val="none"/>
              </w:rPr>
              <w:t>以上的</w:t>
            </w:r>
            <w:r>
              <w:rPr>
                <w:rFonts w:hint="eastAsia" w:ascii="宋体" w:hAnsi="宋体" w:cs="宋体"/>
                <w:color w:val="auto"/>
                <w:szCs w:val="21"/>
                <w:highlight w:val="none"/>
                <w:lang w:eastAsia="zh-CN"/>
              </w:rPr>
              <w:t>，每提供一名，得</w:t>
            </w:r>
            <w:r>
              <w:rPr>
                <w:rFonts w:hint="eastAsia" w:ascii="宋体" w:hAnsi="宋体" w:cs="宋体"/>
                <w:color w:val="auto"/>
                <w:szCs w:val="21"/>
                <w:highlight w:val="none"/>
                <w:lang w:val="en-US" w:eastAsia="zh-CN"/>
              </w:rPr>
              <w:t>1分，最多得5分；</w:t>
            </w:r>
            <w:r>
              <w:rPr>
                <w:rFonts w:hint="eastAsia" w:ascii="宋体" w:hAnsi="宋体" w:cs="宋体"/>
                <w:color w:val="auto"/>
                <w:szCs w:val="21"/>
                <w:highlight w:val="none"/>
              </w:rPr>
              <w:t>驾龄在8年</w:t>
            </w:r>
            <w:r>
              <w:rPr>
                <w:rFonts w:hint="eastAsia" w:ascii="宋体" w:hAnsi="宋体" w:cs="宋体"/>
                <w:color w:val="auto"/>
                <w:szCs w:val="21"/>
                <w:highlight w:val="none"/>
                <w:lang w:eastAsia="zh-CN"/>
              </w:rPr>
              <w:t>（含）</w:t>
            </w:r>
            <w:r>
              <w:rPr>
                <w:rFonts w:hint="eastAsia" w:ascii="宋体" w:hAnsi="宋体" w:cs="宋体"/>
                <w:color w:val="auto"/>
                <w:szCs w:val="21"/>
                <w:highlight w:val="none"/>
                <w:lang w:val="en-US" w:eastAsia="zh-CN"/>
              </w:rPr>
              <w:t>-10年</w:t>
            </w:r>
            <w:r>
              <w:rPr>
                <w:rFonts w:hint="eastAsia" w:ascii="宋体" w:hAnsi="宋体" w:cs="宋体"/>
                <w:color w:val="auto"/>
                <w:szCs w:val="21"/>
                <w:highlight w:val="none"/>
                <w:lang w:eastAsia="zh-CN"/>
              </w:rPr>
              <w:t>（含）</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每提供一名，得</w:t>
            </w:r>
            <w:r>
              <w:rPr>
                <w:rFonts w:hint="eastAsia" w:ascii="宋体" w:hAnsi="宋体" w:cs="宋体"/>
                <w:color w:val="auto"/>
                <w:szCs w:val="21"/>
                <w:highlight w:val="none"/>
                <w:lang w:val="en-US" w:eastAsia="zh-CN"/>
              </w:rPr>
              <w:t>1分，最多得4分。本项最高得10分。</w:t>
            </w:r>
            <w:r>
              <w:rPr>
                <w:rFonts w:hint="eastAsia" w:ascii="宋体" w:hAnsi="宋体" w:cs="宋体"/>
                <w:color w:val="auto"/>
                <w:szCs w:val="21"/>
                <w:highlight w:val="none"/>
              </w:rPr>
              <w:t>（投标时须提供驾驶证复印件和驾驶员</w:t>
            </w:r>
            <w:r>
              <w:rPr>
                <w:rFonts w:hint="eastAsia" w:ascii="宋体" w:hAnsi="宋体" w:cs="宋体"/>
                <w:color w:val="auto"/>
                <w:szCs w:val="21"/>
                <w:highlight w:val="none"/>
                <w:lang w:eastAsia="zh-CN"/>
              </w:rPr>
              <w:t>劳务合同或在本单位缴纳的近三个月任意一个月的社保证明材料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180" w:type="dxa"/>
            <w:vAlign w:val="center"/>
          </w:tcPr>
          <w:p>
            <w:pPr>
              <w:spacing w:line="300" w:lineRule="exact"/>
              <w:jc w:val="center"/>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本地化服务</w:t>
            </w:r>
          </w:p>
          <w:p>
            <w:pPr>
              <w:spacing w:line="300" w:lineRule="exact"/>
              <w:jc w:val="center"/>
              <w:textAlignment w:val="center"/>
              <w:rPr>
                <w:rFonts w:ascii="宋体" w:hAnsi="宋体" w:cs="宋体"/>
                <w:color w:val="auto"/>
                <w:szCs w:val="21"/>
                <w:highlight w:val="none"/>
              </w:rPr>
            </w:pPr>
            <w:r>
              <w:rPr>
                <w:rFonts w:hint="eastAsia" w:ascii="宋体" w:hAnsi="宋体" w:cs="宋体"/>
                <w:bCs/>
                <w:color w:val="auto"/>
                <w:szCs w:val="21"/>
                <w:highlight w:val="none"/>
                <w:lang w:val="zh-TW"/>
              </w:rPr>
              <w:t>（5分）</w:t>
            </w:r>
          </w:p>
        </w:tc>
        <w:tc>
          <w:tcPr>
            <w:tcW w:w="742" w:type="dxa"/>
            <w:vAlign w:val="center"/>
          </w:tcPr>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5分</w:t>
            </w:r>
          </w:p>
        </w:tc>
        <w:tc>
          <w:tcPr>
            <w:tcW w:w="7987" w:type="dxa"/>
            <w:vAlign w:val="center"/>
          </w:tcPr>
          <w:p>
            <w:pPr>
              <w:spacing w:line="300" w:lineRule="exact"/>
              <w:ind w:firstLine="420" w:firstLineChars="200"/>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投标供应商是盐城本地公司或在盐城有分支机构或承诺（格式自拟）中标后在盐城成立分支机构的得5分；投标供应商是江苏省内公司或在江苏省内设有分公司、子公司的或承诺成交后在江苏省内设有分公司、子公司的得3分，其他不得分。</w:t>
            </w:r>
            <w:r>
              <w:rPr>
                <w:rFonts w:hint="eastAsia" w:ascii="宋体" w:hAnsi="宋体" w:cs="宋体"/>
                <w:bCs/>
                <w:color w:val="auto"/>
                <w:szCs w:val="21"/>
                <w:highlight w:val="none"/>
                <w:lang w:val="zh-TW"/>
              </w:rPr>
              <w:cr/>
            </w:r>
            <w:r>
              <w:rPr>
                <w:rFonts w:hint="eastAsia" w:ascii="宋体" w:hAnsi="宋体" w:cs="宋体"/>
                <w:bCs/>
                <w:color w:val="auto"/>
                <w:szCs w:val="21"/>
                <w:highlight w:val="none"/>
                <w:lang w:val="zh-TW"/>
              </w:rPr>
              <w:t>（须提供营业执照复印件加盖投标人公章）</w:t>
            </w:r>
          </w:p>
          <w:p>
            <w:pPr>
              <w:spacing w:line="300" w:lineRule="exact"/>
              <w:ind w:firstLine="420" w:firstLineChars="200"/>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注：中标后如承诺未能履行的，采购人有权终止其成交资格并将其列入黑名单。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180" w:type="dxa"/>
            <w:vAlign w:val="center"/>
          </w:tcPr>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车辆保险</w:t>
            </w:r>
          </w:p>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（5分）</w:t>
            </w:r>
          </w:p>
        </w:tc>
        <w:tc>
          <w:tcPr>
            <w:tcW w:w="742" w:type="dxa"/>
            <w:vAlign w:val="center"/>
          </w:tcPr>
          <w:p>
            <w:pPr>
              <w:spacing w:line="3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5分</w:t>
            </w:r>
          </w:p>
        </w:tc>
        <w:tc>
          <w:tcPr>
            <w:tcW w:w="7987" w:type="dxa"/>
            <w:vAlign w:val="center"/>
          </w:tcPr>
          <w:p>
            <w:pPr>
              <w:spacing w:line="300" w:lineRule="exact"/>
              <w:ind w:firstLine="420" w:firstLineChars="200"/>
              <w:textAlignment w:val="center"/>
              <w:rPr>
                <w:rFonts w:ascii="宋体" w:hAnsi="宋体" w:cs="宋体"/>
                <w:color w:val="auto"/>
                <w:szCs w:val="21"/>
                <w:highlight w:val="none"/>
              </w:rPr>
            </w:pPr>
            <w:r>
              <w:rPr>
                <w:rFonts w:hint="eastAsia" w:ascii="宋体" w:hAnsi="宋体" w:cs="宋体"/>
                <w:bCs/>
                <w:color w:val="auto"/>
                <w:szCs w:val="21"/>
                <w:highlight w:val="none"/>
                <w:lang w:val="zh-TW"/>
              </w:rPr>
              <w:t>机动车第三者责任险（保额100万）的不得分，高于100万的有一辆车加1分，最多加3分；机动车全车车上人员险（50万）的不得分，高于50万的有一辆车加1分，最多加2分；本项最高得5分。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trPr>
        <w:tc>
          <w:tcPr>
            <w:tcW w:w="1180" w:type="dxa"/>
            <w:vAlign w:val="center"/>
          </w:tcPr>
          <w:p>
            <w:pPr>
              <w:spacing w:line="300" w:lineRule="exact"/>
              <w:jc w:val="center"/>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售后服务</w:t>
            </w:r>
          </w:p>
          <w:p>
            <w:pPr>
              <w:spacing w:line="300" w:lineRule="exact"/>
              <w:jc w:val="center"/>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方案</w:t>
            </w:r>
          </w:p>
          <w:p>
            <w:pPr>
              <w:spacing w:line="300" w:lineRule="exact"/>
              <w:jc w:val="center"/>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（10分）</w:t>
            </w:r>
          </w:p>
        </w:tc>
        <w:tc>
          <w:tcPr>
            <w:tcW w:w="742" w:type="dxa"/>
            <w:vAlign w:val="center"/>
          </w:tcPr>
          <w:p>
            <w:pPr>
              <w:spacing w:line="300" w:lineRule="exact"/>
              <w:jc w:val="center"/>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10分</w:t>
            </w:r>
          </w:p>
        </w:tc>
        <w:tc>
          <w:tcPr>
            <w:tcW w:w="7987" w:type="dxa"/>
            <w:vAlign w:val="center"/>
          </w:tcPr>
          <w:p>
            <w:pPr>
              <w:spacing w:line="300" w:lineRule="exact"/>
              <w:ind w:firstLine="420" w:firstLineChars="200"/>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根据投标供应商对本项目所涉及的维修保养、送修人员等方面进行评分:</w:t>
            </w:r>
          </w:p>
          <w:p>
            <w:pPr>
              <w:spacing w:line="300" w:lineRule="exact"/>
              <w:ind w:firstLine="420" w:firstLineChars="200"/>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维修保养计划完整合理，人员配备合理的，得</w:t>
            </w:r>
            <w:r>
              <w:rPr>
                <w:rFonts w:hint="eastAsia" w:ascii="宋体" w:hAnsi="宋体" w:cs="宋体"/>
                <w:bCs/>
                <w:color w:val="auto"/>
                <w:szCs w:val="21"/>
                <w:highlight w:val="none"/>
              </w:rPr>
              <w:t>8</w:t>
            </w:r>
            <w:r>
              <w:rPr>
                <w:rFonts w:hint="eastAsia" w:ascii="宋体" w:hAnsi="宋体" w:cs="宋体"/>
                <w:bCs/>
                <w:color w:val="auto"/>
                <w:szCs w:val="21"/>
                <w:highlight w:val="none"/>
                <w:lang w:val="zh-TW"/>
              </w:rPr>
              <w:t>.1-10分；</w:t>
            </w:r>
          </w:p>
          <w:p>
            <w:pPr>
              <w:spacing w:line="300" w:lineRule="exact"/>
              <w:ind w:firstLine="420" w:firstLineChars="200"/>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维修保养计划较完整合理，人员配备较合理的，得</w:t>
            </w:r>
            <w:r>
              <w:rPr>
                <w:rFonts w:hint="eastAsia" w:ascii="宋体" w:hAnsi="宋体" w:cs="宋体"/>
                <w:bCs/>
                <w:color w:val="auto"/>
                <w:szCs w:val="21"/>
                <w:highlight w:val="none"/>
              </w:rPr>
              <w:t>6</w:t>
            </w:r>
            <w:r>
              <w:rPr>
                <w:rFonts w:hint="eastAsia" w:ascii="宋体" w:hAnsi="宋体" w:cs="宋体"/>
                <w:bCs/>
                <w:color w:val="auto"/>
                <w:szCs w:val="21"/>
                <w:highlight w:val="none"/>
                <w:lang w:val="zh-TW"/>
              </w:rPr>
              <w:t>.1-</w:t>
            </w:r>
            <w:r>
              <w:rPr>
                <w:rFonts w:hint="eastAsia" w:ascii="宋体" w:hAnsi="宋体" w:cs="宋体"/>
                <w:bCs/>
                <w:color w:val="auto"/>
                <w:szCs w:val="21"/>
                <w:highlight w:val="none"/>
              </w:rPr>
              <w:t>8</w:t>
            </w:r>
            <w:r>
              <w:rPr>
                <w:rFonts w:hint="eastAsia" w:ascii="宋体" w:hAnsi="宋体" w:cs="宋体"/>
                <w:bCs/>
                <w:color w:val="auto"/>
                <w:szCs w:val="21"/>
                <w:highlight w:val="none"/>
                <w:lang w:val="zh-TW"/>
              </w:rPr>
              <w:t>分；</w:t>
            </w:r>
          </w:p>
          <w:p>
            <w:pPr>
              <w:spacing w:line="300" w:lineRule="exact"/>
              <w:ind w:firstLine="420" w:firstLineChars="200"/>
              <w:textAlignment w:val="center"/>
              <w:rPr>
                <w:rFonts w:ascii="宋体" w:hAnsi="宋体" w:cs="宋体"/>
                <w:bCs/>
                <w:color w:val="auto"/>
                <w:szCs w:val="21"/>
                <w:highlight w:val="none"/>
                <w:lang w:val="zh-TW"/>
              </w:rPr>
            </w:pPr>
            <w:r>
              <w:rPr>
                <w:rFonts w:hint="eastAsia" w:ascii="宋体" w:hAnsi="宋体" w:cs="宋体"/>
                <w:bCs/>
                <w:color w:val="auto"/>
                <w:szCs w:val="21"/>
                <w:highlight w:val="none"/>
                <w:lang w:val="zh-TW"/>
              </w:rPr>
              <w:t>维修保养计划差的，人员配备差的，得</w:t>
            </w:r>
            <w:r>
              <w:rPr>
                <w:rFonts w:hint="eastAsia" w:ascii="宋体" w:hAnsi="宋体" w:cs="宋体"/>
                <w:bCs/>
                <w:color w:val="auto"/>
                <w:szCs w:val="21"/>
                <w:highlight w:val="none"/>
              </w:rPr>
              <w:t>4</w:t>
            </w:r>
            <w:r>
              <w:rPr>
                <w:rFonts w:hint="eastAsia" w:ascii="宋体" w:hAnsi="宋体" w:cs="宋体"/>
                <w:bCs/>
                <w:color w:val="auto"/>
                <w:szCs w:val="21"/>
                <w:highlight w:val="none"/>
                <w:lang w:val="zh-TW"/>
              </w:rPr>
              <w:t>.1-</w:t>
            </w:r>
            <w:r>
              <w:rPr>
                <w:rFonts w:hint="eastAsia" w:ascii="宋体" w:hAnsi="宋体" w:cs="宋体"/>
                <w:bCs/>
                <w:color w:val="auto"/>
                <w:szCs w:val="21"/>
                <w:highlight w:val="none"/>
              </w:rPr>
              <w:t>6</w:t>
            </w:r>
            <w:r>
              <w:rPr>
                <w:rFonts w:hint="eastAsia" w:ascii="宋体" w:hAnsi="宋体" w:cs="宋体"/>
                <w:bCs/>
                <w:color w:val="auto"/>
                <w:szCs w:val="21"/>
                <w:highlight w:val="none"/>
                <w:lang w:val="zh-TW"/>
              </w:rPr>
              <w:t>分；未提供的不得分。</w:t>
            </w:r>
          </w:p>
        </w:tc>
      </w:tr>
    </w:tbl>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rPr>
        <w:t xml:space="preserve"> </w:t>
      </w:r>
    </w:p>
    <w:p>
      <w:pPr>
        <w:spacing w:line="440" w:lineRule="exact"/>
        <w:jc w:val="center"/>
        <w:rPr>
          <w:rFonts w:ascii="宋体" w:hAnsi="宋体" w:cs="宋体"/>
          <w:b/>
          <w:color w:val="auto"/>
          <w:szCs w:val="21"/>
          <w:highlight w:val="none"/>
        </w:rPr>
      </w:pPr>
      <w:bookmarkStart w:id="170" w:name="_Toc115881330"/>
    </w:p>
    <w:p>
      <w:pPr>
        <w:rPr>
          <w:rFonts w:ascii="宋体" w:hAnsi="宋体" w:cs="宋体"/>
          <w:b/>
          <w:color w:val="auto"/>
          <w:szCs w:val="21"/>
          <w:highlight w:val="none"/>
        </w:rPr>
      </w:pPr>
      <w:r>
        <w:rPr>
          <w:rFonts w:hint="eastAsia" w:ascii="宋体" w:hAnsi="宋体" w:cs="宋体"/>
          <w:b/>
          <w:color w:val="auto"/>
          <w:szCs w:val="21"/>
          <w:highlight w:val="none"/>
        </w:rPr>
        <w:br w:type="page"/>
      </w:r>
    </w:p>
    <w:p>
      <w:pPr>
        <w:spacing w:line="460" w:lineRule="exact"/>
        <w:jc w:val="center"/>
        <w:outlineLvl w:val="0"/>
        <w:rPr>
          <w:rFonts w:hint="eastAsia" w:ascii="宋体" w:hAnsi="宋体" w:cs="宋体"/>
          <w:b/>
          <w:color w:val="auto"/>
          <w:sz w:val="28"/>
          <w:szCs w:val="21"/>
          <w:highlight w:val="none"/>
        </w:rPr>
      </w:pPr>
    </w:p>
    <w:p>
      <w:pPr>
        <w:spacing w:line="460" w:lineRule="exact"/>
        <w:jc w:val="center"/>
        <w:outlineLvl w:val="0"/>
        <w:rPr>
          <w:rFonts w:ascii="宋体" w:hAnsi="宋体" w:cs="宋体"/>
          <w:b/>
          <w:color w:val="auto"/>
          <w:sz w:val="28"/>
          <w:szCs w:val="21"/>
          <w:highlight w:val="none"/>
        </w:rPr>
      </w:pPr>
      <w:r>
        <w:rPr>
          <w:rFonts w:hint="eastAsia" w:ascii="宋体" w:hAnsi="宋体" w:cs="宋体"/>
          <w:b/>
          <w:color w:val="auto"/>
          <w:sz w:val="28"/>
          <w:szCs w:val="21"/>
          <w:highlight w:val="none"/>
        </w:rPr>
        <w:t>第五章 投标文件格式</w:t>
      </w:r>
      <w:bookmarkEnd w:id="169"/>
      <w:bookmarkEnd w:id="170"/>
    </w:p>
    <w:p>
      <w:pPr>
        <w:pStyle w:val="2"/>
        <w:rPr>
          <w:rFonts w:ascii="宋体" w:hAnsi="宋体" w:eastAsia="宋体" w:cs="宋体"/>
          <w:color w:val="auto"/>
          <w:sz w:val="21"/>
          <w:szCs w:val="21"/>
          <w:highlight w:val="none"/>
        </w:rPr>
      </w:pPr>
    </w:p>
    <w:p>
      <w:pPr>
        <w:spacing w:line="1200" w:lineRule="exact"/>
        <w:jc w:val="center"/>
        <w:rPr>
          <w:rFonts w:ascii="宋体" w:hAnsi="宋体" w:cs="宋体"/>
          <w:b/>
          <w:color w:val="auto"/>
          <w:sz w:val="72"/>
          <w:szCs w:val="72"/>
          <w:highlight w:val="none"/>
        </w:rPr>
      </w:pPr>
      <w:r>
        <w:rPr>
          <w:rFonts w:hint="eastAsia" w:ascii="宋体" w:hAnsi="宋体" w:cs="宋体"/>
          <w:b/>
          <w:color w:val="auto"/>
          <w:sz w:val="72"/>
          <w:szCs w:val="72"/>
          <w:highlight w:val="none"/>
        </w:rPr>
        <w:t>投 标 文 件</w:t>
      </w:r>
    </w:p>
    <w:p>
      <w:pPr>
        <w:spacing w:line="480" w:lineRule="auto"/>
        <w:jc w:val="center"/>
        <w:rPr>
          <w:rFonts w:ascii="宋体" w:hAnsi="宋体" w:cs="宋体"/>
          <w:color w:val="auto"/>
          <w:sz w:val="36"/>
          <w:szCs w:val="36"/>
          <w:highlight w:val="none"/>
        </w:rPr>
      </w:pPr>
      <w:r>
        <w:rPr>
          <w:rFonts w:hint="eastAsia" w:ascii="宋体" w:hAnsi="宋体" w:cs="宋体"/>
          <w:color w:val="auto"/>
          <w:sz w:val="36"/>
          <w:szCs w:val="36"/>
          <w:highlight w:val="none"/>
        </w:rPr>
        <w:t>（正本/副本）</w:t>
      </w:r>
    </w:p>
    <w:p>
      <w:pPr>
        <w:spacing w:line="1180" w:lineRule="exact"/>
        <w:jc w:val="center"/>
        <w:rPr>
          <w:rFonts w:ascii="宋体" w:hAnsi="宋体" w:cs="宋体"/>
          <w:color w:val="auto"/>
          <w:szCs w:val="21"/>
          <w:highlight w:val="none"/>
        </w:rPr>
      </w:pPr>
    </w:p>
    <w:p>
      <w:pPr>
        <w:spacing w:line="1180" w:lineRule="exact"/>
        <w:ind w:firstLine="904" w:firstLineChars="300"/>
        <w:rPr>
          <w:rFonts w:ascii="宋体" w:hAnsi="宋体" w:cs="宋体"/>
          <w:b/>
          <w:color w:val="auto"/>
          <w:sz w:val="30"/>
          <w:szCs w:val="30"/>
          <w:highlight w:val="none"/>
        </w:rPr>
      </w:pPr>
      <w:r>
        <w:rPr>
          <w:rFonts w:hint="eastAsia" w:ascii="宋体" w:hAnsi="宋体" w:cs="宋体"/>
          <w:b/>
          <w:color w:val="auto"/>
          <w:sz w:val="30"/>
          <w:szCs w:val="30"/>
          <w:highlight w:val="none"/>
        </w:rPr>
        <w:t>项目名称：</w:t>
      </w:r>
    </w:p>
    <w:p>
      <w:pPr>
        <w:spacing w:line="1180" w:lineRule="exact"/>
        <w:ind w:firstLine="904" w:firstLineChars="300"/>
        <w:rPr>
          <w:rFonts w:ascii="宋体" w:hAnsi="宋体" w:cs="宋体"/>
          <w:b/>
          <w:color w:val="auto"/>
          <w:sz w:val="30"/>
          <w:szCs w:val="30"/>
          <w:highlight w:val="none"/>
        </w:rPr>
      </w:pPr>
      <w:r>
        <w:rPr>
          <w:rFonts w:hint="eastAsia" w:ascii="宋体" w:hAnsi="宋体" w:cs="宋体"/>
          <w:b/>
          <w:color w:val="auto"/>
          <w:sz w:val="30"/>
          <w:szCs w:val="30"/>
          <w:highlight w:val="none"/>
        </w:rPr>
        <w:t>项目编号：</w:t>
      </w:r>
    </w:p>
    <w:p>
      <w:pPr>
        <w:spacing w:line="1180" w:lineRule="exact"/>
        <w:ind w:firstLine="632" w:firstLineChars="300"/>
        <w:rPr>
          <w:rFonts w:ascii="宋体" w:hAnsi="宋体" w:cs="宋体"/>
          <w:b/>
          <w:color w:val="auto"/>
          <w:szCs w:val="21"/>
          <w:highlight w:val="none"/>
        </w:rPr>
      </w:pPr>
    </w:p>
    <w:p>
      <w:pPr>
        <w:spacing w:line="1180" w:lineRule="exact"/>
        <w:ind w:firstLine="904" w:firstLineChars="300"/>
        <w:rPr>
          <w:rFonts w:ascii="宋体" w:hAnsi="宋体" w:cs="宋体"/>
          <w:b/>
          <w:color w:val="auto"/>
          <w:sz w:val="30"/>
          <w:szCs w:val="30"/>
          <w:highlight w:val="none"/>
        </w:rPr>
      </w:pPr>
      <w:r>
        <w:rPr>
          <w:rFonts w:hint="eastAsia" w:ascii="宋体" w:hAnsi="宋体" w:cs="宋体"/>
          <w:b/>
          <w:color w:val="auto"/>
          <w:sz w:val="30"/>
          <w:szCs w:val="30"/>
          <w:highlight w:val="none"/>
        </w:rPr>
        <w:t>投标人名称 ：</w:t>
      </w:r>
    </w:p>
    <w:p>
      <w:pPr>
        <w:spacing w:line="1180" w:lineRule="exact"/>
        <w:ind w:firstLine="904" w:firstLineChars="300"/>
        <w:rPr>
          <w:rFonts w:ascii="宋体" w:hAnsi="宋体" w:cs="宋体"/>
          <w:b/>
          <w:color w:val="auto"/>
          <w:sz w:val="30"/>
          <w:szCs w:val="30"/>
          <w:highlight w:val="none"/>
        </w:rPr>
      </w:pPr>
      <w:r>
        <w:rPr>
          <w:rFonts w:hint="eastAsia" w:ascii="宋体" w:hAnsi="宋体" w:cs="宋体"/>
          <w:b/>
          <w:color w:val="auto"/>
          <w:sz w:val="30"/>
          <w:szCs w:val="30"/>
          <w:highlight w:val="none"/>
        </w:rPr>
        <w:t>日      期 ：</w:t>
      </w:r>
    </w:p>
    <w:p>
      <w:pPr>
        <w:pStyle w:val="2"/>
        <w:rPr>
          <w:rFonts w:ascii="宋体" w:hAnsi="宋体" w:eastAsia="宋体" w:cs="宋体"/>
          <w:b/>
          <w:color w:val="auto"/>
          <w:sz w:val="21"/>
          <w:szCs w:val="21"/>
          <w:highlight w:val="none"/>
          <w:u w:val="single"/>
        </w:rPr>
      </w:pPr>
    </w:p>
    <w:p>
      <w:pPr>
        <w:pStyle w:val="3"/>
        <w:outlineLvl w:val="9"/>
        <w:rPr>
          <w:rFonts w:ascii="宋体" w:eastAsia="宋体" w:cs="宋体"/>
          <w:b/>
          <w:color w:val="auto"/>
          <w:sz w:val="21"/>
          <w:szCs w:val="21"/>
          <w:highlight w:val="none"/>
          <w:u w:val="single"/>
        </w:rPr>
      </w:pPr>
    </w:p>
    <w:p>
      <w:pPr>
        <w:pStyle w:val="5"/>
        <w:rPr>
          <w:b/>
          <w:color w:val="auto"/>
          <w:highlight w:val="none"/>
          <w:u w:val="single"/>
        </w:rPr>
      </w:pPr>
    </w:p>
    <w:p>
      <w:pPr>
        <w:rPr>
          <w:rFonts w:ascii="宋体" w:hAnsi="宋体" w:cs="宋体"/>
          <w:color w:val="auto"/>
          <w:szCs w:val="21"/>
          <w:highlight w:val="none"/>
        </w:rPr>
      </w:pPr>
    </w:p>
    <w:p>
      <w:pPr>
        <w:pStyle w:val="26"/>
        <w:ind w:left="3360"/>
        <w:rPr>
          <w:rFonts w:ascii="宋体" w:hAnsi="宋体" w:cs="宋体"/>
          <w:color w:val="auto"/>
          <w:szCs w:val="21"/>
          <w:highlight w:val="none"/>
        </w:rPr>
      </w:pPr>
    </w:p>
    <w:p>
      <w:pPr>
        <w:rPr>
          <w:rFonts w:ascii="宋体" w:hAnsi="宋体" w:cs="宋体"/>
          <w:color w:val="auto"/>
          <w:szCs w:val="21"/>
          <w:highlight w:val="none"/>
        </w:rPr>
      </w:pPr>
    </w:p>
    <w:p>
      <w:pPr>
        <w:pStyle w:val="26"/>
        <w:ind w:left="3360"/>
        <w:rPr>
          <w:rFonts w:ascii="宋体" w:hAnsi="宋体" w:cs="宋体"/>
          <w:color w:val="auto"/>
          <w:szCs w:val="21"/>
          <w:highlight w:val="none"/>
        </w:rPr>
      </w:pPr>
    </w:p>
    <w:p>
      <w:pPr>
        <w:spacing w:line="504" w:lineRule="auto"/>
        <w:jc w:val="center"/>
        <w:rPr>
          <w:rFonts w:ascii="宋体" w:hAnsi="宋体" w:cs="宋体"/>
          <w:b/>
          <w:color w:val="auto"/>
          <w:szCs w:val="21"/>
          <w:highlight w:val="none"/>
        </w:rPr>
      </w:pPr>
      <w:bookmarkStart w:id="171" w:name="_Toc108881190"/>
    </w:p>
    <w:p>
      <w:pPr>
        <w:rPr>
          <w:rFonts w:ascii="宋体" w:hAnsi="宋体" w:cs="宋体"/>
          <w:b/>
          <w:color w:val="auto"/>
          <w:szCs w:val="21"/>
          <w:highlight w:val="none"/>
        </w:rPr>
      </w:pPr>
      <w:bookmarkStart w:id="172" w:name="_Toc115881331"/>
      <w:r>
        <w:rPr>
          <w:rFonts w:hint="eastAsia" w:ascii="宋体" w:hAnsi="宋体" w:cs="宋体"/>
          <w:b/>
          <w:color w:val="auto"/>
          <w:szCs w:val="21"/>
          <w:highlight w:val="none"/>
        </w:rPr>
        <w:br w:type="page"/>
      </w:r>
    </w:p>
    <w:p>
      <w:pPr>
        <w:spacing w:line="78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投标文件目录</w:t>
      </w:r>
      <w:bookmarkEnd w:id="171"/>
      <w:bookmarkEnd w:id="172"/>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170" w:type="dxa"/>
            <w:vAlign w:val="center"/>
          </w:tcPr>
          <w:p>
            <w:pPr>
              <w:spacing w:line="503"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406" w:type="dxa"/>
            <w:vAlign w:val="center"/>
          </w:tcPr>
          <w:p>
            <w:pPr>
              <w:spacing w:line="503" w:lineRule="auto"/>
              <w:jc w:val="center"/>
              <w:rPr>
                <w:rFonts w:ascii="宋体" w:hAnsi="宋体" w:cs="宋体"/>
                <w:b/>
                <w:color w:val="auto"/>
                <w:szCs w:val="21"/>
                <w:highlight w:val="none"/>
              </w:rPr>
            </w:pPr>
            <w:r>
              <w:rPr>
                <w:rFonts w:hint="eastAsia" w:ascii="宋体" w:hAnsi="宋体" w:cs="宋体"/>
                <w:b/>
                <w:color w:val="auto"/>
                <w:szCs w:val="21"/>
                <w:highlight w:val="none"/>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auto"/>
                <w:szCs w:val="21"/>
                <w:highlight w:val="none"/>
              </w:rPr>
            </w:pPr>
            <w:r>
              <w:rPr>
                <w:rFonts w:hint="eastAsia" w:ascii="宋体" w:hAnsi="宋体" w:cs="宋体"/>
                <w:color w:val="auto"/>
                <w:szCs w:val="21"/>
                <w:highlight w:val="none"/>
              </w:rPr>
              <w:t>一、开标一览表（报价表）（格式）</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auto"/>
                <w:szCs w:val="21"/>
                <w:highlight w:val="none"/>
              </w:rPr>
            </w:pPr>
            <w:r>
              <w:rPr>
                <w:rFonts w:hint="eastAsia" w:ascii="宋体" w:hAnsi="宋体" w:cs="宋体"/>
                <w:color w:val="auto"/>
                <w:szCs w:val="21"/>
                <w:highlight w:val="none"/>
              </w:rPr>
              <w:t>二、投标人的资格证明文件</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auto"/>
                <w:szCs w:val="21"/>
                <w:highlight w:val="none"/>
              </w:rPr>
            </w:pPr>
            <w:r>
              <w:rPr>
                <w:rFonts w:hint="eastAsia" w:ascii="宋体" w:hAnsi="宋体" w:cs="宋体"/>
                <w:color w:val="auto"/>
                <w:szCs w:val="21"/>
                <w:highlight w:val="none"/>
              </w:rPr>
              <w:t>三、法定代表人授权委托书（格式）</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auto"/>
                <w:szCs w:val="21"/>
                <w:highlight w:val="none"/>
              </w:rPr>
            </w:pPr>
            <w:r>
              <w:rPr>
                <w:rFonts w:hint="eastAsia" w:ascii="宋体" w:hAnsi="宋体" w:cs="宋体"/>
                <w:color w:val="auto"/>
                <w:szCs w:val="21"/>
                <w:highlight w:val="none"/>
              </w:rPr>
              <w:t>四、投标书（格式）</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auto"/>
                <w:szCs w:val="21"/>
                <w:highlight w:val="none"/>
              </w:rPr>
            </w:pPr>
            <w:r>
              <w:rPr>
                <w:rFonts w:hint="eastAsia" w:ascii="宋体" w:hAnsi="宋体" w:cs="宋体"/>
                <w:color w:val="auto"/>
                <w:szCs w:val="21"/>
                <w:highlight w:val="none"/>
              </w:rPr>
              <w:t>五、盐城市政府采购事前信用承诺书（格式）</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70" w:type="dxa"/>
            <w:vAlign w:val="center"/>
          </w:tcPr>
          <w:p>
            <w:pPr>
              <w:spacing w:line="503" w:lineRule="auto"/>
              <w:rPr>
                <w:rFonts w:ascii="宋体" w:hAnsi="宋体" w:cs="宋体"/>
                <w:color w:val="auto"/>
                <w:szCs w:val="21"/>
                <w:highlight w:val="none"/>
              </w:rPr>
            </w:pPr>
            <w:r>
              <w:rPr>
                <w:rFonts w:hint="eastAsia" w:ascii="宋体" w:hAnsi="宋体" w:cs="宋体"/>
                <w:color w:val="auto"/>
                <w:szCs w:val="21"/>
                <w:highlight w:val="none"/>
              </w:rPr>
              <w:t>六、投标分项报价表</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170" w:type="dxa"/>
            <w:vAlign w:val="center"/>
          </w:tcPr>
          <w:p>
            <w:pPr>
              <w:spacing w:line="503" w:lineRule="auto"/>
              <w:rPr>
                <w:rFonts w:ascii="宋体" w:hAnsi="宋体" w:cs="宋体"/>
                <w:color w:val="auto"/>
                <w:szCs w:val="21"/>
                <w:highlight w:val="none"/>
              </w:rPr>
            </w:pPr>
            <w:r>
              <w:rPr>
                <w:rFonts w:hint="eastAsia" w:ascii="宋体" w:hAnsi="宋体" w:cs="宋体"/>
                <w:color w:val="auto"/>
                <w:szCs w:val="21"/>
                <w:highlight w:val="none"/>
              </w:rPr>
              <w:t>七、商务要求响应情况表</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color w:val="auto"/>
                <w:szCs w:val="21"/>
                <w:highlight w:val="none"/>
              </w:rPr>
            </w:pPr>
            <w:r>
              <w:rPr>
                <w:rFonts w:hint="eastAsia" w:ascii="宋体" w:hAnsi="宋体" w:cs="宋体"/>
                <w:color w:val="auto"/>
                <w:szCs w:val="21"/>
                <w:highlight w:val="none"/>
              </w:rPr>
              <w:t>八、技术要求响应情况表</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rPr>
                <w:rFonts w:ascii="宋体" w:hAnsi="宋体" w:cs="宋体"/>
                <w:color w:val="auto"/>
                <w:szCs w:val="21"/>
                <w:highlight w:val="none"/>
              </w:rPr>
            </w:pPr>
            <w:r>
              <w:rPr>
                <w:rFonts w:hint="eastAsia" w:ascii="宋体" w:hAnsi="宋体" w:cs="宋体"/>
                <w:color w:val="auto"/>
                <w:szCs w:val="21"/>
                <w:highlight w:val="none"/>
              </w:rPr>
              <w:t>九、投标文件的其它内容</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b/>
                <w:i/>
                <w:color w:val="auto"/>
                <w:szCs w:val="21"/>
                <w:highlight w:val="none"/>
                <w:u w:val="single"/>
              </w:rPr>
            </w:pP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170" w:type="dxa"/>
            <w:vAlign w:val="center"/>
          </w:tcPr>
          <w:p>
            <w:pPr>
              <w:spacing w:line="503" w:lineRule="auto"/>
              <w:jc w:val="center"/>
              <w:rPr>
                <w:rFonts w:ascii="宋体" w:hAnsi="宋体" w:cs="宋体"/>
                <w:color w:val="auto"/>
                <w:szCs w:val="21"/>
                <w:highlight w:val="none"/>
              </w:rPr>
            </w:pPr>
            <w:r>
              <w:rPr>
                <w:rFonts w:hint="eastAsia" w:ascii="宋体" w:hAnsi="宋体" w:cs="宋体"/>
                <w:i/>
                <w:color w:val="auto"/>
                <w:szCs w:val="21"/>
                <w:highlight w:val="none"/>
                <w:u w:val="single"/>
              </w:rPr>
              <w:t>行数不够，可按本表格式自行添加</w:t>
            </w:r>
          </w:p>
        </w:tc>
        <w:tc>
          <w:tcPr>
            <w:tcW w:w="1406" w:type="dxa"/>
            <w:vAlign w:val="center"/>
          </w:tcPr>
          <w:p>
            <w:pPr>
              <w:spacing w:line="503"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576" w:type="dxa"/>
            <w:gridSpan w:val="2"/>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特别说明</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1、本目录（含页码）是专家评审的重要依据，请投标人准确（完整）填写。如投标人未能准确（完整）填写的，所引起的后果由投标人自负。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2、投标人可以根据自身需要编辑详细的投标文件目录。投标人的投标文件目录应当遵循格式规范、便于查找获得的原则（以便评审人员评审）。</w:t>
            </w:r>
          </w:p>
        </w:tc>
      </w:tr>
    </w:tbl>
    <w:p>
      <w:pPr>
        <w:pStyle w:val="2"/>
        <w:spacing w:line="360" w:lineRule="auto"/>
        <w:rPr>
          <w:rFonts w:ascii="宋体" w:hAnsi="宋体" w:eastAsia="宋体" w:cs="宋体"/>
          <w:color w:val="auto"/>
          <w:sz w:val="21"/>
          <w:szCs w:val="21"/>
          <w:highlight w:val="none"/>
        </w:rPr>
      </w:pPr>
    </w:p>
    <w:p>
      <w:pPr>
        <w:spacing w:line="360" w:lineRule="auto"/>
        <w:rPr>
          <w:rFonts w:ascii="宋体" w:hAnsi="宋体" w:cs="宋体"/>
          <w:color w:val="auto"/>
          <w:szCs w:val="21"/>
          <w:highlight w:val="none"/>
        </w:rPr>
      </w:pPr>
    </w:p>
    <w:p>
      <w:pPr>
        <w:pStyle w:val="2"/>
        <w:rPr>
          <w:rFonts w:ascii="宋体" w:hAnsi="宋体" w:eastAsia="宋体" w:cs="宋体"/>
          <w:color w:val="auto"/>
          <w:sz w:val="21"/>
          <w:szCs w:val="21"/>
          <w:highlight w:val="none"/>
        </w:rPr>
      </w:pPr>
    </w:p>
    <w:p>
      <w:pPr>
        <w:spacing w:line="696" w:lineRule="auto"/>
        <w:rPr>
          <w:rFonts w:ascii="宋体" w:hAnsi="宋体" w:cs="宋体"/>
          <w:b/>
          <w:color w:val="auto"/>
          <w:szCs w:val="21"/>
          <w:highlight w:val="none"/>
        </w:rPr>
      </w:pPr>
      <w:bookmarkStart w:id="173" w:name="_Toc115881332"/>
    </w:p>
    <w:p>
      <w:pPr>
        <w:spacing w:line="696" w:lineRule="auto"/>
        <w:jc w:val="center"/>
        <w:rPr>
          <w:rFonts w:ascii="宋体" w:hAnsi="宋体" w:cs="宋体"/>
          <w:b/>
          <w:color w:val="auto"/>
          <w:szCs w:val="21"/>
          <w:highlight w:val="none"/>
        </w:rPr>
      </w:pPr>
    </w:p>
    <w:p>
      <w:pPr>
        <w:spacing w:line="696" w:lineRule="auto"/>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评分索引表</w:t>
      </w:r>
      <w:bookmarkEnd w:id="173"/>
    </w:p>
    <w:tbl>
      <w:tblPr>
        <w:tblStyle w:val="33"/>
        <w:tblW w:w="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vAlign w:val="center"/>
          </w:tcPr>
          <w:p>
            <w:pPr>
              <w:widowControl/>
              <w:shd w:val="clear" w:color="auto" w:fill="FFFFFF"/>
              <w:spacing w:line="265" w:lineRule="atLeast"/>
              <w:ind w:left="420"/>
              <w:contextualSpacing/>
              <w:jc w:val="center"/>
              <w:rPr>
                <w:rFonts w:ascii="宋体" w:hAnsi="宋体" w:cs="宋体"/>
                <w:b/>
                <w:bCs/>
                <w:color w:val="auto"/>
                <w:kern w:val="0"/>
                <w:szCs w:val="21"/>
                <w:highlight w:val="none"/>
                <w:lang w:bidi="en-US"/>
              </w:rPr>
            </w:pPr>
            <w:r>
              <w:rPr>
                <w:rFonts w:hint="eastAsia" w:ascii="宋体" w:hAnsi="宋体" w:cs="宋体"/>
                <w:b/>
                <w:color w:val="auto"/>
                <w:kern w:val="0"/>
                <w:szCs w:val="21"/>
                <w:highlight w:val="none"/>
                <w:lang w:eastAsia="en-US" w:bidi="en-US"/>
              </w:rPr>
              <w:t>评分项目</w:t>
            </w:r>
          </w:p>
        </w:tc>
        <w:tc>
          <w:tcPr>
            <w:tcW w:w="3570" w:type="dxa"/>
            <w:vAlign w:val="center"/>
          </w:tcPr>
          <w:p>
            <w:pPr>
              <w:jc w:val="center"/>
              <w:rPr>
                <w:rFonts w:ascii="宋体" w:hAnsi="宋体" w:cs="宋体"/>
                <w:b/>
                <w:color w:val="auto"/>
                <w:szCs w:val="21"/>
                <w:highlight w:val="none"/>
              </w:rPr>
            </w:pPr>
            <w:r>
              <w:rPr>
                <w:rFonts w:hint="eastAsia" w:ascii="宋体" w:hAnsi="宋体" w:cs="宋体"/>
                <w:b/>
                <w:color w:val="auto"/>
                <w:kern w:val="0"/>
                <w:szCs w:val="21"/>
                <w:highlight w:val="none"/>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rPr>
                <w:rFonts w:ascii="宋体" w:hAnsi="宋体" w:cs="宋体"/>
                <w:b/>
                <w:color w:val="auto"/>
                <w:kern w:val="0"/>
                <w:szCs w:val="21"/>
                <w:highlight w:val="none"/>
                <w:lang w:bidi="en-US"/>
              </w:rPr>
            </w:pPr>
          </w:p>
        </w:tc>
        <w:tc>
          <w:tcPr>
            <w:tcW w:w="3570" w:type="dxa"/>
          </w:tcPr>
          <w:p>
            <w:pPr>
              <w:rPr>
                <w:rFonts w:ascii="宋体" w:hAnsi="宋体" w:cs="宋体"/>
                <w:b/>
                <w:color w:val="auto"/>
                <w:kern w:val="0"/>
                <w:szCs w:val="21"/>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left="420"/>
              <w:contextualSpacing/>
              <w:jc w:val="left"/>
              <w:rPr>
                <w:rFonts w:ascii="宋体" w:hAnsi="宋体" w:cs="宋体"/>
                <w:b/>
                <w:bCs/>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Pr>
          <w:p>
            <w:pPr>
              <w:widowControl/>
              <w:shd w:val="clear" w:color="auto" w:fill="FFFFFF"/>
              <w:spacing w:line="265" w:lineRule="atLeast"/>
              <w:ind w:firstLine="420" w:firstLineChars="200"/>
              <w:contextualSpacing/>
              <w:jc w:val="left"/>
              <w:rPr>
                <w:rFonts w:ascii="宋体" w:hAnsi="宋体" w:cs="宋体"/>
                <w:color w:val="auto"/>
                <w:kern w:val="0"/>
                <w:szCs w:val="21"/>
                <w:highlight w:val="none"/>
                <w:lang w:bidi="en-US"/>
              </w:rPr>
            </w:pPr>
          </w:p>
        </w:tc>
        <w:tc>
          <w:tcPr>
            <w:tcW w:w="3570" w:type="dxa"/>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670" w:type="dxa"/>
            <w:tcBorders>
              <w:bottom w:val="single" w:color="auto" w:sz="4" w:space="0"/>
            </w:tcBorders>
          </w:tcPr>
          <w:p>
            <w:pPr>
              <w:widowControl/>
              <w:shd w:val="clear" w:color="auto" w:fill="FFFFFF"/>
              <w:spacing w:line="265" w:lineRule="atLeast"/>
              <w:ind w:firstLine="420" w:firstLineChars="200"/>
              <w:contextualSpacing/>
              <w:jc w:val="left"/>
              <w:rPr>
                <w:rFonts w:ascii="宋体" w:hAnsi="宋体" w:cs="宋体"/>
                <w:color w:val="auto"/>
                <w:kern w:val="0"/>
                <w:szCs w:val="21"/>
                <w:highlight w:val="none"/>
                <w:lang w:bidi="en-US"/>
              </w:rPr>
            </w:pPr>
          </w:p>
        </w:tc>
        <w:tc>
          <w:tcPr>
            <w:tcW w:w="3570" w:type="dxa"/>
            <w:tcBorders>
              <w:bottom w:val="single" w:color="auto" w:sz="4" w:space="0"/>
            </w:tcBorders>
          </w:tcPr>
          <w:p>
            <w:pPr>
              <w:rPr>
                <w:rFonts w:ascii="宋体" w:hAnsi="宋体" w:cs="宋体"/>
                <w:color w:val="auto"/>
                <w:szCs w:val="21"/>
                <w:highlight w:val="none"/>
              </w:rPr>
            </w:pPr>
          </w:p>
        </w:tc>
      </w:tr>
    </w:tbl>
    <w:p>
      <w:pPr>
        <w:pStyle w:val="2"/>
        <w:rPr>
          <w:rFonts w:ascii="宋体" w:hAnsi="宋体" w:eastAsia="宋体" w:cs="宋体"/>
          <w:color w:val="auto"/>
          <w:sz w:val="21"/>
          <w:szCs w:val="21"/>
          <w:highlight w:val="none"/>
        </w:rPr>
      </w:pPr>
    </w:p>
    <w:p>
      <w:pPr>
        <w:pStyle w:val="2"/>
        <w:ind w:firstLine="422" w:firstLineChars="200"/>
        <w:rPr>
          <w:rFonts w:ascii="宋体" w:hAnsi="宋体" w:eastAsia="宋体" w:cs="宋体"/>
          <w:b/>
          <w:color w:val="auto"/>
          <w:sz w:val="21"/>
          <w:szCs w:val="21"/>
          <w:highlight w:val="none"/>
          <w:lang w:bidi="en-US"/>
        </w:rPr>
      </w:pPr>
      <w:r>
        <w:rPr>
          <w:rFonts w:hint="eastAsia" w:ascii="宋体" w:hAnsi="宋体" w:eastAsia="宋体" w:cs="宋体"/>
          <w:b/>
          <w:color w:val="auto"/>
          <w:sz w:val="21"/>
          <w:szCs w:val="21"/>
          <w:highlight w:val="none"/>
          <w:lang w:bidi="en-US"/>
        </w:rPr>
        <w:t>特别说明：为提高评审效率及准确性，请供应商务必准确（完整）填写（编制），否则所引起的后果由投标人自负。</w:t>
      </w:r>
    </w:p>
    <w:p>
      <w:pPr>
        <w:spacing w:line="696" w:lineRule="auto"/>
        <w:rPr>
          <w:rFonts w:ascii="宋体" w:hAnsi="宋体" w:cs="宋体"/>
          <w:b/>
          <w:bCs/>
          <w:color w:val="auto"/>
          <w:szCs w:val="21"/>
          <w:highlight w:val="none"/>
        </w:rPr>
      </w:pPr>
      <w:bookmarkStart w:id="174" w:name="_Toc108881191"/>
    </w:p>
    <w:p>
      <w:pPr>
        <w:spacing w:line="696" w:lineRule="auto"/>
        <w:rPr>
          <w:rFonts w:ascii="宋体" w:hAnsi="宋体" w:cs="宋体"/>
          <w:b/>
          <w:bCs/>
          <w:color w:val="auto"/>
          <w:szCs w:val="21"/>
          <w:highlight w:val="none"/>
        </w:rPr>
      </w:pPr>
      <w:bookmarkStart w:id="175" w:name="_Toc115881333"/>
    </w:p>
    <w:p>
      <w:pPr>
        <w:spacing w:line="696" w:lineRule="auto"/>
        <w:jc w:val="center"/>
        <w:outlineLvl w:val="1"/>
        <w:rPr>
          <w:rFonts w:ascii="宋体" w:hAnsi="宋体" w:cs="宋体"/>
          <w:b/>
          <w:bCs/>
          <w:color w:val="auto"/>
          <w:szCs w:val="21"/>
          <w:highlight w:val="none"/>
        </w:rPr>
      </w:pPr>
      <w:bookmarkStart w:id="176" w:name="_Toc2016"/>
      <w:r>
        <w:rPr>
          <w:rFonts w:hint="eastAsia" w:ascii="宋体" w:hAnsi="宋体" w:cs="宋体"/>
          <w:b/>
          <w:bCs/>
          <w:color w:val="auto"/>
          <w:szCs w:val="21"/>
          <w:highlight w:val="none"/>
        </w:rPr>
        <w:t>一、开标一览表(报价表)（格式）</w:t>
      </w:r>
      <w:bookmarkEnd w:id="174"/>
      <w:bookmarkEnd w:id="175"/>
      <w:bookmarkEnd w:id="176"/>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1"/>
        <w:gridCol w:w="2137"/>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2941" w:type="dxa"/>
            <w:tcBorders>
              <w:top w:val="single" w:color="auto" w:sz="4" w:space="0"/>
              <w:left w:val="single" w:color="auto" w:sz="4" w:space="0"/>
              <w:bottom w:val="single" w:color="auto" w:sz="4" w:space="0"/>
              <w:right w:val="single" w:color="auto" w:sz="4" w:space="0"/>
            </w:tcBorders>
            <w:vAlign w:val="center"/>
          </w:tcPr>
          <w:p>
            <w:pPr>
              <w:spacing w:line="696" w:lineRule="auto"/>
              <w:jc w:val="center"/>
              <w:rPr>
                <w:rFonts w:ascii="宋体" w:hAnsi="宋体" w:cs="宋体"/>
                <w:b/>
                <w:color w:val="auto"/>
                <w:szCs w:val="21"/>
                <w:highlight w:val="none"/>
              </w:rPr>
            </w:pPr>
            <w:r>
              <w:rPr>
                <w:rFonts w:hint="eastAsia" w:ascii="宋体" w:hAnsi="宋体" w:cs="宋体"/>
                <w:b/>
                <w:color w:val="auto"/>
                <w:szCs w:val="21"/>
                <w:highlight w:val="none"/>
              </w:rPr>
              <w:t>项目编号</w:t>
            </w:r>
          </w:p>
        </w:tc>
        <w:tc>
          <w:tcPr>
            <w:tcW w:w="6412" w:type="dxa"/>
            <w:gridSpan w:val="2"/>
            <w:tcBorders>
              <w:top w:val="single" w:color="auto" w:sz="4" w:space="0"/>
              <w:left w:val="single" w:color="auto" w:sz="4" w:space="0"/>
              <w:bottom w:val="single" w:color="auto" w:sz="4" w:space="0"/>
              <w:right w:val="single" w:color="auto" w:sz="4" w:space="0"/>
            </w:tcBorders>
            <w:vAlign w:val="center"/>
          </w:tcPr>
          <w:p>
            <w:pPr>
              <w:spacing w:line="696"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2941" w:type="dxa"/>
            <w:tcBorders>
              <w:top w:val="single" w:color="auto" w:sz="4" w:space="0"/>
              <w:left w:val="single" w:color="auto" w:sz="4" w:space="0"/>
              <w:bottom w:val="single" w:color="auto" w:sz="4" w:space="0"/>
              <w:right w:val="single" w:color="auto" w:sz="4" w:space="0"/>
            </w:tcBorders>
            <w:vAlign w:val="center"/>
          </w:tcPr>
          <w:p>
            <w:pPr>
              <w:spacing w:line="696" w:lineRule="auto"/>
              <w:jc w:val="center"/>
              <w:rPr>
                <w:rFonts w:ascii="宋体" w:hAnsi="宋体" w:cs="宋体"/>
                <w:b/>
                <w:color w:val="auto"/>
                <w:szCs w:val="21"/>
                <w:highlight w:val="none"/>
              </w:rPr>
            </w:pPr>
            <w:r>
              <w:rPr>
                <w:rFonts w:hint="eastAsia" w:ascii="宋体" w:hAnsi="宋体" w:cs="宋体"/>
                <w:b/>
                <w:color w:val="auto"/>
                <w:szCs w:val="21"/>
                <w:highlight w:val="none"/>
              </w:rPr>
              <w:t>项目名称</w:t>
            </w:r>
          </w:p>
        </w:tc>
        <w:tc>
          <w:tcPr>
            <w:tcW w:w="6412" w:type="dxa"/>
            <w:gridSpan w:val="2"/>
            <w:tcBorders>
              <w:top w:val="single" w:color="auto" w:sz="4" w:space="0"/>
              <w:left w:val="single" w:color="auto" w:sz="4" w:space="0"/>
              <w:bottom w:val="single" w:color="auto" w:sz="4" w:space="0"/>
              <w:right w:val="single" w:color="auto" w:sz="4" w:space="0"/>
            </w:tcBorders>
            <w:vAlign w:val="center"/>
          </w:tcPr>
          <w:p>
            <w:pPr>
              <w:spacing w:line="696"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9" w:hRule="atLeast"/>
          <w:jc w:val="center"/>
        </w:trPr>
        <w:tc>
          <w:tcPr>
            <w:tcW w:w="2941"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Cs w:val="21"/>
                <w:highlight w:val="none"/>
              </w:rPr>
            </w:pPr>
            <w:r>
              <w:rPr>
                <w:rFonts w:hint="eastAsia" w:ascii="宋体" w:hAnsi="宋体" w:cs="宋体"/>
                <w:b/>
                <w:bCs/>
                <w:color w:val="auto"/>
                <w:highlight w:val="none"/>
                <w:lang w:eastAsia="en-US"/>
              </w:rPr>
              <w:t>租赁限价</w:t>
            </w:r>
            <w:r>
              <w:rPr>
                <w:rFonts w:hint="eastAsia" w:ascii="宋体" w:hAnsi="宋体" w:cs="宋体"/>
                <w:b/>
                <w:bCs/>
                <w:color w:val="auto"/>
                <w:highlight w:val="none"/>
                <w:lang w:eastAsia="zh-CN"/>
              </w:rPr>
              <w:t>下浮率</w:t>
            </w:r>
            <w:r>
              <w:rPr>
                <w:rFonts w:hint="eastAsia" w:ascii="宋体" w:hAnsi="宋体" w:cs="宋体"/>
                <w:b/>
                <w:bCs/>
                <w:color w:val="auto"/>
                <w:highlight w:val="none"/>
                <w:lang w:eastAsia="en-US"/>
              </w:rPr>
              <w:t>(</w:t>
            </w:r>
            <w:r>
              <w:rPr>
                <w:rFonts w:hint="eastAsia" w:ascii="宋体" w:hAnsi="宋体" w:cs="宋体"/>
                <w:b/>
                <w:bCs/>
                <w:color w:val="auto"/>
                <w:highlight w:val="none"/>
                <w:lang w:val="en-US" w:eastAsia="zh-CN"/>
              </w:rPr>
              <w:t>%</w:t>
            </w:r>
            <w:r>
              <w:rPr>
                <w:rFonts w:hint="eastAsia" w:ascii="宋体" w:hAnsi="宋体" w:cs="宋体"/>
                <w:b/>
                <w:bCs/>
                <w:color w:val="auto"/>
                <w:highlight w:val="none"/>
                <w:lang w:eastAsia="en-US"/>
              </w:rPr>
              <w:t>)</w:t>
            </w:r>
          </w:p>
        </w:tc>
        <w:tc>
          <w:tcPr>
            <w:tcW w:w="2137" w:type="dxa"/>
            <w:vMerge w:val="restart"/>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b/>
                <w:bCs/>
                <w:color w:val="auto"/>
                <w:highlight w:val="none"/>
              </w:rPr>
            </w:pPr>
            <w:r>
              <w:rPr>
                <w:rFonts w:hint="eastAsia" w:ascii="宋体" w:hAnsi="宋体" w:cs="宋体"/>
                <w:b/>
                <w:bCs/>
                <w:color w:val="auto"/>
                <w:highlight w:val="none"/>
                <w:lang w:eastAsia="en-US"/>
              </w:rPr>
              <w:t>基准里程</w:t>
            </w:r>
          </w:p>
        </w:tc>
        <w:tc>
          <w:tcPr>
            <w:tcW w:w="4275"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b/>
                <w:bCs/>
                <w:color w:val="auto"/>
                <w:highlight w:val="none"/>
              </w:rPr>
            </w:pPr>
            <w:r>
              <w:rPr>
                <w:rFonts w:hint="eastAsia" w:ascii="宋体" w:hAnsi="宋体" w:cs="宋体"/>
                <w:b/>
                <w:bCs/>
                <w:color w:val="auto"/>
                <w:highlight w:val="none"/>
                <w:lang w:eastAsia="en-US"/>
              </w:rPr>
              <w:t>超出基准里程公里费用</w:t>
            </w:r>
            <w:r>
              <w:rPr>
                <w:rFonts w:hint="eastAsia" w:ascii="宋体" w:hAnsi="宋体" w:cs="宋体"/>
                <w:b/>
                <w:bCs/>
                <w:color w:val="auto"/>
                <w:highlight w:val="none"/>
                <w:lang w:eastAsia="zh-CN"/>
              </w:rPr>
              <w:t>下浮率</w:t>
            </w:r>
            <w:r>
              <w:rPr>
                <w:rFonts w:hint="eastAsia" w:ascii="宋体" w:hAnsi="宋体" w:cs="宋体"/>
                <w:b/>
                <w:bCs/>
                <w:color w:val="auto"/>
                <w:highlight w:val="none"/>
                <w:lang w:eastAsia="en-US"/>
              </w:rPr>
              <w:t>(</w:t>
            </w:r>
            <w:r>
              <w:rPr>
                <w:rFonts w:hint="eastAsia" w:ascii="宋体" w:hAnsi="宋体" w:cs="宋体"/>
                <w:b/>
                <w:bCs/>
                <w:color w:val="auto"/>
                <w:highlight w:val="none"/>
                <w:lang w:val="en-US" w:eastAsia="zh-CN"/>
              </w:rPr>
              <w:t>%</w:t>
            </w:r>
            <w:r>
              <w:rPr>
                <w:rFonts w:hint="eastAsia" w:ascii="宋体" w:hAnsi="宋体" w:cs="宋体"/>
                <w:b/>
                <w:bCs/>
                <w:color w:val="auto"/>
                <w:highlight w:val="none"/>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2941"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ascii="宋体" w:hAnsi="宋体" w:cs="宋体"/>
                <w:b/>
                <w:bCs/>
                <w:color w:val="auto"/>
                <w:szCs w:val="21"/>
                <w:highlight w:val="none"/>
              </w:rPr>
            </w:pPr>
            <w:r>
              <w:rPr>
                <w:rFonts w:hint="eastAsia" w:ascii="宋体" w:hAnsi="宋体" w:cs="宋体"/>
                <w:b/>
                <w:bCs/>
                <w:color w:val="auto"/>
                <w:highlight w:val="none"/>
                <w:lang w:eastAsia="zh-CN"/>
              </w:rPr>
              <w:t>下浮率</w:t>
            </w:r>
            <w:r>
              <w:rPr>
                <w:rFonts w:hint="eastAsia" w:ascii="宋体" w:hAnsi="宋体" w:cs="宋体"/>
                <w:b/>
                <w:bCs/>
                <w:color w:val="auto"/>
                <w:highlight w:val="none"/>
                <w:u w:val="single"/>
                <w:lang w:val="en-US" w:eastAsia="zh-CN"/>
              </w:rPr>
              <w:t xml:space="preserve">    </w:t>
            </w:r>
            <w:r>
              <w:rPr>
                <w:rFonts w:hint="eastAsia" w:ascii="宋体" w:hAnsi="宋体" w:cs="宋体"/>
                <w:b/>
                <w:bCs/>
                <w:color w:val="auto"/>
                <w:highlight w:val="none"/>
                <w:lang w:val="en-US" w:eastAsia="zh-CN"/>
              </w:rPr>
              <w:t>%</w:t>
            </w:r>
          </w:p>
        </w:tc>
        <w:tc>
          <w:tcPr>
            <w:tcW w:w="2137" w:type="dxa"/>
            <w:vMerge w:val="continue"/>
            <w:tcBorders>
              <w:left w:val="single" w:color="auto" w:sz="4" w:space="0"/>
              <w:right w:val="single" w:color="auto" w:sz="4" w:space="0"/>
            </w:tcBorders>
            <w:vAlign w:val="center"/>
          </w:tcPr>
          <w:p>
            <w:pPr>
              <w:autoSpaceDE w:val="0"/>
              <w:autoSpaceDN w:val="0"/>
              <w:spacing w:line="360" w:lineRule="auto"/>
              <w:jc w:val="center"/>
              <w:rPr>
                <w:rFonts w:hint="eastAsia"/>
                <w:b/>
                <w:bCs/>
                <w:color w:val="auto"/>
                <w:highlight w:val="none"/>
              </w:rPr>
            </w:pPr>
          </w:p>
        </w:tc>
        <w:tc>
          <w:tcPr>
            <w:tcW w:w="4275" w:type="dxa"/>
            <w:tcBorders>
              <w:top w:val="single" w:color="auto" w:sz="4" w:space="0"/>
              <w:left w:val="single" w:color="auto" w:sz="4" w:space="0"/>
              <w:right w:val="single" w:color="auto" w:sz="4" w:space="0"/>
            </w:tcBorders>
            <w:vAlign w:val="center"/>
          </w:tcPr>
          <w:p>
            <w:pPr>
              <w:autoSpaceDE w:val="0"/>
              <w:autoSpaceDN w:val="0"/>
              <w:spacing w:line="360" w:lineRule="auto"/>
              <w:jc w:val="center"/>
              <w:rPr>
                <w:rFonts w:hint="eastAsia"/>
                <w:b/>
                <w:bCs/>
                <w:color w:val="auto"/>
                <w:highlight w:val="none"/>
              </w:rPr>
            </w:pPr>
            <w:r>
              <w:rPr>
                <w:rFonts w:hint="eastAsia" w:ascii="宋体" w:hAnsi="宋体" w:cs="宋体"/>
                <w:b/>
                <w:bCs/>
                <w:color w:val="auto"/>
                <w:highlight w:val="none"/>
                <w:lang w:eastAsia="en-US"/>
              </w:rPr>
              <w:t>超过基准里程公里，</w:t>
            </w:r>
            <w:r>
              <w:rPr>
                <w:rFonts w:hint="eastAsia" w:ascii="宋体" w:hAnsi="宋体" w:cs="宋体"/>
                <w:b/>
                <w:bCs/>
                <w:color w:val="auto"/>
                <w:highlight w:val="none"/>
                <w:lang w:eastAsia="zh-CN"/>
              </w:rPr>
              <w:t>单价下浮率</w:t>
            </w:r>
            <w:r>
              <w:rPr>
                <w:rFonts w:hint="eastAsia" w:ascii="宋体" w:hAnsi="宋体" w:cs="宋体"/>
                <w:b/>
                <w:bCs/>
                <w:color w:val="auto"/>
                <w:highlight w:val="none"/>
                <w:u w:val="single"/>
                <w:lang w:val="en-US" w:eastAsia="zh-CN"/>
              </w:rPr>
              <w:t xml:space="preserve">    </w:t>
            </w:r>
            <w:r>
              <w:rPr>
                <w:rFonts w:hint="eastAsia" w:ascii="宋体" w:hAnsi="宋体" w:cs="宋体"/>
                <w:b/>
                <w:bCs/>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941"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bCs/>
                <w:color w:val="auto"/>
                <w:szCs w:val="21"/>
                <w:highlight w:val="none"/>
              </w:rPr>
            </w:pPr>
            <w:r>
              <w:rPr>
                <w:rFonts w:hint="eastAsia" w:ascii="宋体" w:hAnsi="宋体" w:cs="宋体"/>
                <w:b/>
                <w:color w:val="auto"/>
                <w:szCs w:val="21"/>
                <w:highlight w:val="none"/>
              </w:rPr>
              <w:t>服务期限</w:t>
            </w:r>
          </w:p>
        </w:tc>
        <w:tc>
          <w:tcPr>
            <w:tcW w:w="6412" w:type="dxa"/>
            <w:gridSpan w:val="2"/>
            <w:tcBorders>
              <w:top w:val="single" w:color="auto" w:sz="4" w:space="0"/>
              <w:left w:val="single" w:color="auto" w:sz="4" w:space="0"/>
              <w:right w:val="single" w:color="auto" w:sz="4" w:space="0"/>
            </w:tcBorders>
            <w:vAlign w:val="center"/>
          </w:tcPr>
          <w:p>
            <w:pPr>
              <w:spacing w:line="440" w:lineRule="exact"/>
              <w:jc w:val="left"/>
              <w:rPr>
                <w:rFonts w:ascii="宋体" w:hAnsi="宋体" w:cs="宋体"/>
                <w:color w:val="auto"/>
                <w:kern w:val="0"/>
                <w:szCs w:val="21"/>
                <w:highlight w:val="none"/>
              </w:rPr>
            </w:pPr>
          </w:p>
          <w:p>
            <w:pPr>
              <w:pStyle w:val="26"/>
              <w:ind w:left="336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941" w:type="dxa"/>
            <w:tcBorders>
              <w:top w:val="single" w:color="auto" w:sz="4" w:space="0"/>
              <w:left w:val="single" w:color="auto" w:sz="4" w:space="0"/>
              <w:right w:val="single" w:color="auto" w:sz="4" w:space="0"/>
            </w:tcBorders>
            <w:vAlign w:val="center"/>
          </w:tcPr>
          <w:p>
            <w:pPr>
              <w:spacing w:line="440" w:lineRule="exact"/>
              <w:jc w:val="center"/>
              <w:rPr>
                <w:rFonts w:ascii="宋体" w:hAnsi="宋体" w:cs="宋体"/>
                <w:b/>
                <w:color w:val="auto"/>
                <w:szCs w:val="21"/>
                <w:highlight w:val="none"/>
              </w:rPr>
            </w:pPr>
            <w:r>
              <w:rPr>
                <w:rFonts w:hint="eastAsia" w:ascii="宋体" w:hAnsi="宋体" w:cs="宋体"/>
                <w:b/>
                <w:color w:val="auto"/>
                <w:szCs w:val="21"/>
                <w:highlight w:val="none"/>
                <w:lang w:eastAsia="zh-CN"/>
              </w:rPr>
              <w:t>服务</w:t>
            </w:r>
            <w:r>
              <w:rPr>
                <w:rFonts w:hint="eastAsia" w:ascii="宋体" w:hAnsi="宋体" w:cs="宋体"/>
                <w:b/>
                <w:color w:val="auto"/>
                <w:szCs w:val="21"/>
                <w:highlight w:val="none"/>
              </w:rPr>
              <w:t>实施的地点</w:t>
            </w:r>
          </w:p>
        </w:tc>
        <w:tc>
          <w:tcPr>
            <w:tcW w:w="6412" w:type="dxa"/>
            <w:gridSpan w:val="2"/>
            <w:tcBorders>
              <w:top w:val="single" w:color="auto" w:sz="4" w:space="0"/>
              <w:left w:val="single" w:color="auto" w:sz="4" w:space="0"/>
              <w:right w:val="single" w:color="auto" w:sz="4" w:space="0"/>
            </w:tcBorders>
            <w:vAlign w:val="center"/>
          </w:tcPr>
          <w:p>
            <w:pPr>
              <w:pStyle w:val="26"/>
              <w:ind w:left="336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9353" w:type="dxa"/>
            <w:gridSpan w:val="3"/>
            <w:tcBorders>
              <w:top w:val="single" w:color="auto" w:sz="4" w:space="0"/>
              <w:left w:val="single" w:color="auto" w:sz="4" w:space="0"/>
              <w:right w:val="single" w:color="auto" w:sz="4" w:space="0"/>
            </w:tcBorders>
            <w:vAlign w:val="center"/>
          </w:tcPr>
          <w:p>
            <w:pPr>
              <w:pStyle w:val="26"/>
              <w:ind w:left="0" w:leftChars="0"/>
              <w:jc w:val="center"/>
              <w:rPr>
                <w:color w:val="auto"/>
                <w:highlight w:val="none"/>
              </w:rPr>
            </w:pPr>
            <w:r>
              <w:rPr>
                <w:rFonts w:hint="eastAsia" w:ascii="宋体" w:hAnsi="宋体"/>
                <w:b/>
                <w:color w:val="auto"/>
                <w:sz w:val="24"/>
                <w:highlight w:val="none"/>
              </w:rPr>
              <w:t>本项目结算价以综合评审得分最高的报价为服务结算标准 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7" w:hRule="atLeast"/>
          <w:jc w:val="center"/>
        </w:trPr>
        <w:tc>
          <w:tcPr>
            <w:tcW w:w="9353" w:type="dxa"/>
            <w:gridSpan w:val="3"/>
            <w:tcBorders>
              <w:top w:val="single" w:color="auto" w:sz="4" w:space="0"/>
              <w:left w:val="single" w:color="auto" w:sz="4" w:space="0"/>
              <w:bottom w:val="single" w:color="auto" w:sz="4" w:space="0"/>
              <w:right w:val="single" w:color="auto" w:sz="4" w:space="0"/>
            </w:tcBorders>
            <w:vAlign w:val="center"/>
          </w:tcPr>
          <w:p>
            <w:pPr>
              <w:pStyle w:val="19"/>
              <w:tabs>
                <w:tab w:val="left" w:pos="5580"/>
              </w:tabs>
              <w:spacing w:line="696" w:lineRule="auto"/>
              <w:jc w:val="left"/>
              <w:rPr>
                <w:rFonts w:hAnsi="宋体" w:cs="宋体"/>
                <w:b/>
                <w:color w:val="auto"/>
                <w:sz w:val="21"/>
                <w:szCs w:val="21"/>
                <w:highlight w:val="none"/>
              </w:rPr>
            </w:pPr>
            <w:r>
              <w:rPr>
                <w:rFonts w:hint="eastAsia" w:hAnsi="宋体" w:cs="宋体"/>
                <w:b/>
                <w:color w:val="auto"/>
                <w:sz w:val="21"/>
                <w:szCs w:val="21"/>
                <w:highlight w:val="none"/>
              </w:rPr>
              <w:t>投标人名称（单位公章）：</w:t>
            </w:r>
          </w:p>
          <w:p>
            <w:pPr>
              <w:pStyle w:val="19"/>
              <w:tabs>
                <w:tab w:val="left" w:pos="5580"/>
              </w:tabs>
              <w:spacing w:line="696" w:lineRule="auto"/>
              <w:jc w:val="left"/>
              <w:rPr>
                <w:rFonts w:hAnsi="宋体" w:cs="宋体"/>
                <w:b/>
                <w:color w:val="auto"/>
                <w:sz w:val="21"/>
                <w:szCs w:val="21"/>
                <w:highlight w:val="none"/>
                <w:u w:val="single"/>
              </w:rPr>
            </w:pPr>
            <w:r>
              <w:rPr>
                <w:rFonts w:hint="eastAsia" w:hAnsi="宋体" w:cs="宋体"/>
                <w:b/>
                <w:color w:val="auto"/>
                <w:sz w:val="21"/>
                <w:szCs w:val="21"/>
                <w:highlight w:val="none"/>
              </w:rPr>
              <w:t>法定代表人或其委托代理人(签字):</w:t>
            </w:r>
            <w:r>
              <w:rPr>
                <w:rFonts w:hint="eastAsia" w:hAnsi="宋体" w:cs="宋体"/>
                <w:b/>
                <w:color w:val="auto"/>
                <w:sz w:val="21"/>
                <w:szCs w:val="21"/>
                <w:highlight w:val="none"/>
                <w:u w:val="single"/>
              </w:rPr>
              <w:tab/>
            </w:r>
          </w:p>
          <w:p>
            <w:pPr>
              <w:pStyle w:val="19"/>
              <w:tabs>
                <w:tab w:val="left" w:pos="5580"/>
              </w:tabs>
              <w:spacing w:line="696" w:lineRule="auto"/>
              <w:jc w:val="left"/>
              <w:rPr>
                <w:rFonts w:hAnsi="宋体" w:cs="宋体"/>
                <w:b/>
                <w:color w:val="auto"/>
                <w:sz w:val="21"/>
                <w:szCs w:val="21"/>
                <w:highlight w:val="none"/>
                <w:u w:val="single"/>
              </w:rPr>
            </w:pPr>
            <w:r>
              <w:rPr>
                <w:rFonts w:hint="eastAsia" w:hAnsi="宋体" w:cs="宋体"/>
                <w:b/>
                <w:color w:val="auto"/>
                <w:sz w:val="21"/>
                <w:szCs w:val="21"/>
                <w:highlight w:val="none"/>
              </w:rPr>
              <w:t>联系电话：</w:t>
            </w:r>
          </w:p>
          <w:p>
            <w:pPr>
              <w:pStyle w:val="19"/>
              <w:tabs>
                <w:tab w:val="left" w:pos="5580"/>
              </w:tabs>
              <w:spacing w:line="696" w:lineRule="auto"/>
              <w:jc w:val="left"/>
              <w:rPr>
                <w:rFonts w:hAnsi="宋体" w:cs="宋体"/>
                <w:b/>
                <w:color w:val="auto"/>
                <w:sz w:val="21"/>
                <w:szCs w:val="21"/>
                <w:highlight w:val="none"/>
                <w:u w:val="single"/>
              </w:rPr>
            </w:pPr>
            <w:r>
              <w:rPr>
                <w:rFonts w:hint="eastAsia" w:hAnsi="宋体" w:cs="宋体"/>
                <w:b/>
                <w:color w:val="auto"/>
                <w:sz w:val="21"/>
                <w:szCs w:val="21"/>
                <w:highlight w:val="none"/>
              </w:rPr>
              <w:t>联系地址：</w:t>
            </w:r>
          </w:p>
          <w:p>
            <w:pPr>
              <w:spacing w:line="696" w:lineRule="auto"/>
              <w:jc w:val="left"/>
              <w:rPr>
                <w:rFonts w:ascii="宋体" w:hAnsi="宋体" w:cs="宋体"/>
                <w:color w:val="auto"/>
                <w:szCs w:val="21"/>
                <w:highlight w:val="none"/>
              </w:rPr>
            </w:pPr>
            <w:r>
              <w:rPr>
                <w:rFonts w:hint="eastAsia" w:ascii="宋体" w:hAnsi="宋体" w:cs="宋体"/>
                <w:b/>
                <w:color w:val="auto"/>
                <w:szCs w:val="21"/>
                <w:highlight w:val="none"/>
              </w:rPr>
              <w:t>日    期：</w:t>
            </w:r>
            <w:r>
              <w:rPr>
                <w:rFonts w:hint="eastAsia" w:ascii="宋体" w:hAnsi="宋体" w:cs="宋体"/>
                <w:b/>
                <w:color w:val="auto"/>
                <w:szCs w:val="21"/>
                <w:highlight w:val="none"/>
                <w:u w:val="singl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935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注：</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1.如果开标一览表（报价表）内容与投标分项报价表内容不一致的，以开标一览表（报价表）内容为准；</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2.非单一产品采购的，填写核心产品的品牌或制造商（企业商号或者注册商标）。</w:t>
            </w:r>
          </w:p>
        </w:tc>
      </w:tr>
    </w:tbl>
    <w:p>
      <w:pPr>
        <w:spacing w:line="696" w:lineRule="auto"/>
        <w:rPr>
          <w:rFonts w:ascii="宋体" w:hAnsi="宋体" w:cs="宋体"/>
          <w:b/>
          <w:bCs/>
          <w:color w:val="auto"/>
          <w:szCs w:val="21"/>
          <w:highlight w:val="none"/>
        </w:rPr>
      </w:pPr>
      <w:bookmarkStart w:id="177" w:name="_Toc115881334"/>
      <w:bookmarkStart w:id="178" w:name="_Toc108881192"/>
    </w:p>
    <w:p>
      <w:pPr>
        <w:jc w:val="center"/>
        <w:rPr>
          <w:rFonts w:ascii="宋体" w:hAnsi="宋体"/>
          <w:b/>
          <w:color w:val="auto"/>
          <w:sz w:val="28"/>
          <w:szCs w:val="28"/>
          <w:highlight w:val="none"/>
        </w:rPr>
      </w:pPr>
    </w:p>
    <w:p>
      <w:pPr>
        <w:numPr>
          <w:ilvl w:val="0"/>
          <w:numId w:val="1"/>
        </w:numPr>
        <w:spacing w:line="360" w:lineRule="auto"/>
        <w:ind w:firstLine="562" w:firstLineChars="200"/>
        <w:jc w:val="center"/>
        <w:rPr>
          <w:rFonts w:ascii="宋体" w:hAnsi="宋体"/>
          <w:b/>
          <w:color w:val="auto"/>
          <w:sz w:val="28"/>
          <w:szCs w:val="28"/>
          <w:highlight w:val="none"/>
        </w:rPr>
      </w:pPr>
      <w:r>
        <w:rPr>
          <w:rFonts w:hint="eastAsia" w:ascii="宋体" w:hAnsi="宋体"/>
          <w:b/>
          <w:color w:val="auto"/>
          <w:sz w:val="28"/>
          <w:szCs w:val="28"/>
          <w:highlight w:val="none"/>
        </w:rPr>
        <w:t>投标人的资格证明文件</w:t>
      </w:r>
      <w:bookmarkEnd w:id="177"/>
      <w:bookmarkEnd w:id="178"/>
    </w:p>
    <w:p>
      <w:pPr>
        <w:spacing w:line="360" w:lineRule="auto"/>
        <w:rPr>
          <w:rFonts w:ascii="宋体" w:hAnsi="宋体"/>
          <w:color w:val="auto"/>
          <w:highlight w:val="none"/>
        </w:rPr>
      </w:pPr>
      <w:r>
        <w:rPr>
          <w:rFonts w:hint="eastAsia" w:ascii="宋体" w:hAnsi="宋体"/>
          <w:color w:val="auto"/>
          <w:highlight w:val="none"/>
        </w:rPr>
        <w:t>1.</w:t>
      </w:r>
      <w:r>
        <w:rPr>
          <w:rFonts w:hint="eastAsia"/>
          <w:color w:val="auto"/>
          <w:highlight w:val="none"/>
        </w:rPr>
        <w:t>投标人必须是在中华人民共和国境内注册从事车辆租赁经营实体，有长期提供招标人所需车辆租赁能力的服务商，或其具有合法授权委托手续的代理商（提供营业执照并加盖公章）</w:t>
      </w:r>
      <w:r>
        <w:rPr>
          <w:rFonts w:hint="eastAsia" w:ascii="宋体" w:hAnsi="宋体"/>
          <w:color w:val="auto"/>
          <w:highlight w:val="none"/>
        </w:rPr>
        <w:t>；</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rPr>
          <w:rFonts w:ascii="宋体" w:hAnsi="宋体"/>
          <w:color w:val="auto"/>
          <w:highlight w:val="none"/>
        </w:rPr>
      </w:pPr>
    </w:p>
    <w:p>
      <w:pPr>
        <w:spacing w:line="360" w:lineRule="auto"/>
        <w:ind w:firstLine="420" w:firstLineChars="200"/>
        <w:rPr>
          <w:rFonts w:ascii="宋体" w:hAnsi="宋体"/>
          <w:color w:val="auto"/>
          <w:szCs w:val="21"/>
          <w:highlight w:val="none"/>
        </w:rPr>
      </w:pPr>
      <w:r>
        <w:rPr>
          <w:rFonts w:ascii="宋体" w:hAnsi="宋体"/>
          <w:color w:val="auto"/>
          <w:highlight w:val="none"/>
        </w:rPr>
        <w:t>2</w:t>
      </w:r>
      <w:r>
        <w:rPr>
          <w:rFonts w:hint="eastAsia" w:ascii="宋体" w:hAnsi="宋体"/>
          <w:color w:val="auto"/>
          <w:highlight w:val="none"/>
        </w:rPr>
        <w:t>.</w:t>
      </w:r>
      <w:r>
        <w:rPr>
          <w:rFonts w:hint="eastAsia" w:ascii="宋体" w:hAnsi="宋体"/>
          <w:color w:val="auto"/>
          <w:szCs w:val="21"/>
          <w:highlight w:val="none"/>
        </w:rPr>
        <w:t>有依法缴纳税收和社会保障资金的良好记录等（</w:t>
      </w:r>
      <w:r>
        <w:rPr>
          <w:rFonts w:hint="eastAsia"/>
          <w:color w:val="auto"/>
          <w:highlight w:val="none"/>
        </w:rPr>
        <w:t>提供近三个月来任意一个月的</w:t>
      </w:r>
      <w:r>
        <w:rPr>
          <w:color w:val="auto"/>
          <w:highlight w:val="none"/>
        </w:rPr>
        <w:t>依法缴纳税收和社会保障资金的相关材料</w:t>
      </w:r>
      <w:r>
        <w:rPr>
          <w:rFonts w:hint="eastAsia" w:ascii="宋体" w:hAnsi="宋体"/>
          <w:color w:val="auto"/>
          <w:highlight w:val="none"/>
        </w:rPr>
        <w:t>，并加盖公章</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3.投标人不得为“信用中国”网站（www.creditchina.gov.cn）中列入失信被执行人和重大税收违法案件当事人名单的供应商（提供“信用中国”的截图，并加盖公章）；</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r>
        <w:rPr>
          <w:rFonts w:hint="eastAsia" w:ascii="宋体" w:hAnsi="宋体"/>
          <w:color w:val="auto"/>
          <w:highlight w:val="none"/>
        </w:rPr>
        <w:t>4.落实政府采购政策需满足的资格要求（按照采购公告的要求提供）；</w:t>
      </w: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spacing w:line="360" w:lineRule="auto"/>
        <w:ind w:firstLine="420" w:firstLineChars="200"/>
        <w:rPr>
          <w:rFonts w:ascii="宋体" w:hAnsi="宋体"/>
          <w:color w:val="auto"/>
          <w:highlight w:val="none"/>
        </w:rPr>
      </w:pPr>
    </w:p>
    <w:p>
      <w:pPr>
        <w:numPr>
          <w:ilvl w:val="0"/>
          <w:numId w:val="2"/>
        </w:numPr>
        <w:spacing w:line="360" w:lineRule="auto"/>
        <w:ind w:firstLine="420" w:firstLineChars="200"/>
        <w:rPr>
          <w:rFonts w:ascii="宋体" w:hAnsi="宋体"/>
          <w:color w:val="auto"/>
          <w:highlight w:val="none"/>
        </w:rPr>
      </w:pPr>
      <w:r>
        <w:rPr>
          <w:rFonts w:hint="eastAsia" w:ascii="宋体" w:hAnsi="宋体"/>
          <w:color w:val="auto"/>
          <w:highlight w:val="none"/>
        </w:rPr>
        <w:t>本项目的特定资格要求（按照采购公告的要求提供）。</w:t>
      </w:r>
    </w:p>
    <w:p>
      <w:pPr>
        <w:pStyle w:val="26"/>
        <w:ind w:left="0" w:leftChars="0"/>
        <w:rPr>
          <w:color w:val="auto"/>
          <w:highlight w:val="none"/>
        </w:rPr>
      </w:pPr>
    </w:p>
    <w:p>
      <w:pPr>
        <w:rPr>
          <w:color w:val="auto"/>
          <w:highlight w:val="none"/>
        </w:rPr>
      </w:pPr>
    </w:p>
    <w:p>
      <w:pPr>
        <w:pStyle w:val="26"/>
        <w:ind w:left="3360"/>
        <w:rPr>
          <w:color w:val="auto"/>
          <w:highlight w:val="none"/>
        </w:rPr>
      </w:pPr>
    </w:p>
    <w:p>
      <w:pPr>
        <w:rPr>
          <w:color w:val="auto"/>
          <w:highlight w:val="none"/>
        </w:rPr>
      </w:pPr>
    </w:p>
    <w:p>
      <w:pPr>
        <w:pStyle w:val="26"/>
        <w:ind w:left="3360"/>
        <w:rPr>
          <w:color w:val="auto"/>
          <w:highlight w:val="none"/>
        </w:rPr>
      </w:pPr>
    </w:p>
    <w:p>
      <w:pPr>
        <w:rPr>
          <w:color w:val="auto"/>
          <w:highlight w:val="none"/>
        </w:rPr>
      </w:pPr>
    </w:p>
    <w:p>
      <w:pPr>
        <w:spacing w:line="360" w:lineRule="auto"/>
        <w:ind w:firstLine="420" w:firstLineChars="200"/>
        <w:rPr>
          <w:rFonts w:ascii="宋体" w:hAnsi="宋体"/>
          <w:color w:val="auto"/>
          <w:highlight w:val="none"/>
        </w:rPr>
      </w:pPr>
    </w:p>
    <w:tbl>
      <w:tblPr>
        <w:tblStyle w:val="3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22"/>
        <w:gridCol w:w="1478"/>
        <w:gridCol w:w="2191"/>
        <w:gridCol w:w="1292"/>
        <w:gridCol w:w="2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8" w:type="dxa"/>
            <w:gridSpan w:val="6"/>
            <w:tcBorders>
              <w:top w:val="nil"/>
              <w:left w:val="nil"/>
              <w:right w:val="nil"/>
            </w:tcBorders>
          </w:tcPr>
          <w:p>
            <w:pPr>
              <w:autoSpaceDE w:val="0"/>
              <w:autoSpaceDN w:val="0"/>
              <w:adjustRightInd w:val="0"/>
              <w:snapToGrid w:val="0"/>
              <w:spacing w:line="360" w:lineRule="auto"/>
              <w:jc w:val="center"/>
              <w:outlineLvl w:val="1"/>
              <w:rPr>
                <w:b/>
                <w:color w:val="auto"/>
                <w:kern w:val="0"/>
                <w:sz w:val="24"/>
                <w:highlight w:val="none"/>
              </w:rPr>
            </w:pPr>
          </w:p>
          <w:p>
            <w:pPr>
              <w:autoSpaceDE w:val="0"/>
              <w:autoSpaceDN w:val="0"/>
              <w:adjustRightInd w:val="0"/>
              <w:snapToGrid w:val="0"/>
              <w:spacing w:line="360" w:lineRule="auto"/>
              <w:jc w:val="center"/>
              <w:outlineLvl w:val="1"/>
              <w:rPr>
                <w:b/>
                <w:color w:val="auto"/>
                <w:kern w:val="0"/>
                <w:sz w:val="24"/>
                <w:highlight w:val="none"/>
              </w:rPr>
            </w:pPr>
            <w:r>
              <w:rPr>
                <w:rFonts w:hint="eastAsia"/>
                <w:b/>
                <w:color w:val="auto"/>
                <w:kern w:val="0"/>
                <w:sz w:val="24"/>
                <w:highlight w:val="none"/>
              </w:rPr>
              <w:t>XXXXX</w:t>
            </w:r>
            <w:r>
              <w:rPr>
                <w:b/>
                <w:color w:val="auto"/>
                <w:kern w:val="0"/>
                <w:sz w:val="24"/>
                <w:highlight w:val="none"/>
              </w:rPr>
              <w:t>公司</w:t>
            </w:r>
            <w:r>
              <w:rPr>
                <w:rFonts w:hint="eastAsia"/>
                <w:b/>
                <w:color w:val="auto"/>
                <w:kern w:val="0"/>
                <w:sz w:val="24"/>
                <w:highlight w:val="none"/>
              </w:rPr>
              <w:t>供应商其他资格条件----</w:t>
            </w:r>
            <w:r>
              <w:rPr>
                <w:b/>
                <w:color w:val="auto"/>
                <w:kern w:val="0"/>
                <w:sz w:val="24"/>
                <w:highlight w:val="none"/>
              </w:rPr>
              <w:t>车辆</w:t>
            </w:r>
            <w:r>
              <w:rPr>
                <w:rFonts w:hint="eastAsia"/>
                <w:b/>
                <w:color w:val="auto"/>
                <w:kern w:val="0"/>
                <w:sz w:val="24"/>
                <w:highlight w:val="none"/>
              </w:rPr>
              <w:t>信息</w:t>
            </w:r>
          </w:p>
          <w:p>
            <w:pPr>
              <w:pStyle w:val="26"/>
              <w:ind w:left="3360"/>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序号</w:t>
            </w:r>
          </w:p>
        </w:tc>
        <w:tc>
          <w:tcPr>
            <w:tcW w:w="1222"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车辆牌号</w:t>
            </w:r>
          </w:p>
        </w:tc>
        <w:tc>
          <w:tcPr>
            <w:tcW w:w="1478"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座位数（按</w:t>
            </w:r>
            <w:r>
              <w:rPr>
                <w:b/>
                <w:color w:val="auto"/>
                <w:kern w:val="0"/>
                <w:szCs w:val="21"/>
                <w:highlight w:val="none"/>
              </w:rPr>
              <w:t>由</w:t>
            </w:r>
            <w:r>
              <w:rPr>
                <w:rFonts w:hint="eastAsia"/>
                <w:b/>
                <w:color w:val="auto"/>
                <w:kern w:val="0"/>
                <w:szCs w:val="21"/>
                <w:highlight w:val="none"/>
              </w:rPr>
              <w:t>小</w:t>
            </w:r>
            <w:r>
              <w:rPr>
                <w:b/>
                <w:color w:val="auto"/>
                <w:kern w:val="0"/>
                <w:szCs w:val="21"/>
                <w:highlight w:val="none"/>
              </w:rPr>
              <w:t>到大填写</w:t>
            </w:r>
            <w:r>
              <w:rPr>
                <w:rFonts w:hint="eastAsia"/>
                <w:b/>
                <w:color w:val="auto"/>
                <w:kern w:val="0"/>
                <w:szCs w:val="21"/>
                <w:highlight w:val="none"/>
              </w:rPr>
              <w:t>）</w:t>
            </w:r>
          </w:p>
        </w:tc>
        <w:tc>
          <w:tcPr>
            <w:tcW w:w="2191"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购买</w:t>
            </w:r>
            <w:r>
              <w:rPr>
                <w:b/>
                <w:color w:val="auto"/>
                <w:kern w:val="0"/>
                <w:szCs w:val="21"/>
                <w:highlight w:val="none"/>
              </w:rPr>
              <w:t>日期</w:t>
            </w:r>
          </w:p>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（按</w:t>
            </w:r>
            <w:r>
              <w:rPr>
                <w:b/>
                <w:color w:val="auto"/>
                <w:kern w:val="0"/>
                <w:szCs w:val="21"/>
                <w:highlight w:val="none"/>
              </w:rPr>
              <w:t>由近及远填写</w:t>
            </w:r>
            <w:r>
              <w:rPr>
                <w:rFonts w:hint="eastAsia"/>
                <w:b/>
                <w:color w:val="auto"/>
                <w:kern w:val="0"/>
                <w:szCs w:val="21"/>
                <w:highlight w:val="none"/>
              </w:rPr>
              <w:t>）</w:t>
            </w:r>
          </w:p>
        </w:tc>
        <w:tc>
          <w:tcPr>
            <w:tcW w:w="1292"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乘客</w:t>
            </w:r>
            <w:r>
              <w:rPr>
                <w:b/>
                <w:color w:val="auto"/>
                <w:kern w:val="0"/>
                <w:szCs w:val="21"/>
                <w:highlight w:val="none"/>
              </w:rPr>
              <w:t>险</w:t>
            </w:r>
          </w:p>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（有、无）</w:t>
            </w:r>
          </w:p>
        </w:tc>
        <w:tc>
          <w:tcPr>
            <w:tcW w:w="2143"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行驶证</w:t>
            </w:r>
            <w:r>
              <w:rPr>
                <w:b/>
                <w:color w:val="auto"/>
                <w:kern w:val="0"/>
                <w:szCs w:val="21"/>
                <w:highlight w:val="none"/>
              </w:rPr>
              <w:t>复印件在标书中的页码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1</w:t>
            </w:r>
          </w:p>
        </w:tc>
        <w:tc>
          <w:tcPr>
            <w:tcW w:w="1222" w:type="dxa"/>
            <w:vAlign w:val="center"/>
          </w:tcPr>
          <w:p>
            <w:pPr>
              <w:autoSpaceDE w:val="0"/>
              <w:autoSpaceDN w:val="0"/>
              <w:adjustRightInd w:val="0"/>
              <w:snapToGrid w:val="0"/>
              <w:spacing w:line="360" w:lineRule="auto"/>
              <w:jc w:val="center"/>
              <w:rPr>
                <w:color w:val="auto"/>
                <w:kern w:val="0"/>
                <w:szCs w:val="21"/>
                <w:highlight w:val="none"/>
              </w:rPr>
            </w:pPr>
          </w:p>
        </w:tc>
        <w:tc>
          <w:tcPr>
            <w:tcW w:w="1478" w:type="dxa"/>
            <w:vAlign w:val="center"/>
          </w:tcPr>
          <w:p>
            <w:pPr>
              <w:autoSpaceDE w:val="0"/>
              <w:autoSpaceDN w:val="0"/>
              <w:adjustRightInd w:val="0"/>
              <w:snapToGrid w:val="0"/>
              <w:spacing w:line="360" w:lineRule="auto"/>
              <w:jc w:val="center"/>
              <w:rPr>
                <w:color w:val="auto"/>
                <w:kern w:val="0"/>
                <w:szCs w:val="21"/>
                <w:highlight w:val="none"/>
              </w:rPr>
            </w:pPr>
          </w:p>
        </w:tc>
        <w:tc>
          <w:tcPr>
            <w:tcW w:w="2191" w:type="dxa"/>
            <w:vAlign w:val="center"/>
          </w:tcPr>
          <w:p>
            <w:pPr>
              <w:autoSpaceDE w:val="0"/>
              <w:autoSpaceDN w:val="0"/>
              <w:adjustRightInd w:val="0"/>
              <w:snapToGrid w:val="0"/>
              <w:spacing w:line="360" w:lineRule="auto"/>
              <w:jc w:val="center"/>
              <w:rPr>
                <w:color w:val="auto"/>
                <w:kern w:val="0"/>
                <w:szCs w:val="21"/>
                <w:highlight w:val="none"/>
              </w:rPr>
            </w:pPr>
          </w:p>
        </w:tc>
        <w:tc>
          <w:tcPr>
            <w:tcW w:w="1292" w:type="dxa"/>
            <w:vAlign w:val="center"/>
          </w:tcPr>
          <w:p>
            <w:pPr>
              <w:autoSpaceDE w:val="0"/>
              <w:autoSpaceDN w:val="0"/>
              <w:adjustRightInd w:val="0"/>
              <w:snapToGrid w:val="0"/>
              <w:spacing w:line="360" w:lineRule="auto"/>
              <w:jc w:val="center"/>
              <w:rPr>
                <w:color w:val="auto"/>
                <w:kern w:val="0"/>
                <w:szCs w:val="21"/>
                <w:highlight w:val="none"/>
              </w:rPr>
            </w:pPr>
          </w:p>
        </w:tc>
        <w:tc>
          <w:tcPr>
            <w:tcW w:w="2143" w:type="dxa"/>
            <w:vAlign w:val="center"/>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2</w:t>
            </w:r>
          </w:p>
        </w:tc>
        <w:tc>
          <w:tcPr>
            <w:tcW w:w="1222" w:type="dxa"/>
            <w:vAlign w:val="center"/>
          </w:tcPr>
          <w:p>
            <w:pPr>
              <w:autoSpaceDE w:val="0"/>
              <w:autoSpaceDN w:val="0"/>
              <w:adjustRightInd w:val="0"/>
              <w:snapToGrid w:val="0"/>
              <w:spacing w:line="360" w:lineRule="auto"/>
              <w:jc w:val="center"/>
              <w:rPr>
                <w:color w:val="auto"/>
                <w:kern w:val="0"/>
                <w:szCs w:val="21"/>
                <w:highlight w:val="none"/>
              </w:rPr>
            </w:pPr>
          </w:p>
        </w:tc>
        <w:tc>
          <w:tcPr>
            <w:tcW w:w="1478" w:type="dxa"/>
            <w:vAlign w:val="center"/>
          </w:tcPr>
          <w:p>
            <w:pPr>
              <w:autoSpaceDE w:val="0"/>
              <w:autoSpaceDN w:val="0"/>
              <w:adjustRightInd w:val="0"/>
              <w:snapToGrid w:val="0"/>
              <w:spacing w:line="360" w:lineRule="auto"/>
              <w:jc w:val="center"/>
              <w:rPr>
                <w:color w:val="auto"/>
                <w:kern w:val="0"/>
                <w:szCs w:val="21"/>
                <w:highlight w:val="none"/>
              </w:rPr>
            </w:pPr>
          </w:p>
        </w:tc>
        <w:tc>
          <w:tcPr>
            <w:tcW w:w="2191" w:type="dxa"/>
            <w:vAlign w:val="center"/>
          </w:tcPr>
          <w:p>
            <w:pPr>
              <w:autoSpaceDE w:val="0"/>
              <w:autoSpaceDN w:val="0"/>
              <w:adjustRightInd w:val="0"/>
              <w:snapToGrid w:val="0"/>
              <w:spacing w:line="360" w:lineRule="auto"/>
              <w:jc w:val="center"/>
              <w:rPr>
                <w:color w:val="auto"/>
                <w:kern w:val="0"/>
                <w:szCs w:val="21"/>
                <w:highlight w:val="none"/>
              </w:rPr>
            </w:pPr>
          </w:p>
        </w:tc>
        <w:tc>
          <w:tcPr>
            <w:tcW w:w="1292" w:type="dxa"/>
            <w:vAlign w:val="center"/>
          </w:tcPr>
          <w:p>
            <w:pPr>
              <w:autoSpaceDE w:val="0"/>
              <w:autoSpaceDN w:val="0"/>
              <w:adjustRightInd w:val="0"/>
              <w:snapToGrid w:val="0"/>
              <w:spacing w:line="360" w:lineRule="auto"/>
              <w:jc w:val="center"/>
              <w:rPr>
                <w:color w:val="auto"/>
                <w:kern w:val="0"/>
                <w:szCs w:val="21"/>
                <w:highlight w:val="none"/>
              </w:rPr>
            </w:pPr>
          </w:p>
        </w:tc>
        <w:tc>
          <w:tcPr>
            <w:tcW w:w="2143" w:type="dxa"/>
            <w:vAlign w:val="center"/>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3</w:t>
            </w:r>
          </w:p>
        </w:tc>
        <w:tc>
          <w:tcPr>
            <w:tcW w:w="1222" w:type="dxa"/>
            <w:vAlign w:val="center"/>
          </w:tcPr>
          <w:p>
            <w:pPr>
              <w:autoSpaceDE w:val="0"/>
              <w:autoSpaceDN w:val="0"/>
              <w:adjustRightInd w:val="0"/>
              <w:snapToGrid w:val="0"/>
              <w:spacing w:line="360" w:lineRule="auto"/>
              <w:jc w:val="center"/>
              <w:rPr>
                <w:color w:val="auto"/>
                <w:kern w:val="0"/>
                <w:szCs w:val="21"/>
                <w:highlight w:val="none"/>
              </w:rPr>
            </w:pPr>
          </w:p>
        </w:tc>
        <w:tc>
          <w:tcPr>
            <w:tcW w:w="1478" w:type="dxa"/>
            <w:vAlign w:val="center"/>
          </w:tcPr>
          <w:p>
            <w:pPr>
              <w:autoSpaceDE w:val="0"/>
              <w:autoSpaceDN w:val="0"/>
              <w:adjustRightInd w:val="0"/>
              <w:snapToGrid w:val="0"/>
              <w:spacing w:line="360" w:lineRule="auto"/>
              <w:jc w:val="center"/>
              <w:rPr>
                <w:color w:val="auto"/>
                <w:kern w:val="0"/>
                <w:szCs w:val="21"/>
                <w:highlight w:val="none"/>
              </w:rPr>
            </w:pPr>
          </w:p>
        </w:tc>
        <w:tc>
          <w:tcPr>
            <w:tcW w:w="2191" w:type="dxa"/>
            <w:vAlign w:val="center"/>
          </w:tcPr>
          <w:p>
            <w:pPr>
              <w:autoSpaceDE w:val="0"/>
              <w:autoSpaceDN w:val="0"/>
              <w:adjustRightInd w:val="0"/>
              <w:snapToGrid w:val="0"/>
              <w:spacing w:line="360" w:lineRule="auto"/>
              <w:jc w:val="center"/>
              <w:rPr>
                <w:color w:val="auto"/>
                <w:kern w:val="0"/>
                <w:szCs w:val="21"/>
                <w:highlight w:val="none"/>
              </w:rPr>
            </w:pPr>
          </w:p>
        </w:tc>
        <w:tc>
          <w:tcPr>
            <w:tcW w:w="1292" w:type="dxa"/>
            <w:vAlign w:val="center"/>
          </w:tcPr>
          <w:p>
            <w:pPr>
              <w:autoSpaceDE w:val="0"/>
              <w:autoSpaceDN w:val="0"/>
              <w:adjustRightInd w:val="0"/>
              <w:snapToGrid w:val="0"/>
              <w:spacing w:line="360" w:lineRule="auto"/>
              <w:jc w:val="center"/>
              <w:rPr>
                <w:color w:val="auto"/>
                <w:kern w:val="0"/>
                <w:szCs w:val="21"/>
                <w:highlight w:val="none"/>
              </w:rPr>
            </w:pPr>
          </w:p>
        </w:tc>
        <w:tc>
          <w:tcPr>
            <w:tcW w:w="2143" w:type="dxa"/>
            <w:vAlign w:val="center"/>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4</w:t>
            </w:r>
          </w:p>
        </w:tc>
        <w:tc>
          <w:tcPr>
            <w:tcW w:w="1222" w:type="dxa"/>
            <w:vAlign w:val="center"/>
          </w:tcPr>
          <w:p>
            <w:pPr>
              <w:autoSpaceDE w:val="0"/>
              <w:autoSpaceDN w:val="0"/>
              <w:adjustRightInd w:val="0"/>
              <w:snapToGrid w:val="0"/>
              <w:spacing w:line="360" w:lineRule="auto"/>
              <w:jc w:val="center"/>
              <w:rPr>
                <w:color w:val="auto"/>
                <w:kern w:val="0"/>
                <w:szCs w:val="21"/>
                <w:highlight w:val="none"/>
              </w:rPr>
            </w:pPr>
          </w:p>
        </w:tc>
        <w:tc>
          <w:tcPr>
            <w:tcW w:w="1478" w:type="dxa"/>
            <w:vAlign w:val="center"/>
          </w:tcPr>
          <w:p>
            <w:pPr>
              <w:autoSpaceDE w:val="0"/>
              <w:autoSpaceDN w:val="0"/>
              <w:adjustRightInd w:val="0"/>
              <w:snapToGrid w:val="0"/>
              <w:spacing w:line="360" w:lineRule="auto"/>
              <w:jc w:val="center"/>
              <w:rPr>
                <w:color w:val="auto"/>
                <w:kern w:val="0"/>
                <w:szCs w:val="21"/>
                <w:highlight w:val="none"/>
              </w:rPr>
            </w:pPr>
          </w:p>
        </w:tc>
        <w:tc>
          <w:tcPr>
            <w:tcW w:w="2191" w:type="dxa"/>
            <w:vAlign w:val="center"/>
          </w:tcPr>
          <w:p>
            <w:pPr>
              <w:autoSpaceDE w:val="0"/>
              <w:autoSpaceDN w:val="0"/>
              <w:adjustRightInd w:val="0"/>
              <w:snapToGrid w:val="0"/>
              <w:spacing w:line="360" w:lineRule="auto"/>
              <w:jc w:val="center"/>
              <w:rPr>
                <w:color w:val="auto"/>
                <w:kern w:val="0"/>
                <w:szCs w:val="21"/>
                <w:highlight w:val="none"/>
              </w:rPr>
            </w:pPr>
          </w:p>
        </w:tc>
        <w:tc>
          <w:tcPr>
            <w:tcW w:w="1292" w:type="dxa"/>
            <w:vAlign w:val="center"/>
          </w:tcPr>
          <w:p>
            <w:pPr>
              <w:autoSpaceDE w:val="0"/>
              <w:autoSpaceDN w:val="0"/>
              <w:adjustRightInd w:val="0"/>
              <w:snapToGrid w:val="0"/>
              <w:spacing w:line="360" w:lineRule="auto"/>
              <w:jc w:val="center"/>
              <w:rPr>
                <w:color w:val="auto"/>
                <w:kern w:val="0"/>
                <w:szCs w:val="21"/>
                <w:highlight w:val="none"/>
              </w:rPr>
            </w:pPr>
          </w:p>
        </w:tc>
        <w:tc>
          <w:tcPr>
            <w:tcW w:w="2143" w:type="dxa"/>
            <w:vAlign w:val="center"/>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5</w:t>
            </w:r>
          </w:p>
        </w:tc>
        <w:tc>
          <w:tcPr>
            <w:tcW w:w="1222" w:type="dxa"/>
            <w:vAlign w:val="center"/>
          </w:tcPr>
          <w:p>
            <w:pPr>
              <w:autoSpaceDE w:val="0"/>
              <w:autoSpaceDN w:val="0"/>
              <w:adjustRightInd w:val="0"/>
              <w:snapToGrid w:val="0"/>
              <w:spacing w:line="360" w:lineRule="auto"/>
              <w:jc w:val="center"/>
              <w:rPr>
                <w:color w:val="auto"/>
                <w:kern w:val="0"/>
                <w:szCs w:val="21"/>
                <w:highlight w:val="none"/>
              </w:rPr>
            </w:pPr>
          </w:p>
        </w:tc>
        <w:tc>
          <w:tcPr>
            <w:tcW w:w="1478" w:type="dxa"/>
            <w:vAlign w:val="center"/>
          </w:tcPr>
          <w:p>
            <w:pPr>
              <w:autoSpaceDE w:val="0"/>
              <w:autoSpaceDN w:val="0"/>
              <w:adjustRightInd w:val="0"/>
              <w:snapToGrid w:val="0"/>
              <w:spacing w:line="360" w:lineRule="auto"/>
              <w:jc w:val="center"/>
              <w:rPr>
                <w:color w:val="auto"/>
                <w:kern w:val="0"/>
                <w:szCs w:val="21"/>
                <w:highlight w:val="none"/>
              </w:rPr>
            </w:pPr>
          </w:p>
        </w:tc>
        <w:tc>
          <w:tcPr>
            <w:tcW w:w="2191" w:type="dxa"/>
            <w:vAlign w:val="center"/>
          </w:tcPr>
          <w:p>
            <w:pPr>
              <w:autoSpaceDE w:val="0"/>
              <w:autoSpaceDN w:val="0"/>
              <w:adjustRightInd w:val="0"/>
              <w:snapToGrid w:val="0"/>
              <w:spacing w:line="360" w:lineRule="auto"/>
              <w:jc w:val="center"/>
              <w:rPr>
                <w:color w:val="auto"/>
                <w:kern w:val="0"/>
                <w:szCs w:val="21"/>
                <w:highlight w:val="none"/>
              </w:rPr>
            </w:pPr>
          </w:p>
        </w:tc>
        <w:tc>
          <w:tcPr>
            <w:tcW w:w="1292" w:type="dxa"/>
            <w:vAlign w:val="center"/>
          </w:tcPr>
          <w:p>
            <w:pPr>
              <w:autoSpaceDE w:val="0"/>
              <w:autoSpaceDN w:val="0"/>
              <w:adjustRightInd w:val="0"/>
              <w:snapToGrid w:val="0"/>
              <w:spacing w:line="360" w:lineRule="auto"/>
              <w:jc w:val="center"/>
              <w:rPr>
                <w:color w:val="auto"/>
                <w:kern w:val="0"/>
                <w:szCs w:val="21"/>
                <w:highlight w:val="none"/>
              </w:rPr>
            </w:pPr>
          </w:p>
        </w:tc>
        <w:tc>
          <w:tcPr>
            <w:tcW w:w="2143" w:type="dxa"/>
            <w:vAlign w:val="center"/>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6</w:t>
            </w:r>
          </w:p>
        </w:tc>
        <w:tc>
          <w:tcPr>
            <w:tcW w:w="1222" w:type="dxa"/>
            <w:vAlign w:val="center"/>
          </w:tcPr>
          <w:p>
            <w:pPr>
              <w:autoSpaceDE w:val="0"/>
              <w:autoSpaceDN w:val="0"/>
              <w:adjustRightInd w:val="0"/>
              <w:snapToGrid w:val="0"/>
              <w:spacing w:line="360" w:lineRule="auto"/>
              <w:jc w:val="center"/>
              <w:rPr>
                <w:color w:val="auto"/>
                <w:kern w:val="0"/>
                <w:szCs w:val="21"/>
                <w:highlight w:val="none"/>
              </w:rPr>
            </w:pPr>
          </w:p>
        </w:tc>
        <w:tc>
          <w:tcPr>
            <w:tcW w:w="1478" w:type="dxa"/>
            <w:vAlign w:val="center"/>
          </w:tcPr>
          <w:p>
            <w:pPr>
              <w:autoSpaceDE w:val="0"/>
              <w:autoSpaceDN w:val="0"/>
              <w:adjustRightInd w:val="0"/>
              <w:snapToGrid w:val="0"/>
              <w:spacing w:line="360" w:lineRule="auto"/>
              <w:jc w:val="center"/>
              <w:rPr>
                <w:color w:val="auto"/>
                <w:kern w:val="0"/>
                <w:szCs w:val="21"/>
                <w:highlight w:val="none"/>
              </w:rPr>
            </w:pPr>
          </w:p>
        </w:tc>
        <w:tc>
          <w:tcPr>
            <w:tcW w:w="2191" w:type="dxa"/>
            <w:vAlign w:val="center"/>
          </w:tcPr>
          <w:p>
            <w:pPr>
              <w:autoSpaceDE w:val="0"/>
              <w:autoSpaceDN w:val="0"/>
              <w:adjustRightInd w:val="0"/>
              <w:snapToGrid w:val="0"/>
              <w:spacing w:line="360" w:lineRule="auto"/>
              <w:jc w:val="center"/>
              <w:rPr>
                <w:color w:val="auto"/>
                <w:kern w:val="0"/>
                <w:szCs w:val="21"/>
                <w:highlight w:val="none"/>
              </w:rPr>
            </w:pPr>
          </w:p>
        </w:tc>
        <w:tc>
          <w:tcPr>
            <w:tcW w:w="1292" w:type="dxa"/>
            <w:vAlign w:val="center"/>
          </w:tcPr>
          <w:p>
            <w:pPr>
              <w:autoSpaceDE w:val="0"/>
              <w:autoSpaceDN w:val="0"/>
              <w:adjustRightInd w:val="0"/>
              <w:snapToGrid w:val="0"/>
              <w:spacing w:line="360" w:lineRule="auto"/>
              <w:jc w:val="center"/>
              <w:rPr>
                <w:color w:val="auto"/>
                <w:kern w:val="0"/>
                <w:szCs w:val="21"/>
                <w:highlight w:val="none"/>
              </w:rPr>
            </w:pPr>
          </w:p>
        </w:tc>
        <w:tc>
          <w:tcPr>
            <w:tcW w:w="2143" w:type="dxa"/>
            <w:vAlign w:val="center"/>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snapToGrid w:val="0"/>
              <w:spacing w:line="360" w:lineRule="auto"/>
              <w:jc w:val="center"/>
              <w:rPr>
                <w:color w:val="auto"/>
                <w:kern w:val="0"/>
                <w:szCs w:val="21"/>
                <w:highlight w:val="none"/>
              </w:rPr>
            </w:pPr>
          </w:p>
        </w:tc>
        <w:tc>
          <w:tcPr>
            <w:tcW w:w="1222" w:type="dxa"/>
            <w:vAlign w:val="center"/>
          </w:tcPr>
          <w:p>
            <w:pPr>
              <w:autoSpaceDE w:val="0"/>
              <w:autoSpaceDN w:val="0"/>
              <w:adjustRightInd w:val="0"/>
              <w:snapToGrid w:val="0"/>
              <w:spacing w:line="360" w:lineRule="auto"/>
              <w:jc w:val="center"/>
              <w:rPr>
                <w:color w:val="auto"/>
                <w:kern w:val="0"/>
                <w:szCs w:val="21"/>
                <w:highlight w:val="none"/>
              </w:rPr>
            </w:pPr>
          </w:p>
        </w:tc>
        <w:tc>
          <w:tcPr>
            <w:tcW w:w="1478" w:type="dxa"/>
            <w:vAlign w:val="center"/>
          </w:tcPr>
          <w:p>
            <w:pPr>
              <w:autoSpaceDE w:val="0"/>
              <w:autoSpaceDN w:val="0"/>
              <w:adjustRightInd w:val="0"/>
              <w:snapToGrid w:val="0"/>
              <w:spacing w:line="360" w:lineRule="auto"/>
              <w:jc w:val="center"/>
              <w:rPr>
                <w:color w:val="auto"/>
                <w:kern w:val="0"/>
                <w:szCs w:val="21"/>
                <w:highlight w:val="none"/>
              </w:rPr>
            </w:pPr>
          </w:p>
        </w:tc>
        <w:tc>
          <w:tcPr>
            <w:tcW w:w="2191" w:type="dxa"/>
            <w:vAlign w:val="center"/>
          </w:tcPr>
          <w:p>
            <w:pPr>
              <w:autoSpaceDE w:val="0"/>
              <w:autoSpaceDN w:val="0"/>
              <w:adjustRightInd w:val="0"/>
              <w:snapToGrid w:val="0"/>
              <w:spacing w:line="360" w:lineRule="auto"/>
              <w:jc w:val="center"/>
              <w:rPr>
                <w:color w:val="auto"/>
                <w:kern w:val="0"/>
                <w:szCs w:val="21"/>
                <w:highlight w:val="none"/>
              </w:rPr>
            </w:pPr>
          </w:p>
        </w:tc>
        <w:tc>
          <w:tcPr>
            <w:tcW w:w="1292" w:type="dxa"/>
            <w:vAlign w:val="center"/>
          </w:tcPr>
          <w:p>
            <w:pPr>
              <w:autoSpaceDE w:val="0"/>
              <w:autoSpaceDN w:val="0"/>
              <w:adjustRightInd w:val="0"/>
              <w:snapToGrid w:val="0"/>
              <w:spacing w:line="360" w:lineRule="auto"/>
              <w:jc w:val="center"/>
              <w:rPr>
                <w:color w:val="auto"/>
                <w:kern w:val="0"/>
                <w:szCs w:val="21"/>
                <w:highlight w:val="none"/>
              </w:rPr>
            </w:pPr>
          </w:p>
        </w:tc>
        <w:tc>
          <w:tcPr>
            <w:tcW w:w="2143" w:type="dxa"/>
            <w:vAlign w:val="center"/>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 w:type="dxa"/>
            <w:vAlign w:val="center"/>
          </w:tcPr>
          <w:p>
            <w:pPr>
              <w:autoSpaceDE w:val="0"/>
              <w:autoSpaceDN w:val="0"/>
              <w:adjustRightInd w:val="0"/>
              <w:snapToGrid w:val="0"/>
              <w:spacing w:line="360" w:lineRule="auto"/>
              <w:jc w:val="center"/>
              <w:rPr>
                <w:color w:val="auto"/>
                <w:kern w:val="0"/>
                <w:szCs w:val="21"/>
                <w:highlight w:val="none"/>
              </w:rPr>
            </w:pPr>
          </w:p>
        </w:tc>
        <w:tc>
          <w:tcPr>
            <w:tcW w:w="1222" w:type="dxa"/>
            <w:vAlign w:val="center"/>
          </w:tcPr>
          <w:p>
            <w:pPr>
              <w:autoSpaceDE w:val="0"/>
              <w:autoSpaceDN w:val="0"/>
              <w:adjustRightInd w:val="0"/>
              <w:snapToGrid w:val="0"/>
              <w:spacing w:line="360" w:lineRule="auto"/>
              <w:jc w:val="center"/>
              <w:rPr>
                <w:color w:val="auto"/>
                <w:kern w:val="0"/>
                <w:szCs w:val="21"/>
                <w:highlight w:val="none"/>
              </w:rPr>
            </w:pPr>
          </w:p>
        </w:tc>
        <w:tc>
          <w:tcPr>
            <w:tcW w:w="1478" w:type="dxa"/>
            <w:vAlign w:val="center"/>
          </w:tcPr>
          <w:p>
            <w:pPr>
              <w:autoSpaceDE w:val="0"/>
              <w:autoSpaceDN w:val="0"/>
              <w:adjustRightInd w:val="0"/>
              <w:snapToGrid w:val="0"/>
              <w:spacing w:line="360" w:lineRule="auto"/>
              <w:jc w:val="center"/>
              <w:rPr>
                <w:color w:val="auto"/>
                <w:kern w:val="0"/>
                <w:szCs w:val="21"/>
                <w:highlight w:val="none"/>
              </w:rPr>
            </w:pPr>
          </w:p>
        </w:tc>
        <w:tc>
          <w:tcPr>
            <w:tcW w:w="2191" w:type="dxa"/>
            <w:vAlign w:val="center"/>
          </w:tcPr>
          <w:p>
            <w:pPr>
              <w:autoSpaceDE w:val="0"/>
              <w:autoSpaceDN w:val="0"/>
              <w:adjustRightInd w:val="0"/>
              <w:snapToGrid w:val="0"/>
              <w:spacing w:line="360" w:lineRule="auto"/>
              <w:jc w:val="center"/>
              <w:rPr>
                <w:color w:val="auto"/>
                <w:kern w:val="0"/>
                <w:szCs w:val="21"/>
                <w:highlight w:val="none"/>
              </w:rPr>
            </w:pPr>
          </w:p>
        </w:tc>
        <w:tc>
          <w:tcPr>
            <w:tcW w:w="1292" w:type="dxa"/>
            <w:vAlign w:val="center"/>
          </w:tcPr>
          <w:p>
            <w:pPr>
              <w:autoSpaceDE w:val="0"/>
              <w:autoSpaceDN w:val="0"/>
              <w:adjustRightInd w:val="0"/>
              <w:snapToGrid w:val="0"/>
              <w:spacing w:line="360" w:lineRule="auto"/>
              <w:jc w:val="center"/>
              <w:rPr>
                <w:color w:val="auto"/>
                <w:kern w:val="0"/>
                <w:szCs w:val="21"/>
                <w:highlight w:val="none"/>
              </w:rPr>
            </w:pPr>
          </w:p>
        </w:tc>
        <w:tc>
          <w:tcPr>
            <w:tcW w:w="2143" w:type="dxa"/>
            <w:vAlign w:val="center"/>
          </w:tcPr>
          <w:p>
            <w:pPr>
              <w:autoSpaceDE w:val="0"/>
              <w:autoSpaceDN w:val="0"/>
              <w:adjustRightInd w:val="0"/>
              <w:snapToGrid w:val="0"/>
              <w:spacing w:line="360" w:lineRule="auto"/>
              <w:jc w:val="center"/>
              <w:rPr>
                <w:color w:val="auto"/>
                <w:kern w:val="0"/>
                <w:szCs w:val="21"/>
                <w:highlight w:val="none"/>
              </w:rPr>
            </w:pPr>
          </w:p>
        </w:tc>
      </w:tr>
    </w:tbl>
    <w:p>
      <w:pPr>
        <w:widowControl/>
        <w:adjustRightInd w:val="0"/>
        <w:snapToGrid w:val="0"/>
        <w:spacing w:line="360" w:lineRule="auto"/>
        <w:textAlignment w:val="baseline"/>
        <w:rPr>
          <w:rFonts w:ascii="宋体" w:hAnsi="宋体" w:cs="宋体"/>
          <w:b/>
          <w:bCs/>
          <w:color w:val="auto"/>
          <w:szCs w:val="21"/>
          <w:highlight w:val="none"/>
        </w:rPr>
      </w:pPr>
    </w:p>
    <w:tbl>
      <w:tblPr>
        <w:tblStyle w:val="33"/>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35"/>
        <w:gridCol w:w="709"/>
        <w:gridCol w:w="1842"/>
        <w:gridCol w:w="1276"/>
        <w:gridCol w:w="1163"/>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7"/>
            <w:tcBorders>
              <w:top w:val="nil"/>
              <w:left w:val="nil"/>
              <w:right w:val="nil"/>
            </w:tcBorders>
          </w:tcPr>
          <w:p>
            <w:pPr>
              <w:autoSpaceDE w:val="0"/>
              <w:autoSpaceDN w:val="0"/>
              <w:adjustRightInd w:val="0"/>
              <w:snapToGrid w:val="0"/>
              <w:spacing w:line="360" w:lineRule="auto"/>
              <w:jc w:val="center"/>
              <w:outlineLvl w:val="1"/>
              <w:rPr>
                <w:b/>
                <w:color w:val="auto"/>
                <w:kern w:val="0"/>
                <w:sz w:val="24"/>
                <w:highlight w:val="none"/>
              </w:rPr>
            </w:pPr>
            <w:r>
              <w:rPr>
                <w:rFonts w:hint="eastAsia"/>
                <w:b/>
                <w:color w:val="auto"/>
                <w:kern w:val="0"/>
                <w:sz w:val="24"/>
                <w:highlight w:val="none"/>
              </w:rPr>
              <w:t>XXXXX</w:t>
            </w:r>
            <w:r>
              <w:rPr>
                <w:b/>
                <w:color w:val="auto"/>
                <w:kern w:val="0"/>
                <w:sz w:val="24"/>
                <w:highlight w:val="none"/>
              </w:rPr>
              <w:t>公司</w:t>
            </w:r>
            <w:r>
              <w:rPr>
                <w:rFonts w:hint="eastAsia"/>
                <w:b/>
                <w:color w:val="auto"/>
                <w:kern w:val="0"/>
                <w:sz w:val="24"/>
                <w:highlight w:val="none"/>
              </w:rPr>
              <w:t>供应商其他资格条件-----驾驶员信息</w:t>
            </w:r>
          </w:p>
          <w:p>
            <w:pPr>
              <w:autoSpaceDE w:val="0"/>
              <w:autoSpaceDN w:val="0"/>
              <w:adjustRightInd w:val="0"/>
              <w:snapToGrid w:val="0"/>
              <w:spacing w:line="360" w:lineRule="auto"/>
              <w:jc w:val="center"/>
              <w:outlineLvl w:val="1"/>
              <w:rPr>
                <w:b/>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序号</w:t>
            </w:r>
          </w:p>
        </w:tc>
        <w:tc>
          <w:tcPr>
            <w:tcW w:w="935"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驾驶员姓名</w:t>
            </w:r>
          </w:p>
        </w:tc>
        <w:tc>
          <w:tcPr>
            <w:tcW w:w="709"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年龄</w:t>
            </w:r>
          </w:p>
        </w:tc>
        <w:tc>
          <w:tcPr>
            <w:tcW w:w="1842"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驾龄（按照</w:t>
            </w:r>
            <w:r>
              <w:rPr>
                <w:b/>
                <w:color w:val="auto"/>
                <w:kern w:val="0"/>
                <w:szCs w:val="21"/>
                <w:highlight w:val="none"/>
              </w:rPr>
              <w:t>驾龄从高</w:t>
            </w:r>
            <w:r>
              <w:rPr>
                <w:rFonts w:hint="eastAsia"/>
                <w:b/>
                <w:color w:val="auto"/>
                <w:kern w:val="0"/>
                <w:szCs w:val="21"/>
                <w:highlight w:val="none"/>
              </w:rPr>
              <w:t>到低</w:t>
            </w:r>
            <w:r>
              <w:rPr>
                <w:b/>
                <w:color w:val="auto"/>
                <w:kern w:val="0"/>
                <w:szCs w:val="21"/>
                <w:highlight w:val="none"/>
              </w:rPr>
              <w:t>排</w:t>
            </w:r>
            <w:r>
              <w:rPr>
                <w:rFonts w:hint="eastAsia"/>
                <w:b/>
                <w:color w:val="auto"/>
                <w:kern w:val="0"/>
                <w:szCs w:val="21"/>
                <w:highlight w:val="none"/>
              </w:rPr>
              <w:t>）</w:t>
            </w:r>
          </w:p>
        </w:tc>
        <w:tc>
          <w:tcPr>
            <w:tcW w:w="1276"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驾照类型</w:t>
            </w:r>
          </w:p>
        </w:tc>
        <w:tc>
          <w:tcPr>
            <w:tcW w:w="1163"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乘客</w:t>
            </w:r>
            <w:r>
              <w:rPr>
                <w:b/>
                <w:color w:val="auto"/>
                <w:kern w:val="0"/>
                <w:szCs w:val="21"/>
                <w:highlight w:val="none"/>
              </w:rPr>
              <w:t>险</w:t>
            </w:r>
          </w:p>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（万元）</w:t>
            </w:r>
          </w:p>
        </w:tc>
        <w:tc>
          <w:tcPr>
            <w:tcW w:w="2664" w:type="dxa"/>
            <w:vAlign w:val="center"/>
          </w:tcPr>
          <w:p>
            <w:pPr>
              <w:autoSpaceDE w:val="0"/>
              <w:autoSpaceDN w:val="0"/>
              <w:adjustRightInd w:val="0"/>
              <w:snapToGrid w:val="0"/>
              <w:jc w:val="center"/>
              <w:rPr>
                <w:b/>
                <w:color w:val="auto"/>
                <w:kern w:val="0"/>
                <w:szCs w:val="21"/>
                <w:highlight w:val="none"/>
              </w:rPr>
            </w:pPr>
            <w:r>
              <w:rPr>
                <w:rFonts w:hint="eastAsia"/>
                <w:b/>
                <w:color w:val="auto"/>
                <w:kern w:val="0"/>
                <w:szCs w:val="21"/>
                <w:highlight w:val="none"/>
              </w:rPr>
              <w:t>社会保险、驾</w:t>
            </w:r>
            <w:r>
              <w:rPr>
                <w:b/>
                <w:color w:val="auto"/>
                <w:kern w:val="0"/>
                <w:szCs w:val="21"/>
                <w:highlight w:val="none"/>
              </w:rPr>
              <w:t>驶证、身份证复印件在标书中</w:t>
            </w:r>
            <w:r>
              <w:rPr>
                <w:rFonts w:hint="eastAsia"/>
                <w:b/>
                <w:color w:val="auto"/>
                <w:kern w:val="0"/>
                <w:szCs w:val="21"/>
                <w:highlight w:val="none"/>
              </w:rPr>
              <w:t>的</w:t>
            </w:r>
            <w:r>
              <w:rPr>
                <w:b/>
                <w:color w:val="auto"/>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1</w:t>
            </w:r>
          </w:p>
        </w:tc>
        <w:tc>
          <w:tcPr>
            <w:tcW w:w="935" w:type="dxa"/>
          </w:tcPr>
          <w:p>
            <w:pPr>
              <w:autoSpaceDE w:val="0"/>
              <w:autoSpaceDN w:val="0"/>
              <w:adjustRightInd w:val="0"/>
              <w:snapToGrid w:val="0"/>
              <w:spacing w:line="360" w:lineRule="auto"/>
              <w:jc w:val="center"/>
              <w:rPr>
                <w:color w:val="auto"/>
                <w:kern w:val="0"/>
                <w:szCs w:val="21"/>
                <w:highlight w:val="none"/>
              </w:rPr>
            </w:pPr>
          </w:p>
        </w:tc>
        <w:tc>
          <w:tcPr>
            <w:tcW w:w="709" w:type="dxa"/>
          </w:tcPr>
          <w:p>
            <w:pPr>
              <w:autoSpaceDE w:val="0"/>
              <w:autoSpaceDN w:val="0"/>
              <w:adjustRightInd w:val="0"/>
              <w:snapToGrid w:val="0"/>
              <w:spacing w:line="360" w:lineRule="auto"/>
              <w:jc w:val="center"/>
              <w:rPr>
                <w:color w:val="auto"/>
                <w:kern w:val="0"/>
                <w:szCs w:val="21"/>
                <w:highlight w:val="none"/>
              </w:rPr>
            </w:pPr>
          </w:p>
        </w:tc>
        <w:tc>
          <w:tcPr>
            <w:tcW w:w="1842" w:type="dxa"/>
          </w:tcPr>
          <w:p>
            <w:pPr>
              <w:autoSpaceDE w:val="0"/>
              <w:autoSpaceDN w:val="0"/>
              <w:adjustRightInd w:val="0"/>
              <w:snapToGrid w:val="0"/>
              <w:spacing w:line="360" w:lineRule="auto"/>
              <w:jc w:val="center"/>
              <w:rPr>
                <w:color w:val="auto"/>
                <w:kern w:val="0"/>
                <w:szCs w:val="21"/>
                <w:highlight w:val="none"/>
              </w:rPr>
            </w:pPr>
          </w:p>
        </w:tc>
        <w:tc>
          <w:tcPr>
            <w:tcW w:w="1276" w:type="dxa"/>
          </w:tcPr>
          <w:p>
            <w:pPr>
              <w:autoSpaceDE w:val="0"/>
              <w:autoSpaceDN w:val="0"/>
              <w:adjustRightInd w:val="0"/>
              <w:snapToGrid w:val="0"/>
              <w:spacing w:line="360" w:lineRule="auto"/>
              <w:jc w:val="center"/>
              <w:rPr>
                <w:color w:val="auto"/>
                <w:kern w:val="0"/>
                <w:szCs w:val="21"/>
                <w:highlight w:val="none"/>
              </w:rPr>
            </w:pPr>
          </w:p>
        </w:tc>
        <w:tc>
          <w:tcPr>
            <w:tcW w:w="1163" w:type="dxa"/>
          </w:tcPr>
          <w:p>
            <w:pPr>
              <w:autoSpaceDE w:val="0"/>
              <w:autoSpaceDN w:val="0"/>
              <w:adjustRightInd w:val="0"/>
              <w:snapToGrid w:val="0"/>
              <w:spacing w:line="360" w:lineRule="auto"/>
              <w:jc w:val="center"/>
              <w:rPr>
                <w:color w:val="auto"/>
                <w:kern w:val="0"/>
                <w:szCs w:val="21"/>
                <w:highlight w:val="none"/>
              </w:rPr>
            </w:pPr>
          </w:p>
        </w:tc>
        <w:tc>
          <w:tcPr>
            <w:tcW w:w="2664" w:type="dxa"/>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2</w:t>
            </w:r>
          </w:p>
        </w:tc>
        <w:tc>
          <w:tcPr>
            <w:tcW w:w="935" w:type="dxa"/>
          </w:tcPr>
          <w:p>
            <w:pPr>
              <w:autoSpaceDE w:val="0"/>
              <w:autoSpaceDN w:val="0"/>
              <w:adjustRightInd w:val="0"/>
              <w:snapToGrid w:val="0"/>
              <w:spacing w:line="360" w:lineRule="auto"/>
              <w:jc w:val="center"/>
              <w:rPr>
                <w:color w:val="auto"/>
                <w:kern w:val="0"/>
                <w:szCs w:val="21"/>
                <w:highlight w:val="none"/>
              </w:rPr>
            </w:pPr>
          </w:p>
        </w:tc>
        <w:tc>
          <w:tcPr>
            <w:tcW w:w="709" w:type="dxa"/>
          </w:tcPr>
          <w:p>
            <w:pPr>
              <w:autoSpaceDE w:val="0"/>
              <w:autoSpaceDN w:val="0"/>
              <w:adjustRightInd w:val="0"/>
              <w:snapToGrid w:val="0"/>
              <w:spacing w:line="360" w:lineRule="auto"/>
              <w:jc w:val="center"/>
              <w:rPr>
                <w:color w:val="auto"/>
                <w:kern w:val="0"/>
                <w:szCs w:val="21"/>
                <w:highlight w:val="none"/>
              </w:rPr>
            </w:pPr>
          </w:p>
        </w:tc>
        <w:tc>
          <w:tcPr>
            <w:tcW w:w="1842" w:type="dxa"/>
          </w:tcPr>
          <w:p>
            <w:pPr>
              <w:autoSpaceDE w:val="0"/>
              <w:autoSpaceDN w:val="0"/>
              <w:adjustRightInd w:val="0"/>
              <w:snapToGrid w:val="0"/>
              <w:spacing w:line="360" w:lineRule="auto"/>
              <w:jc w:val="center"/>
              <w:rPr>
                <w:color w:val="auto"/>
                <w:kern w:val="0"/>
                <w:szCs w:val="21"/>
                <w:highlight w:val="none"/>
              </w:rPr>
            </w:pPr>
          </w:p>
        </w:tc>
        <w:tc>
          <w:tcPr>
            <w:tcW w:w="1276" w:type="dxa"/>
          </w:tcPr>
          <w:p>
            <w:pPr>
              <w:autoSpaceDE w:val="0"/>
              <w:autoSpaceDN w:val="0"/>
              <w:adjustRightInd w:val="0"/>
              <w:snapToGrid w:val="0"/>
              <w:spacing w:line="360" w:lineRule="auto"/>
              <w:jc w:val="center"/>
              <w:rPr>
                <w:color w:val="auto"/>
                <w:kern w:val="0"/>
                <w:szCs w:val="21"/>
                <w:highlight w:val="none"/>
              </w:rPr>
            </w:pPr>
          </w:p>
        </w:tc>
        <w:tc>
          <w:tcPr>
            <w:tcW w:w="1163" w:type="dxa"/>
          </w:tcPr>
          <w:p>
            <w:pPr>
              <w:autoSpaceDE w:val="0"/>
              <w:autoSpaceDN w:val="0"/>
              <w:adjustRightInd w:val="0"/>
              <w:snapToGrid w:val="0"/>
              <w:spacing w:line="360" w:lineRule="auto"/>
              <w:jc w:val="center"/>
              <w:rPr>
                <w:color w:val="auto"/>
                <w:kern w:val="0"/>
                <w:szCs w:val="21"/>
                <w:highlight w:val="none"/>
              </w:rPr>
            </w:pPr>
          </w:p>
        </w:tc>
        <w:tc>
          <w:tcPr>
            <w:tcW w:w="2664" w:type="dxa"/>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3</w:t>
            </w:r>
          </w:p>
        </w:tc>
        <w:tc>
          <w:tcPr>
            <w:tcW w:w="935" w:type="dxa"/>
          </w:tcPr>
          <w:p>
            <w:pPr>
              <w:autoSpaceDE w:val="0"/>
              <w:autoSpaceDN w:val="0"/>
              <w:adjustRightInd w:val="0"/>
              <w:snapToGrid w:val="0"/>
              <w:spacing w:line="360" w:lineRule="auto"/>
              <w:jc w:val="center"/>
              <w:rPr>
                <w:color w:val="auto"/>
                <w:kern w:val="0"/>
                <w:szCs w:val="21"/>
                <w:highlight w:val="none"/>
              </w:rPr>
            </w:pPr>
          </w:p>
        </w:tc>
        <w:tc>
          <w:tcPr>
            <w:tcW w:w="709" w:type="dxa"/>
          </w:tcPr>
          <w:p>
            <w:pPr>
              <w:autoSpaceDE w:val="0"/>
              <w:autoSpaceDN w:val="0"/>
              <w:adjustRightInd w:val="0"/>
              <w:snapToGrid w:val="0"/>
              <w:spacing w:line="360" w:lineRule="auto"/>
              <w:jc w:val="center"/>
              <w:rPr>
                <w:color w:val="auto"/>
                <w:kern w:val="0"/>
                <w:szCs w:val="21"/>
                <w:highlight w:val="none"/>
              </w:rPr>
            </w:pPr>
          </w:p>
        </w:tc>
        <w:tc>
          <w:tcPr>
            <w:tcW w:w="1842" w:type="dxa"/>
          </w:tcPr>
          <w:p>
            <w:pPr>
              <w:autoSpaceDE w:val="0"/>
              <w:autoSpaceDN w:val="0"/>
              <w:adjustRightInd w:val="0"/>
              <w:snapToGrid w:val="0"/>
              <w:spacing w:line="360" w:lineRule="auto"/>
              <w:jc w:val="center"/>
              <w:rPr>
                <w:color w:val="auto"/>
                <w:kern w:val="0"/>
                <w:szCs w:val="21"/>
                <w:highlight w:val="none"/>
              </w:rPr>
            </w:pPr>
          </w:p>
        </w:tc>
        <w:tc>
          <w:tcPr>
            <w:tcW w:w="1276" w:type="dxa"/>
          </w:tcPr>
          <w:p>
            <w:pPr>
              <w:autoSpaceDE w:val="0"/>
              <w:autoSpaceDN w:val="0"/>
              <w:adjustRightInd w:val="0"/>
              <w:snapToGrid w:val="0"/>
              <w:spacing w:line="360" w:lineRule="auto"/>
              <w:jc w:val="center"/>
              <w:rPr>
                <w:color w:val="auto"/>
                <w:kern w:val="0"/>
                <w:szCs w:val="21"/>
                <w:highlight w:val="none"/>
              </w:rPr>
            </w:pPr>
          </w:p>
        </w:tc>
        <w:tc>
          <w:tcPr>
            <w:tcW w:w="1163" w:type="dxa"/>
          </w:tcPr>
          <w:p>
            <w:pPr>
              <w:autoSpaceDE w:val="0"/>
              <w:autoSpaceDN w:val="0"/>
              <w:adjustRightInd w:val="0"/>
              <w:snapToGrid w:val="0"/>
              <w:spacing w:line="360" w:lineRule="auto"/>
              <w:jc w:val="center"/>
              <w:rPr>
                <w:color w:val="auto"/>
                <w:kern w:val="0"/>
                <w:szCs w:val="21"/>
                <w:highlight w:val="none"/>
              </w:rPr>
            </w:pPr>
          </w:p>
        </w:tc>
        <w:tc>
          <w:tcPr>
            <w:tcW w:w="2664" w:type="dxa"/>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4</w:t>
            </w:r>
          </w:p>
        </w:tc>
        <w:tc>
          <w:tcPr>
            <w:tcW w:w="935" w:type="dxa"/>
          </w:tcPr>
          <w:p>
            <w:pPr>
              <w:autoSpaceDE w:val="0"/>
              <w:autoSpaceDN w:val="0"/>
              <w:adjustRightInd w:val="0"/>
              <w:snapToGrid w:val="0"/>
              <w:spacing w:line="360" w:lineRule="auto"/>
              <w:jc w:val="center"/>
              <w:rPr>
                <w:color w:val="auto"/>
                <w:kern w:val="0"/>
                <w:szCs w:val="21"/>
                <w:highlight w:val="none"/>
              </w:rPr>
            </w:pPr>
          </w:p>
        </w:tc>
        <w:tc>
          <w:tcPr>
            <w:tcW w:w="709" w:type="dxa"/>
          </w:tcPr>
          <w:p>
            <w:pPr>
              <w:autoSpaceDE w:val="0"/>
              <w:autoSpaceDN w:val="0"/>
              <w:adjustRightInd w:val="0"/>
              <w:snapToGrid w:val="0"/>
              <w:spacing w:line="360" w:lineRule="auto"/>
              <w:jc w:val="center"/>
              <w:rPr>
                <w:color w:val="auto"/>
                <w:kern w:val="0"/>
                <w:szCs w:val="21"/>
                <w:highlight w:val="none"/>
              </w:rPr>
            </w:pPr>
          </w:p>
        </w:tc>
        <w:tc>
          <w:tcPr>
            <w:tcW w:w="1842" w:type="dxa"/>
          </w:tcPr>
          <w:p>
            <w:pPr>
              <w:autoSpaceDE w:val="0"/>
              <w:autoSpaceDN w:val="0"/>
              <w:adjustRightInd w:val="0"/>
              <w:snapToGrid w:val="0"/>
              <w:spacing w:line="360" w:lineRule="auto"/>
              <w:jc w:val="center"/>
              <w:rPr>
                <w:color w:val="auto"/>
                <w:kern w:val="0"/>
                <w:szCs w:val="21"/>
                <w:highlight w:val="none"/>
              </w:rPr>
            </w:pPr>
          </w:p>
        </w:tc>
        <w:tc>
          <w:tcPr>
            <w:tcW w:w="1276" w:type="dxa"/>
          </w:tcPr>
          <w:p>
            <w:pPr>
              <w:autoSpaceDE w:val="0"/>
              <w:autoSpaceDN w:val="0"/>
              <w:adjustRightInd w:val="0"/>
              <w:snapToGrid w:val="0"/>
              <w:spacing w:line="360" w:lineRule="auto"/>
              <w:jc w:val="center"/>
              <w:rPr>
                <w:color w:val="auto"/>
                <w:kern w:val="0"/>
                <w:szCs w:val="21"/>
                <w:highlight w:val="none"/>
              </w:rPr>
            </w:pPr>
          </w:p>
        </w:tc>
        <w:tc>
          <w:tcPr>
            <w:tcW w:w="1163" w:type="dxa"/>
          </w:tcPr>
          <w:p>
            <w:pPr>
              <w:autoSpaceDE w:val="0"/>
              <w:autoSpaceDN w:val="0"/>
              <w:adjustRightInd w:val="0"/>
              <w:snapToGrid w:val="0"/>
              <w:spacing w:line="360" w:lineRule="auto"/>
              <w:jc w:val="center"/>
              <w:rPr>
                <w:color w:val="auto"/>
                <w:kern w:val="0"/>
                <w:szCs w:val="21"/>
                <w:highlight w:val="none"/>
              </w:rPr>
            </w:pPr>
          </w:p>
        </w:tc>
        <w:tc>
          <w:tcPr>
            <w:tcW w:w="2664" w:type="dxa"/>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5</w:t>
            </w:r>
          </w:p>
        </w:tc>
        <w:tc>
          <w:tcPr>
            <w:tcW w:w="935" w:type="dxa"/>
          </w:tcPr>
          <w:p>
            <w:pPr>
              <w:autoSpaceDE w:val="0"/>
              <w:autoSpaceDN w:val="0"/>
              <w:adjustRightInd w:val="0"/>
              <w:snapToGrid w:val="0"/>
              <w:spacing w:line="360" w:lineRule="auto"/>
              <w:jc w:val="center"/>
              <w:rPr>
                <w:color w:val="auto"/>
                <w:kern w:val="0"/>
                <w:szCs w:val="21"/>
                <w:highlight w:val="none"/>
              </w:rPr>
            </w:pPr>
          </w:p>
        </w:tc>
        <w:tc>
          <w:tcPr>
            <w:tcW w:w="709" w:type="dxa"/>
          </w:tcPr>
          <w:p>
            <w:pPr>
              <w:autoSpaceDE w:val="0"/>
              <w:autoSpaceDN w:val="0"/>
              <w:adjustRightInd w:val="0"/>
              <w:snapToGrid w:val="0"/>
              <w:spacing w:line="360" w:lineRule="auto"/>
              <w:jc w:val="center"/>
              <w:rPr>
                <w:color w:val="auto"/>
                <w:kern w:val="0"/>
                <w:szCs w:val="21"/>
                <w:highlight w:val="none"/>
              </w:rPr>
            </w:pPr>
          </w:p>
        </w:tc>
        <w:tc>
          <w:tcPr>
            <w:tcW w:w="1842" w:type="dxa"/>
          </w:tcPr>
          <w:p>
            <w:pPr>
              <w:autoSpaceDE w:val="0"/>
              <w:autoSpaceDN w:val="0"/>
              <w:adjustRightInd w:val="0"/>
              <w:snapToGrid w:val="0"/>
              <w:spacing w:line="360" w:lineRule="auto"/>
              <w:jc w:val="center"/>
              <w:rPr>
                <w:color w:val="auto"/>
                <w:kern w:val="0"/>
                <w:szCs w:val="21"/>
                <w:highlight w:val="none"/>
              </w:rPr>
            </w:pPr>
          </w:p>
        </w:tc>
        <w:tc>
          <w:tcPr>
            <w:tcW w:w="1276" w:type="dxa"/>
          </w:tcPr>
          <w:p>
            <w:pPr>
              <w:autoSpaceDE w:val="0"/>
              <w:autoSpaceDN w:val="0"/>
              <w:adjustRightInd w:val="0"/>
              <w:snapToGrid w:val="0"/>
              <w:spacing w:line="360" w:lineRule="auto"/>
              <w:jc w:val="center"/>
              <w:rPr>
                <w:color w:val="auto"/>
                <w:kern w:val="0"/>
                <w:szCs w:val="21"/>
                <w:highlight w:val="none"/>
              </w:rPr>
            </w:pPr>
          </w:p>
        </w:tc>
        <w:tc>
          <w:tcPr>
            <w:tcW w:w="1163" w:type="dxa"/>
          </w:tcPr>
          <w:p>
            <w:pPr>
              <w:autoSpaceDE w:val="0"/>
              <w:autoSpaceDN w:val="0"/>
              <w:adjustRightInd w:val="0"/>
              <w:snapToGrid w:val="0"/>
              <w:spacing w:line="360" w:lineRule="auto"/>
              <w:jc w:val="center"/>
              <w:rPr>
                <w:color w:val="auto"/>
                <w:kern w:val="0"/>
                <w:szCs w:val="21"/>
                <w:highlight w:val="none"/>
              </w:rPr>
            </w:pPr>
          </w:p>
        </w:tc>
        <w:tc>
          <w:tcPr>
            <w:tcW w:w="2664" w:type="dxa"/>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autoSpaceDE w:val="0"/>
              <w:autoSpaceDN w:val="0"/>
              <w:adjustRightInd w:val="0"/>
              <w:snapToGrid w:val="0"/>
              <w:spacing w:line="360" w:lineRule="auto"/>
              <w:jc w:val="center"/>
              <w:rPr>
                <w:color w:val="auto"/>
                <w:kern w:val="0"/>
                <w:szCs w:val="21"/>
                <w:highlight w:val="none"/>
              </w:rPr>
            </w:pPr>
            <w:r>
              <w:rPr>
                <w:rFonts w:hint="eastAsia"/>
                <w:color w:val="auto"/>
                <w:kern w:val="0"/>
                <w:szCs w:val="21"/>
                <w:highlight w:val="none"/>
              </w:rPr>
              <w:t>6</w:t>
            </w:r>
          </w:p>
        </w:tc>
        <w:tc>
          <w:tcPr>
            <w:tcW w:w="935" w:type="dxa"/>
          </w:tcPr>
          <w:p>
            <w:pPr>
              <w:autoSpaceDE w:val="0"/>
              <w:autoSpaceDN w:val="0"/>
              <w:adjustRightInd w:val="0"/>
              <w:snapToGrid w:val="0"/>
              <w:spacing w:line="360" w:lineRule="auto"/>
              <w:jc w:val="center"/>
              <w:rPr>
                <w:color w:val="auto"/>
                <w:kern w:val="0"/>
                <w:szCs w:val="21"/>
                <w:highlight w:val="none"/>
              </w:rPr>
            </w:pPr>
          </w:p>
        </w:tc>
        <w:tc>
          <w:tcPr>
            <w:tcW w:w="709" w:type="dxa"/>
          </w:tcPr>
          <w:p>
            <w:pPr>
              <w:autoSpaceDE w:val="0"/>
              <w:autoSpaceDN w:val="0"/>
              <w:adjustRightInd w:val="0"/>
              <w:snapToGrid w:val="0"/>
              <w:spacing w:line="360" w:lineRule="auto"/>
              <w:jc w:val="center"/>
              <w:rPr>
                <w:color w:val="auto"/>
                <w:kern w:val="0"/>
                <w:szCs w:val="21"/>
                <w:highlight w:val="none"/>
              </w:rPr>
            </w:pPr>
          </w:p>
        </w:tc>
        <w:tc>
          <w:tcPr>
            <w:tcW w:w="1842" w:type="dxa"/>
          </w:tcPr>
          <w:p>
            <w:pPr>
              <w:autoSpaceDE w:val="0"/>
              <w:autoSpaceDN w:val="0"/>
              <w:adjustRightInd w:val="0"/>
              <w:snapToGrid w:val="0"/>
              <w:spacing w:line="360" w:lineRule="auto"/>
              <w:jc w:val="center"/>
              <w:rPr>
                <w:color w:val="auto"/>
                <w:kern w:val="0"/>
                <w:szCs w:val="21"/>
                <w:highlight w:val="none"/>
              </w:rPr>
            </w:pPr>
          </w:p>
        </w:tc>
        <w:tc>
          <w:tcPr>
            <w:tcW w:w="1276" w:type="dxa"/>
          </w:tcPr>
          <w:p>
            <w:pPr>
              <w:autoSpaceDE w:val="0"/>
              <w:autoSpaceDN w:val="0"/>
              <w:adjustRightInd w:val="0"/>
              <w:snapToGrid w:val="0"/>
              <w:spacing w:line="360" w:lineRule="auto"/>
              <w:jc w:val="center"/>
              <w:rPr>
                <w:color w:val="auto"/>
                <w:kern w:val="0"/>
                <w:szCs w:val="21"/>
                <w:highlight w:val="none"/>
              </w:rPr>
            </w:pPr>
          </w:p>
        </w:tc>
        <w:tc>
          <w:tcPr>
            <w:tcW w:w="1163" w:type="dxa"/>
          </w:tcPr>
          <w:p>
            <w:pPr>
              <w:autoSpaceDE w:val="0"/>
              <w:autoSpaceDN w:val="0"/>
              <w:adjustRightInd w:val="0"/>
              <w:snapToGrid w:val="0"/>
              <w:spacing w:line="360" w:lineRule="auto"/>
              <w:jc w:val="center"/>
              <w:rPr>
                <w:color w:val="auto"/>
                <w:kern w:val="0"/>
                <w:szCs w:val="21"/>
                <w:highlight w:val="none"/>
              </w:rPr>
            </w:pPr>
          </w:p>
        </w:tc>
        <w:tc>
          <w:tcPr>
            <w:tcW w:w="2664" w:type="dxa"/>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autoSpaceDE w:val="0"/>
              <w:autoSpaceDN w:val="0"/>
              <w:adjustRightInd w:val="0"/>
              <w:snapToGrid w:val="0"/>
              <w:spacing w:line="360" w:lineRule="auto"/>
              <w:jc w:val="center"/>
              <w:rPr>
                <w:color w:val="auto"/>
                <w:kern w:val="0"/>
                <w:szCs w:val="21"/>
                <w:highlight w:val="none"/>
              </w:rPr>
            </w:pPr>
          </w:p>
        </w:tc>
        <w:tc>
          <w:tcPr>
            <w:tcW w:w="935" w:type="dxa"/>
          </w:tcPr>
          <w:p>
            <w:pPr>
              <w:autoSpaceDE w:val="0"/>
              <w:autoSpaceDN w:val="0"/>
              <w:adjustRightInd w:val="0"/>
              <w:snapToGrid w:val="0"/>
              <w:spacing w:line="360" w:lineRule="auto"/>
              <w:jc w:val="center"/>
              <w:rPr>
                <w:color w:val="auto"/>
                <w:kern w:val="0"/>
                <w:szCs w:val="21"/>
                <w:highlight w:val="none"/>
              </w:rPr>
            </w:pPr>
          </w:p>
        </w:tc>
        <w:tc>
          <w:tcPr>
            <w:tcW w:w="709" w:type="dxa"/>
          </w:tcPr>
          <w:p>
            <w:pPr>
              <w:autoSpaceDE w:val="0"/>
              <w:autoSpaceDN w:val="0"/>
              <w:adjustRightInd w:val="0"/>
              <w:snapToGrid w:val="0"/>
              <w:spacing w:line="360" w:lineRule="auto"/>
              <w:jc w:val="center"/>
              <w:rPr>
                <w:color w:val="auto"/>
                <w:kern w:val="0"/>
                <w:szCs w:val="21"/>
                <w:highlight w:val="none"/>
              </w:rPr>
            </w:pPr>
          </w:p>
        </w:tc>
        <w:tc>
          <w:tcPr>
            <w:tcW w:w="1842" w:type="dxa"/>
          </w:tcPr>
          <w:p>
            <w:pPr>
              <w:autoSpaceDE w:val="0"/>
              <w:autoSpaceDN w:val="0"/>
              <w:adjustRightInd w:val="0"/>
              <w:snapToGrid w:val="0"/>
              <w:spacing w:line="360" w:lineRule="auto"/>
              <w:jc w:val="center"/>
              <w:rPr>
                <w:color w:val="auto"/>
                <w:kern w:val="0"/>
                <w:szCs w:val="21"/>
                <w:highlight w:val="none"/>
              </w:rPr>
            </w:pPr>
          </w:p>
        </w:tc>
        <w:tc>
          <w:tcPr>
            <w:tcW w:w="1276" w:type="dxa"/>
          </w:tcPr>
          <w:p>
            <w:pPr>
              <w:autoSpaceDE w:val="0"/>
              <w:autoSpaceDN w:val="0"/>
              <w:adjustRightInd w:val="0"/>
              <w:snapToGrid w:val="0"/>
              <w:spacing w:line="360" w:lineRule="auto"/>
              <w:jc w:val="center"/>
              <w:rPr>
                <w:color w:val="auto"/>
                <w:kern w:val="0"/>
                <w:szCs w:val="21"/>
                <w:highlight w:val="none"/>
              </w:rPr>
            </w:pPr>
          </w:p>
        </w:tc>
        <w:tc>
          <w:tcPr>
            <w:tcW w:w="1163" w:type="dxa"/>
          </w:tcPr>
          <w:p>
            <w:pPr>
              <w:autoSpaceDE w:val="0"/>
              <w:autoSpaceDN w:val="0"/>
              <w:adjustRightInd w:val="0"/>
              <w:snapToGrid w:val="0"/>
              <w:spacing w:line="360" w:lineRule="auto"/>
              <w:jc w:val="center"/>
              <w:rPr>
                <w:color w:val="auto"/>
                <w:kern w:val="0"/>
                <w:szCs w:val="21"/>
                <w:highlight w:val="none"/>
              </w:rPr>
            </w:pPr>
          </w:p>
        </w:tc>
        <w:tc>
          <w:tcPr>
            <w:tcW w:w="2664" w:type="dxa"/>
          </w:tcPr>
          <w:p>
            <w:pPr>
              <w:autoSpaceDE w:val="0"/>
              <w:autoSpaceDN w:val="0"/>
              <w:adjustRightInd w:val="0"/>
              <w:snapToGrid w:val="0"/>
              <w:spacing w:line="360" w:lineRule="auto"/>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autoSpaceDE w:val="0"/>
              <w:autoSpaceDN w:val="0"/>
              <w:adjustRightInd w:val="0"/>
              <w:snapToGrid w:val="0"/>
              <w:spacing w:line="360" w:lineRule="auto"/>
              <w:jc w:val="center"/>
              <w:rPr>
                <w:color w:val="auto"/>
                <w:kern w:val="0"/>
                <w:szCs w:val="21"/>
                <w:highlight w:val="none"/>
              </w:rPr>
            </w:pPr>
          </w:p>
        </w:tc>
        <w:tc>
          <w:tcPr>
            <w:tcW w:w="935" w:type="dxa"/>
          </w:tcPr>
          <w:p>
            <w:pPr>
              <w:autoSpaceDE w:val="0"/>
              <w:autoSpaceDN w:val="0"/>
              <w:adjustRightInd w:val="0"/>
              <w:snapToGrid w:val="0"/>
              <w:spacing w:line="360" w:lineRule="auto"/>
              <w:jc w:val="center"/>
              <w:rPr>
                <w:color w:val="auto"/>
                <w:kern w:val="0"/>
                <w:szCs w:val="21"/>
                <w:highlight w:val="none"/>
              </w:rPr>
            </w:pPr>
          </w:p>
        </w:tc>
        <w:tc>
          <w:tcPr>
            <w:tcW w:w="709" w:type="dxa"/>
          </w:tcPr>
          <w:p>
            <w:pPr>
              <w:autoSpaceDE w:val="0"/>
              <w:autoSpaceDN w:val="0"/>
              <w:adjustRightInd w:val="0"/>
              <w:snapToGrid w:val="0"/>
              <w:spacing w:line="360" w:lineRule="auto"/>
              <w:jc w:val="center"/>
              <w:rPr>
                <w:color w:val="auto"/>
                <w:kern w:val="0"/>
                <w:szCs w:val="21"/>
                <w:highlight w:val="none"/>
              </w:rPr>
            </w:pPr>
          </w:p>
        </w:tc>
        <w:tc>
          <w:tcPr>
            <w:tcW w:w="1842" w:type="dxa"/>
          </w:tcPr>
          <w:p>
            <w:pPr>
              <w:autoSpaceDE w:val="0"/>
              <w:autoSpaceDN w:val="0"/>
              <w:adjustRightInd w:val="0"/>
              <w:snapToGrid w:val="0"/>
              <w:spacing w:line="360" w:lineRule="auto"/>
              <w:jc w:val="center"/>
              <w:rPr>
                <w:color w:val="auto"/>
                <w:kern w:val="0"/>
                <w:szCs w:val="21"/>
                <w:highlight w:val="none"/>
              </w:rPr>
            </w:pPr>
          </w:p>
        </w:tc>
        <w:tc>
          <w:tcPr>
            <w:tcW w:w="1276" w:type="dxa"/>
          </w:tcPr>
          <w:p>
            <w:pPr>
              <w:autoSpaceDE w:val="0"/>
              <w:autoSpaceDN w:val="0"/>
              <w:adjustRightInd w:val="0"/>
              <w:snapToGrid w:val="0"/>
              <w:spacing w:line="360" w:lineRule="auto"/>
              <w:jc w:val="center"/>
              <w:rPr>
                <w:color w:val="auto"/>
                <w:kern w:val="0"/>
                <w:szCs w:val="21"/>
                <w:highlight w:val="none"/>
              </w:rPr>
            </w:pPr>
          </w:p>
        </w:tc>
        <w:tc>
          <w:tcPr>
            <w:tcW w:w="1163" w:type="dxa"/>
          </w:tcPr>
          <w:p>
            <w:pPr>
              <w:autoSpaceDE w:val="0"/>
              <w:autoSpaceDN w:val="0"/>
              <w:adjustRightInd w:val="0"/>
              <w:snapToGrid w:val="0"/>
              <w:spacing w:line="360" w:lineRule="auto"/>
              <w:jc w:val="center"/>
              <w:rPr>
                <w:color w:val="auto"/>
                <w:kern w:val="0"/>
                <w:szCs w:val="21"/>
                <w:highlight w:val="none"/>
              </w:rPr>
            </w:pPr>
          </w:p>
        </w:tc>
        <w:tc>
          <w:tcPr>
            <w:tcW w:w="2664" w:type="dxa"/>
          </w:tcPr>
          <w:p>
            <w:pPr>
              <w:autoSpaceDE w:val="0"/>
              <w:autoSpaceDN w:val="0"/>
              <w:adjustRightInd w:val="0"/>
              <w:snapToGrid w:val="0"/>
              <w:spacing w:line="360" w:lineRule="auto"/>
              <w:jc w:val="center"/>
              <w:rPr>
                <w:color w:val="auto"/>
                <w:kern w:val="0"/>
                <w:szCs w:val="21"/>
                <w:highlight w:val="none"/>
              </w:rPr>
            </w:pPr>
          </w:p>
        </w:tc>
      </w:tr>
    </w:tbl>
    <w:p>
      <w:pPr>
        <w:pStyle w:val="19"/>
        <w:tabs>
          <w:tab w:val="left" w:pos="5580"/>
        </w:tabs>
        <w:spacing w:line="600" w:lineRule="exact"/>
        <w:rPr>
          <w:rFonts w:hAnsi="宋体" w:cs="宋体"/>
          <w:b/>
          <w:color w:val="auto"/>
          <w:sz w:val="21"/>
          <w:szCs w:val="21"/>
          <w:highlight w:val="none"/>
        </w:rPr>
      </w:pPr>
    </w:p>
    <w:p>
      <w:pPr>
        <w:rPr>
          <w:rFonts w:ascii="宋体" w:hAnsi="宋体" w:cs="宋体"/>
          <w:b/>
          <w:color w:val="auto"/>
          <w:kern w:val="0"/>
          <w:sz w:val="28"/>
          <w:szCs w:val="28"/>
          <w:highlight w:val="none"/>
        </w:rPr>
      </w:pPr>
      <w:bookmarkStart w:id="179" w:name="_Toc115881335"/>
      <w:bookmarkStart w:id="180" w:name="_Toc108881193"/>
      <w:bookmarkStart w:id="181" w:name="_Toc20607"/>
      <w:r>
        <w:rPr>
          <w:rFonts w:hint="eastAsia" w:ascii="宋体" w:hAnsi="宋体" w:cs="宋体"/>
          <w:b/>
          <w:color w:val="auto"/>
          <w:kern w:val="0"/>
          <w:sz w:val="28"/>
          <w:szCs w:val="28"/>
          <w:highlight w:val="none"/>
        </w:rPr>
        <w:br w:type="page"/>
      </w:r>
    </w:p>
    <w:p>
      <w:pPr>
        <w:spacing w:line="696" w:lineRule="auto"/>
        <w:jc w:val="center"/>
        <w:outlineLvl w:val="1"/>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三、法定代表人授权委托书(格式）</w:t>
      </w:r>
      <w:bookmarkEnd w:id="179"/>
      <w:bookmarkEnd w:id="180"/>
      <w:bookmarkEnd w:id="181"/>
    </w:p>
    <w:p>
      <w:pPr>
        <w:pStyle w:val="12"/>
        <w:spacing w:line="600" w:lineRule="exact"/>
        <w:ind w:firstLine="422"/>
        <w:jc w:val="center"/>
        <w:rPr>
          <w:rFonts w:ascii="宋体" w:hAnsi="宋体" w:cs="宋体"/>
          <w:b/>
          <w:color w:val="auto"/>
          <w:sz w:val="21"/>
          <w:szCs w:val="21"/>
          <w:highlight w:val="none"/>
        </w:rPr>
      </w:pPr>
      <w:r>
        <w:rPr>
          <w:rFonts w:hint="eastAsia" w:ascii="宋体" w:hAnsi="宋体" w:cs="宋体"/>
          <w:b/>
          <w:color w:val="auto"/>
          <w:sz w:val="21"/>
          <w:szCs w:val="21"/>
          <w:highlight w:val="none"/>
        </w:rPr>
        <w:t>（自然人投标的无需提供）</w:t>
      </w:r>
    </w:p>
    <w:p>
      <w:pPr>
        <w:spacing w:line="6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本授权书声明：注册于</w:t>
      </w:r>
      <w:r>
        <w:rPr>
          <w:rFonts w:hint="eastAsia" w:ascii="宋体" w:hAnsi="宋体" w:cs="宋体"/>
          <w:b/>
          <w:i/>
          <w:color w:val="auto"/>
          <w:szCs w:val="21"/>
          <w:highlight w:val="none"/>
          <w:u w:val="single"/>
        </w:rPr>
        <w:t xml:space="preserve">           （地区的名称。例：江苏盐城）</w:t>
      </w:r>
      <w:r>
        <w:rPr>
          <w:rFonts w:hint="eastAsia" w:ascii="宋体" w:hAnsi="宋体" w:cs="宋体"/>
          <w:color w:val="auto"/>
          <w:szCs w:val="21"/>
          <w:highlight w:val="none"/>
        </w:rPr>
        <w:t>的</w:t>
      </w:r>
      <w:r>
        <w:rPr>
          <w:rFonts w:hint="eastAsia" w:ascii="宋体" w:hAnsi="宋体" w:cs="宋体"/>
          <w:b/>
          <w:i/>
          <w:color w:val="auto"/>
          <w:szCs w:val="21"/>
          <w:highlight w:val="none"/>
          <w:u w:val="single"/>
        </w:rPr>
        <w:t xml:space="preserve">           （投标人）</w:t>
      </w:r>
      <w:r>
        <w:rPr>
          <w:rFonts w:hint="eastAsia" w:ascii="宋体" w:hAnsi="宋体" w:cs="宋体"/>
          <w:color w:val="auto"/>
          <w:szCs w:val="21"/>
          <w:highlight w:val="none"/>
        </w:rPr>
        <w:t>的在下面签字的</w:t>
      </w:r>
      <w:r>
        <w:rPr>
          <w:rFonts w:hint="eastAsia" w:ascii="宋体" w:hAnsi="宋体" w:cs="宋体"/>
          <w:b/>
          <w:i/>
          <w:color w:val="auto"/>
          <w:szCs w:val="21"/>
          <w:highlight w:val="none"/>
          <w:u w:val="single"/>
        </w:rPr>
        <w:t xml:space="preserve">         （法人代表姓名、职务）</w:t>
      </w:r>
      <w:r>
        <w:rPr>
          <w:rFonts w:hint="eastAsia" w:ascii="宋体" w:hAnsi="宋体" w:cs="宋体"/>
          <w:color w:val="auto"/>
          <w:szCs w:val="21"/>
          <w:highlight w:val="none"/>
        </w:rPr>
        <w:t>代表我单位授权</w:t>
      </w:r>
      <w:r>
        <w:rPr>
          <w:rFonts w:hint="eastAsia" w:ascii="宋体" w:hAnsi="宋体" w:cs="宋体"/>
          <w:b/>
          <w:i/>
          <w:color w:val="auto"/>
          <w:szCs w:val="21"/>
          <w:highlight w:val="none"/>
          <w:u w:val="single"/>
        </w:rPr>
        <w:t xml:space="preserve">                   （单位名称）</w:t>
      </w:r>
      <w:r>
        <w:rPr>
          <w:rFonts w:hint="eastAsia" w:ascii="宋体" w:hAnsi="宋体" w:cs="宋体"/>
          <w:color w:val="auto"/>
          <w:szCs w:val="21"/>
          <w:highlight w:val="none"/>
        </w:rPr>
        <w:t>的在下面签字的</w:t>
      </w:r>
      <w:r>
        <w:rPr>
          <w:rFonts w:hint="eastAsia" w:ascii="宋体" w:hAnsi="宋体" w:cs="宋体"/>
          <w:b/>
          <w:i/>
          <w:color w:val="auto"/>
          <w:szCs w:val="21"/>
          <w:highlight w:val="none"/>
          <w:u w:val="single"/>
        </w:rPr>
        <w:t xml:space="preserve">                （被授权人的姓名、职务）</w:t>
      </w:r>
      <w:r>
        <w:rPr>
          <w:rFonts w:hint="eastAsia" w:ascii="宋体" w:hAnsi="宋体" w:cs="宋体"/>
          <w:color w:val="auto"/>
          <w:szCs w:val="21"/>
          <w:highlight w:val="none"/>
        </w:rPr>
        <w:t>为我单位的合法代理人（授权代表），就</w:t>
      </w:r>
      <w:r>
        <w:rPr>
          <w:rFonts w:hint="eastAsia" w:ascii="宋体" w:hAnsi="宋体" w:cs="宋体"/>
          <w:b/>
          <w:i/>
          <w:color w:val="auto"/>
          <w:szCs w:val="21"/>
          <w:highlight w:val="none"/>
          <w:u w:val="single"/>
        </w:rPr>
        <w:t xml:space="preserve">             （项目名称）</w:t>
      </w:r>
      <w:r>
        <w:rPr>
          <w:rFonts w:hint="eastAsia" w:ascii="宋体" w:hAnsi="宋体" w:cs="宋体"/>
          <w:color w:val="auto"/>
          <w:szCs w:val="21"/>
          <w:highlight w:val="none"/>
        </w:rPr>
        <w:t>的投标（响应），以我单位名义处理一切与之有关的事务。</w:t>
      </w:r>
    </w:p>
    <w:p>
      <w:pPr>
        <w:spacing w:line="6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xml:space="preserve">           年     月     </w:t>
      </w:r>
      <w:r>
        <w:rPr>
          <w:rFonts w:hint="eastAsia" w:ascii="宋体" w:hAnsi="宋体" w:cs="宋体"/>
          <w:color w:val="auto"/>
          <w:szCs w:val="21"/>
          <w:highlight w:val="none"/>
        </w:rPr>
        <w:t>日签字生效,特此声明。</w:t>
      </w:r>
    </w:p>
    <w:p>
      <w:pPr>
        <w:spacing w:line="6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投标人（盖单位章）：</w:t>
      </w:r>
    </w:p>
    <w:p>
      <w:pPr>
        <w:spacing w:line="6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法定代表人（签字或签章）：</w:t>
      </w:r>
    </w:p>
    <w:p>
      <w:pPr>
        <w:spacing w:line="6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委托代理人（签字或签章）：</w:t>
      </w:r>
    </w:p>
    <w:p>
      <w:pPr>
        <w:spacing w:line="6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pPr>
        <w:spacing w:line="600" w:lineRule="exact"/>
        <w:ind w:firstLine="420" w:firstLineChars="200"/>
        <w:jc w:val="center"/>
        <w:rPr>
          <w:rFonts w:ascii="宋体" w:hAnsi="宋体" w:cs="宋体"/>
          <w:color w:val="auto"/>
          <w:szCs w:val="21"/>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法定代表人有效身份证明</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委托代理人（被授权人）有效身份证明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4" w:hRule="atLeast"/>
          <w:jc w:val="center"/>
        </w:trPr>
        <w:tc>
          <w:tcPr>
            <w:tcW w:w="48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auto"/>
                <w:szCs w:val="21"/>
                <w:highlight w:val="none"/>
              </w:rPr>
            </w:pPr>
            <w:r>
              <w:rPr>
                <w:rFonts w:hint="eastAsia" w:ascii="宋体" w:hAnsi="宋体" w:cs="宋体"/>
                <w:i/>
                <w:color w:val="auto"/>
                <w:szCs w:val="21"/>
                <w:highlight w:val="none"/>
              </w:rPr>
              <w:t>（身份证复印件粘贴处）</w:t>
            </w:r>
          </w:p>
          <w:p>
            <w:pPr>
              <w:jc w:val="center"/>
              <w:rPr>
                <w:rFonts w:ascii="宋体" w:hAnsi="宋体" w:cs="宋体"/>
                <w:i/>
                <w:color w:val="auto"/>
                <w:szCs w:val="21"/>
                <w:highlight w:val="none"/>
              </w:rPr>
            </w:pPr>
          </w:p>
          <w:p>
            <w:pPr>
              <w:jc w:val="center"/>
              <w:rPr>
                <w:rFonts w:ascii="宋体" w:hAnsi="宋体" w:cs="宋体"/>
                <w:i/>
                <w:color w:val="auto"/>
                <w:szCs w:val="21"/>
                <w:highlight w:val="none"/>
              </w:rPr>
            </w:pPr>
            <w:r>
              <w:rPr>
                <w:rFonts w:hint="eastAsia" w:ascii="宋体" w:hAnsi="宋体" w:cs="宋体"/>
                <w:i/>
                <w:color w:val="auto"/>
                <w:szCs w:val="21"/>
                <w:highlight w:val="none"/>
              </w:rPr>
              <w:t>（可电子粘贴）</w:t>
            </w:r>
          </w:p>
          <w:p>
            <w:pPr>
              <w:jc w:val="center"/>
              <w:rPr>
                <w:rFonts w:ascii="宋体" w:hAnsi="宋体" w:cs="宋体"/>
                <w:i/>
                <w:color w:val="auto"/>
                <w:szCs w:val="21"/>
                <w:highlight w:val="none"/>
              </w:rPr>
            </w:pPr>
          </w:p>
          <w:p>
            <w:pPr>
              <w:jc w:val="center"/>
              <w:rPr>
                <w:rFonts w:ascii="宋体" w:hAnsi="宋体" w:cs="宋体"/>
                <w:i/>
                <w:color w:val="auto"/>
                <w:szCs w:val="21"/>
                <w:highlight w:val="none"/>
              </w:rPr>
            </w:pPr>
            <w:r>
              <w:rPr>
                <w:rFonts w:hint="eastAsia" w:ascii="宋体" w:hAnsi="宋体" w:cs="宋体"/>
                <w:i/>
                <w:color w:val="auto"/>
                <w:szCs w:val="21"/>
                <w:highlight w:val="none"/>
              </w:rPr>
              <w:t>（证明材料可另页，不限于本框内）</w:t>
            </w:r>
          </w:p>
        </w:tc>
        <w:tc>
          <w:tcPr>
            <w:tcW w:w="4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i/>
                <w:color w:val="auto"/>
                <w:szCs w:val="21"/>
                <w:highlight w:val="none"/>
              </w:rPr>
            </w:pPr>
            <w:r>
              <w:rPr>
                <w:rFonts w:hint="eastAsia" w:ascii="宋体" w:hAnsi="宋体" w:cs="宋体"/>
                <w:i/>
                <w:color w:val="auto"/>
                <w:szCs w:val="21"/>
                <w:highlight w:val="none"/>
              </w:rPr>
              <w:t>（身份证复印件粘贴处）</w:t>
            </w:r>
          </w:p>
          <w:p>
            <w:pPr>
              <w:jc w:val="center"/>
              <w:rPr>
                <w:rFonts w:ascii="宋体" w:hAnsi="宋体" w:cs="宋体"/>
                <w:i/>
                <w:color w:val="auto"/>
                <w:szCs w:val="21"/>
                <w:highlight w:val="none"/>
              </w:rPr>
            </w:pPr>
          </w:p>
          <w:p>
            <w:pPr>
              <w:jc w:val="center"/>
              <w:rPr>
                <w:rFonts w:ascii="宋体" w:hAnsi="宋体" w:cs="宋体"/>
                <w:i/>
                <w:color w:val="auto"/>
                <w:szCs w:val="21"/>
                <w:highlight w:val="none"/>
              </w:rPr>
            </w:pPr>
            <w:r>
              <w:rPr>
                <w:rFonts w:hint="eastAsia" w:ascii="宋体" w:hAnsi="宋体" w:cs="宋体"/>
                <w:i/>
                <w:color w:val="auto"/>
                <w:szCs w:val="21"/>
                <w:highlight w:val="none"/>
              </w:rPr>
              <w:t>（可电子粘贴）</w:t>
            </w:r>
          </w:p>
          <w:p>
            <w:pPr>
              <w:jc w:val="center"/>
              <w:rPr>
                <w:rFonts w:ascii="宋体" w:hAnsi="宋体" w:cs="宋体"/>
                <w:i/>
                <w:color w:val="auto"/>
                <w:szCs w:val="21"/>
                <w:highlight w:val="none"/>
              </w:rPr>
            </w:pPr>
          </w:p>
          <w:p>
            <w:pPr>
              <w:jc w:val="center"/>
              <w:rPr>
                <w:rFonts w:ascii="宋体" w:hAnsi="宋体" w:cs="宋体"/>
                <w:i/>
                <w:color w:val="auto"/>
                <w:szCs w:val="21"/>
                <w:highlight w:val="none"/>
              </w:rPr>
            </w:pPr>
            <w:r>
              <w:rPr>
                <w:rFonts w:hint="eastAsia" w:ascii="宋体" w:hAnsi="宋体" w:cs="宋体"/>
                <w:i/>
                <w:color w:val="auto"/>
                <w:szCs w:val="21"/>
                <w:highlight w:val="none"/>
              </w:rPr>
              <w:t>（证明材料可另页，不限于本框内）</w:t>
            </w:r>
          </w:p>
        </w:tc>
      </w:tr>
    </w:tbl>
    <w:p>
      <w:pPr>
        <w:pStyle w:val="12"/>
        <w:spacing w:line="600" w:lineRule="exact"/>
        <w:ind w:firstLine="422"/>
        <w:jc w:val="center"/>
        <w:rPr>
          <w:rFonts w:ascii="宋体" w:hAnsi="宋体" w:cs="宋体"/>
          <w:b/>
          <w:i/>
          <w:color w:val="auto"/>
          <w:sz w:val="21"/>
          <w:szCs w:val="21"/>
          <w:highlight w:val="none"/>
          <w:u w:val="single"/>
        </w:rPr>
      </w:pPr>
      <w:r>
        <w:rPr>
          <w:rFonts w:hint="eastAsia" w:ascii="宋体" w:hAnsi="宋体" w:cs="宋体"/>
          <w:b/>
          <w:color w:val="auto"/>
          <w:sz w:val="21"/>
          <w:szCs w:val="21"/>
          <w:highlight w:val="none"/>
          <w:u w:val="single"/>
        </w:rPr>
        <w:t>（备注：如投标人组成联合体参加投标，则联合体各方均须加盖公章）</w:t>
      </w:r>
    </w:p>
    <w:p>
      <w:pPr>
        <w:pStyle w:val="25"/>
        <w:rPr>
          <w:rFonts w:ascii="宋体" w:hAnsi="宋体" w:cs="宋体"/>
          <w:color w:val="auto"/>
          <w:sz w:val="21"/>
          <w:szCs w:val="21"/>
          <w:highlight w:val="none"/>
        </w:rPr>
      </w:pPr>
    </w:p>
    <w:p>
      <w:pPr>
        <w:pStyle w:val="25"/>
        <w:rPr>
          <w:rFonts w:ascii="宋体" w:hAnsi="宋体" w:cs="宋体"/>
          <w:color w:val="auto"/>
          <w:sz w:val="21"/>
          <w:szCs w:val="21"/>
          <w:highlight w:val="none"/>
        </w:rPr>
      </w:pPr>
    </w:p>
    <w:p>
      <w:pPr>
        <w:pStyle w:val="25"/>
        <w:rPr>
          <w:rFonts w:ascii="宋体" w:hAnsi="宋体" w:cs="宋体"/>
          <w:color w:val="auto"/>
          <w:sz w:val="21"/>
          <w:szCs w:val="21"/>
          <w:highlight w:val="none"/>
        </w:rPr>
      </w:pPr>
    </w:p>
    <w:p>
      <w:pPr>
        <w:pStyle w:val="25"/>
        <w:rPr>
          <w:rFonts w:ascii="宋体" w:hAnsi="宋体" w:cs="宋体"/>
          <w:color w:val="auto"/>
          <w:sz w:val="21"/>
          <w:szCs w:val="21"/>
          <w:highlight w:val="none"/>
        </w:rPr>
      </w:pPr>
      <w:bookmarkStart w:id="182" w:name="_Toc115881336"/>
      <w:bookmarkStart w:id="183" w:name="_Toc108881194"/>
    </w:p>
    <w:p>
      <w:pPr>
        <w:spacing w:line="696" w:lineRule="auto"/>
        <w:jc w:val="center"/>
        <w:outlineLvl w:val="1"/>
        <w:rPr>
          <w:rFonts w:ascii="宋体" w:hAnsi="宋体" w:cs="宋体"/>
          <w:color w:val="auto"/>
          <w:szCs w:val="21"/>
          <w:highlight w:val="none"/>
        </w:rPr>
      </w:pPr>
      <w:bookmarkStart w:id="184" w:name="_Toc16030"/>
      <w:r>
        <w:rPr>
          <w:rFonts w:hint="eastAsia" w:ascii="宋体" w:hAnsi="宋体" w:cs="宋体"/>
          <w:b/>
          <w:color w:val="auto"/>
          <w:kern w:val="0"/>
          <w:sz w:val="28"/>
          <w:szCs w:val="28"/>
          <w:highlight w:val="none"/>
        </w:rPr>
        <w:t>四、投标书（格式）</w:t>
      </w:r>
      <w:bookmarkEnd w:id="182"/>
      <w:bookmarkEnd w:id="183"/>
      <w:bookmarkEnd w:id="184"/>
    </w:p>
    <w:p>
      <w:pPr>
        <w:spacing w:line="360" w:lineRule="auto"/>
        <w:rPr>
          <w:rFonts w:ascii="宋体" w:hAnsi="宋体" w:cs="宋体"/>
          <w:b/>
          <w:color w:val="auto"/>
          <w:szCs w:val="21"/>
          <w:highlight w:val="none"/>
          <w:u w:val="single"/>
        </w:rPr>
      </w:pPr>
      <w:r>
        <w:rPr>
          <w:rFonts w:hint="eastAsia" w:ascii="宋体" w:hAnsi="宋体" w:cs="宋体"/>
          <w:b/>
          <w:color w:val="auto"/>
          <w:szCs w:val="21"/>
          <w:highlight w:val="none"/>
          <w:u w:val="single"/>
        </w:rPr>
        <w:t xml:space="preserve">致：    </w:t>
      </w:r>
      <w:r>
        <w:rPr>
          <w:rFonts w:hint="eastAsia" w:ascii="宋体" w:hAnsi="宋体" w:cs="宋体"/>
          <w:b/>
          <w:i/>
          <w:color w:val="auto"/>
          <w:szCs w:val="21"/>
          <w:highlight w:val="none"/>
          <w:u w:val="single"/>
        </w:rPr>
        <w:t>(</w:t>
      </w:r>
      <w:r>
        <w:rPr>
          <w:rFonts w:hint="eastAsia" w:ascii="宋体" w:hAnsi="宋体" w:cs="宋体"/>
          <w:b/>
          <w:i/>
          <w:color w:val="auto"/>
          <w:kern w:val="0"/>
          <w:szCs w:val="21"/>
          <w:highlight w:val="none"/>
          <w:u w:val="single"/>
        </w:rPr>
        <w:t>采购人或携手阳光公司的名称</w:t>
      </w:r>
      <w:r>
        <w:rPr>
          <w:rFonts w:hint="eastAsia" w:ascii="宋体" w:hAnsi="宋体" w:cs="宋体"/>
          <w:b/>
          <w:i/>
          <w:color w:val="auto"/>
          <w:szCs w:val="21"/>
          <w:highlight w:val="none"/>
          <w:u w:val="single"/>
        </w:rPr>
        <w:t>)</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根据贵方</w:t>
      </w:r>
      <w:r>
        <w:rPr>
          <w:rFonts w:hint="eastAsia" w:hAnsi="宋体" w:cs="宋体"/>
          <w:b/>
          <w:i/>
          <w:color w:val="auto"/>
          <w:sz w:val="21"/>
          <w:szCs w:val="21"/>
          <w:highlight w:val="none"/>
          <w:u w:val="single"/>
        </w:rPr>
        <w:t xml:space="preserve"> (项目名称)</w:t>
      </w:r>
      <w:r>
        <w:rPr>
          <w:rFonts w:hint="eastAsia" w:hAnsi="宋体" w:cs="宋体"/>
          <w:color w:val="auto"/>
          <w:sz w:val="21"/>
          <w:szCs w:val="21"/>
          <w:highlight w:val="none"/>
        </w:rPr>
        <w:t>项目的投标邀请</w:t>
      </w:r>
      <w:r>
        <w:rPr>
          <w:rFonts w:hint="eastAsia" w:hAnsi="宋体" w:cs="宋体"/>
          <w:b/>
          <w:i/>
          <w:color w:val="auto"/>
          <w:sz w:val="21"/>
          <w:szCs w:val="21"/>
          <w:highlight w:val="none"/>
          <w:u w:val="single"/>
        </w:rPr>
        <w:t>(采购编号)</w:t>
      </w:r>
      <w:r>
        <w:rPr>
          <w:rFonts w:hint="eastAsia" w:hAnsi="宋体" w:cs="宋体"/>
          <w:color w:val="auto"/>
          <w:sz w:val="21"/>
          <w:szCs w:val="21"/>
          <w:highlight w:val="none"/>
        </w:rPr>
        <w:t>,签字代表</w:t>
      </w:r>
      <w:r>
        <w:rPr>
          <w:rFonts w:hint="eastAsia" w:hAnsi="宋体" w:cs="宋体"/>
          <w:b/>
          <w:i/>
          <w:color w:val="auto"/>
          <w:sz w:val="21"/>
          <w:szCs w:val="21"/>
          <w:highlight w:val="none"/>
          <w:u w:val="single"/>
        </w:rPr>
        <w:t>(姓名、职务)</w:t>
      </w:r>
      <w:r>
        <w:rPr>
          <w:rFonts w:hint="eastAsia" w:hAnsi="宋体" w:cs="宋体"/>
          <w:color w:val="auto"/>
          <w:sz w:val="21"/>
          <w:szCs w:val="21"/>
          <w:highlight w:val="none"/>
        </w:rPr>
        <w:t>经正式授权并代表投标人</w:t>
      </w:r>
      <w:r>
        <w:rPr>
          <w:rFonts w:hint="eastAsia" w:hAnsi="宋体" w:cs="宋体"/>
          <w:b/>
          <w:i/>
          <w:color w:val="auto"/>
          <w:sz w:val="21"/>
          <w:szCs w:val="21"/>
          <w:highlight w:val="none"/>
          <w:u w:val="single"/>
        </w:rPr>
        <w:t>（投标人名称）</w:t>
      </w:r>
      <w:r>
        <w:rPr>
          <w:rFonts w:hint="eastAsia" w:hAnsi="宋体" w:cs="宋体"/>
          <w:color w:val="auto"/>
          <w:sz w:val="21"/>
          <w:szCs w:val="21"/>
          <w:highlight w:val="none"/>
        </w:rPr>
        <w:t>提交下述文件正本</w:t>
      </w:r>
      <w:r>
        <w:rPr>
          <w:rFonts w:hint="eastAsia" w:hAnsi="宋体" w:cs="宋体"/>
          <w:b/>
          <w:color w:val="auto"/>
          <w:sz w:val="21"/>
          <w:szCs w:val="21"/>
          <w:highlight w:val="none"/>
          <w:u w:val="single"/>
        </w:rPr>
        <w:t>1</w:t>
      </w:r>
      <w:r>
        <w:rPr>
          <w:rFonts w:hint="eastAsia" w:hAnsi="宋体" w:cs="宋体"/>
          <w:color w:val="auto"/>
          <w:sz w:val="21"/>
          <w:szCs w:val="21"/>
          <w:highlight w:val="none"/>
        </w:rPr>
        <w:t>份、副本4</w:t>
      </w:r>
      <w:r>
        <w:rPr>
          <w:rFonts w:hint="eastAsia" w:hAnsi="宋体" w:cs="宋体"/>
          <w:b/>
          <w:color w:val="auto"/>
          <w:sz w:val="21"/>
          <w:szCs w:val="21"/>
          <w:highlight w:val="none"/>
        </w:rPr>
        <w:t>份</w:t>
      </w:r>
      <w:r>
        <w:rPr>
          <w:rFonts w:hint="eastAsia" w:hAnsi="宋体" w:cs="宋体"/>
          <w:color w:val="auto"/>
          <w:sz w:val="21"/>
          <w:szCs w:val="21"/>
          <w:highlight w:val="none"/>
        </w:rPr>
        <w:t>。</w:t>
      </w:r>
    </w:p>
    <w:p>
      <w:pPr>
        <w:pStyle w:val="19"/>
        <w:tabs>
          <w:tab w:val="left" w:pos="5580"/>
        </w:tabs>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据此，签字代表宣布同意如下：</w:t>
      </w:r>
    </w:p>
    <w:p>
      <w:pPr>
        <w:pStyle w:val="19"/>
        <w:tabs>
          <w:tab w:val="left" w:pos="5580"/>
        </w:tabs>
        <w:spacing w:line="360" w:lineRule="auto"/>
        <w:ind w:firstLine="420" w:firstLineChars="200"/>
        <w:rPr>
          <w:rFonts w:hAnsi="宋体" w:cs="宋体"/>
          <w:color w:val="auto"/>
          <w:spacing w:val="15"/>
          <w:sz w:val="21"/>
          <w:szCs w:val="21"/>
          <w:highlight w:val="none"/>
          <w:u w:val="single"/>
        </w:rPr>
      </w:pPr>
      <w:r>
        <w:rPr>
          <w:rFonts w:hint="eastAsia" w:hAnsi="宋体" w:cs="宋体"/>
          <w:color w:val="auto"/>
          <w:sz w:val="21"/>
          <w:szCs w:val="21"/>
          <w:highlight w:val="none"/>
        </w:rPr>
        <w:t>（1）附投标价格表中规定的应提供产品（货物、服务、工程）的投标总价详见开标一览表。</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（2）本投标有效期为自投标截止之日起</w:t>
      </w:r>
      <w:r>
        <w:rPr>
          <w:rFonts w:hint="eastAsia" w:hAnsi="宋体" w:cs="宋体"/>
          <w:color w:val="auto"/>
          <w:sz w:val="21"/>
          <w:szCs w:val="21"/>
          <w:highlight w:val="none"/>
          <w:u w:val="single"/>
        </w:rPr>
        <w:t>60</w:t>
      </w:r>
      <w:r>
        <w:rPr>
          <w:rFonts w:hint="eastAsia" w:hAnsi="宋体" w:cs="宋体"/>
          <w:color w:val="auto"/>
          <w:sz w:val="21"/>
          <w:szCs w:val="21"/>
          <w:highlight w:val="none"/>
        </w:rPr>
        <w:t>个日历日。</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（3）已详细审查全部招标文件，包括所有补充通知（如果有的话），完全理解并同意放弃对这方面有不明、误解和质疑的权力。</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（4）在规定的开标时间后，遵守招标文件中有关保证金的规定。</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（5）我方不是为本项目提供整体设计、规范编制或者项目管理、监理、检测等服务的供应商，我方不是采购代理机构的附属机构。</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（6）在领取中标通知书的同时按招标文件规定的形式，向盐城市携手阳光集中采购代理有限公司一次性支付中标服务费。</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（7）按照贵方可能要求，提供与其投标有关的一切数据或资料，完全理解贵方不一定接受最低价的投标或收到的任何投标。</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（8）按照招标文件的规定履行合同责任和义务。</w:t>
      </w:r>
    </w:p>
    <w:p>
      <w:pPr>
        <w:pStyle w:val="19"/>
        <w:tabs>
          <w:tab w:val="left" w:pos="5580"/>
        </w:tabs>
        <w:spacing w:line="360" w:lineRule="auto"/>
        <w:ind w:firstLine="422" w:firstLineChars="200"/>
        <w:rPr>
          <w:rFonts w:hAnsi="宋体" w:cs="宋体"/>
          <w:b/>
          <w:color w:val="auto"/>
          <w:sz w:val="21"/>
          <w:szCs w:val="21"/>
          <w:highlight w:val="none"/>
          <w:u w:val="single"/>
        </w:rPr>
      </w:pPr>
      <w:r>
        <w:rPr>
          <w:rFonts w:hint="eastAsia" w:hAnsi="宋体" w:cs="宋体"/>
          <w:b/>
          <w:color w:val="auto"/>
          <w:sz w:val="21"/>
          <w:szCs w:val="21"/>
          <w:highlight w:val="none"/>
          <w:u w:val="single"/>
        </w:rPr>
        <w:t>（9）评审期间，如采购人或携手阳光相关工作人员无法与我方委托代理人联系（联系</w:t>
      </w:r>
      <w:r>
        <w:rPr>
          <w:rFonts w:hint="eastAsia" w:hAnsi="宋体" w:cs="宋体"/>
          <w:b/>
          <w:i/>
          <w:color w:val="auto"/>
          <w:sz w:val="21"/>
          <w:szCs w:val="21"/>
          <w:highlight w:val="none"/>
          <w:u w:val="single"/>
        </w:rPr>
        <w:t xml:space="preserve">手机号： </w:t>
      </w:r>
      <w:r>
        <w:rPr>
          <w:rFonts w:hint="eastAsia" w:hAnsi="宋体" w:cs="宋体"/>
          <w:b/>
          <w:color w:val="auto"/>
          <w:sz w:val="21"/>
          <w:szCs w:val="21"/>
          <w:highlight w:val="none"/>
          <w:u w:val="single"/>
        </w:rPr>
        <w:t xml:space="preserve">                    ）或我方委托代理人接到通知后15分钟内未及时向评审人员进行澄清等（含未按要求提供相关证明材料等）情形的，评审人员有权视为我方放弃澄清等相关所有权益（以贵方或评审人员理解为准）。</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与本投标有关的一切正式往来信函请寄：</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地  址：</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投标人（须盖单位章）：</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法定代表人或其委托代理人(须签字或盖章)：</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电子函件或传真：</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日  期：</w:t>
      </w:r>
    </w:p>
    <w:p>
      <w:pPr>
        <w:spacing w:line="696" w:lineRule="auto"/>
        <w:jc w:val="center"/>
        <w:rPr>
          <w:rFonts w:ascii="宋体" w:hAnsi="宋体" w:cs="宋体"/>
          <w:b/>
          <w:bCs/>
          <w:color w:val="auto"/>
          <w:szCs w:val="21"/>
          <w:highlight w:val="none"/>
        </w:rPr>
      </w:pPr>
      <w:bookmarkStart w:id="185" w:name="_Toc108881195"/>
    </w:p>
    <w:p>
      <w:pPr>
        <w:spacing w:line="696" w:lineRule="auto"/>
        <w:jc w:val="center"/>
        <w:outlineLvl w:val="1"/>
        <w:rPr>
          <w:rFonts w:ascii="宋体" w:hAnsi="宋体" w:cs="宋体"/>
          <w:b/>
          <w:color w:val="auto"/>
          <w:kern w:val="0"/>
          <w:sz w:val="28"/>
          <w:szCs w:val="28"/>
          <w:highlight w:val="none"/>
        </w:rPr>
      </w:pPr>
      <w:bookmarkStart w:id="186" w:name="_Toc30393"/>
      <w:bookmarkStart w:id="187" w:name="_Toc115881337"/>
      <w:r>
        <w:rPr>
          <w:rFonts w:hint="eastAsia" w:ascii="宋体" w:hAnsi="宋体" w:cs="宋体"/>
          <w:b/>
          <w:color w:val="auto"/>
          <w:kern w:val="0"/>
          <w:sz w:val="28"/>
          <w:szCs w:val="28"/>
          <w:highlight w:val="none"/>
        </w:rPr>
        <w:t>五、盐城市政府采购事前信用承诺书（格式）</w:t>
      </w:r>
      <w:bookmarkEnd w:id="185"/>
      <w:bookmarkEnd w:id="186"/>
      <w:bookmarkEnd w:id="187"/>
    </w:p>
    <w:p>
      <w:pPr>
        <w:spacing w:line="540" w:lineRule="atLeas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为营造我市公开、公平、公正、诚实守信的政府采购交易环境，树立诚信守法的投标人形象，本人代表本单位作出以下承诺：</w:t>
      </w:r>
    </w:p>
    <w:p>
      <w:pPr>
        <w:widowControl/>
        <w:spacing w:line="540" w:lineRule="atLeast"/>
        <w:jc w:val="left"/>
        <w:rPr>
          <w:rFonts w:ascii="宋体" w:hAnsi="宋体" w:cs="宋体"/>
          <w:color w:val="auto"/>
          <w:szCs w:val="21"/>
          <w:highlight w:val="none"/>
        </w:rPr>
      </w:pPr>
      <w:r>
        <w:rPr>
          <w:rFonts w:hint="eastAsia" w:ascii="宋体" w:hAnsi="宋体" w:cs="宋体"/>
          <w:color w:val="auto"/>
          <w:szCs w:val="21"/>
          <w:highlight w:val="none"/>
        </w:rPr>
        <w:t xml:space="preserve">    （一）本单位对所提交的企（事）业单位基本信息、企（事）业负责人、项目负责人、技术负责人、从业资质和资格、业绩、财务状况、信誉等所有资料，均合法、真实、准确、有效，无任何伪造、修改、虚假成份，并对所提供资料的真实性负责；</w:t>
      </w:r>
    </w:p>
    <w:p>
      <w:pPr>
        <w:widowControl/>
        <w:spacing w:line="5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（二）本单位无涉及政府采购活动的违法、违规不良记录，我公司及相关负责人无因存在重大隐患整改不力、发生有重大社会影响生产安全事故或其他严重违法违规行为而被列入失信联合惩戒的不良记录；</w:t>
      </w:r>
    </w:p>
    <w:p>
      <w:pPr>
        <w:widowControl/>
        <w:spacing w:line="540" w:lineRule="atLeast"/>
        <w:jc w:val="left"/>
        <w:rPr>
          <w:rFonts w:ascii="宋体" w:hAnsi="宋体" w:cs="宋体"/>
          <w:color w:val="auto"/>
          <w:szCs w:val="21"/>
          <w:highlight w:val="none"/>
        </w:rPr>
      </w:pPr>
      <w:r>
        <w:rPr>
          <w:rFonts w:hint="eastAsia" w:ascii="宋体" w:hAnsi="宋体" w:cs="宋体"/>
          <w:color w:val="auto"/>
          <w:szCs w:val="21"/>
          <w:highlight w:val="none"/>
        </w:rPr>
        <w:t xml:space="preserve">   （三）严格依照国家和省、市关于政府采购的法律、法规、规章、规范性文件，参加政府采购投标活动；积极履行社会责任，促进廉政建设； </w:t>
      </w:r>
    </w:p>
    <w:p>
      <w:pPr>
        <w:widowControl/>
        <w:spacing w:line="540" w:lineRule="atLeast"/>
        <w:jc w:val="left"/>
        <w:rPr>
          <w:rFonts w:ascii="宋体" w:hAnsi="宋体" w:cs="宋体"/>
          <w:color w:val="auto"/>
          <w:szCs w:val="21"/>
          <w:highlight w:val="none"/>
        </w:rPr>
      </w:pPr>
      <w:r>
        <w:rPr>
          <w:rFonts w:hint="eastAsia" w:ascii="宋体" w:hAnsi="宋体" w:cs="宋体"/>
          <w:color w:val="auto"/>
          <w:szCs w:val="21"/>
          <w:highlight w:val="none"/>
        </w:rPr>
        <w:t>   （四）严格遵守即时信息公示规定，及时维护和更新盐城市政府采购网中与本单位相关的信息；</w:t>
      </w:r>
    </w:p>
    <w:p>
      <w:pPr>
        <w:widowControl/>
        <w:spacing w:line="540" w:lineRule="atLeast"/>
        <w:jc w:val="left"/>
        <w:rPr>
          <w:rFonts w:ascii="宋体" w:hAnsi="宋体" w:cs="宋体"/>
          <w:color w:val="auto"/>
          <w:szCs w:val="21"/>
          <w:highlight w:val="none"/>
        </w:rPr>
      </w:pPr>
      <w:r>
        <w:rPr>
          <w:rFonts w:hint="eastAsia" w:ascii="宋体" w:hAnsi="宋体" w:cs="宋体"/>
          <w:color w:val="auto"/>
          <w:szCs w:val="21"/>
          <w:highlight w:val="none"/>
        </w:rPr>
        <w:t>   （五）自我约束、自我管理，守合同、重信用，自觉维护政府采购交易的良好秩序，与参与本次政府采购活动的其他供应商不存在直接控股或管理关系，不参与围标串标、弄虚作假、骗取中标、干扰评标、违约毁约等行为；</w:t>
      </w:r>
    </w:p>
    <w:p>
      <w:pPr>
        <w:widowControl/>
        <w:spacing w:line="540" w:lineRule="atLeast"/>
        <w:jc w:val="left"/>
        <w:rPr>
          <w:rFonts w:ascii="宋体" w:hAnsi="宋体" w:cs="宋体"/>
          <w:color w:val="auto"/>
          <w:szCs w:val="21"/>
          <w:highlight w:val="none"/>
        </w:rPr>
      </w:pPr>
      <w:r>
        <w:rPr>
          <w:rFonts w:hint="eastAsia" w:ascii="宋体" w:hAnsi="宋体" w:cs="宋体"/>
          <w:color w:val="auto"/>
          <w:szCs w:val="21"/>
          <w:highlight w:val="none"/>
        </w:rPr>
        <w:t>   （六）自觉接受政府、行业组织、社会公众、新闻舆论的监督；</w:t>
      </w:r>
    </w:p>
    <w:p>
      <w:pPr>
        <w:widowControl/>
        <w:spacing w:line="540" w:lineRule="atLeas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widowControl/>
        <w:spacing w:line="540" w:lineRule="atLeast"/>
        <w:jc w:val="left"/>
        <w:rPr>
          <w:rFonts w:ascii="宋体" w:hAnsi="宋体" w:cs="宋体"/>
          <w:color w:val="auto"/>
          <w:szCs w:val="21"/>
          <w:highlight w:val="none"/>
        </w:rPr>
      </w:pPr>
      <w:r>
        <w:rPr>
          <w:rFonts w:hint="eastAsia" w:ascii="宋体" w:hAnsi="宋体" w:cs="宋体"/>
          <w:color w:val="auto"/>
          <w:szCs w:val="21"/>
          <w:highlight w:val="none"/>
        </w:rPr>
        <w:t>   （八）本人已认真阅读了上述承诺，并向本单位员工作了宣传教育。</w:t>
      </w:r>
    </w:p>
    <w:p>
      <w:pPr>
        <w:pStyle w:val="19"/>
        <w:tabs>
          <w:tab w:val="left" w:pos="5580"/>
        </w:tabs>
        <w:spacing w:line="360" w:lineRule="auto"/>
        <w:ind w:firstLine="420" w:firstLineChars="200"/>
        <w:rPr>
          <w:rFonts w:hAnsi="宋体" w:cs="宋体"/>
          <w:color w:val="auto"/>
          <w:sz w:val="21"/>
          <w:szCs w:val="21"/>
          <w:highlight w:val="none"/>
        </w:rPr>
      </w:pPr>
    </w:p>
    <w:p>
      <w:pPr>
        <w:pStyle w:val="19"/>
        <w:tabs>
          <w:tab w:val="left" w:pos="5580"/>
        </w:tabs>
        <w:spacing w:line="360" w:lineRule="auto"/>
        <w:ind w:firstLine="420" w:firstLineChars="200"/>
        <w:rPr>
          <w:rFonts w:hAnsi="宋体" w:cs="宋体"/>
          <w:color w:val="auto"/>
          <w:sz w:val="21"/>
          <w:szCs w:val="21"/>
          <w:highlight w:val="none"/>
        </w:rPr>
      </w:pP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投标人（须盖单位章）：</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法定代表人 (须签字或盖章)：</w:t>
      </w:r>
    </w:p>
    <w:p>
      <w:pPr>
        <w:pStyle w:val="19"/>
        <w:tabs>
          <w:tab w:val="left" w:pos="5580"/>
        </w:tabs>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日  期：</w:t>
      </w:r>
    </w:p>
    <w:p>
      <w:pPr>
        <w:pStyle w:val="25"/>
        <w:rPr>
          <w:rFonts w:ascii="宋体" w:hAnsi="宋体" w:cs="宋体"/>
          <w:color w:val="auto"/>
          <w:sz w:val="21"/>
          <w:szCs w:val="21"/>
          <w:highlight w:val="none"/>
        </w:rPr>
      </w:pPr>
      <w:bookmarkStart w:id="188" w:name="_Toc115881338"/>
      <w:bookmarkStart w:id="189" w:name="_Toc108881196"/>
    </w:p>
    <w:p>
      <w:pPr>
        <w:spacing w:line="696" w:lineRule="auto"/>
        <w:jc w:val="center"/>
        <w:outlineLvl w:val="1"/>
        <w:rPr>
          <w:rFonts w:hAnsi="宋体" w:cs="宋体"/>
          <w:color w:val="auto"/>
          <w:sz w:val="21"/>
          <w:szCs w:val="21"/>
          <w:highlight w:val="none"/>
        </w:rPr>
      </w:pPr>
      <w:bookmarkStart w:id="190" w:name="_Toc8626"/>
      <w:r>
        <w:rPr>
          <w:rFonts w:hint="eastAsia" w:ascii="宋体" w:hAnsi="宋体" w:cs="宋体"/>
          <w:b/>
          <w:color w:val="auto"/>
          <w:kern w:val="0"/>
          <w:sz w:val="28"/>
          <w:szCs w:val="28"/>
          <w:highlight w:val="none"/>
        </w:rPr>
        <w:t>六、投标分项报价表（格式）</w:t>
      </w:r>
      <w:bookmarkEnd w:id="188"/>
      <w:bookmarkEnd w:id="189"/>
      <w:bookmarkEnd w:id="190"/>
    </w:p>
    <w:tbl>
      <w:tblPr>
        <w:tblStyle w:val="48"/>
        <w:tblW w:w="9818"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732"/>
        <w:gridCol w:w="1285"/>
        <w:gridCol w:w="1212"/>
        <w:gridCol w:w="1259"/>
        <w:gridCol w:w="1050"/>
        <w:gridCol w:w="2354"/>
        <w:gridCol w:w="13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319" w:type="dxa"/>
            <w:gridSpan w:val="2"/>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color w:val="auto"/>
                <w:szCs w:val="21"/>
                <w:highlight w:val="none"/>
              </w:rPr>
              <w:t>项目编号</w:t>
            </w:r>
          </w:p>
        </w:tc>
        <w:tc>
          <w:tcPr>
            <w:tcW w:w="8499" w:type="dxa"/>
            <w:gridSpan w:val="6"/>
            <w:vAlign w:val="center"/>
          </w:tcPr>
          <w:p>
            <w:pPr>
              <w:autoSpaceDE w:val="0"/>
              <w:autoSpaceDN w:val="0"/>
              <w:spacing w:line="360" w:lineRule="auto"/>
              <w:jc w:val="center"/>
              <w:rPr>
                <w:rFonts w:hint="eastAsia" w:ascii="宋体" w:hAnsi="宋体" w:cs="宋体"/>
                <w:b/>
                <w:bCs/>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319" w:type="dxa"/>
            <w:gridSpan w:val="2"/>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color w:val="auto"/>
                <w:szCs w:val="21"/>
                <w:highlight w:val="none"/>
              </w:rPr>
              <w:t>项目名称</w:t>
            </w:r>
          </w:p>
        </w:tc>
        <w:tc>
          <w:tcPr>
            <w:tcW w:w="8499" w:type="dxa"/>
            <w:gridSpan w:val="6"/>
            <w:vAlign w:val="center"/>
          </w:tcPr>
          <w:p>
            <w:pPr>
              <w:autoSpaceDE w:val="0"/>
              <w:autoSpaceDN w:val="0"/>
              <w:spacing w:line="360" w:lineRule="auto"/>
              <w:jc w:val="center"/>
              <w:rPr>
                <w:rFonts w:hint="eastAsia" w:ascii="宋体" w:hAnsi="宋体" w:cs="宋体"/>
                <w:b/>
                <w:bCs/>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代号</w:t>
            </w:r>
          </w:p>
        </w:tc>
        <w:tc>
          <w:tcPr>
            <w:tcW w:w="73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车型</w:t>
            </w:r>
          </w:p>
        </w:tc>
        <w:tc>
          <w:tcPr>
            <w:tcW w:w="128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参照或相当于</w:t>
            </w:r>
          </w:p>
        </w:tc>
        <w:tc>
          <w:tcPr>
            <w:tcW w:w="121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租赁限价(元)</w:t>
            </w:r>
          </w:p>
        </w:tc>
        <w:tc>
          <w:tcPr>
            <w:tcW w:w="1259" w:type="dxa"/>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b/>
                <w:bCs/>
                <w:color w:val="auto"/>
                <w:highlight w:val="none"/>
                <w:lang w:eastAsia="en-US"/>
              </w:rPr>
              <w:t>租赁限价</w:t>
            </w:r>
            <w:r>
              <w:rPr>
                <w:rFonts w:hint="eastAsia" w:ascii="宋体" w:hAnsi="宋体" w:cs="宋体"/>
                <w:b/>
                <w:bCs/>
                <w:color w:val="auto"/>
                <w:highlight w:val="none"/>
                <w:lang w:eastAsia="zh-CN"/>
              </w:rPr>
              <w:t>下浮率</w:t>
            </w:r>
            <w:r>
              <w:rPr>
                <w:rFonts w:hint="eastAsia" w:ascii="宋体" w:hAnsi="宋体" w:cs="宋体"/>
                <w:b/>
                <w:bCs/>
                <w:color w:val="auto"/>
                <w:highlight w:val="none"/>
                <w:lang w:eastAsia="en-US"/>
              </w:rPr>
              <w:t>(</w:t>
            </w:r>
            <w:r>
              <w:rPr>
                <w:rFonts w:hint="eastAsia" w:ascii="宋体" w:hAnsi="宋体" w:cs="宋体"/>
                <w:b/>
                <w:bCs/>
                <w:color w:val="auto"/>
                <w:highlight w:val="none"/>
                <w:lang w:val="en-US" w:eastAsia="zh-CN"/>
              </w:rPr>
              <w:t>%</w:t>
            </w:r>
            <w:r>
              <w:rPr>
                <w:rFonts w:hint="eastAsia" w:ascii="宋体" w:hAnsi="宋体" w:cs="宋体"/>
                <w:b/>
                <w:bCs/>
                <w:color w:val="auto"/>
                <w:highlight w:val="none"/>
                <w:lang w:eastAsia="en-US"/>
              </w:rPr>
              <w:t>)</w:t>
            </w:r>
          </w:p>
        </w:tc>
        <w:tc>
          <w:tcPr>
            <w:tcW w:w="105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基准里程</w:t>
            </w:r>
          </w:p>
        </w:tc>
        <w:tc>
          <w:tcPr>
            <w:tcW w:w="235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超出基准里程公里费用(元)</w:t>
            </w:r>
          </w:p>
        </w:tc>
        <w:tc>
          <w:tcPr>
            <w:tcW w:w="1339" w:type="dxa"/>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b/>
                <w:bCs/>
                <w:color w:val="auto"/>
                <w:highlight w:val="none"/>
                <w:lang w:eastAsia="en-US"/>
              </w:rPr>
              <w:t>超出基准里程公里费用</w:t>
            </w:r>
            <w:r>
              <w:rPr>
                <w:rFonts w:hint="eastAsia" w:ascii="宋体" w:hAnsi="宋体" w:cs="宋体"/>
                <w:b/>
                <w:bCs/>
                <w:color w:val="auto"/>
                <w:highlight w:val="none"/>
                <w:lang w:eastAsia="zh-CN"/>
              </w:rPr>
              <w:t>下浮率</w:t>
            </w:r>
            <w:r>
              <w:rPr>
                <w:rFonts w:hint="eastAsia" w:ascii="宋体" w:hAnsi="宋体" w:cs="宋体"/>
                <w:b/>
                <w:bCs/>
                <w:color w:val="auto"/>
                <w:highlight w:val="none"/>
                <w:lang w:eastAsia="en-US"/>
              </w:rPr>
              <w:t>(</w:t>
            </w:r>
            <w:r>
              <w:rPr>
                <w:rFonts w:hint="eastAsia" w:ascii="宋体" w:hAnsi="宋体" w:cs="宋体"/>
                <w:b/>
                <w:bCs/>
                <w:color w:val="auto"/>
                <w:highlight w:val="none"/>
                <w:lang w:val="en-US" w:eastAsia="zh-CN"/>
              </w:rPr>
              <w:t>%</w:t>
            </w:r>
            <w:r>
              <w:rPr>
                <w:rFonts w:hint="eastAsia" w:ascii="宋体" w:hAnsi="宋体" w:cs="宋体"/>
                <w:b/>
                <w:bCs/>
                <w:color w:val="auto"/>
                <w:highlight w:val="none"/>
                <w:lang w:eastAsia="en-US"/>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A</w:t>
            </w:r>
          </w:p>
        </w:tc>
        <w:tc>
          <w:tcPr>
            <w:tcW w:w="73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19 座</w:t>
            </w:r>
          </w:p>
        </w:tc>
        <w:tc>
          <w:tcPr>
            <w:tcW w:w="128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考斯特</w:t>
            </w:r>
          </w:p>
        </w:tc>
        <w:tc>
          <w:tcPr>
            <w:tcW w:w="121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400元/半天</w:t>
            </w:r>
          </w:p>
        </w:tc>
        <w:tc>
          <w:tcPr>
            <w:tcW w:w="1259" w:type="dxa"/>
            <w:vMerge w:val="restart"/>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b/>
                <w:bCs/>
                <w:color w:val="auto"/>
                <w:highlight w:val="none"/>
                <w:lang w:eastAsia="zh-CN"/>
              </w:rPr>
              <w:t>下浮率</w:t>
            </w:r>
            <w:r>
              <w:rPr>
                <w:rFonts w:hint="eastAsia" w:ascii="宋体" w:hAnsi="宋体" w:cs="宋体"/>
                <w:b/>
                <w:bCs/>
                <w:color w:val="auto"/>
                <w:highlight w:val="none"/>
                <w:u w:val="single"/>
                <w:lang w:val="en-US" w:eastAsia="zh-CN"/>
              </w:rPr>
              <w:t xml:space="preserve">    </w:t>
            </w:r>
            <w:r>
              <w:rPr>
                <w:rFonts w:hint="eastAsia" w:ascii="宋体" w:hAnsi="宋体" w:cs="宋体"/>
                <w:b/>
                <w:bCs/>
                <w:color w:val="auto"/>
                <w:highlight w:val="none"/>
                <w:lang w:val="en-US" w:eastAsia="zh-CN"/>
              </w:rPr>
              <w:t>%</w:t>
            </w:r>
          </w:p>
        </w:tc>
        <w:tc>
          <w:tcPr>
            <w:tcW w:w="105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35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超过100Km，增加到4.10元/Km</w:t>
            </w:r>
          </w:p>
        </w:tc>
        <w:tc>
          <w:tcPr>
            <w:tcW w:w="1339" w:type="dxa"/>
            <w:vMerge w:val="restart"/>
            <w:vAlign w:val="center"/>
          </w:tcPr>
          <w:p>
            <w:pPr>
              <w:autoSpaceDE w:val="0"/>
              <w:autoSpaceDN w:val="0"/>
              <w:spacing w:line="360" w:lineRule="auto"/>
              <w:jc w:val="center"/>
              <w:rPr>
                <w:rFonts w:hint="eastAsia" w:ascii="宋体" w:hAnsi="宋体" w:cs="宋体"/>
                <w:color w:val="auto"/>
                <w:highlight w:val="none"/>
                <w:lang w:eastAsia="en-US"/>
              </w:rPr>
            </w:pPr>
            <w:r>
              <w:rPr>
                <w:rFonts w:hint="eastAsia" w:ascii="宋体" w:hAnsi="宋体" w:cs="宋体"/>
                <w:b/>
                <w:bCs/>
                <w:color w:val="auto"/>
                <w:highlight w:val="none"/>
                <w:lang w:eastAsia="en-US"/>
              </w:rPr>
              <w:t>超过基准里程公里，</w:t>
            </w:r>
            <w:r>
              <w:rPr>
                <w:rFonts w:hint="eastAsia" w:ascii="宋体" w:hAnsi="宋体" w:cs="宋体"/>
                <w:b/>
                <w:bCs/>
                <w:color w:val="auto"/>
                <w:highlight w:val="none"/>
                <w:lang w:eastAsia="zh-CN"/>
              </w:rPr>
              <w:t>单价下浮率</w:t>
            </w:r>
            <w:r>
              <w:rPr>
                <w:rFonts w:hint="eastAsia" w:ascii="宋体" w:hAnsi="宋体" w:cs="宋体"/>
                <w:b/>
                <w:bCs/>
                <w:color w:val="auto"/>
                <w:highlight w:val="none"/>
                <w:u w:val="single"/>
                <w:lang w:val="en-US" w:eastAsia="zh-CN"/>
              </w:rPr>
              <w:t xml:space="preserve">    </w:t>
            </w:r>
            <w:r>
              <w:rPr>
                <w:rFonts w:hint="eastAsia" w:ascii="宋体" w:hAnsi="宋体" w:cs="宋体"/>
                <w:b/>
                <w:bCs/>
                <w:color w:val="auto"/>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58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B</w:t>
            </w:r>
          </w:p>
        </w:tc>
        <w:tc>
          <w:tcPr>
            <w:tcW w:w="73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19 座</w:t>
            </w:r>
          </w:p>
        </w:tc>
        <w:tc>
          <w:tcPr>
            <w:tcW w:w="128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考斯特</w:t>
            </w:r>
          </w:p>
        </w:tc>
        <w:tc>
          <w:tcPr>
            <w:tcW w:w="121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800元/天</w:t>
            </w:r>
          </w:p>
        </w:tc>
        <w:tc>
          <w:tcPr>
            <w:tcW w:w="125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c>
          <w:tcPr>
            <w:tcW w:w="105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35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超过200Km，增加到4.10元/Km</w:t>
            </w:r>
          </w:p>
        </w:tc>
        <w:tc>
          <w:tcPr>
            <w:tcW w:w="133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58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C</w:t>
            </w:r>
          </w:p>
        </w:tc>
        <w:tc>
          <w:tcPr>
            <w:tcW w:w="73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20-35座</w:t>
            </w:r>
          </w:p>
        </w:tc>
        <w:tc>
          <w:tcPr>
            <w:tcW w:w="128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21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400元/半天</w:t>
            </w:r>
          </w:p>
        </w:tc>
        <w:tc>
          <w:tcPr>
            <w:tcW w:w="125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c>
          <w:tcPr>
            <w:tcW w:w="105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35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超过100Km，增加到4.30元/Km</w:t>
            </w:r>
          </w:p>
        </w:tc>
        <w:tc>
          <w:tcPr>
            <w:tcW w:w="133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58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D</w:t>
            </w:r>
          </w:p>
        </w:tc>
        <w:tc>
          <w:tcPr>
            <w:tcW w:w="73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20-35座</w:t>
            </w:r>
          </w:p>
        </w:tc>
        <w:tc>
          <w:tcPr>
            <w:tcW w:w="128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21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800元/天</w:t>
            </w:r>
          </w:p>
        </w:tc>
        <w:tc>
          <w:tcPr>
            <w:tcW w:w="125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c>
          <w:tcPr>
            <w:tcW w:w="105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35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超过200Km，增加到4.30元/Km</w:t>
            </w:r>
          </w:p>
        </w:tc>
        <w:tc>
          <w:tcPr>
            <w:tcW w:w="133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58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E</w:t>
            </w:r>
          </w:p>
        </w:tc>
        <w:tc>
          <w:tcPr>
            <w:tcW w:w="73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36-45座</w:t>
            </w:r>
          </w:p>
        </w:tc>
        <w:tc>
          <w:tcPr>
            <w:tcW w:w="128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21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450元/半天</w:t>
            </w:r>
          </w:p>
        </w:tc>
        <w:tc>
          <w:tcPr>
            <w:tcW w:w="125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c>
          <w:tcPr>
            <w:tcW w:w="105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35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超过100Km，增加到4.70元/Km</w:t>
            </w:r>
          </w:p>
        </w:tc>
        <w:tc>
          <w:tcPr>
            <w:tcW w:w="133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58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F</w:t>
            </w:r>
          </w:p>
        </w:tc>
        <w:tc>
          <w:tcPr>
            <w:tcW w:w="73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36-45座</w:t>
            </w:r>
          </w:p>
        </w:tc>
        <w:tc>
          <w:tcPr>
            <w:tcW w:w="128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21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900元/天</w:t>
            </w:r>
          </w:p>
        </w:tc>
        <w:tc>
          <w:tcPr>
            <w:tcW w:w="125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c>
          <w:tcPr>
            <w:tcW w:w="105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35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超过200Km，增加到4.70元/Km</w:t>
            </w:r>
          </w:p>
        </w:tc>
        <w:tc>
          <w:tcPr>
            <w:tcW w:w="133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trPr>
        <w:tc>
          <w:tcPr>
            <w:tcW w:w="58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G</w:t>
            </w:r>
          </w:p>
        </w:tc>
        <w:tc>
          <w:tcPr>
            <w:tcW w:w="73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46-55座</w:t>
            </w:r>
          </w:p>
        </w:tc>
        <w:tc>
          <w:tcPr>
            <w:tcW w:w="128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21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500元/半天</w:t>
            </w:r>
          </w:p>
        </w:tc>
        <w:tc>
          <w:tcPr>
            <w:tcW w:w="125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c>
          <w:tcPr>
            <w:tcW w:w="105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100Km</w:t>
            </w:r>
          </w:p>
        </w:tc>
        <w:tc>
          <w:tcPr>
            <w:tcW w:w="235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超过100Km，增加到5.30元/Km</w:t>
            </w:r>
          </w:p>
        </w:tc>
        <w:tc>
          <w:tcPr>
            <w:tcW w:w="133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587"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H</w:t>
            </w:r>
          </w:p>
        </w:tc>
        <w:tc>
          <w:tcPr>
            <w:tcW w:w="73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46-55座</w:t>
            </w:r>
          </w:p>
        </w:tc>
        <w:tc>
          <w:tcPr>
            <w:tcW w:w="1285"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宇  通</w:t>
            </w:r>
          </w:p>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金  龙</w:t>
            </w:r>
          </w:p>
        </w:tc>
        <w:tc>
          <w:tcPr>
            <w:tcW w:w="1212"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1000元/天</w:t>
            </w:r>
          </w:p>
        </w:tc>
        <w:tc>
          <w:tcPr>
            <w:tcW w:w="125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c>
          <w:tcPr>
            <w:tcW w:w="1050"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200Km</w:t>
            </w:r>
          </w:p>
        </w:tc>
        <w:tc>
          <w:tcPr>
            <w:tcW w:w="2354" w:type="dxa"/>
            <w:vAlign w:val="center"/>
          </w:tcPr>
          <w:p>
            <w:pPr>
              <w:autoSpaceDE w:val="0"/>
              <w:autoSpaceDN w:val="0"/>
              <w:spacing w:line="360" w:lineRule="auto"/>
              <w:jc w:val="center"/>
              <w:rPr>
                <w:rFonts w:ascii="宋体" w:hAnsi="宋体" w:cs="宋体"/>
                <w:color w:val="auto"/>
                <w:highlight w:val="none"/>
                <w:lang w:eastAsia="en-US"/>
              </w:rPr>
            </w:pPr>
            <w:r>
              <w:rPr>
                <w:rFonts w:hint="eastAsia" w:ascii="宋体" w:hAnsi="宋体" w:cs="宋体"/>
                <w:color w:val="auto"/>
                <w:highlight w:val="none"/>
                <w:lang w:eastAsia="en-US"/>
              </w:rPr>
              <w:t>超过200Km，增加到5.30元/Km</w:t>
            </w:r>
          </w:p>
        </w:tc>
        <w:tc>
          <w:tcPr>
            <w:tcW w:w="1339" w:type="dxa"/>
            <w:vMerge w:val="continue"/>
            <w:vAlign w:val="center"/>
          </w:tcPr>
          <w:p>
            <w:pPr>
              <w:autoSpaceDE w:val="0"/>
              <w:autoSpaceDN w:val="0"/>
              <w:spacing w:line="360" w:lineRule="auto"/>
              <w:jc w:val="center"/>
              <w:rPr>
                <w:rFonts w:hint="eastAsia" w:ascii="宋体" w:hAnsi="宋体" w:cs="宋体"/>
                <w:color w:val="auto"/>
                <w:highlight w:val="none"/>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818" w:type="dxa"/>
            <w:gridSpan w:val="8"/>
            <w:vAlign w:val="center"/>
          </w:tcPr>
          <w:p>
            <w:pPr>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法定代表人或其委托代理人（签字）</w:t>
            </w:r>
            <w:r>
              <w:rPr>
                <w:rFonts w:hint="eastAsia" w:ascii="宋体" w:hAnsi="宋体" w:cs="宋体"/>
                <w:color w:val="auto"/>
                <w:szCs w:val="21"/>
                <w:highlight w:val="none"/>
                <w:u w:val="single"/>
              </w:rPr>
              <w:t xml:space="preserve">：                     </w:t>
            </w:r>
          </w:p>
          <w:p>
            <w:pPr>
              <w:autoSpaceDE w:val="0"/>
              <w:autoSpaceDN w:val="0"/>
              <w:spacing w:line="360" w:lineRule="auto"/>
              <w:rPr>
                <w:rFonts w:hint="eastAsia" w:ascii="宋体" w:hAnsi="宋体" w:cs="宋体"/>
                <w:color w:val="auto"/>
                <w:highlight w:val="none"/>
                <w:lang w:eastAsia="en-US"/>
              </w:rPr>
            </w:pPr>
            <w:r>
              <w:rPr>
                <w:rFonts w:hint="eastAsia" w:ascii="宋体" w:hAnsi="宋体" w:cs="宋体"/>
                <w:color w:val="auto"/>
                <w:szCs w:val="21"/>
                <w:highlight w:val="none"/>
              </w:rPr>
              <w:t>投标人(盖单位章)</w:t>
            </w:r>
            <w:r>
              <w:rPr>
                <w:rFonts w:hint="eastAsia" w:ascii="宋体" w:hAnsi="宋体" w:cs="宋体"/>
                <w:color w:val="auto"/>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818" w:type="dxa"/>
            <w:gridSpan w:val="8"/>
            <w:vAlign w:val="center"/>
          </w:tcPr>
          <w:p>
            <w:pPr>
              <w:autoSpaceDE w:val="0"/>
              <w:autoSpaceDN w:val="0"/>
              <w:rPr>
                <w:rFonts w:hint="eastAsia" w:ascii="宋体" w:hAnsi="宋体" w:cs="宋体"/>
                <w:color w:val="auto"/>
                <w:highlight w:val="none"/>
                <w:lang w:eastAsia="en-US"/>
              </w:rPr>
            </w:pPr>
            <w:r>
              <w:rPr>
                <w:rFonts w:hint="eastAsia" w:ascii="宋体" w:hAnsi="宋体" w:cs="宋体"/>
                <w:b/>
                <w:color w:val="auto"/>
                <w:szCs w:val="21"/>
                <w:highlight w:val="none"/>
              </w:rPr>
              <w:t>注:</w:t>
            </w:r>
            <w:r>
              <w:rPr>
                <w:rFonts w:hint="eastAsia" w:ascii="宋体" w:hAnsi="宋体" w:cs="宋体"/>
                <w:color w:val="auto"/>
                <w:szCs w:val="21"/>
                <w:highlight w:val="none"/>
              </w:rPr>
              <w:t>如果本表与开标一览表（报价表）内容不一致的，以开标一览表（报价表）内容为准；</w:t>
            </w:r>
          </w:p>
        </w:tc>
      </w:tr>
    </w:tbl>
    <w:p>
      <w:pPr>
        <w:pStyle w:val="19"/>
        <w:tabs>
          <w:tab w:val="left" w:pos="5580"/>
        </w:tabs>
        <w:spacing w:line="360" w:lineRule="auto"/>
        <w:rPr>
          <w:rFonts w:hAnsi="宋体" w:cs="宋体"/>
          <w:color w:val="auto"/>
          <w:sz w:val="21"/>
          <w:szCs w:val="21"/>
          <w:highlight w:val="none"/>
        </w:rPr>
      </w:pPr>
    </w:p>
    <w:tbl>
      <w:tblPr>
        <w:tblStyle w:val="33"/>
        <w:tblpPr w:leftFromText="180" w:rightFromText="180" w:vertAnchor="text" w:horzAnchor="margin" w:tblpXSpec="center" w:tblpY="7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11"/>
        <w:gridCol w:w="3543"/>
        <w:gridCol w:w="198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1003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 w:val="28"/>
                <w:szCs w:val="28"/>
                <w:highlight w:val="none"/>
              </w:rPr>
            </w:pPr>
            <w:bookmarkStart w:id="191" w:name="_Toc115881339"/>
            <w:bookmarkStart w:id="192" w:name="_Toc22230"/>
            <w:bookmarkStart w:id="193" w:name="_Toc108881197"/>
            <w:r>
              <w:rPr>
                <w:rFonts w:hint="eastAsia" w:ascii="宋体" w:hAnsi="宋体" w:cs="宋体"/>
                <w:b/>
                <w:color w:val="auto"/>
                <w:sz w:val="28"/>
                <w:szCs w:val="28"/>
                <w:highlight w:val="none"/>
                <w:lang w:eastAsia="zh-CN"/>
              </w:rPr>
              <w:t>七</w:t>
            </w:r>
            <w:r>
              <w:rPr>
                <w:rFonts w:hint="eastAsia" w:ascii="宋体" w:hAnsi="宋体" w:cs="宋体"/>
                <w:b/>
                <w:color w:val="auto"/>
                <w:sz w:val="28"/>
                <w:szCs w:val="28"/>
                <w:highlight w:val="none"/>
              </w:rPr>
              <w:t>、</w:t>
            </w:r>
            <w:r>
              <w:rPr>
                <w:rFonts w:hint="eastAsia" w:ascii="宋体" w:hAnsi="宋体"/>
                <w:b/>
                <w:color w:val="auto"/>
                <w:sz w:val="28"/>
                <w:szCs w:val="28"/>
                <w:highlight w:val="none"/>
              </w:rPr>
              <w:t>商务要求响应情况</w:t>
            </w:r>
            <w:r>
              <w:rPr>
                <w:rFonts w:hint="eastAsia" w:ascii="宋体" w:hAnsi="宋体" w:cs="宋体"/>
                <w:b/>
                <w:color w:val="auto"/>
                <w:sz w:val="28"/>
                <w:szCs w:val="28"/>
                <w:highlight w:val="none"/>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项目编号</w:t>
            </w:r>
          </w:p>
        </w:tc>
        <w:tc>
          <w:tcPr>
            <w:tcW w:w="66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6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33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采购包号</w:t>
            </w:r>
          </w:p>
        </w:tc>
        <w:tc>
          <w:tcPr>
            <w:tcW w:w="666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s="宋体"/>
                <w:i/>
                <w:color w:val="auto"/>
                <w:szCs w:val="21"/>
                <w:highlight w:val="none"/>
              </w:rPr>
            </w:pPr>
            <w:r>
              <w:rPr>
                <w:rFonts w:hint="eastAsia" w:ascii="宋体" w:hAnsi="宋体" w:cs="宋体"/>
                <w:i/>
                <w:color w:val="auto"/>
                <w:szCs w:val="21"/>
                <w:highlight w:val="none"/>
              </w:rPr>
              <w:t>（未注明采购包号的可不填写）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商务要求</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供应商响应（承诺）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1</w:t>
            </w: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r>
              <w:rPr>
                <w:rFonts w:hint="eastAsia" w:ascii="宋体" w:hAnsi="宋体"/>
                <w:color w:val="auto"/>
                <w:highlight w:val="none"/>
              </w:rPr>
              <w:t>在采购公告规定的时间、地点向携手阳光公司领购了采购文件。</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i/>
                <w:color w:val="auto"/>
                <w:highlight w:val="none"/>
              </w:rPr>
            </w:pPr>
            <w:r>
              <w:rPr>
                <w:rFonts w:ascii="宋体" w:hAnsi="宋体"/>
                <w:i/>
                <w:color w:val="auto"/>
                <w:szCs w:val="21"/>
                <w:highlight w:val="none"/>
                <w:u w:val="single"/>
              </w:rPr>
              <w:t>满足/不满足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2</w:t>
            </w: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r>
              <w:rPr>
                <w:rFonts w:ascii="宋体" w:hAnsi="宋体"/>
                <w:color w:val="auto"/>
                <w:highlight w:val="none"/>
              </w:rPr>
              <w:t>单位负责人为同一人或者存在直接控股、管理关系的不同供应商，不得参加同一合同项下的政府采购活动</w:t>
            </w:r>
            <w:r>
              <w:rPr>
                <w:rFonts w:hint="eastAsia" w:ascii="宋体" w:hAnsi="宋体"/>
                <w:color w:val="auto"/>
                <w:highlight w:val="none"/>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ascii="宋体" w:hAnsi="宋体"/>
                <w:i/>
                <w:color w:val="auto"/>
                <w:szCs w:val="21"/>
                <w:highlight w:val="none"/>
                <w:u w:val="single"/>
              </w:rPr>
              <w:t>满足/不满足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3</w:t>
            </w: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r>
              <w:rPr>
                <w:rFonts w:hint="eastAsia" w:ascii="宋体" w:hAnsi="宋体"/>
                <w:color w:val="auto"/>
                <w:highlight w:val="none"/>
              </w:rPr>
              <w:t>供应商不得在中国政府采购网被列入政府采购严重违法失信行为记录名单，或在“信用中国”网站被列入失信被执行人、重大税收违法案件当事人名单，以及存在《政府采购法实施条例》第十九条规定的行政处罚记录。</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i/>
                <w:color w:val="auto"/>
                <w:highlight w:val="none"/>
              </w:rPr>
            </w:pPr>
            <w:r>
              <w:rPr>
                <w:rFonts w:ascii="宋体" w:hAnsi="宋体"/>
                <w:i/>
                <w:color w:val="auto"/>
                <w:szCs w:val="21"/>
                <w:highlight w:val="none"/>
                <w:u w:val="single"/>
              </w:rPr>
              <w:t>满足/不满足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4</w:t>
            </w: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r>
              <w:rPr>
                <w:rFonts w:hint="eastAsia" w:ascii="宋体" w:hAnsi="宋体"/>
                <w:color w:val="auto"/>
                <w:highlight w:val="none"/>
              </w:rPr>
              <w:t>接受采购文件约定的交付或者实施的地点</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highlight w:val="none"/>
              </w:rPr>
            </w:pPr>
            <w:r>
              <w:rPr>
                <w:rFonts w:ascii="宋体" w:hAnsi="宋体"/>
                <w:i/>
                <w:color w:val="auto"/>
                <w:szCs w:val="21"/>
                <w:highlight w:val="none"/>
                <w:u w:val="single"/>
              </w:rPr>
              <w:t>满足/不满足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5</w:t>
            </w: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r>
              <w:rPr>
                <w:rFonts w:hint="eastAsia" w:ascii="宋体" w:hAnsi="宋体"/>
                <w:color w:val="auto"/>
                <w:highlight w:val="none"/>
              </w:rPr>
              <w:t>接受采购文件约定的采购资金的支付方式、时间、条件（付款条件）</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i/>
                <w:color w:val="auto"/>
                <w:highlight w:val="none"/>
              </w:rPr>
            </w:pPr>
            <w:r>
              <w:rPr>
                <w:rFonts w:ascii="宋体" w:hAnsi="宋体"/>
                <w:i/>
                <w:color w:val="auto"/>
                <w:szCs w:val="21"/>
                <w:highlight w:val="none"/>
                <w:u w:val="single"/>
              </w:rPr>
              <w:t>满足/不满足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6</w:t>
            </w: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r>
              <w:rPr>
                <w:rFonts w:hint="eastAsia" w:ascii="宋体" w:hAnsi="宋体"/>
                <w:color w:val="auto"/>
                <w:highlight w:val="none"/>
                <w:lang w:eastAsia="zh-CN"/>
              </w:rPr>
              <w:t>服务</w:t>
            </w:r>
            <w:r>
              <w:rPr>
                <w:rFonts w:hint="eastAsia" w:ascii="宋体" w:hAnsi="宋体"/>
                <w:color w:val="auto"/>
                <w:highlight w:val="none"/>
              </w:rPr>
              <w:t>标准符合采购文件“合格（符合国家标准），”的要求</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i/>
                <w:color w:val="auto"/>
                <w:highlight w:val="none"/>
              </w:rPr>
            </w:pPr>
            <w:r>
              <w:rPr>
                <w:rFonts w:ascii="宋体" w:hAnsi="宋体" w:eastAsia="宋体" w:cs="Times New Roman"/>
                <w:i/>
                <w:color w:val="auto"/>
                <w:szCs w:val="21"/>
                <w:highlight w:val="none"/>
                <w:u w:val="single"/>
              </w:rPr>
              <w:t>满足/不满足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7</w:t>
            </w: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color w:val="auto"/>
                <w:highlight w:val="none"/>
              </w:rPr>
            </w:pPr>
            <w:r>
              <w:rPr>
                <w:rFonts w:hint="eastAsia" w:ascii="宋体" w:hAnsi="宋体" w:eastAsia="宋体" w:cs="Times New Roman"/>
                <w:color w:val="auto"/>
                <w:highlight w:val="none"/>
              </w:rPr>
              <w:t>按照采购文件要求交纳保证金（提供网银截图等交纳证明）</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Times New Roman"/>
                <w:i/>
                <w:color w:val="auto"/>
                <w:szCs w:val="21"/>
                <w:highlight w:val="none"/>
                <w:u w:val="single"/>
              </w:rPr>
            </w:pPr>
            <w:r>
              <w:rPr>
                <w:rFonts w:hint="eastAsia" w:ascii="宋体" w:hAnsi="宋体" w:eastAsia="宋体" w:cs="Times New Roman"/>
                <w:i/>
                <w:color w:val="auto"/>
                <w:szCs w:val="21"/>
                <w:highlight w:val="none"/>
                <w:u w:val="single"/>
              </w:rPr>
              <w:t>满足/不满足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highlight w:val="none"/>
              </w:rPr>
            </w:pPr>
            <w:r>
              <w:rPr>
                <w:rFonts w:hint="eastAsia" w:ascii="宋体" w:hAnsi="宋体"/>
                <w:color w:val="auto"/>
                <w:highlight w:val="none"/>
              </w:rPr>
              <w:t>8</w:t>
            </w: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r>
              <w:rPr>
                <w:rFonts w:hint="eastAsia" w:ascii="宋体" w:hAnsi="宋体"/>
                <w:color w:val="auto"/>
                <w:highlight w:val="none"/>
                <w:lang w:eastAsia="zh-CN"/>
              </w:rPr>
              <w:t>服务期限</w:t>
            </w:r>
            <w:r>
              <w:rPr>
                <w:rFonts w:hint="eastAsia" w:ascii="宋体" w:hAnsi="宋体"/>
                <w:color w:val="auto"/>
                <w:highlight w:val="none"/>
              </w:rPr>
              <w:t>：</w:t>
            </w:r>
            <w:r>
              <w:rPr>
                <w:rFonts w:hint="eastAsia" w:ascii="宋体" w:hAnsi="宋体"/>
                <w:color w:val="auto"/>
                <w:highlight w:val="none"/>
                <w:lang w:val="en-US" w:eastAsia="zh-CN"/>
              </w:rPr>
              <w:t xml:space="preserve">  </w:t>
            </w:r>
            <w:r>
              <w:rPr>
                <w:rFonts w:hint="eastAsia" w:ascii="宋体" w:hAnsi="宋体"/>
                <w:b/>
                <w:bCs/>
                <w:color w:val="auto"/>
                <w:highlight w:val="none"/>
                <w:u w:val="single"/>
              </w:rPr>
              <w:t>年</w:t>
            </w:r>
            <w:r>
              <w:rPr>
                <w:rFonts w:hint="eastAsia" w:ascii="宋体" w:hAnsi="宋体"/>
                <w:color w:val="auto"/>
                <w:highlight w:val="none"/>
              </w:rPr>
              <w:t>（从签订合同日期起计算</w:t>
            </w:r>
            <w:r>
              <w:rPr>
                <w:rFonts w:hint="eastAsia" w:ascii="宋体" w:hAnsi="宋体"/>
                <w:color w:val="auto"/>
                <w:highlight w:val="none"/>
                <w:lang w:eastAsia="zh-CN"/>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i/>
                <w:color w:val="auto"/>
                <w:highlight w:val="none"/>
              </w:rPr>
            </w:pPr>
            <w:r>
              <w:rPr>
                <w:rFonts w:hint="eastAsia" w:ascii="宋体" w:hAnsi="宋体" w:eastAsia="宋体" w:cs="Times New Roman"/>
                <w:i/>
                <w:color w:val="auto"/>
                <w:szCs w:val="21"/>
                <w:highlight w:val="none"/>
                <w:u w:val="single"/>
              </w:rPr>
              <w:t>满足/不满足</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i/>
                <w:color w:val="auto"/>
                <w:highlight w:val="none"/>
              </w:rPr>
            </w:pP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i/>
                <w:color w:val="auto"/>
                <w:highlight w:val="none"/>
              </w:rPr>
            </w:pPr>
            <w:r>
              <w:rPr>
                <w:rFonts w:hint="eastAsia" w:ascii="宋体" w:hAnsi="宋体"/>
                <w:i/>
                <w:color w:val="auto"/>
                <w:highlight w:val="none"/>
              </w:rPr>
              <w:t>其它要求（可自行添加或另页详述，但须标注其所在页码）</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i/>
                <w:color w:val="auto"/>
                <w:highlight w:val="none"/>
              </w:rPr>
            </w:pPr>
            <w:r>
              <w:rPr>
                <w:rFonts w:hint="eastAsia" w:ascii="宋体" w:hAnsi="宋体"/>
                <w:i/>
                <w:color w:val="auto"/>
                <w:highlight w:val="none"/>
              </w:rPr>
              <w:t>可不填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highlight w:val="none"/>
              </w:rPr>
            </w:pPr>
            <w:r>
              <w:rPr>
                <w:rFonts w:hint="eastAsia" w:ascii="宋体" w:hAnsi="宋体"/>
                <w:i/>
                <w:color w:val="auto"/>
                <w:highlight w:val="none"/>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i/>
                <w:color w:val="auto"/>
                <w:highlight w:val="none"/>
              </w:rPr>
            </w:pPr>
          </w:p>
        </w:tc>
        <w:tc>
          <w:tcPr>
            <w:tcW w:w="625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i/>
                <w:color w:val="auto"/>
                <w:highlight w:val="none"/>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color w:val="auto"/>
                <w:szCs w:val="21"/>
                <w:highlight w:val="none"/>
                <w:u w:val="single"/>
              </w:rPr>
            </w:pPr>
            <w:r>
              <w:rPr>
                <w:rFonts w:hint="eastAsia" w:ascii="宋体" w:hAnsi="宋体"/>
                <w:color w:val="auto"/>
                <w:szCs w:val="21"/>
                <w:highlight w:val="none"/>
                <w:u w:val="single"/>
              </w:rPr>
              <w:t xml:space="preserve">供应商(盖公章)：                                 </w:t>
            </w:r>
          </w:p>
          <w:p>
            <w:pPr>
              <w:spacing w:line="360" w:lineRule="auto"/>
              <w:jc w:val="left"/>
              <w:rPr>
                <w:rFonts w:hint="eastAsia" w:ascii="宋体" w:hAnsi="宋体"/>
                <w:b/>
                <w:color w:val="auto"/>
                <w:szCs w:val="21"/>
                <w:highlight w:val="none"/>
                <w:u w:val="single"/>
              </w:rPr>
            </w:pPr>
            <w:r>
              <w:rPr>
                <w:rFonts w:hint="eastAsia" w:ascii="宋体" w:hAnsi="宋体"/>
                <w:color w:val="auto"/>
                <w:szCs w:val="21"/>
                <w:highlight w:val="none"/>
                <w:u w:val="single"/>
              </w:rPr>
              <w:t>法定代表人或其委托</w:t>
            </w:r>
            <w:r>
              <w:rPr>
                <w:rFonts w:ascii="宋体" w:hAnsi="宋体"/>
                <w:color w:val="auto"/>
                <w:szCs w:val="21"/>
                <w:highlight w:val="none"/>
                <w:u w:val="single"/>
              </w:rPr>
              <w:t>代理人</w:t>
            </w:r>
            <w:r>
              <w:rPr>
                <w:rFonts w:hint="eastAsia" w:ascii="宋体" w:hAnsi="宋体" w:cs="宋体"/>
                <w:color w:val="auto"/>
                <w:szCs w:val="21"/>
                <w:highlight w:val="none"/>
                <w:u w:val="single"/>
              </w:rPr>
              <w:t>（签字或签章）</w:t>
            </w:r>
            <w:r>
              <w:rPr>
                <w:rFonts w:hint="eastAsia"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31"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w:t>
            </w:r>
            <w:r>
              <w:rPr>
                <w:rFonts w:hint="eastAsia" w:ascii="宋体" w:hAnsi="宋体"/>
                <w:color w:val="auto"/>
                <w:sz w:val="18"/>
                <w:szCs w:val="18"/>
                <w:highlight w:val="none"/>
              </w:rPr>
              <w:t>供应商</w:t>
            </w:r>
            <w:r>
              <w:rPr>
                <w:rFonts w:ascii="宋体" w:hAnsi="宋体"/>
                <w:color w:val="auto"/>
                <w:sz w:val="18"/>
                <w:szCs w:val="18"/>
                <w:highlight w:val="none"/>
              </w:rPr>
              <w:t>用“满足</w:t>
            </w:r>
            <w:r>
              <w:rPr>
                <w:rFonts w:hint="eastAsia" w:ascii="宋体" w:hAnsi="宋体"/>
                <w:color w:val="auto"/>
                <w:sz w:val="18"/>
                <w:szCs w:val="18"/>
                <w:highlight w:val="none"/>
              </w:rPr>
              <w:t>或</w:t>
            </w:r>
            <w:r>
              <w:rPr>
                <w:rFonts w:ascii="宋体" w:hAnsi="宋体"/>
                <w:color w:val="auto"/>
                <w:sz w:val="18"/>
                <w:szCs w:val="18"/>
                <w:highlight w:val="none"/>
              </w:rPr>
              <w:t>不满足”来表明该要求是否被满足</w:t>
            </w:r>
            <w:r>
              <w:rPr>
                <w:rFonts w:hint="eastAsia" w:ascii="宋体" w:hAnsi="宋体"/>
                <w:color w:val="auto"/>
                <w:sz w:val="18"/>
                <w:szCs w:val="18"/>
                <w:highlight w:val="none"/>
              </w:rPr>
              <w:t>（1-7项），8、9两项</w:t>
            </w:r>
            <w:r>
              <w:rPr>
                <w:rFonts w:ascii="宋体" w:hAnsi="宋体"/>
                <w:color w:val="auto"/>
                <w:sz w:val="18"/>
                <w:szCs w:val="18"/>
                <w:highlight w:val="none"/>
              </w:rPr>
              <w:t>按</w:t>
            </w:r>
            <w:r>
              <w:rPr>
                <w:rFonts w:hint="eastAsia" w:ascii="宋体" w:hAnsi="宋体"/>
                <w:color w:val="auto"/>
                <w:sz w:val="18"/>
                <w:szCs w:val="18"/>
                <w:highlight w:val="none"/>
              </w:rPr>
              <w:t>采购文件中的商务要求</w:t>
            </w:r>
            <w:r>
              <w:rPr>
                <w:rFonts w:ascii="宋体" w:hAnsi="宋体"/>
                <w:color w:val="auto"/>
                <w:sz w:val="18"/>
                <w:szCs w:val="18"/>
                <w:highlight w:val="none"/>
              </w:rPr>
              <w:t>进行应答</w:t>
            </w:r>
            <w:r>
              <w:rPr>
                <w:rFonts w:hint="eastAsia" w:ascii="宋体" w:hAnsi="宋体"/>
                <w:color w:val="auto"/>
                <w:sz w:val="18"/>
                <w:szCs w:val="18"/>
                <w:highlight w:val="none"/>
              </w:rPr>
              <w:t>；</w:t>
            </w:r>
          </w:p>
          <w:p>
            <w:pPr>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w:t>
            </w:r>
            <w:r>
              <w:rPr>
                <w:rFonts w:ascii="宋体" w:hAnsi="宋体"/>
                <w:color w:val="auto"/>
                <w:sz w:val="18"/>
                <w:szCs w:val="18"/>
                <w:highlight w:val="none"/>
              </w:rPr>
              <w:t>供应商可根据其投标内容进一步细化上述表格，</w:t>
            </w:r>
            <w:r>
              <w:rPr>
                <w:rFonts w:hint="eastAsia" w:ascii="宋体" w:hAnsi="宋体"/>
                <w:color w:val="auto"/>
                <w:sz w:val="18"/>
                <w:szCs w:val="18"/>
                <w:highlight w:val="none"/>
              </w:rPr>
              <w:t>如本表表格填写不便的，可以另页</w:t>
            </w:r>
            <w:r>
              <w:rPr>
                <w:rFonts w:ascii="宋体" w:hAnsi="宋体"/>
                <w:color w:val="auto"/>
                <w:sz w:val="18"/>
                <w:szCs w:val="18"/>
                <w:highlight w:val="none"/>
              </w:rPr>
              <w:t>详述</w:t>
            </w:r>
            <w:r>
              <w:rPr>
                <w:rFonts w:hint="eastAsia" w:ascii="宋体" w:hAnsi="宋体"/>
                <w:color w:val="auto"/>
                <w:sz w:val="18"/>
                <w:szCs w:val="18"/>
                <w:highlight w:val="none"/>
              </w:rPr>
              <w:t>（</w:t>
            </w:r>
            <w:r>
              <w:rPr>
                <w:rFonts w:ascii="宋体" w:hAnsi="宋体"/>
                <w:color w:val="auto"/>
                <w:sz w:val="18"/>
                <w:szCs w:val="18"/>
                <w:highlight w:val="none"/>
              </w:rPr>
              <w:t>应答</w:t>
            </w:r>
            <w:r>
              <w:rPr>
                <w:rFonts w:hint="eastAsia" w:ascii="宋体" w:hAnsi="宋体"/>
                <w:color w:val="auto"/>
                <w:sz w:val="18"/>
                <w:szCs w:val="18"/>
                <w:highlight w:val="none"/>
              </w:rPr>
              <w:t>）</w:t>
            </w:r>
            <w:r>
              <w:rPr>
                <w:rFonts w:ascii="宋体" w:hAnsi="宋体"/>
                <w:color w:val="auto"/>
                <w:sz w:val="18"/>
                <w:szCs w:val="18"/>
                <w:highlight w:val="none"/>
              </w:rPr>
              <w:t>，但必须给出确切的位置索引</w:t>
            </w:r>
            <w:r>
              <w:rPr>
                <w:rFonts w:hint="eastAsia" w:ascii="宋体" w:hAnsi="宋体"/>
                <w:color w:val="auto"/>
                <w:sz w:val="18"/>
                <w:szCs w:val="18"/>
                <w:highlight w:val="none"/>
              </w:rPr>
              <w:t>（标注内容的所在页码）</w:t>
            </w:r>
            <w:r>
              <w:rPr>
                <w:rFonts w:ascii="宋体" w:hAnsi="宋体"/>
                <w:color w:val="auto"/>
                <w:sz w:val="18"/>
                <w:szCs w:val="18"/>
                <w:highlight w:val="none"/>
              </w:rPr>
              <w:t>。</w:t>
            </w:r>
          </w:p>
          <w:p>
            <w:pPr>
              <w:rPr>
                <w:rFonts w:hint="eastAsia" w:ascii="宋体" w:hAnsi="宋体"/>
                <w:color w:val="auto"/>
                <w:highlight w:val="none"/>
              </w:rPr>
            </w:pPr>
            <w:r>
              <w:rPr>
                <w:rFonts w:hint="eastAsia" w:ascii="宋体" w:hAnsi="宋体"/>
                <w:color w:val="auto"/>
                <w:sz w:val="18"/>
                <w:szCs w:val="18"/>
                <w:highlight w:val="none"/>
              </w:rPr>
              <w:t>3.如供应商知道关联关系</w:t>
            </w:r>
            <w:r>
              <w:rPr>
                <w:rFonts w:ascii="宋体" w:hAnsi="宋体"/>
                <w:color w:val="auto"/>
                <w:sz w:val="18"/>
                <w:szCs w:val="18"/>
                <w:highlight w:val="none"/>
              </w:rPr>
              <w:t>单位</w:t>
            </w:r>
            <w:r>
              <w:rPr>
                <w:rFonts w:hint="eastAsia" w:ascii="宋体" w:hAnsi="宋体"/>
                <w:color w:val="auto"/>
                <w:sz w:val="18"/>
                <w:szCs w:val="18"/>
                <w:highlight w:val="none"/>
              </w:rPr>
              <w:t>（</w:t>
            </w:r>
            <w:r>
              <w:rPr>
                <w:rFonts w:ascii="宋体" w:hAnsi="宋体"/>
                <w:color w:val="auto"/>
                <w:sz w:val="18"/>
                <w:szCs w:val="18"/>
                <w:highlight w:val="none"/>
              </w:rPr>
              <w:t>与供应商单位负责人为同一人</w:t>
            </w:r>
            <w:r>
              <w:rPr>
                <w:rFonts w:hint="eastAsia" w:ascii="宋体" w:hAnsi="宋体"/>
                <w:color w:val="auto"/>
                <w:sz w:val="18"/>
                <w:szCs w:val="18"/>
                <w:highlight w:val="none"/>
              </w:rPr>
              <w:t>或</w:t>
            </w:r>
            <w:r>
              <w:rPr>
                <w:rFonts w:ascii="宋体" w:hAnsi="宋体"/>
                <w:color w:val="auto"/>
                <w:sz w:val="18"/>
                <w:szCs w:val="18"/>
                <w:highlight w:val="none"/>
              </w:rPr>
              <w:t>存在直接控股、管理关系的其他单位</w:t>
            </w:r>
            <w:r>
              <w:rPr>
                <w:rFonts w:hint="eastAsia" w:ascii="宋体" w:hAnsi="宋体"/>
                <w:color w:val="auto"/>
                <w:sz w:val="18"/>
                <w:szCs w:val="18"/>
                <w:highlight w:val="none"/>
              </w:rPr>
              <w:t>）未参加</w:t>
            </w:r>
            <w:r>
              <w:rPr>
                <w:rFonts w:ascii="宋体" w:hAnsi="宋体"/>
                <w:color w:val="auto"/>
                <w:sz w:val="18"/>
                <w:szCs w:val="18"/>
                <w:highlight w:val="none"/>
              </w:rPr>
              <w:t>同一合同项下的政府采购活动</w:t>
            </w:r>
            <w:r>
              <w:rPr>
                <w:rFonts w:hint="eastAsia" w:ascii="宋体" w:hAnsi="宋体"/>
                <w:color w:val="auto"/>
                <w:sz w:val="18"/>
                <w:szCs w:val="18"/>
                <w:highlight w:val="none"/>
              </w:rPr>
              <w:t>的，填“满足”</w:t>
            </w:r>
            <w:r>
              <w:rPr>
                <w:rFonts w:ascii="宋体" w:hAnsi="宋体"/>
                <w:color w:val="auto"/>
                <w:sz w:val="18"/>
                <w:szCs w:val="18"/>
                <w:highlight w:val="none"/>
              </w:rPr>
              <w:t>。</w:t>
            </w:r>
            <w:r>
              <w:rPr>
                <w:rFonts w:hint="eastAsia" w:ascii="宋体" w:hAnsi="宋体"/>
                <w:color w:val="auto"/>
                <w:sz w:val="18"/>
                <w:szCs w:val="18"/>
                <w:highlight w:val="none"/>
              </w:rPr>
              <w:t>如供应商不知道，须列出所有有关联关系的</w:t>
            </w:r>
            <w:r>
              <w:rPr>
                <w:rFonts w:ascii="宋体" w:hAnsi="宋体"/>
                <w:color w:val="auto"/>
                <w:sz w:val="18"/>
                <w:szCs w:val="18"/>
                <w:highlight w:val="none"/>
              </w:rPr>
              <w:t>单位</w:t>
            </w:r>
            <w:r>
              <w:rPr>
                <w:rFonts w:hint="eastAsia" w:ascii="宋体" w:hAnsi="宋体"/>
                <w:color w:val="auto"/>
                <w:sz w:val="18"/>
                <w:szCs w:val="18"/>
                <w:highlight w:val="none"/>
              </w:rPr>
              <w:t>（可另页表达）。</w:t>
            </w:r>
          </w:p>
        </w:tc>
      </w:tr>
    </w:tbl>
    <w:p>
      <w:pPr>
        <w:spacing w:line="696" w:lineRule="auto"/>
        <w:jc w:val="center"/>
        <w:outlineLvl w:val="1"/>
        <w:rPr>
          <w:rFonts w:hint="eastAsia" w:ascii="宋体" w:hAnsi="宋体" w:cs="宋体"/>
          <w:b/>
          <w:color w:val="auto"/>
          <w:kern w:val="0"/>
          <w:sz w:val="28"/>
          <w:szCs w:val="28"/>
          <w:highlight w:val="none"/>
        </w:rPr>
      </w:pPr>
    </w:p>
    <w:bookmarkEnd w:id="191"/>
    <w:bookmarkEnd w:id="192"/>
    <w:bookmarkEnd w:id="193"/>
    <w:p>
      <w:pPr>
        <w:spacing w:line="696" w:lineRule="auto"/>
        <w:jc w:val="center"/>
        <w:outlineLvl w:val="1"/>
        <w:rPr>
          <w:rFonts w:ascii="宋体" w:hAnsi="宋体" w:cs="宋体"/>
          <w:b/>
          <w:color w:val="auto"/>
          <w:kern w:val="0"/>
          <w:sz w:val="28"/>
          <w:szCs w:val="28"/>
          <w:highlight w:val="none"/>
        </w:rPr>
        <w:sectPr>
          <w:headerReference r:id="rId4" w:type="default"/>
          <w:footerReference r:id="rId5" w:type="default"/>
          <w:pgSz w:w="11906" w:h="16838"/>
          <w:pgMar w:top="1077" w:right="1077" w:bottom="1191" w:left="1304" w:header="680" w:footer="992" w:gutter="0"/>
          <w:cols w:space="720" w:num="1"/>
          <w:docGrid w:type="lines" w:linePitch="312" w:charSpace="0"/>
        </w:sectPr>
      </w:pPr>
    </w:p>
    <w:tbl>
      <w:tblPr>
        <w:tblStyle w:val="33"/>
        <w:tblpPr w:leftFromText="180" w:rightFromText="180" w:vertAnchor="text" w:horzAnchor="margin" w:tblpXSpec="center"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2216"/>
        <w:gridCol w:w="2569"/>
        <w:gridCol w:w="236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936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auto"/>
                <w:sz w:val="28"/>
                <w:szCs w:val="28"/>
                <w:highlight w:val="none"/>
              </w:rPr>
            </w:pPr>
            <w:bookmarkStart w:id="194" w:name="_Toc115881340"/>
            <w:bookmarkStart w:id="195" w:name="_Toc108881198"/>
            <w:bookmarkStart w:id="196" w:name="_Toc17775"/>
            <w:r>
              <w:rPr>
                <w:rFonts w:hint="eastAsia" w:ascii="宋体" w:hAnsi="宋体" w:cs="宋体"/>
                <w:b/>
                <w:color w:val="auto"/>
                <w:sz w:val="28"/>
                <w:szCs w:val="28"/>
                <w:highlight w:val="none"/>
              </w:rPr>
              <w:t>八、技术规格（采购需求）偏离表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项目编号</w:t>
            </w:r>
          </w:p>
        </w:tc>
        <w:tc>
          <w:tcPr>
            <w:tcW w:w="649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286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49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序号</w:t>
            </w:r>
          </w:p>
        </w:tc>
        <w:tc>
          <w:tcPr>
            <w:tcW w:w="221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名称（品目）</w:t>
            </w: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采购文件要求</w:t>
            </w: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供应商响应（承诺）</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Ansi="宋体" w:cs="Courier New"/>
                <w:i/>
                <w:color w:val="auto"/>
                <w:highlight w:val="none"/>
                <w:u w:val="singl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宋体"/>
                <w:i/>
                <w:color w:val="auto"/>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宋体" w:hAnsi="宋体" w:cs="Courier New"/>
                <w:i/>
                <w:color w:val="auto"/>
                <w:szCs w:val="21"/>
                <w:highlight w:val="none"/>
                <w:u w:val="singl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i/>
                <w:color w:val="auto"/>
                <w:szCs w:val="21"/>
                <w:highlight w:val="none"/>
              </w:rPr>
            </w:pPr>
            <w:r>
              <w:rPr>
                <w:rFonts w:hint="eastAsia" w:ascii="宋体" w:hAnsi="宋体" w:cs="Courier New"/>
                <w:i/>
                <w:color w:val="auto"/>
                <w:szCs w:val="21"/>
                <w:highlight w:val="none"/>
                <w:u w:val="single"/>
              </w:rPr>
              <w:t>例：</w:t>
            </w:r>
            <w:r>
              <w:rPr>
                <w:rFonts w:hint="eastAsia" w:ascii="宋体" w:hAnsi="宋体"/>
                <w:i/>
                <w:color w:val="auto"/>
                <w:highlight w:val="none"/>
                <w:u w:val="single"/>
              </w:rPr>
              <w:t>“</w:t>
            </w:r>
            <w:r>
              <w:rPr>
                <w:rFonts w:ascii="宋体" w:hAnsi="宋体"/>
                <w:i/>
                <w:color w:val="auto"/>
                <w:highlight w:val="none"/>
                <w:u w:val="single"/>
              </w:rPr>
              <w:t>满足</w:t>
            </w:r>
            <w:r>
              <w:rPr>
                <w:rFonts w:hint="eastAsia" w:ascii="宋体" w:hAnsi="宋体"/>
                <w:i/>
                <w:color w:val="auto"/>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Ansi="宋体" w:cs="Courier New"/>
                <w:color w:val="auto"/>
                <w:highlight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
                <w:color w:val="auto"/>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Ansi="宋体" w:cs="Courier New"/>
                <w:color w:val="auto"/>
                <w:highlight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b/>
                <w:color w:val="auto"/>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i/>
                <w:color w:val="auto"/>
                <w:highlight w:val="none"/>
                <w:u w:val="single"/>
              </w:rPr>
            </w:pPr>
            <w:r>
              <w:rPr>
                <w:rFonts w:hint="eastAsia" w:ascii="宋体" w:hAnsi="宋体"/>
                <w:i/>
                <w:color w:val="auto"/>
                <w:highlight w:val="none"/>
                <w:u w:val="single"/>
              </w:rPr>
              <w:t>可另页详述（应答），</w:t>
            </w:r>
          </w:p>
          <w:p>
            <w:pPr>
              <w:spacing w:line="360" w:lineRule="auto"/>
              <w:rPr>
                <w:rFonts w:ascii="宋体" w:hAnsi="宋体" w:cs="宋体"/>
                <w:color w:val="auto"/>
                <w:szCs w:val="21"/>
                <w:highlight w:val="none"/>
              </w:rPr>
            </w:pPr>
            <w:r>
              <w:rPr>
                <w:rFonts w:hint="eastAsia" w:ascii="宋体" w:hAnsi="宋体"/>
                <w:i/>
                <w:color w:val="auto"/>
                <w:highlight w:val="none"/>
                <w:u w:val="single"/>
              </w:rPr>
              <w:t>但须标注其所在页码</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hAnsi="宋体" w:cs="Courier New"/>
                <w:color w:val="auto"/>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auto"/>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hAnsi="宋体" w:cs="Courier New"/>
                <w:color w:val="auto"/>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auto"/>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hAnsi="宋体" w:cs="Courier New"/>
                <w:color w:val="auto"/>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auto"/>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hAnsi="宋体" w:cs="Courier New"/>
                <w:color w:val="auto"/>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auto"/>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hAnsi="宋体" w:cs="Courier New"/>
                <w:color w:val="auto"/>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auto"/>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hAnsi="宋体" w:cs="Courier New"/>
                <w:color w:val="auto"/>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b/>
                <w:color w:val="auto"/>
                <w:szCs w:val="21"/>
                <w:highlight w:val="none"/>
                <w:u w:val="single"/>
              </w:rPr>
            </w:pP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 w:hRule="atLeast"/>
        </w:trPr>
        <w:tc>
          <w:tcPr>
            <w:tcW w:w="6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2216" w:type="dxa"/>
            <w:tcBorders>
              <w:top w:val="single" w:color="auto" w:sz="4" w:space="0"/>
              <w:left w:val="single" w:color="auto" w:sz="4" w:space="0"/>
              <w:bottom w:val="single" w:color="auto" w:sz="4" w:space="0"/>
              <w:right w:val="single" w:color="auto" w:sz="4" w:space="0"/>
            </w:tcBorders>
            <w:noWrap w:val="0"/>
            <w:vAlign w:val="center"/>
          </w:tcPr>
          <w:p>
            <w:pPr>
              <w:pStyle w:val="19"/>
              <w:spacing w:line="360" w:lineRule="auto"/>
              <w:jc w:val="center"/>
              <w:rPr>
                <w:rFonts w:hint="eastAsia" w:hAnsi="宋体" w:cs="Courier New"/>
                <w:color w:val="auto"/>
                <w:kern w:val="2"/>
                <w:sz w:val="21"/>
                <w:szCs w:val="22"/>
                <w:highlight w:val="none"/>
              </w:rPr>
            </w:pPr>
          </w:p>
        </w:tc>
        <w:tc>
          <w:tcPr>
            <w:tcW w:w="25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i/>
                <w:color w:val="auto"/>
                <w:szCs w:val="21"/>
                <w:highlight w:val="none"/>
                <w:u w:val="single"/>
              </w:rPr>
            </w:pPr>
            <w:r>
              <w:rPr>
                <w:rFonts w:hint="eastAsia" w:ascii="宋体" w:hAnsi="宋体"/>
                <w:i/>
                <w:color w:val="auto"/>
                <w:szCs w:val="21"/>
                <w:highlight w:val="none"/>
                <w:u w:val="single"/>
              </w:rPr>
              <w:t>行数不够，可按本表格式自行添加</w:t>
            </w:r>
          </w:p>
        </w:tc>
        <w:tc>
          <w:tcPr>
            <w:tcW w:w="2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Cs w:val="21"/>
                <w:highlight w:val="none"/>
              </w:rPr>
            </w:pPr>
            <w:r>
              <w:rPr>
                <w:rFonts w:ascii="宋体" w:hAnsi="宋体"/>
                <w:color w:val="auto"/>
                <w:szCs w:val="21"/>
                <w:highlight w:val="none"/>
              </w:rPr>
              <w:t>我公司确认，除以上“偏离说明”栏中列明的偏差外，我公司无条件接受采购文件规定的所有技术规格</w:t>
            </w:r>
            <w:r>
              <w:rPr>
                <w:rFonts w:hint="eastAsia" w:ascii="宋体" w:hAnsi="宋体"/>
                <w:color w:val="auto"/>
                <w:szCs w:val="21"/>
                <w:highlight w:val="none"/>
              </w:rPr>
              <w:t>（服务标准等）</w:t>
            </w:r>
            <w:r>
              <w:rPr>
                <w:rFonts w:ascii="宋体" w:hAnsi="宋体"/>
                <w:color w:val="auto"/>
                <w:szCs w:val="21"/>
                <w:highlight w:val="none"/>
              </w:rPr>
              <w:t>。</w:t>
            </w:r>
          </w:p>
          <w:p>
            <w:pPr>
              <w:spacing w:line="360" w:lineRule="auto"/>
              <w:rPr>
                <w:rFonts w:hint="eastAsia" w:ascii="宋体" w:hAnsi="宋体"/>
                <w:b/>
                <w:color w:val="auto"/>
                <w:szCs w:val="21"/>
                <w:highlight w:val="none"/>
                <w:u w:val="single"/>
              </w:rPr>
            </w:pPr>
            <w:r>
              <w:rPr>
                <w:rFonts w:hint="eastAsia" w:ascii="宋体" w:hAnsi="宋体"/>
                <w:b/>
                <w:color w:val="auto"/>
                <w:szCs w:val="21"/>
                <w:highlight w:val="none"/>
                <w:u w:val="single"/>
              </w:rPr>
              <w:t>法定代表人或其委托</w:t>
            </w:r>
            <w:r>
              <w:rPr>
                <w:rFonts w:ascii="宋体" w:hAnsi="宋体"/>
                <w:b/>
                <w:color w:val="auto"/>
                <w:szCs w:val="21"/>
                <w:highlight w:val="none"/>
                <w:u w:val="single"/>
              </w:rPr>
              <w:t>代理人</w:t>
            </w:r>
            <w:r>
              <w:rPr>
                <w:rFonts w:hint="eastAsia" w:ascii="宋体" w:hAnsi="宋体"/>
                <w:b/>
                <w:color w:val="auto"/>
                <w:szCs w:val="21"/>
                <w:highlight w:val="none"/>
                <w:u w:val="single"/>
              </w:rPr>
              <w:t xml:space="preserve">（签字）：                 </w:t>
            </w:r>
          </w:p>
          <w:p>
            <w:pPr>
              <w:spacing w:line="360" w:lineRule="auto"/>
              <w:rPr>
                <w:rFonts w:hint="eastAsia" w:ascii="宋体" w:hAnsi="宋体" w:cs="宋体"/>
                <w:color w:val="auto"/>
                <w:szCs w:val="21"/>
                <w:highlight w:val="none"/>
              </w:rPr>
            </w:pPr>
            <w:r>
              <w:rPr>
                <w:rFonts w:hint="eastAsia" w:ascii="宋体" w:hAnsi="宋体"/>
                <w:b/>
                <w:color w:val="auto"/>
                <w:szCs w:val="21"/>
                <w:highlight w:val="none"/>
                <w:u w:val="single"/>
              </w:rPr>
              <w:t xml:space="preserve">供应商(盖单位章)：                                 </w:t>
            </w:r>
            <w:r>
              <w:rPr>
                <w:rFonts w:hint="eastAsia" w:ascii="宋体" w:hAnsi="宋体" w:cs="宋体"/>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361"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olor w:val="auto"/>
                <w:highlight w:val="none"/>
              </w:rPr>
            </w:pPr>
            <w:r>
              <w:rPr>
                <w:rFonts w:hint="eastAsia" w:ascii="宋体" w:hAnsi="宋体"/>
                <w:color w:val="auto"/>
                <w:highlight w:val="none"/>
              </w:rPr>
              <w:t>注：</w:t>
            </w:r>
            <w:r>
              <w:rPr>
                <w:rFonts w:ascii="宋体" w:hAnsi="宋体"/>
                <w:color w:val="auto"/>
                <w:highlight w:val="none"/>
              </w:rPr>
              <w:t>1.供应商需按采购文件中对</w:t>
            </w:r>
            <w:r>
              <w:rPr>
                <w:rFonts w:hint="eastAsia" w:ascii="宋体" w:hAnsi="宋体"/>
                <w:color w:val="auto"/>
                <w:highlight w:val="none"/>
              </w:rPr>
              <w:t>技术规格（采购需求）</w:t>
            </w:r>
            <w:r>
              <w:rPr>
                <w:rFonts w:ascii="宋体" w:hAnsi="宋体"/>
                <w:color w:val="auto"/>
                <w:highlight w:val="none"/>
              </w:rPr>
              <w:t>进行应答</w:t>
            </w:r>
            <w:r>
              <w:rPr>
                <w:rFonts w:hint="eastAsia" w:ascii="宋体" w:hAnsi="宋体"/>
                <w:color w:val="auto"/>
                <w:highlight w:val="none"/>
              </w:rPr>
              <w:t>（</w:t>
            </w:r>
            <w:r>
              <w:rPr>
                <w:rFonts w:ascii="宋体" w:hAnsi="宋体"/>
                <w:color w:val="auto"/>
                <w:highlight w:val="none"/>
              </w:rPr>
              <w:t>详细描述如何满足该需求</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如本表表格填写不便的，可以另页</w:t>
            </w:r>
            <w:r>
              <w:rPr>
                <w:rFonts w:ascii="宋体" w:hAnsi="宋体"/>
                <w:color w:val="auto"/>
                <w:highlight w:val="none"/>
              </w:rPr>
              <w:t>详述</w:t>
            </w:r>
            <w:r>
              <w:rPr>
                <w:rFonts w:hint="eastAsia" w:ascii="宋体" w:hAnsi="宋体"/>
                <w:color w:val="auto"/>
                <w:highlight w:val="none"/>
              </w:rPr>
              <w:t>（</w:t>
            </w:r>
            <w:r>
              <w:rPr>
                <w:rFonts w:ascii="宋体" w:hAnsi="宋体"/>
                <w:color w:val="auto"/>
                <w:highlight w:val="none"/>
              </w:rPr>
              <w:t>应答</w:t>
            </w:r>
            <w:r>
              <w:rPr>
                <w:rFonts w:hint="eastAsia" w:ascii="宋体" w:hAnsi="宋体"/>
                <w:color w:val="auto"/>
                <w:highlight w:val="none"/>
              </w:rPr>
              <w:t>）</w:t>
            </w:r>
            <w:r>
              <w:rPr>
                <w:rFonts w:ascii="宋体" w:hAnsi="宋体"/>
                <w:color w:val="auto"/>
                <w:highlight w:val="none"/>
              </w:rPr>
              <w:t>，但必须给出确切的位置索引</w:t>
            </w:r>
            <w:r>
              <w:rPr>
                <w:rFonts w:hint="eastAsia" w:ascii="宋体" w:hAnsi="宋体"/>
                <w:color w:val="auto"/>
                <w:highlight w:val="none"/>
              </w:rPr>
              <w:t>（标注具体内容的所在页码）</w:t>
            </w:r>
            <w:r>
              <w:rPr>
                <w:rFonts w:ascii="宋体" w:hAnsi="宋体"/>
                <w:color w:val="auto"/>
                <w:highlight w:val="none"/>
              </w:rPr>
              <w:t>。</w:t>
            </w:r>
          </w:p>
          <w:p>
            <w:pPr>
              <w:rPr>
                <w:rFonts w:hint="eastAsia" w:ascii="宋体" w:hAnsi="宋体"/>
                <w:color w:val="auto"/>
                <w:highlight w:val="none"/>
              </w:rPr>
            </w:pPr>
            <w:r>
              <w:rPr>
                <w:rFonts w:ascii="宋体" w:hAnsi="宋体"/>
                <w:color w:val="auto"/>
                <w:highlight w:val="none"/>
              </w:rPr>
              <w:t>2</w:t>
            </w:r>
            <w:r>
              <w:rPr>
                <w:rFonts w:hint="eastAsia" w:ascii="宋体" w:hAnsi="宋体"/>
                <w:color w:val="auto"/>
                <w:highlight w:val="none"/>
              </w:rPr>
              <w:t>.</w:t>
            </w:r>
            <w:r>
              <w:rPr>
                <w:rFonts w:ascii="宋体" w:hAnsi="宋体"/>
                <w:color w:val="auto"/>
                <w:highlight w:val="none"/>
              </w:rPr>
              <w:t>用“满足/不满足/部分满足”响应来表明该需求是否被满足，不得使用“明白”、“理解”等词语。</w:t>
            </w:r>
            <w:r>
              <w:rPr>
                <w:rFonts w:hint="eastAsia" w:ascii="宋体" w:hAnsi="宋体"/>
                <w:color w:val="auto"/>
                <w:highlight w:val="none"/>
              </w:rPr>
              <w:t>如</w:t>
            </w:r>
            <w:r>
              <w:rPr>
                <w:rFonts w:ascii="宋体" w:hAnsi="宋体"/>
                <w:color w:val="auto"/>
                <w:highlight w:val="none"/>
              </w:rPr>
              <w:t>与</w:t>
            </w:r>
            <w:r>
              <w:rPr>
                <w:rFonts w:hint="eastAsia" w:ascii="宋体" w:hAnsi="宋体"/>
                <w:color w:val="auto"/>
                <w:highlight w:val="none"/>
              </w:rPr>
              <w:t>采购</w:t>
            </w:r>
            <w:r>
              <w:rPr>
                <w:rFonts w:ascii="宋体" w:hAnsi="宋体"/>
                <w:color w:val="auto"/>
                <w:highlight w:val="none"/>
              </w:rPr>
              <w:t>需求之间有偏差时必须用“部分满足”响应来表明该需求未被完全满足的情况，并用确切的描述解释如何规避该偏差。</w:t>
            </w:r>
            <w:r>
              <w:rPr>
                <w:rFonts w:hint="eastAsia" w:ascii="宋体" w:hAnsi="宋体"/>
                <w:color w:val="auto"/>
                <w:highlight w:val="none"/>
              </w:rPr>
              <w:t>如</w:t>
            </w:r>
            <w:r>
              <w:rPr>
                <w:rFonts w:ascii="宋体" w:hAnsi="宋体"/>
                <w:color w:val="auto"/>
                <w:highlight w:val="none"/>
              </w:rPr>
              <w:t>不能实现</w:t>
            </w:r>
            <w:r>
              <w:rPr>
                <w:rFonts w:hint="eastAsia" w:ascii="宋体" w:hAnsi="宋体"/>
                <w:color w:val="auto"/>
                <w:highlight w:val="none"/>
              </w:rPr>
              <w:t>采购</w:t>
            </w:r>
            <w:r>
              <w:rPr>
                <w:rFonts w:ascii="宋体" w:hAnsi="宋体"/>
                <w:color w:val="auto"/>
                <w:highlight w:val="none"/>
              </w:rPr>
              <w:t>需求时必须用“不满足”来响应。</w:t>
            </w:r>
          </w:p>
          <w:p>
            <w:pPr>
              <w:rPr>
                <w:rFonts w:hint="eastAsia" w:ascii="宋体" w:hAnsi="宋体"/>
                <w:color w:val="auto"/>
                <w:highlight w:val="none"/>
              </w:rPr>
            </w:pPr>
            <w:r>
              <w:rPr>
                <w:rFonts w:ascii="宋体" w:hAnsi="宋体"/>
                <w:color w:val="auto"/>
                <w:highlight w:val="none"/>
              </w:rPr>
              <w:t>3</w:t>
            </w:r>
            <w:r>
              <w:rPr>
                <w:rFonts w:hint="eastAsia" w:ascii="宋体" w:hAnsi="宋体"/>
                <w:color w:val="auto"/>
                <w:highlight w:val="none"/>
              </w:rPr>
              <w:t>.</w:t>
            </w:r>
            <w:r>
              <w:rPr>
                <w:rFonts w:ascii="宋体" w:hAnsi="宋体"/>
                <w:color w:val="auto"/>
                <w:szCs w:val="21"/>
                <w:highlight w:val="none"/>
              </w:rPr>
              <w:t>供应商可根据其投标内容进一步细化上述表格，并可增添其它表格或说明以便进一步明确投标内容。</w:t>
            </w:r>
          </w:p>
        </w:tc>
      </w:tr>
      <w:bookmarkEnd w:id="194"/>
      <w:bookmarkEnd w:id="195"/>
      <w:bookmarkEnd w:id="196"/>
    </w:tbl>
    <w:p>
      <w:pPr>
        <w:rPr>
          <w:rFonts w:hint="eastAsia" w:ascii="宋体" w:hAnsi="宋体" w:cs="宋体"/>
          <w:b/>
          <w:color w:val="auto"/>
          <w:sz w:val="28"/>
          <w:szCs w:val="28"/>
          <w:highlight w:val="none"/>
        </w:rPr>
      </w:pPr>
      <w:bookmarkStart w:id="197" w:name="_Toc32518"/>
      <w:bookmarkStart w:id="198" w:name="_Toc145929028"/>
      <w:r>
        <w:rPr>
          <w:rFonts w:hint="eastAsia" w:ascii="宋体" w:hAnsi="宋体" w:cs="宋体"/>
          <w:b/>
          <w:color w:val="auto"/>
          <w:sz w:val="28"/>
          <w:szCs w:val="28"/>
          <w:highlight w:val="none"/>
        </w:rPr>
        <w:br w:type="page"/>
      </w:r>
    </w:p>
    <w:p>
      <w:pPr>
        <w:spacing w:line="696" w:lineRule="auto"/>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九、投标文件的其它内容</w:t>
      </w:r>
      <w:bookmarkEnd w:id="197"/>
      <w:bookmarkEnd w:id="198"/>
    </w:p>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证明投标标的的合格性和符合招标文件规定的技术文件</w:t>
      </w:r>
      <w:r>
        <w:rPr>
          <w:rFonts w:hint="eastAsia" w:ascii="宋体" w:hAnsi="宋体"/>
          <w:b/>
          <w:color w:val="auto"/>
          <w:szCs w:val="21"/>
          <w:highlight w:val="none"/>
        </w:rPr>
        <w:t>等</w:t>
      </w:r>
    </w:p>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（包括但不限于:招标文件要求及投标人认为应当提供相关</w:t>
      </w:r>
      <w:r>
        <w:rPr>
          <w:rFonts w:hint="eastAsia" w:ascii="宋体" w:hAnsi="宋体"/>
          <w:b/>
          <w:color w:val="auto"/>
          <w:szCs w:val="21"/>
          <w:highlight w:val="none"/>
        </w:rPr>
        <w:t>文件</w:t>
      </w:r>
      <w:r>
        <w:rPr>
          <w:rFonts w:hint="eastAsia" w:ascii="宋体" w:hAnsi="宋体" w:cs="宋体"/>
          <w:b/>
          <w:color w:val="auto"/>
          <w:szCs w:val="21"/>
          <w:highlight w:val="none"/>
        </w:rPr>
        <w:t>等）</w:t>
      </w: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pStyle w:val="2"/>
        <w:spacing w:line="312" w:lineRule="auto"/>
        <w:rPr>
          <w:rFonts w:hint="eastAsia" w:ascii="宋体" w:hAnsi="宋体"/>
          <w:color w:val="auto"/>
          <w:szCs w:val="21"/>
          <w:highlight w:val="none"/>
          <w:lang w:eastAsia="zh-CN"/>
        </w:rPr>
      </w:pPr>
    </w:p>
    <w:p>
      <w:pPr>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携手阳光下、政府采购人自己的故事”是江苏省首届政府采购培训活动的征文题，我们以“携手阳光”为公司的名号，旨在将政府采购这项阳光事业作为我司毕生的事业。通过不懈的学习与努力，为政府采购参与人提供最专业的服务，携手共建政府采购的美好明天。</w:t>
      </w:r>
    </w:p>
    <w:p>
      <w:pPr>
        <w:pStyle w:val="2"/>
        <w:spacing w:line="360" w:lineRule="auto"/>
        <w:ind w:firstLine="422" w:firstLineChars="200"/>
        <w:jc w:val="center"/>
        <w:rPr>
          <w:rFonts w:hint="eastAsia" w:ascii="宋体" w:hAnsi="宋体" w:eastAsia="宋体" w:cs="宋体"/>
          <w:b/>
          <w:color w:val="auto"/>
          <w:kern w:val="2"/>
          <w:sz w:val="21"/>
          <w:szCs w:val="21"/>
          <w:highlight w:val="none"/>
          <w:lang w:val="en-US" w:eastAsia="zh-CN" w:bidi="ar-SA"/>
        </w:rPr>
      </w:pPr>
    </w:p>
    <w:p>
      <w:pPr>
        <w:pStyle w:val="2"/>
        <w:spacing w:line="360" w:lineRule="auto"/>
        <w:ind w:firstLine="422" w:firstLineChars="200"/>
        <w:jc w:val="center"/>
        <w:rPr>
          <w:rFonts w:hint="eastAsia" w:ascii="宋体" w:hAnsi="宋体" w:eastAsia="宋体" w:cs="宋体"/>
          <w:b/>
          <w:color w:val="auto"/>
          <w:kern w:val="2"/>
          <w:sz w:val="21"/>
          <w:szCs w:val="21"/>
          <w:highlight w:val="none"/>
          <w:u w:val="single"/>
          <w:lang w:val="en-US" w:eastAsia="zh-CN" w:bidi="ar-SA"/>
        </w:rPr>
      </w:pPr>
      <w:r>
        <w:rPr>
          <w:rFonts w:hint="eastAsia" w:ascii="宋体" w:hAnsi="宋体" w:eastAsia="宋体" w:cs="宋体"/>
          <w:b/>
          <w:color w:val="auto"/>
          <w:kern w:val="2"/>
          <w:sz w:val="21"/>
          <w:szCs w:val="21"/>
          <w:highlight w:val="none"/>
          <w:u w:val="single"/>
          <w:lang w:val="en-US" w:eastAsia="zh-CN" w:bidi="ar-SA"/>
        </w:rPr>
        <w:t>感谢您对携手阳光公司的支持</w:t>
      </w:r>
    </w:p>
    <w:p>
      <w:pPr>
        <w:spacing w:line="312" w:lineRule="auto"/>
        <w:jc w:val="center"/>
        <w:rPr>
          <w:rFonts w:ascii="宋体" w:hAnsi="宋体" w:cs="宋体"/>
          <w:color w:val="auto"/>
          <w:szCs w:val="21"/>
          <w:highlight w:val="none"/>
        </w:rPr>
      </w:pPr>
    </w:p>
    <w:sectPr>
      <w:headerReference r:id="rId6" w:type="default"/>
      <w:foot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
    <w:altName w:val="宋体"/>
    <w:panose1 w:val="00000000000000000000"/>
    <w:charset w:val="86"/>
    <w:family w:val="auto"/>
    <w:pitch w:val="default"/>
    <w:sig w:usb0="00000000" w:usb1="00000000" w:usb2="00000012" w:usb3="00000000" w:csb0="00040001" w:csb1="00000000"/>
  </w:font>
  <w:font w:name="汉仪粗黑简">
    <w:altName w:val="宋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21</w:t>
    </w:r>
    <w:r>
      <w:rPr>
        <w:rFonts w:ascii="宋体" w:hAnsi="宋体"/>
        <w:b/>
        <w:color w:val="000000"/>
        <w:szCs w:val="21"/>
      </w:rPr>
      <w:fldChar w:fldCharType="end"/>
    </w:r>
    <w:r>
      <w:rPr>
        <w:rFonts w:ascii="宋体" w:hAnsi="宋体"/>
        <w:b/>
        <w:color w:val="00000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rFonts w:hint="eastAsia" w:ascii="宋体" w:hAnsi="宋体"/>
        <w:b/>
        <w:szCs w:val="21"/>
      </w:rPr>
      <w:t>盐城市携手阳光集中采购代理有限公司</w:t>
    </w:r>
    <w:r>
      <w:rPr>
        <w:rFonts w:hint="eastAsia"/>
        <w:b/>
        <w:color w:val="000000"/>
        <w:szCs w:val="21"/>
      </w:rPr>
      <w:t>（</w:t>
    </w:r>
    <w:r>
      <w:rPr>
        <w:rFonts w:ascii="宋体" w:hAnsi="宋体"/>
        <w:b/>
        <w:color w:val="000000"/>
        <w:szCs w:val="21"/>
      </w:rPr>
      <w:t>第</w:t>
    </w:r>
    <w:r>
      <w:rPr>
        <w:rFonts w:ascii="宋体" w:hAnsi="宋体"/>
        <w:b/>
        <w:color w:val="000000"/>
        <w:szCs w:val="21"/>
      </w:rPr>
      <w:fldChar w:fldCharType="begin"/>
    </w:r>
    <w:r>
      <w:rPr>
        <w:rFonts w:ascii="宋体" w:hAnsi="宋体"/>
        <w:b/>
        <w:color w:val="000000"/>
        <w:szCs w:val="21"/>
      </w:rPr>
      <w:instrText xml:space="preserve"> PAGE   \* MERGEFORMAT </w:instrText>
    </w:r>
    <w:r>
      <w:rPr>
        <w:rFonts w:ascii="宋体" w:hAnsi="宋体"/>
        <w:b/>
        <w:color w:val="000000"/>
        <w:szCs w:val="21"/>
      </w:rPr>
      <w:fldChar w:fldCharType="separate"/>
    </w:r>
    <w:r>
      <w:rPr>
        <w:rFonts w:ascii="宋体" w:hAnsi="宋体"/>
        <w:b/>
        <w:color w:val="000000"/>
        <w:szCs w:val="21"/>
        <w:lang w:val="zh-CN"/>
      </w:rPr>
      <w:t>37</w:t>
    </w:r>
    <w:r>
      <w:rPr>
        <w:rFonts w:ascii="宋体" w:hAnsi="宋体"/>
        <w:b/>
        <w:color w:val="000000"/>
        <w:szCs w:val="21"/>
      </w:rPr>
      <w:fldChar w:fldCharType="end"/>
    </w:r>
    <w:r>
      <w:rPr>
        <w:rFonts w:ascii="宋体" w:hAnsi="宋体"/>
        <w:b/>
        <w:color w:val="000000"/>
        <w:szCs w:val="21"/>
      </w:rPr>
      <w:t>页</w:t>
    </w:r>
    <w:r>
      <w:rPr>
        <w:rFonts w:hint="eastAsia" w:ascii="宋体" w:hAnsi="宋体"/>
        <w:b/>
        <w:color w:val="00000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pict>
        <v:shape id="PowerPlusWaterMarkObject33037" o:spid="_x0000_s2049" o:spt="136" type="#_x0000_t136" style="position:absolute;left:0pt;height:32.2pt;width:641.2pt;mso-position-horizontal:center;mso-position-horizontal-relative:margin;mso-position-vertical:center;mso-position-vertical-relative:margin;rotation:-2949120f;z-index:-251640832;mso-width-relative:page;mso-height-relative:page;" fillcolor="#C0C0C0" filled="t" stroked="f" coordsize="21600,21600">
          <v:path/>
          <v:fill on="t" opacity="32768f" focussize="0,0"/>
          <v:stroke on="f"/>
          <v:imagedata o:title=""/>
          <o:lock v:ext="edit" aspectratio="t"/>
          <v:textpath on="t" fitshape="t" fitpath="t" trim="t" xscale="f" string="盐城市携手阳光集中采购代理有限公司版权所有、严禁摘抄" style="font-family:微软雅黑;font-size:36pt;v-text-align:center;"/>
        </v:shape>
      </w:pict>
    </w:r>
    <w:r>
      <w:rPr>
        <w:rFonts w:hint="eastAsia"/>
        <w:b/>
        <w:szCs w:val="21"/>
      </w:rPr>
      <w:t>术业有专攻、政采有阳光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Cs w:val="21"/>
      </w:rPr>
    </w:pPr>
    <w:r>
      <w:rPr>
        <w:b/>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167005</wp:posOffset>
              </wp:positionV>
              <wp:extent cx="6323330" cy="0"/>
              <wp:effectExtent l="0" t="7620" r="0" b="8255"/>
              <wp:wrapNone/>
              <wp:docPr id="4" name="自选图形 6149"/>
              <wp:cNvGraphicFramePr/>
              <a:graphic xmlns:a="http://schemas.openxmlformats.org/drawingml/2006/main">
                <a:graphicData uri="http://schemas.microsoft.com/office/word/2010/wordprocessingShape">
                  <wps:wsp>
                    <wps:cNvCnPr/>
                    <wps:spPr bwMode="auto">
                      <a:xfrm>
                        <a:off x="0" y="0"/>
                        <a:ext cx="6323330" cy="0"/>
                      </a:xfrm>
                      <a:prstGeom prst="straightConnector1">
                        <a:avLst/>
                      </a:prstGeom>
                      <a:noFill/>
                      <a:ln w="15875">
                        <a:solidFill>
                          <a:srgbClr val="739CC3"/>
                        </a:solidFill>
                        <a:round/>
                      </a:ln>
                      <a:effectLst/>
                    </wps:spPr>
                    <wps:bodyPr/>
                  </wps:wsp>
                </a:graphicData>
              </a:graphic>
            </wp:anchor>
          </w:drawing>
        </mc:Choice>
        <mc:Fallback>
          <w:pict>
            <v:shape id="自选图形 6149" o:spid="_x0000_s1026" o:spt="32" type="#_x0000_t32" style="position:absolute;left:0pt;margin-left:0.6pt;margin-top:13.15pt;height:0pt;width:497.9pt;z-index:251676672;mso-width-relative:page;mso-height-relative:page;" filled="f" stroked="t" coordsize="21600,21600" o:gfxdata="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1/QNvUAAAABwEAAA8AAAAA&#10;AAAAAQAgAAAAIgAAAGRycy9kb3ducmV2LnhtbFBLAQIUABQAAAAIAIdO4kBNEOcP3wEAAJUDAAAO&#10;AAAAAAAAAAEAIAAAACMBAABkcnMvZTJvRG9jLnhtbFBLBQYAAAAABgAGAFkBAAB0BQAAAAA=&#10;">
              <v:fill on="f" focussize="0,0"/>
              <v:stroke weight="1.25pt" color="#739CC3" joinstyle="round"/>
              <v:imagedata o:title=""/>
              <o:lock v:ext="edit" aspectratio="f"/>
            </v:shape>
          </w:pict>
        </mc:Fallback>
      </mc:AlternateContent>
    </w:r>
    <w:r>
      <w:rPr>
        <w:b/>
      </w:rPr>
      <w:pict>
        <v:shape id="_x0000_s2052" o:spid="_x0000_s2052" o:spt="136" type="#_x0000_t136" style="position:absolute;left:0pt;height:24.6pt;width:641.55pt;mso-position-horizontal:center;mso-position-horizontal-relative:margin;mso-position-vertical:center;mso-position-vertical-relative:margin;rotation:20643840f;z-index:-251638784;mso-width-relative:page;mso-height-relative:page;" fillcolor="#C0C0C0" filled="t" stroked="f" coordsize="21600,21600" o:allowincell="f">
          <v:path/>
          <v:fill on="t" opacity="32768f" focussize="0,0"/>
          <v:stroke on="f"/>
          <v:imagedata o:title=""/>
          <o:lock v:ext="edit"/>
          <v:textpath on="t" fitshape="t" fitpath="t" trim="t" xscale="f" string="盐城市携手阳光集中采购代理有限公司版权所有、严禁摘抄" style="font-family:宋体;font-size:8pt;v-text-align:center;"/>
        </v:shape>
      </w:pict>
    </w:r>
    <w:r>
      <w:rPr>
        <w:rFonts w:hint="eastAsia"/>
        <w:b/>
        <w:szCs w:val="21"/>
      </w:rPr>
      <w:t>术业有专攻、政采有阳光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BCA1C"/>
    <w:multiLevelType w:val="singleLevel"/>
    <w:tmpl w:val="B80BCA1C"/>
    <w:lvl w:ilvl="0" w:tentative="0">
      <w:start w:val="2"/>
      <w:numFmt w:val="chineseCounting"/>
      <w:suff w:val="nothing"/>
      <w:lvlText w:val="%1、"/>
      <w:lvlJc w:val="left"/>
      <w:rPr>
        <w:rFonts w:hint="eastAsia"/>
      </w:rPr>
    </w:lvl>
  </w:abstractNum>
  <w:abstractNum w:abstractNumId="1">
    <w:nsid w:val="5275C885"/>
    <w:multiLevelType w:val="singleLevel"/>
    <w:tmpl w:val="5275C885"/>
    <w:lvl w:ilvl="0" w:tentative="0">
      <w:start w:val="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ODQxYThlZTdlZmYwNmI5ZWM2YjUyODdkODQwYjEifQ=="/>
  </w:docVars>
  <w:rsids>
    <w:rsidRoot w:val="362A1B67"/>
    <w:rsid w:val="000016F8"/>
    <w:rsid w:val="00001C8E"/>
    <w:rsid w:val="0001736C"/>
    <w:rsid w:val="00023AE2"/>
    <w:rsid w:val="000275B9"/>
    <w:rsid w:val="000316B8"/>
    <w:rsid w:val="0003331F"/>
    <w:rsid w:val="00034000"/>
    <w:rsid w:val="00036B07"/>
    <w:rsid w:val="00041E63"/>
    <w:rsid w:val="00046A2D"/>
    <w:rsid w:val="00071B8E"/>
    <w:rsid w:val="00081B72"/>
    <w:rsid w:val="00082625"/>
    <w:rsid w:val="000851B2"/>
    <w:rsid w:val="00085646"/>
    <w:rsid w:val="00091652"/>
    <w:rsid w:val="000A2297"/>
    <w:rsid w:val="000B4817"/>
    <w:rsid w:val="000D0124"/>
    <w:rsid w:val="000D31A9"/>
    <w:rsid w:val="000D51E0"/>
    <w:rsid w:val="000D783F"/>
    <w:rsid w:val="000F1064"/>
    <w:rsid w:val="000F19FC"/>
    <w:rsid w:val="0010624D"/>
    <w:rsid w:val="00116683"/>
    <w:rsid w:val="00116AA0"/>
    <w:rsid w:val="00120A92"/>
    <w:rsid w:val="001467EC"/>
    <w:rsid w:val="00154AAC"/>
    <w:rsid w:val="001756B4"/>
    <w:rsid w:val="001814E7"/>
    <w:rsid w:val="00184034"/>
    <w:rsid w:val="001A69B1"/>
    <w:rsid w:val="001C0BC5"/>
    <w:rsid w:val="001C0E56"/>
    <w:rsid w:val="001E500B"/>
    <w:rsid w:val="001F31CE"/>
    <w:rsid w:val="001F64AD"/>
    <w:rsid w:val="001F720C"/>
    <w:rsid w:val="0020334F"/>
    <w:rsid w:val="0020613E"/>
    <w:rsid w:val="0021212F"/>
    <w:rsid w:val="00214204"/>
    <w:rsid w:val="00224128"/>
    <w:rsid w:val="002269D4"/>
    <w:rsid w:val="00234A27"/>
    <w:rsid w:val="0024527F"/>
    <w:rsid w:val="00246233"/>
    <w:rsid w:val="00247964"/>
    <w:rsid w:val="00247B18"/>
    <w:rsid w:val="00263DE9"/>
    <w:rsid w:val="00274234"/>
    <w:rsid w:val="00275573"/>
    <w:rsid w:val="002852DA"/>
    <w:rsid w:val="00285E01"/>
    <w:rsid w:val="00286544"/>
    <w:rsid w:val="002951E1"/>
    <w:rsid w:val="002A05CA"/>
    <w:rsid w:val="002A377A"/>
    <w:rsid w:val="002A3AD8"/>
    <w:rsid w:val="002A3F4A"/>
    <w:rsid w:val="002B41DE"/>
    <w:rsid w:val="002C2589"/>
    <w:rsid w:val="002D3B43"/>
    <w:rsid w:val="002E39CB"/>
    <w:rsid w:val="002E66A7"/>
    <w:rsid w:val="002F4571"/>
    <w:rsid w:val="003002D2"/>
    <w:rsid w:val="00305FBD"/>
    <w:rsid w:val="00311CCD"/>
    <w:rsid w:val="00312AE1"/>
    <w:rsid w:val="00327376"/>
    <w:rsid w:val="00330542"/>
    <w:rsid w:val="00341ED6"/>
    <w:rsid w:val="0034696A"/>
    <w:rsid w:val="003535F8"/>
    <w:rsid w:val="00354161"/>
    <w:rsid w:val="003550AC"/>
    <w:rsid w:val="003563FD"/>
    <w:rsid w:val="00396429"/>
    <w:rsid w:val="00396DEE"/>
    <w:rsid w:val="00397FF1"/>
    <w:rsid w:val="003A2FD2"/>
    <w:rsid w:val="003A51C4"/>
    <w:rsid w:val="003B022D"/>
    <w:rsid w:val="003B44A6"/>
    <w:rsid w:val="003D5939"/>
    <w:rsid w:val="003D670D"/>
    <w:rsid w:val="003D7E60"/>
    <w:rsid w:val="003E36A4"/>
    <w:rsid w:val="003F2C20"/>
    <w:rsid w:val="0040150C"/>
    <w:rsid w:val="0040274E"/>
    <w:rsid w:val="004110F2"/>
    <w:rsid w:val="00423C6D"/>
    <w:rsid w:val="004266DA"/>
    <w:rsid w:val="00427431"/>
    <w:rsid w:val="004313ED"/>
    <w:rsid w:val="00434E6A"/>
    <w:rsid w:val="00435474"/>
    <w:rsid w:val="00436FD0"/>
    <w:rsid w:val="00440672"/>
    <w:rsid w:val="00446904"/>
    <w:rsid w:val="004479E5"/>
    <w:rsid w:val="0045397C"/>
    <w:rsid w:val="00456395"/>
    <w:rsid w:val="00460AB1"/>
    <w:rsid w:val="004616BE"/>
    <w:rsid w:val="00465099"/>
    <w:rsid w:val="004679CD"/>
    <w:rsid w:val="00473F8D"/>
    <w:rsid w:val="00493900"/>
    <w:rsid w:val="004A0808"/>
    <w:rsid w:val="004B60F9"/>
    <w:rsid w:val="004B6EBB"/>
    <w:rsid w:val="004C5A40"/>
    <w:rsid w:val="004C7B41"/>
    <w:rsid w:val="004D5F29"/>
    <w:rsid w:val="004E616D"/>
    <w:rsid w:val="004F3F79"/>
    <w:rsid w:val="004F69A5"/>
    <w:rsid w:val="0051278D"/>
    <w:rsid w:val="00520401"/>
    <w:rsid w:val="00530752"/>
    <w:rsid w:val="00541A85"/>
    <w:rsid w:val="0054217F"/>
    <w:rsid w:val="00542988"/>
    <w:rsid w:val="005433AB"/>
    <w:rsid w:val="00545461"/>
    <w:rsid w:val="00546EDC"/>
    <w:rsid w:val="00555137"/>
    <w:rsid w:val="0055637C"/>
    <w:rsid w:val="00565C8E"/>
    <w:rsid w:val="00567379"/>
    <w:rsid w:val="00574BA8"/>
    <w:rsid w:val="00586ACD"/>
    <w:rsid w:val="005A77F1"/>
    <w:rsid w:val="005B0EC8"/>
    <w:rsid w:val="005C779F"/>
    <w:rsid w:val="005E7397"/>
    <w:rsid w:val="005F09CF"/>
    <w:rsid w:val="005F25FC"/>
    <w:rsid w:val="0061633E"/>
    <w:rsid w:val="00616591"/>
    <w:rsid w:val="006208A0"/>
    <w:rsid w:val="006259B3"/>
    <w:rsid w:val="00634251"/>
    <w:rsid w:val="006432CA"/>
    <w:rsid w:val="006475C4"/>
    <w:rsid w:val="00647D65"/>
    <w:rsid w:val="006540DA"/>
    <w:rsid w:val="00654AFE"/>
    <w:rsid w:val="006718B2"/>
    <w:rsid w:val="00675CC3"/>
    <w:rsid w:val="006768C1"/>
    <w:rsid w:val="00694131"/>
    <w:rsid w:val="006A1B37"/>
    <w:rsid w:val="006A73E4"/>
    <w:rsid w:val="006A7A8F"/>
    <w:rsid w:val="006C3745"/>
    <w:rsid w:val="006C72BC"/>
    <w:rsid w:val="006D58EC"/>
    <w:rsid w:val="006D6351"/>
    <w:rsid w:val="006E10CB"/>
    <w:rsid w:val="006E56E0"/>
    <w:rsid w:val="006F0A27"/>
    <w:rsid w:val="00701372"/>
    <w:rsid w:val="00705FF9"/>
    <w:rsid w:val="00710131"/>
    <w:rsid w:val="00712758"/>
    <w:rsid w:val="0072221F"/>
    <w:rsid w:val="00735312"/>
    <w:rsid w:val="0074763D"/>
    <w:rsid w:val="00752306"/>
    <w:rsid w:val="00754D1B"/>
    <w:rsid w:val="0076073D"/>
    <w:rsid w:val="00761733"/>
    <w:rsid w:val="007720C1"/>
    <w:rsid w:val="0077332A"/>
    <w:rsid w:val="00775CD2"/>
    <w:rsid w:val="00776058"/>
    <w:rsid w:val="007770DD"/>
    <w:rsid w:val="00780493"/>
    <w:rsid w:val="0078070D"/>
    <w:rsid w:val="00784788"/>
    <w:rsid w:val="00790537"/>
    <w:rsid w:val="00790E94"/>
    <w:rsid w:val="007959C2"/>
    <w:rsid w:val="007A07A7"/>
    <w:rsid w:val="007A2FE6"/>
    <w:rsid w:val="007D116B"/>
    <w:rsid w:val="007D3802"/>
    <w:rsid w:val="007D75C3"/>
    <w:rsid w:val="007E4B02"/>
    <w:rsid w:val="007E5501"/>
    <w:rsid w:val="007E790B"/>
    <w:rsid w:val="007F7916"/>
    <w:rsid w:val="008011CB"/>
    <w:rsid w:val="0080783C"/>
    <w:rsid w:val="00807E4E"/>
    <w:rsid w:val="00811B26"/>
    <w:rsid w:val="008156D0"/>
    <w:rsid w:val="00817BC0"/>
    <w:rsid w:val="00831D9A"/>
    <w:rsid w:val="008368D9"/>
    <w:rsid w:val="00845B0D"/>
    <w:rsid w:val="00856FAF"/>
    <w:rsid w:val="00863463"/>
    <w:rsid w:val="00881355"/>
    <w:rsid w:val="00890EE5"/>
    <w:rsid w:val="008911D9"/>
    <w:rsid w:val="00895E46"/>
    <w:rsid w:val="008967CE"/>
    <w:rsid w:val="0089730E"/>
    <w:rsid w:val="008A1149"/>
    <w:rsid w:val="008C08A6"/>
    <w:rsid w:val="008D5CB7"/>
    <w:rsid w:val="008E0FC7"/>
    <w:rsid w:val="008E1482"/>
    <w:rsid w:val="008E1D7B"/>
    <w:rsid w:val="008E30FB"/>
    <w:rsid w:val="008F0B95"/>
    <w:rsid w:val="008F21A5"/>
    <w:rsid w:val="008F2F3A"/>
    <w:rsid w:val="008F7CB4"/>
    <w:rsid w:val="00900CB2"/>
    <w:rsid w:val="00906222"/>
    <w:rsid w:val="009070D7"/>
    <w:rsid w:val="00911852"/>
    <w:rsid w:val="00914C32"/>
    <w:rsid w:val="00916CB8"/>
    <w:rsid w:val="00925CA5"/>
    <w:rsid w:val="00940AA8"/>
    <w:rsid w:val="00942D36"/>
    <w:rsid w:val="009467EC"/>
    <w:rsid w:val="00952109"/>
    <w:rsid w:val="00957081"/>
    <w:rsid w:val="00970147"/>
    <w:rsid w:val="009777FB"/>
    <w:rsid w:val="0098087D"/>
    <w:rsid w:val="009C7CD4"/>
    <w:rsid w:val="009D16B6"/>
    <w:rsid w:val="009D226B"/>
    <w:rsid w:val="009D7531"/>
    <w:rsid w:val="009E0EBD"/>
    <w:rsid w:val="009E54DF"/>
    <w:rsid w:val="009E60FA"/>
    <w:rsid w:val="009F3C26"/>
    <w:rsid w:val="00A028AE"/>
    <w:rsid w:val="00A25C33"/>
    <w:rsid w:val="00A33257"/>
    <w:rsid w:val="00A45F9D"/>
    <w:rsid w:val="00A566D5"/>
    <w:rsid w:val="00A603D0"/>
    <w:rsid w:val="00A645CB"/>
    <w:rsid w:val="00A67F48"/>
    <w:rsid w:val="00A81A6E"/>
    <w:rsid w:val="00A84C4D"/>
    <w:rsid w:val="00A914AD"/>
    <w:rsid w:val="00AA1A86"/>
    <w:rsid w:val="00AA2EF4"/>
    <w:rsid w:val="00AA7D21"/>
    <w:rsid w:val="00AC440F"/>
    <w:rsid w:val="00AD309C"/>
    <w:rsid w:val="00AD7CF5"/>
    <w:rsid w:val="00AE4605"/>
    <w:rsid w:val="00AF6A22"/>
    <w:rsid w:val="00B1375E"/>
    <w:rsid w:val="00B21298"/>
    <w:rsid w:val="00B2195F"/>
    <w:rsid w:val="00B36A4F"/>
    <w:rsid w:val="00B655B7"/>
    <w:rsid w:val="00B7130A"/>
    <w:rsid w:val="00B759CB"/>
    <w:rsid w:val="00B80BC0"/>
    <w:rsid w:val="00B84AA7"/>
    <w:rsid w:val="00B91E2C"/>
    <w:rsid w:val="00BA1C5D"/>
    <w:rsid w:val="00BA2A2B"/>
    <w:rsid w:val="00BB2EE9"/>
    <w:rsid w:val="00BB43FE"/>
    <w:rsid w:val="00BC0351"/>
    <w:rsid w:val="00BC23E8"/>
    <w:rsid w:val="00BC2B21"/>
    <w:rsid w:val="00BE3458"/>
    <w:rsid w:val="00BF6C3A"/>
    <w:rsid w:val="00BF7932"/>
    <w:rsid w:val="00C027DF"/>
    <w:rsid w:val="00C03A49"/>
    <w:rsid w:val="00C15F71"/>
    <w:rsid w:val="00C22B0E"/>
    <w:rsid w:val="00C267B0"/>
    <w:rsid w:val="00C536EE"/>
    <w:rsid w:val="00C55603"/>
    <w:rsid w:val="00C579A4"/>
    <w:rsid w:val="00C613FB"/>
    <w:rsid w:val="00C64C19"/>
    <w:rsid w:val="00C71DDA"/>
    <w:rsid w:val="00C763AC"/>
    <w:rsid w:val="00C84C71"/>
    <w:rsid w:val="00C94652"/>
    <w:rsid w:val="00C9625E"/>
    <w:rsid w:val="00CA1F46"/>
    <w:rsid w:val="00CA5DEE"/>
    <w:rsid w:val="00CC57D5"/>
    <w:rsid w:val="00CD4CF7"/>
    <w:rsid w:val="00CF6C8C"/>
    <w:rsid w:val="00D02170"/>
    <w:rsid w:val="00D02320"/>
    <w:rsid w:val="00D02FD2"/>
    <w:rsid w:val="00D032A1"/>
    <w:rsid w:val="00D0368D"/>
    <w:rsid w:val="00D15007"/>
    <w:rsid w:val="00D169E3"/>
    <w:rsid w:val="00D22DDA"/>
    <w:rsid w:val="00D31AD7"/>
    <w:rsid w:val="00D415E4"/>
    <w:rsid w:val="00D46AA8"/>
    <w:rsid w:val="00D5688F"/>
    <w:rsid w:val="00D56F13"/>
    <w:rsid w:val="00D62393"/>
    <w:rsid w:val="00D67D98"/>
    <w:rsid w:val="00D67FEE"/>
    <w:rsid w:val="00D70807"/>
    <w:rsid w:val="00D71EB5"/>
    <w:rsid w:val="00D7446B"/>
    <w:rsid w:val="00D75EE6"/>
    <w:rsid w:val="00D81569"/>
    <w:rsid w:val="00DA1A24"/>
    <w:rsid w:val="00DA2629"/>
    <w:rsid w:val="00DA33D5"/>
    <w:rsid w:val="00DA787D"/>
    <w:rsid w:val="00DB74EE"/>
    <w:rsid w:val="00DD1A8A"/>
    <w:rsid w:val="00DD4BCB"/>
    <w:rsid w:val="00DF2CF7"/>
    <w:rsid w:val="00DF55E7"/>
    <w:rsid w:val="00E02E27"/>
    <w:rsid w:val="00E02EFD"/>
    <w:rsid w:val="00E15216"/>
    <w:rsid w:val="00E17E64"/>
    <w:rsid w:val="00E231A7"/>
    <w:rsid w:val="00E24A2C"/>
    <w:rsid w:val="00E308CC"/>
    <w:rsid w:val="00E31848"/>
    <w:rsid w:val="00E322FB"/>
    <w:rsid w:val="00E32886"/>
    <w:rsid w:val="00E37F75"/>
    <w:rsid w:val="00E425DE"/>
    <w:rsid w:val="00E53934"/>
    <w:rsid w:val="00E55E42"/>
    <w:rsid w:val="00E600F2"/>
    <w:rsid w:val="00E63694"/>
    <w:rsid w:val="00E67CC9"/>
    <w:rsid w:val="00E67E8E"/>
    <w:rsid w:val="00E72C5D"/>
    <w:rsid w:val="00E81CD8"/>
    <w:rsid w:val="00E82ECF"/>
    <w:rsid w:val="00E83862"/>
    <w:rsid w:val="00E8449F"/>
    <w:rsid w:val="00E93FBB"/>
    <w:rsid w:val="00EA2F2F"/>
    <w:rsid w:val="00EB00E5"/>
    <w:rsid w:val="00EB4F05"/>
    <w:rsid w:val="00EB5FF9"/>
    <w:rsid w:val="00EC0008"/>
    <w:rsid w:val="00EC40FB"/>
    <w:rsid w:val="00EC4AAC"/>
    <w:rsid w:val="00EC4C50"/>
    <w:rsid w:val="00EE276B"/>
    <w:rsid w:val="00EE47F7"/>
    <w:rsid w:val="00EF3F0B"/>
    <w:rsid w:val="00F014CC"/>
    <w:rsid w:val="00F146D4"/>
    <w:rsid w:val="00F17454"/>
    <w:rsid w:val="00F174AF"/>
    <w:rsid w:val="00F21AAB"/>
    <w:rsid w:val="00F22FF2"/>
    <w:rsid w:val="00F275E9"/>
    <w:rsid w:val="00F27856"/>
    <w:rsid w:val="00F36BA7"/>
    <w:rsid w:val="00F4199B"/>
    <w:rsid w:val="00F4268F"/>
    <w:rsid w:val="00F47C77"/>
    <w:rsid w:val="00F53038"/>
    <w:rsid w:val="00F530CC"/>
    <w:rsid w:val="00F61750"/>
    <w:rsid w:val="00F63BB1"/>
    <w:rsid w:val="00F64770"/>
    <w:rsid w:val="00F71289"/>
    <w:rsid w:val="00F7210C"/>
    <w:rsid w:val="00F738A0"/>
    <w:rsid w:val="00F74729"/>
    <w:rsid w:val="00F771DD"/>
    <w:rsid w:val="00F8158C"/>
    <w:rsid w:val="00F913D4"/>
    <w:rsid w:val="00F9731F"/>
    <w:rsid w:val="00F973C7"/>
    <w:rsid w:val="00FA0028"/>
    <w:rsid w:val="00FA3D79"/>
    <w:rsid w:val="00FB2763"/>
    <w:rsid w:val="00FB7B0A"/>
    <w:rsid w:val="00FC0D61"/>
    <w:rsid w:val="00FD2CBB"/>
    <w:rsid w:val="00FD5B97"/>
    <w:rsid w:val="00FE1D87"/>
    <w:rsid w:val="00FF6605"/>
    <w:rsid w:val="0101331E"/>
    <w:rsid w:val="010E3620"/>
    <w:rsid w:val="010F7FF3"/>
    <w:rsid w:val="01227B80"/>
    <w:rsid w:val="01255120"/>
    <w:rsid w:val="015679D0"/>
    <w:rsid w:val="016A347B"/>
    <w:rsid w:val="01A050EF"/>
    <w:rsid w:val="01B110AA"/>
    <w:rsid w:val="01EC20E2"/>
    <w:rsid w:val="01EE19B6"/>
    <w:rsid w:val="01F36FCC"/>
    <w:rsid w:val="01FB40D3"/>
    <w:rsid w:val="020250AD"/>
    <w:rsid w:val="021527A1"/>
    <w:rsid w:val="022278B2"/>
    <w:rsid w:val="025A704C"/>
    <w:rsid w:val="02765728"/>
    <w:rsid w:val="027D0F8C"/>
    <w:rsid w:val="027F4D04"/>
    <w:rsid w:val="02837B03"/>
    <w:rsid w:val="02883D22"/>
    <w:rsid w:val="02AE04CF"/>
    <w:rsid w:val="02D67282"/>
    <w:rsid w:val="02EE1086"/>
    <w:rsid w:val="02F254D6"/>
    <w:rsid w:val="02FB6CDA"/>
    <w:rsid w:val="03004097"/>
    <w:rsid w:val="03057289"/>
    <w:rsid w:val="036A1E94"/>
    <w:rsid w:val="036A59B4"/>
    <w:rsid w:val="038500F8"/>
    <w:rsid w:val="03A67D02"/>
    <w:rsid w:val="03AF33C7"/>
    <w:rsid w:val="03EF5EB9"/>
    <w:rsid w:val="03F079D9"/>
    <w:rsid w:val="03F81852"/>
    <w:rsid w:val="03FB660C"/>
    <w:rsid w:val="041B280B"/>
    <w:rsid w:val="042711AF"/>
    <w:rsid w:val="044262F7"/>
    <w:rsid w:val="044D417F"/>
    <w:rsid w:val="044E1D39"/>
    <w:rsid w:val="04610B65"/>
    <w:rsid w:val="046930FC"/>
    <w:rsid w:val="0499464F"/>
    <w:rsid w:val="04B0389B"/>
    <w:rsid w:val="04B8274F"/>
    <w:rsid w:val="04C10480"/>
    <w:rsid w:val="04C335CE"/>
    <w:rsid w:val="052120A3"/>
    <w:rsid w:val="052676B9"/>
    <w:rsid w:val="052F1D0F"/>
    <w:rsid w:val="05300538"/>
    <w:rsid w:val="05345E1D"/>
    <w:rsid w:val="053E4A03"/>
    <w:rsid w:val="05485881"/>
    <w:rsid w:val="054933A7"/>
    <w:rsid w:val="055C30DB"/>
    <w:rsid w:val="05753047"/>
    <w:rsid w:val="05804BC2"/>
    <w:rsid w:val="058645FB"/>
    <w:rsid w:val="058D14E6"/>
    <w:rsid w:val="05922FA0"/>
    <w:rsid w:val="059C656F"/>
    <w:rsid w:val="05A76A4C"/>
    <w:rsid w:val="05DF2F6E"/>
    <w:rsid w:val="05EC3CFE"/>
    <w:rsid w:val="05F72E03"/>
    <w:rsid w:val="066B5CCB"/>
    <w:rsid w:val="068E5516"/>
    <w:rsid w:val="069A210C"/>
    <w:rsid w:val="069F5975"/>
    <w:rsid w:val="06A37B17"/>
    <w:rsid w:val="06A66D03"/>
    <w:rsid w:val="06B93983"/>
    <w:rsid w:val="06D43123"/>
    <w:rsid w:val="06D66EBD"/>
    <w:rsid w:val="06D82C35"/>
    <w:rsid w:val="070C4535"/>
    <w:rsid w:val="07293490"/>
    <w:rsid w:val="073E518E"/>
    <w:rsid w:val="077D2FDF"/>
    <w:rsid w:val="07807554"/>
    <w:rsid w:val="079B25E0"/>
    <w:rsid w:val="07B0512D"/>
    <w:rsid w:val="07BC2556"/>
    <w:rsid w:val="07C40E9D"/>
    <w:rsid w:val="07D77390"/>
    <w:rsid w:val="07E163D5"/>
    <w:rsid w:val="07F1509C"/>
    <w:rsid w:val="07F46FEF"/>
    <w:rsid w:val="08070A00"/>
    <w:rsid w:val="080812F8"/>
    <w:rsid w:val="08354676"/>
    <w:rsid w:val="084B0776"/>
    <w:rsid w:val="0878647D"/>
    <w:rsid w:val="088F5575"/>
    <w:rsid w:val="08AD3BAB"/>
    <w:rsid w:val="08B64722"/>
    <w:rsid w:val="08BB68D0"/>
    <w:rsid w:val="08CA0902"/>
    <w:rsid w:val="08CC0577"/>
    <w:rsid w:val="08CF4683"/>
    <w:rsid w:val="08D262A8"/>
    <w:rsid w:val="08FB57EA"/>
    <w:rsid w:val="08FF35C4"/>
    <w:rsid w:val="090D2965"/>
    <w:rsid w:val="093D2F14"/>
    <w:rsid w:val="094D16B8"/>
    <w:rsid w:val="0962481E"/>
    <w:rsid w:val="097D7547"/>
    <w:rsid w:val="097D7E05"/>
    <w:rsid w:val="097E3AE5"/>
    <w:rsid w:val="0994055C"/>
    <w:rsid w:val="0995137D"/>
    <w:rsid w:val="09976DD7"/>
    <w:rsid w:val="09CF2342"/>
    <w:rsid w:val="09D83256"/>
    <w:rsid w:val="09DA6CC4"/>
    <w:rsid w:val="09DE4A06"/>
    <w:rsid w:val="09E6794E"/>
    <w:rsid w:val="09FE4D70"/>
    <w:rsid w:val="0A261F09"/>
    <w:rsid w:val="0A2F0DBE"/>
    <w:rsid w:val="0A3677B3"/>
    <w:rsid w:val="0A595E3B"/>
    <w:rsid w:val="0A5B632D"/>
    <w:rsid w:val="0A79472F"/>
    <w:rsid w:val="0A825C26"/>
    <w:rsid w:val="0AA03A6A"/>
    <w:rsid w:val="0AA14293"/>
    <w:rsid w:val="0AA16DBF"/>
    <w:rsid w:val="0AB77B8E"/>
    <w:rsid w:val="0AC27AB4"/>
    <w:rsid w:val="0ACF303E"/>
    <w:rsid w:val="0ACF5A6A"/>
    <w:rsid w:val="0AEC3153"/>
    <w:rsid w:val="0B2428ED"/>
    <w:rsid w:val="0B3F14D4"/>
    <w:rsid w:val="0B6161A3"/>
    <w:rsid w:val="0B687F93"/>
    <w:rsid w:val="0B776EC0"/>
    <w:rsid w:val="0B7D3DAB"/>
    <w:rsid w:val="0BA31874"/>
    <w:rsid w:val="0BB717D7"/>
    <w:rsid w:val="0BC47C2C"/>
    <w:rsid w:val="0C0B7609"/>
    <w:rsid w:val="0C236700"/>
    <w:rsid w:val="0C291044"/>
    <w:rsid w:val="0C2A7A8F"/>
    <w:rsid w:val="0C2C7CAB"/>
    <w:rsid w:val="0C3C259B"/>
    <w:rsid w:val="0C403DDB"/>
    <w:rsid w:val="0C41302A"/>
    <w:rsid w:val="0C447CB9"/>
    <w:rsid w:val="0C4F1BEB"/>
    <w:rsid w:val="0C516F71"/>
    <w:rsid w:val="0C782EF0"/>
    <w:rsid w:val="0CD90540"/>
    <w:rsid w:val="0D110C4F"/>
    <w:rsid w:val="0D1129FD"/>
    <w:rsid w:val="0D183D8B"/>
    <w:rsid w:val="0D3F57BC"/>
    <w:rsid w:val="0D4252AC"/>
    <w:rsid w:val="0D4C1C87"/>
    <w:rsid w:val="0D5D44B5"/>
    <w:rsid w:val="0D774F56"/>
    <w:rsid w:val="0D9A669A"/>
    <w:rsid w:val="0D9D0734"/>
    <w:rsid w:val="0DC95E8B"/>
    <w:rsid w:val="0DE66142"/>
    <w:rsid w:val="0DE7680D"/>
    <w:rsid w:val="0DEB5944"/>
    <w:rsid w:val="0E010E09"/>
    <w:rsid w:val="0E19425F"/>
    <w:rsid w:val="0E1F739B"/>
    <w:rsid w:val="0E286250"/>
    <w:rsid w:val="0E3665B7"/>
    <w:rsid w:val="0E39045D"/>
    <w:rsid w:val="0E3C3018"/>
    <w:rsid w:val="0E5C4FC1"/>
    <w:rsid w:val="0E62296F"/>
    <w:rsid w:val="0E651252"/>
    <w:rsid w:val="0E71409B"/>
    <w:rsid w:val="0E8B1785"/>
    <w:rsid w:val="0ED20405"/>
    <w:rsid w:val="0EDA2FEF"/>
    <w:rsid w:val="0F15222C"/>
    <w:rsid w:val="0F18046C"/>
    <w:rsid w:val="0F410148"/>
    <w:rsid w:val="0F475A3E"/>
    <w:rsid w:val="0F580DB7"/>
    <w:rsid w:val="0F59068B"/>
    <w:rsid w:val="0F5B4403"/>
    <w:rsid w:val="0F625791"/>
    <w:rsid w:val="0F7D306C"/>
    <w:rsid w:val="0F873CFF"/>
    <w:rsid w:val="0F882BE7"/>
    <w:rsid w:val="0F8B1A2C"/>
    <w:rsid w:val="0F9A4F2B"/>
    <w:rsid w:val="0FAE09D7"/>
    <w:rsid w:val="0FB12275"/>
    <w:rsid w:val="0FB57FB7"/>
    <w:rsid w:val="0FC65D20"/>
    <w:rsid w:val="0FD04DF1"/>
    <w:rsid w:val="10153558"/>
    <w:rsid w:val="10476E1D"/>
    <w:rsid w:val="104A6951"/>
    <w:rsid w:val="105D5D5A"/>
    <w:rsid w:val="108A3BC1"/>
    <w:rsid w:val="10AF4A06"/>
    <w:rsid w:val="10C167E4"/>
    <w:rsid w:val="10C763EA"/>
    <w:rsid w:val="10E87F18"/>
    <w:rsid w:val="10EC7E4A"/>
    <w:rsid w:val="10FD1C16"/>
    <w:rsid w:val="11114067"/>
    <w:rsid w:val="11164A85"/>
    <w:rsid w:val="111D5E14"/>
    <w:rsid w:val="1120143A"/>
    <w:rsid w:val="112076B2"/>
    <w:rsid w:val="11271AB8"/>
    <w:rsid w:val="113849FC"/>
    <w:rsid w:val="11607D95"/>
    <w:rsid w:val="11984976"/>
    <w:rsid w:val="11A41E98"/>
    <w:rsid w:val="11A46535"/>
    <w:rsid w:val="11AC0F46"/>
    <w:rsid w:val="11B65921"/>
    <w:rsid w:val="11CA48D8"/>
    <w:rsid w:val="11D706B9"/>
    <w:rsid w:val="11F50CE9"/>
    <w:rsid w:val="12080872"/>
    <w:rsid w:val="12107727"/>
    <w:rsid w:val="12117DB8"/>
    <w:rsid w:val="12187367"/>
    <w:rsid w:val="121C02BE"/>
    <w:rsid w:val="121C431D"/>
    <w:rsid w:val="121E1E82"/>
    <w:rsid w:val="12687563"/>
    <w:rsid w:val="12754004"/>
    <w:rsid w:val="128B2877"/>
    <w:rsid w:val="12975631"/>
    <w:rsid w:val="1299771C"/>
    <w:rsid w:val="12B719F6"/>
    <w:rsid w:val="12C16C73"/>
    <w:rsid w:val="12D06EB6"/>
    <w:rsid w:val="12F7648C"/>
    <w:rsid w:val="13385187"/>
    <w:rsid w:val="133B4C77"/>
    <w:rsid w:val="133F4A0B"/>
    <w:rsid w:val="13426191"/>
    <w:rsid w:val="1347361C"/>
    <w:rsid w:val="13473662"/>
    <w:rsid w:val="13660293"/>
    <w:rsid w:val="1368169B"/>
    <w:rsid w:val="13710699"/>
    <w:rsid w:val="137B5074"/>
    <w:rsid w:val="13873A19"/>
    <w:rsid w:val="13A445CA"/>
    <w:rsid w:val="13B47B12"/>
    <w:rsid w:val="13F05A62"/>
    <w:rsid w:val="13F3192F"/>
    <w:rsid w:val="140F5871"/>
    <w:rsid w:val="143A6CDD"/>
    <w:rsid w:val="144A5C2E"/>
    <w:rsid w:val="144B713C"/>
    <w:rsid w:val="1466786F"/>
    <w:rsid w:val="14717E92"/>
    <w:rsid w:val="14724AB6"/>
    <w:rsid w:val="147621EA"/>
    <w:rsid w:val="14810A3E"/>
    <w:rsid w:val="148B7538"/>
    <w:rsid w:val="149F41D0"/>
    <w:rsid w:val="14C55CE2"/>
    <w:rsid w:val="14C64A14"/>
    <w:rsid w:val="14CA0061"/>
    <w:rsid w:val="14DA49C1"/>
    <w:rsid w:val="14F03EE3"/>
    <w:rsid w:val="15211C4B"/>
    <w:rsid w:val="15324B8E"/>
    <w:rsid w:val="15400C78"/>
    <w:rsid w:val="15443765"/>
    <w:rsid w:val="157D650A"/>
    <w:rsid w:val="157F578C"/>
    <w:rsid w:val="15866F2A"/>
    <w:rsid w:val="15A9411A"/>
    <w:rsid w:val="15B67624"/>
    <w:rsid w:val="15C6392F"/>
    <w:rsid w:val="160976B2"/>
    <w:rsid w:val="160A4F1B"/>
    <w:rsid w:val="16341CFD"/>
    <w:rsid w:val="16393D39"/>
    <w:rsid w:val="16500A3A"/>
    <w:rsid w:val="167744DB"/>
    <w:rsid w:val="1683496B"/>
    <w:rsid w:val="16886814"/>
    <w:rsid w:val="168F32E6"/>
    <w:rsid w:val="16C84A74"/>
    <w:rsid w:val="16D27BE2"/>
    <w:rsid w:val="16D771C7"/>
    <w:rsid w:val="16E01DBD"/>
    <w:rsid w:val="171B0984"/>
    <w:rsid w:val="17261D73"/>
    <w:rsid w:val="17465999"/>
    <w:rsid w:val="174F7450"/>
    <w:rsid w:val="175F3493"/>
    <w:rsid w:val="17852965"/>
    <w:rsid w:val="17AF1790"/>
    <w:rsid w:val="17B80644"/>
    <w:rsid w:val="17F35B20"/>
    <w:rsid w:val="17F77241"/>
    <w:rsid w:val="18021CD6"/>
    <w:rsid w:val="181B72DB"/>
    <w:rsid w:val="182C2DE0"/>
    <w:rsid w:val="184019AC"/>
    <w:rsid w:val="18407B66"/>
    <w:rsid w:val="18655025"/>
    <w:rsid w:val="186662F2"/>
    <w:rsid w:val="188104BD"/>
    <w:rsid w:val="18965ABA"/>
    <w:rsid w:val="18A86B9B"/>
    <w:rsid w:val="18C106AC"/>
    <w:rsid w:val="18CE20EA"/>
    <w:rsid w:val="18CE7660"/>
    <w:rsid w:val="18F712F7"/>
    <w:rsid w:val="190855FC"/>
    <w:rsid w:val="190E0811"/>
    <w:rsid w:val="1926420A"/>
    <w:rsid w:val="19287A4C"/>
    <w:rsid w:val="192C485A"/>
    <w:rsid w:val="19393A07"/>
    <w:rsid w:val="193F08F1"/>
    <w:rsid w:val="19422C35"/>
    <w:rsid w:val="19486114"/>
    <w:rsid w:val="19660047"/>
    <w:rsid w:val="196A2073"/>
    <w:rsid w:val="197A603E"/>
    <w:rsid w:val="19834C82"/>
    <w:rsid w:val="199B1FCC"/>
    <w:rsid w:val="19A30E80"/>
    <w:rsid w:val="19A433D2"/>
    <w:rsid w:val="19AC7DD1"/>
    <w:rsid w:val="19AD0473"/>
    <w:rsid w:val="19B25567"/>
    <w:rsid w:val="19CB3F91"/>
    <w:rsid w:val="19DE1D4A"/>
    <w:rsid w:val="19FD67E3"/>
    <w:rsid w:val="1A02204B"/>
    <w:rsid w:val="1A07140F"/>
    <w:rsid w:val="1A154DA1"/>
    <w:rsid w:val="1A2056A9"/>
    <w:rsid w:val="1A347B93"/>
    <w:rsid w:val="1A4C59BC"/>
    <w:rsid w:val="1A562397"/>
    <w:rsid w:val="1A785273"/>
    <w:rsid w:val="1A864B29"/>
    <w:rsid w:val="1A9A04D5"/>
    <w:rsid w:val="1AAB623F"/>
    <w:rsid w:val="1ABD41C4"/>
    <w:rsid w:val="1AD82DAC"/>
    <w:rsid w:val="1B157B5C"/>
    <w:rsid w:val="1B1B17E0"/>
    <w:rsid w:val="1B2349D2"/>
    <w:rsid w:val="1B326960"/>
    <w:rsid w:val="1B373F76"/>
    <w:rsid w:val="1B6805D3"/>
    <w:rsid w:val="1B6A4FBB"/>
    <w:rsid w:val="1B7C2C5F"/>
    <w:rsid w:val="1BA55384"/>
    <w:rsid w:val="1BDB0DA5"/>
    <w:rsid w:val="1BE063BC"/>
    <w:rsid w:val="1BE55780"/>
    <w:rsid w:val="1C0E117B"/>
    <w:rsid w:val="1C140973"/>
    <w:rsid w:val="1C3F7586"/>
    <w:rsid w:val="1C5D1630"/>
    <w:rsid w:val="1C6B499B"/>
    <w:rsid w:val="1C784846"/>
    <w:rsid w:val="1C7C14FF"/>
    <w:rsid w:val="1C821221"/>
    <w:rsid w:val="1C881132"/>
    <w:rsid w:val="1CAB4C1C"/>
    <w:rsid w:val="1CB11952"/>
    <w:rsid w:val="1CCB1FF0"/>
    <w:rsid w:val="1CE1575A"/>
    <w:rsid w:val="1CEC6434"/>
    <w:rsid w:val="1D1A76AB"/>
    <w:rsid w:val="1D2F6BAE"/>
    <w:rsid w:val="1D2F75FB"/>
    <w:rsid w:val="1D506B65"/>
    <w:rsid w:val="1D550375"/>
    <w:rsid w:val="1D570900"/>
    <w:rsid w:val="1D61352C"/>
    <w:rsid w:val="1D6357BE"/>
    <w:rsid w:val="1D6A233A"/>
    <w:rsid w:val="1D877B74"/>
    <w:rsid w:val="1D8863E1"/>
    <w:rsid w:val="1D8D4321"/>
    <w:rsid w:val="1D976F4E"/>
    <w:rsid w:val="1DCA1E79"/>
    <w:rsid w:val="1DCB2DDC"/>
    <w:rsid w:val="1DDA47F9"/>
    <w:rsid w:val="1DE33CD0"/>
    <w:rsid w:val="1DFE701D"/>
    <w:rsid w:val="1E14059F"/>
    <w:rsid w:val="1E1B192D"/>
    <w:rsid w:val="1E205195"/>
    <w:rsid w:val="1E226631"/>
    <w:rsid w:val="1E313FB3"/>
    <w:rsid w:val="1E5B7F7C"/>
    <w:rsid w:val="1E6F6EC6"/>
    <w:rsid w:val="1E7B061E"/>
    <w:rsid w:val="1E8066E5"/>
    <w:rsid w:val="1E94348E"/>
    <w:rsid w:val="1EB3600A"/>
    <w:rsid w:val="1ECD27F5"/>
    <w:rsid w:val="1ED470A1"/>
    <w:rsid w:val="1EDE6ADB"/>
    <w:rsid w:val="1EF02DBA"/>
    <w:rsid w:val="1EF64B18"/>
    <w:rsid w:val="1F095C2A"/>
    <w:rsid w:val="1F1162C7"/>
    <w:rsid w:val="1F157FEC"/>
    <w:rsid w:val="1F244811"/>
    <w:rsid w:val="1F3044ED"/>
    <w:rsid w:val="1F3543D1"/>
    <w:rsid w:val="1F386FFD"/>
    <w:rsid w:val="1F552C1D"/>
    <w:rsid w:val="1F58358F"/>
    <w:rsid w:val="1F6F0CDC"/>
    <w:rsid w:val="1F721A21"/>
    <w:rsid w:val="1F852AAF"/>
    <w:rsid w:val="1FB738D7"/>
    <w:rsid w:val="1FC875CB"/>
    <w:rsid w:val="1FCF29CF"/>
    <w:rsid w:val="1FFC753C"/>
    <w:rsid w:val="1FFD287D"/>
    <w:rsid w:val="2000702C"/>
    <w:rsid w:val="2011123A"/>
    <w:rsid w:val="20317AB3"/>
    <w:rsid w:val="20362A4E"/>
    <w:rsid w:val="206A094A"/>
    <w:rsid w:val="20784E15"/>
    <w:rsid w:val="20A563AA"/>
    <w:rsid w:val="20BF0710"/>
    <w:rsid w:val="20C067BC"/>
    <w:rsid w:val="20CE2C87"/>
    <w:rsid w:val="20D373A8"/>
    <w:rsid w:val="20DD55C0"/>
    <w:rsid w:val="20F36B91"/>
    <w:rsid w:val="20FB5A46"/>
    <w:rsid w:val="21286B8A"/>
    <w:rsid w:val="212E1977"/>
    <w:rsid w:val="2149055F"/>
    <w:rsid w:val="214C004F"/>
    <w:rsid w:val="215C0EAE"/>
    <w:rsid w:val="21621621"/>
    <w:rsid w:val="21670C2F"/>
    <w:rsid w:val="2178128D"/>
    <w:rsid w:val="21815F4B"/>
    <w:rsid w:val="21823A71"/>
    <w:rsid w:val="21AE748E"/>
    <w:rsid w:val="21BD2FC0"/>
    <w:rsid w:val="21F36C22"/>
    <w:rsid w:val="21FD7766"/>
    <w:rsid w:val="222114DC"/>
    <w:rsid w:val="2221328A"/>
    <w:rsid w:val="224C4B12"/>
    <w:rsid w:val="224D3AFB"/>
    <w:rsid w:val="225C2514"/>
    <w:rsid w:val="22635280"/>
    <w:rsid w:val="227B299A"/>
    <w:rsid w:val="228D0920"/>
    <w:rsid w:val="22921111"/>
    <w:rsid w:val="22934188"/>
    <w:rsid w:val="22A46395"/>
    <w:rsid w:val="22B32A8D"/>
    <w:rsid w:val="22B8599C"/>
    <w:rsid w:val="22C6199A"/>
    <w:rsid w:val="22C70EA0"/>
    <w:rsid w:val="22C92FCC"/>
    <w:rsid w:val="22CC31F6"/>
    <w:rsid w:val="22CD7F3B"/>
    <w:rsid w:val="22D30A28"/>
    <w:rsid w:val="22D622C7"/>
    <w:rsid w:val="22F340D5"/>
    <w:rsid w:val="22F97D63"/>
    <w:rsid w:val="234C277D"/>
    <w:rsid w:val="234E08B2"/>
    <w:rsid w:val="238E2BA1"/>
    <w:rsid w:val="2393640A"/>
    <w:rsid w:val="23A71402"/>
    <w:rsid w:val="23AE66CF"/>
    <w:rsid w:val="23BC770E"/>
    <w:rsid w:val="23C10881"/>
    <w:rsid w:val="23FA0237"/>
    <w:rsid w:val="24084702"/>
    <w:rsid w:val="241652B5"/>
    <w:rsid w:val="24305BD0"/>
    <w:rsid w:val="24311EAA"/>
    <w:rsid w:val="246456B0"/>
    <w:rsid w:val="2466617A"/>
    <w:rsid w:val="247022A7"/>
    <w:rsid w:val="249C309C"/>
    <w:rsid w:val="24A95308"/>
    <w:rsid w:val="24B672B1"/>
    <w:rsid w:val="24E862E1"/>
    <w:rsid w:val="24F86524"/>
    <w:rsid w:val="250729FD"/>
    <w:rsid w:val="252A7D7C"/>
    <w:rsid w:val="253908EB"/>
    <w:rsid w:val="253C1F85"/>
    <w:rsid w:val="254479BB"/>
    <w:rsid w:val="254F23F1"/>
    <w:rsid w:val="2556149D"/>
    <w:rsid w:val="25764776"/>
    <w:rsid w:val="257A620F"/>
    <w:rsid w:val="25A22934"/>
    <w:rsid w:val="25D564AB"/>
    <w:rsid w:val="25D66AED"/>
    <w:rsid w:val="25E20F82"/>
    <w:rsid w:val="25E47AF0"/>
    <w:rsid w:val="25E71733"/>
    <w:rsid w:val="25E935F0"/>
    <w:rsid w:val="25F0544D"/>
    <w:rsid w:val="26040EF9"/>
    <w:rsid w:val="2604714B"/>
    <w:rsid w:val="262449BF"/>
    <w:rsid w:val="2634595C"/>
    <w:rsid w:val="26346C43"/>
    <w:rsid w:val="265E446B"/>
    <w:rsid w:val="2669103C"/>
    <w:rsid w:val="26763BCF"/>
    <w:rsid w:val="269009DE"/>
    <w:rsid w:val="269F0C21"/>
    <w:rsid w:val="26A56238"/>
    <w:rsid w:val="26B836F3"/>
    <w:rsid w:val="26CB02AF"/>
    <w:rsid w:val="26E44C79"/>
    <w:rsid w:val="26F31699"/>
    <w:rsid w:val="27007912"/>
    <w:rsid w:val="270A69E3"/>
    <w:rsid w:val="27117B86"/>
    <w:rsid w:val="27165388"/>
    <w:rsid w:val="27193C48"/>
    <w:rsid w:val="271F3D3B"/>
    <w:rsid w:val="272730F1"/>
    <w:rsid w:val="276F1A45"/>
    <w:rsid w:val="27D56FF1"/>
    <w:rsid w:val="27DD5EA5"/>
    <w:rsid w:val="27EF5E2F"/>
    <w:rsid w:val="282633A8"/>
    <w:rsid w:val="2828082C"/>
    <w:rsid w:val="284A0BC8"/>
    <w:rsid w:val="284C442A"/>
    <w:rsid w:val="28727A72"/>
    <w:rsid w:val="28901037"/>
    <w:rsid w:val="289651BD"/>
    <w:rsid w:val="28AA5A71"/>
    <w:rsid w:val="28B577B6"/>
    <w:rsid w:val="28D81409"/>
    <w:rsid w:val="28E051EA"/>
    <w:rsid w:val="28F107FE"/>
    <w:rsid w:val="2907142C"/>
    <w:rsid w:val="29155EC0"/>
    <w:rsid w:val="292D0766"/>
    <w:rsid w:val="29480202"/>
    <w:rsid w:val="294A756A"/>
    <w:rsid w:val="295233DA"/>
    <w:rsid w:val="295853A5"/>
    <w:rsid w:val="295959FF"/>
    <w:rsid w:val="295D54F0"/>
    <w:rsid w:val="2964687E"/>
    <w:rsid w:val="29777BB7"/>
    <w:rsid w:val="297F5EFD"/>
    <w:rsid w:val="29802F8C"/>
    <w:rsid w:val="29A50C45"/>
    <w:rsid w:val="29BD1AEA"/>
    <w:rsid w:val="29CA4B8D"/>
    <w:rsid w:val="29FF65A7"/>
    <w:rsid w:val="2A043BBD"/>
    <w:rsid w:val="2A047719"/>
    <w:rsid w:val="2A0E0598"/>
    <w:rsid w:val="2A44045E"/>
    <w:rsid w:val="2A486993"/>
    <w:rsid w:val="2A513ACE"/>
    <w:rsid w:val="2A5F4D16"/>
    <w:rsid w:val="2A841EDB"/>
    <w:rsid w:val="2A9071FF"/>
    <w:rsid w:val="2A9133E6"/>
    <w:rsid w:val="2A930A9D"/>
    <w:rsid w:val="2AAA2063"/>
    <w:rsid w:val="2AAB5086"/>
    <w:rsid w:val="2AC1385C"/>
    <w:rsid w:val="2AC80521"/>
    <w:rsid w:val="2AC8468D"/>
    <w:rsid w:val="2ACA0963"/>
    <w:rsid w:val="2ACE1AD5"/>
    <w:rsid w:val="2AD215C5"/>
    <w:rsid w:val="2AD43590"/>
    <w:rsid w:val="2AEE7399"/>
    <w:rsid w:val="2AF21C68"/>
    <w:rsid w:val="2B00796F"/>
    <w:rsid w:val="2B031B1F"/>
    <w:rsid w:val="2B03342D"/>
    <w:rsid w:val="2B0549A6"/>
    <w:rsid w:val="2B0A6FB1"/>
    <w:rsid w:val="2B30453E"/>
    <w:rsid w:val="2B350611"/>
    <w:rsid w:val="2B585F6F"/>
    <w:rsid w:val="2B591CE7"/>
    <w:rsid w:val="2B771B53"/>
    <w:rsid w:val="2B772B27"/>
    <w:rsid w:val="2B8723B0"/>
    <w:rsid w:val="2B8C5BD2"/>
    <w:rsid w:val="2BA016C4"/>
    <w:rsid w:val="2BB331A5"/>
    <w:rsid w:val="2BB72C49"/>
    <w:rsid w:val="2BC2163A"/>
    <w:rsid w:val="2BE041B6"/>
    <w:rsid w:val="2BEE0681"/>
    <w:rsid w:val="2BEE68D3"/>
    <w:rsid w:val="2BEF3B51"/>
    <w:rsid w:val="2C22032B"/>
    <w:rsid w:val="2C2B5431"/>
    <w:rsid w:val="2C2E4F21"/>
    <w:rsid w:val="2C3D33B6"/>
    <w:rsid w:val="2C5B55EB"/>
    <w:rsid w:val="2C672FBC"/>
    <w:rsid w:val="2C764070"/>
    <w:rsid w:val="2C773DF0"/>
    <w:rsid w:val="2C7C3EDF"/>
    <w:rsid w:val="2C86549C"/>
    <w:rsid w:val="2CA647B0"/>
    <w:rsid w:val="2CAD6FBD"/>
    <w:rsid w:val="2CC87EC9"/>
    <w:rsid w:val="2CEA52EC"/>
    <w:rsid w:val="2D12214D"/>
    <w:rsid w:val="2D2D342B"/>
    <w:rsid w:val="2D3C71CA"/>
    <w:rsid w:val="2D4C1B03"/>
    <w:rsid w:val="2D68635B"/>
    <w:rsid w:val="2D7E3C87"/>
    <w:rsid w:val="2D802544"/>
    <w:rsid w:val="2D82443B"/>
    <w:rsid w:val="2DFD4010"/>
    <w:rsid w:val="2E0F48DF"/>
    <w:rsid w:val="2E1B5A55"/>
    <w:rsid w:val="2E2465DC"/>
    <w:rsid w:val="2E2C3D21"/>
    <w:rsid w:val="2E2D4A25"/>
    <w:rsid w:val="2E355A57"/>
    <w:rsid w:val="2E3F3416"/>
    <w:rsid w:val="2E5F1A8F"/>
    <w:rsid w:val="2E6115DE"/>
    <w:rsid w:val="2E6C3ADF"/>
    <w:rsid w:val="2E7A61FC"/>
    <w:rsid w:val="2E7C01C6"/>
    <w:rsid w:val="2E890E4A"/>
    <w:rsid w:val="2E9C43C4"/>
    <w:rsid w:val="2EAC5FDD"/>
    <w:rsid w:val="2ED246EE"/>
    <w:rsid w:val="2ED51684"/>
    <w:rsid w:val="2ED973C6"/>
    <w:rsid w:val="2EDA313F"/>
    <w:rsid w:val="2EFC4E63"/>
    <w:rsid w:val="2F081A5A"/>
    <w:rsid w:val="2F300FB0"/>
    <w:rsid w:val="2F320885"/>
    <w:rsid w:val="2F3565C7"/>
    <w:rsid w:val="2F3C7955"/>
    <w:rsid w:val="2F634EE2"/>
    <w:rsid w:val="2F6628DC"/>
    <w:rsid w:val="2F8B61E7"/>
    <w:rsid w:val="2FA93C74"/>
    <w:rsid w:val="2FD268A1"/>
    <w:rsid w:val="2FDE4077"/>
    <w:rsid w:val="2FE04785"/>
    <w:rsid w:val="2FE07B7F"/>
    <w:rsid w:val="2FED0C50"/>
    <w:rsid w:val="2FF81ACE"/>
    <w:rsid w:val="30032221"/>
    <w:rsid w:val="300466C5"/>
    <w:rsid w:val="300E150D"/>
    <w:rsid w:val="300E30A0"/>
    <w:rsid w:val="30110DE2"/>
    <w:rsid w:val="30123FFF"/>
    <w:rsid w:val="30180806"/>
    <w:rsid w:val="3034062C"/>
    <w:rsid w:val="305D7845"/>
    <w:rsid w:val="306F163B"/>
    <w:rsid w:val="307750E9"/>
    <w:rsid w:val="30BF439A"/>
    <w:rsid w:val="30E107B4"/>
    <w:rsid w:val="30F5600E"/>
    <w:rsid w:val="31175F84"/>
    <w:rsid w:val="3126266B"/>
    <w:rsid w:val="313C023F"/>
    <w:rsid w:val="3152520E"/>
    <w:rsid w:val="31556AAC"/>
    <w:rsid w:val="315A2315"/>
    <w:rsid w:val="316D2048"/>
    <w:rsid w:val="31790FDA"/>
    <w:rsid w:val="31807FCD"/>
    <w:rsid w:val="319B60D4"/>
    <w:rsid w:val="319D3AE7"/>
    <w:rsid w:val="31AF440F"/>
    <w:rsid w:val="31B400AF"/>
    <w:rsid w:val="31B8508B"/>
    <w:rsid w:val="31BA4166"/>
    <w:rsid w:val="31CD0D39"/>
    <w:rsid w:val="31D67BED"/>
    <w:rsid w:val="31D810C6"/>
    <w:rsid w:val="31E130B4"/>
    <w:rsid w:val="31F55998"/>
    <w:rsid w:val="31F70E8B"/>
    <w:rsid w:val="31FE0EF2"/>
    <w:rsid w:val="321B36E9"/>
    <w:rsid w:val="3229511D"/>
    <w:rsid w:val="322975DE"/>
    <w:rsid w:val="32371651"/>
    <w:rsid w:val="32425283"/>
    <w:rsid w:val="324C7EAF"/>
    <w:rsid w:val="32666042"/>
    <w:rsid w:val="326E42CA"/>
    <w:rsid w:val="32773D06"/>
    <w:rsid w:val="327D275F"/>
    <w:rsid w:val="3280648A"/>
    <w:rsid w:val="32AB643B"/>
    <w:rsid w:val="32B10AC5"/>
    <w:rsid w:val="32D06D32"/>
    <w:rsid w:val="32E14A9C"/>
    <w:rsid w:val="32E225C2"/>
    <w:rsid w:val="330C5891"/>
    <w:rsid w:val="3329254E"/>
    <w:rsid w:val="33311883"/>
    <w:rsid w:val="334119DE"/>
    <w:rsid w:val="33521F74"/>
    <w:rsid w:val="33574D5E"/>
    <w:rsid w:val="33581F25"/>
    <w:rsid w:val="33712D71"/>
    <w:rsid w:val="33801D40"/>
    <w:rsid w:val="338F3C47"/>
    <w:rsid w:val="33A71511"/>
    <w:rsid w:val="33AD7074"/>
    <w:rsid w:val="33F829BD"/>
    <w:rsid w:val="341F6F52"/>
    <w:rsid w:val="3431735D"/>
    <w:rsid w:val="34325348"/>
    <w:rsid w:val="34395261"/>
    <w:rsid w:val="34480949"/>
    <w:rsid w:val="344A041F"/>
    <w:rsid w:val="345C0152"/>
    <w:rsid w:val="34884182"/>
    <w:rsid w:val="34930017"/>
    <w:rsid w:val="34E24A8D"/>
    <w:rsid w:val="34F5230B"/>
    <w:rsid w:val="35026026"/>
    <w:rsid w:val="35037D99"/>
    <w:rsid w:val="350667E1"/>
    <w:rsid w:val="351902AC"/>
    <w:rsid w:val="35241A74"/>
    <w:rsid w:val="35335357"/>
    <w:rsid w:val="35376B59"/>
    <w:rsid w:val="353C06AF"/>
    <w:rsid w:val="354B444E"/>
    <w:rsid w:val="3558284F"/>
    <w:rsid w:val="355F7EFA"/>
    <w:rsid w:val="35603F38"/>
    <w:rsid w:val="35625A6E"/>
    <w:rsid w:val="35753BC1"/>
    <w:rsid w:val="35773495"/>
    <w:rsid w:val="35777939"/>
    <w:rsid w:val="35971C6B"/>
    <w:rsid w:val="35B20971"/>
    <w:rsid w:val="35B27FAC"/>
    <w:rsid w:val="35E1035F"/>
    <w:rsid w:val="35F7332A"/>
    <w:rsid w:val="35F965A0"/>
    <w:rsid w:val="361E7DB5"/>
    <w:rsid w:val="362A1B67"/>
    <w:rsid w:val="36380975"/>
    <w:rsid w:val="364C4922"/>
    <w:rsid w:val="36590DED"/>
    <w:rsid w:val="369960B5"/>
    <w:rsid w:val="369C67E3"/>
    <w:rsid w:val="36A52284"/>
    <w:rsid w:val="36B6623F"/>
    <w:rsid w:val="36C175C6"/>
    <w:rsid w:val="36CE3589"/>
    <w:rsid w:val="36CE5337"/>
    <w:rsid w:val="36EA0D42"/>
    <w:rsid w:val="370E7E29"/>
    <w:rsid w:val="3710594F"/>
    <w:rsid w:val="371600E9"/>
    <w:rsid w:val="372B50A7"/>
    <w:rsid w:val="3736112E"/>
    <w:rsid w:val="37513B77"/>
    <w:rsid w:val="375A2988"/>
    <w:rsid w:val="379C0A32"/>
    <w:rsid w:val="37A10C9D"/>
    <w:rsid w:val="37EB016A"/>
    <w:rsid w:val="37F039D3"/>
    <w:rsid w:val="37F601EA"/>
    <w:rsid w:val="380B55F3"/>
    <w:rsid w:val="38251764"/>
    <w:rsid w:val="382A45EF"/>
    <w:rsid w:val="383330A9"/>
    <w:rsid w:val="385B17DF"/>
    <w:rsid w:val="38685317"/>
    <w:rsid w:val="388F4F9A"/>
    <w:rsid w:val="38991974"/>
    <w:rsid w:val="38A65E3F"/>
    <w:rsid w:val="38BE22E2"/>
    <w:rsid w:val="38D15CEB"/>
    <w:rsid w:val="38DD5D05"/>
    <w:rsid w:val="38DE7E5F"/>
    <w:rsid w:val="39130EE6"/>
    <w:rsid w:val="3914724D"/>
    <w:rsid w:val="39251DC5"/>
    <w:rsid w:val="393755D6"/>
    <w:rsid w:val="39424D13"/>
    <w:rsid w:val="3952383F"/>
    <w:rsid w:val="39597B8B"/>
    <w:rsid w:val="395A1104"/>
    <w:rsid w:val="395B4E7C"/>
    <w:rsid w:val="397F6DBC"/>
    <w:rsid w:val="39BD04C7"/>
    <w:rsid w:val="39CD5D7A"/>
    <w:rsid w:val="39D4668B"/>
    <w:rsid w:val="39D52E79"/>
    <w:rsid w:val="39EE5CF0"/>
    <w:rsid w:val="39FC21BB"/>
    <w:rsid w:val="39FF1CAB"/>
    <w:rsid w:val="3A1A4D37"/>
    <w:rsid w:val="3A463592"/>
    <w:rsid w:val="3A485400"/>
    <w:rsid w:val="3A4A561C"/>
    <w:rsid w:val="3A5913BB"/>
    <w:rsid w:val="3A601248"/>
    <w:rsid w:val="3A742699"/>
    <w:rsid w:val="3A762824"/>
    <w:rsid w:val="3A95616C"/>
    <w:rsid w:val="3ABB3E24"/>
    <w:rsid w:val="3ABE667C"/>
    <w:rsid w:val="3ACC4283"/>
    <w:rsid w:val="3AD44ADC"/>
    <w:rsid w:val="3AD90A06"/>
    <w:rsid w:val="3AE534FD"/>
    <w:rsid w:val="3AF31810"/>
    <w:rsid w:val="3AF923D7"/>
    <w:rsid w:val="3AFD55BB"/>
    <w:rsid w:val="3B023801"/>
    <w:rsid w:val="3B084C2D"/>
    <w:rsid w:val="3B20012B"/>
    <w:rsid w:val="3B4F1D9F"/>
    <w:rsid w:val="3B6348DA"/>
    <w:rsid w:val="3B783AC3"/>
    <w:rsid w:val="3B88472B"/>
    <w:rsid w:val="3BBA7C64"/>
    <w:rsid w:val="3BC13445"/>
    <w:rsid w:val="3BC136BC"/>
    <w:rsid w:val="3BD72EE0"/>
    <w:rsid w:val="3BDC6748"/>
    <w:rsid w:val="3BFE66BE"/>
    <w:rsid w:val="3C3F2833"/>
    <w:rsid w:val="3C5F1072"/>
    <w:rsid w:val="3C636521"/>
    <w:rsid w:val="3C7076A7"/>
    <w:rsid w:val="3C942B7F"/>
    <w:rsid w:val="3CD76F0F"/>
    <w:rsid w:val="3CF61143"/>
    <w:rsid w:val="3D000214"/>
    <w:rsid w:val="3D023F8C"/>
    <w:rsid w:val="3D3879AE"/>
    <w:rsid w:val="3D485717"/>
    <w:rsid w:val="3D4B1D37"/>
    <w:rsid w:val="3D582E2A"/>
    <w:rsid w:val="3D624A2B"/>
    <w:rsid w:val="3D7117EB"/>
    <w:rsid w:val="3D8E3A72"/>
    <w:rsid w:val="3D9F17DB"/>
    <w:rsid w:val="3DF00DF6"/>
    <w:rsid w:val="3E032ABD"/>
    <w:rsid w:val="3E0A7BA1"/>
    <w:rsid w:val="3E0C4997"/>
    <w:rsid w:val="3E1A6821"/>
    <w:rsid w:val="3E2B7513"/>
    <w:rsid w:val="3E3D2DA2"/>
    <w:rsid w:val="3E524E74"/>
    <w:rsid w:val="3E5F0F6A"/>
    <w:rsid w:val="3E642A25"/>
    <w:rsid w:val="3E6A0E6E"/>
    <w:rsid w:val="3E854E75"/>
    <w:rsid w:val="3EA10BF2"/>
    <w:rsid w:val="3EAD7F28"/>
    <w:rsid w:val="3ECD2B6C"/>
    <w:rsid w:val="3EEB275F"/>
    <w:rsid w:val="3EFC2A5E"/>
    <w:rsid w:val="3F0062A9"/>
    <w:rsid w:val="3F125FDD"/>
    <w:rsid w:val="3F1D32FF"/>
    <w:rsid w:val="3F312A4E"/>
    <w:rsid w:val="3F3C78B5"/>
    <w:rsid w:val="3F402B4A"/>
    <w:rsid w:val="3F4D1B56"/>
    <w:rsid w:val="3F4E170B"/>
    <w:rsid w:val="3F582DB4"/>
    <w:rsid w:val="3F595C80"/>
    <w:rsid w:val="3F5C79A7"/>
    <w:rsid w:val="3F7C5A17"/>
    <w:rsid w:val="3F7D5B4C"/>
    <w:rsid w:val="3F7E275E"/>
    <w:rsid w:val="3FC574F3"/>
    <w:rsid w:val="3FCC6AD3"/>
    <w:rsid w:val="3FFE510E"/>
    <w:rsid w:val="4010515C"/>
    <w:rsid w:val="401907F3"/>
    <w:rsid w:val="401C0367"/>
    <w:rsid w:val="401E25EE"/>
    <w:rsid w:val="40416B7A"/>
    <w:rsid w:val="404A650D"/>
    <w:rsid w:val="40503261"/>
    <w:rsid w:val="40752AFC"/>
    <w:rsid w:val="40755B94"/>
    <w:rsid w:val="408D1DBF"/>
    <w:rsid w:val="4093153B"/>
    <w:rsid w:val="40970E8F"/>
    <w:rsid w:val="40BE4471"/>
    <w:rsid w:val="40C65F85"/>
    <w:rsid w:val="40C90EAA"/>
    <w:rsid w:val="41016309"/>
    <w:rsid w:val="410B7187"/>
    <w:rsid w:val="41432F6C"/>
    <w:rsid w:val="414A5F02"/>
    <w:rsid w:val="41923405"/>
    <w:rsid w:val="41931657"/>
    <w:rsid w:val="4197500C"/>
    <w:rsid w:val="41A16AA1"/>
    <w:rsid w:val="41B617E9"/>
    <w:rsid w:val="41DD3D70"/>
    <w:rsid w:val="41EF4A6B"/>
    <w:rsid w:val="420460B1"/>
    <w:rsid w:val="420724F0"/>
    <w:rsid w:val="42100D2A"/>
    <w:rsid w:val="421A58D4"/>
    <w:rsid w:val="421B4715"/>
    <w:rsid w:val="42201E72"/>
    <w:rsid w:val="422A5766"/>
    <w:rsid w:val="42332E3A"/>
    <w:rsid w:val="425132C0"/>
    <w:rsid w:val="425C4AE5"/>
    <w:rsid w:val="426C3C56"/>
    <w:rsid w:val="4278617C"/>
    <w:rsid w:val="42925DB2"/>
    <w:rsid w:val="42985594"/>
    <w:rsid w:val="42A15FF5"/>
    <w:rsid w:val="42A76DCA"/>
    <w:rsid w:val="42A87384"/>
    <w:rsid w:val="42B827E1"/>
    <w:rsid w:val="42D40179"/>
    <w:rsid w:val="42F02AD9"/>
    <w:rsid w:val="42FA5706"/>
    <w:rsid w:val="43234C5C"/>
    <w:rsid w:val="43266633"/>
    <w:rsid w:val="4346094B"/>
    <w:rsid w:val="43686B13"/>
    <w:rsid w:val="436C6603"/>
    <w:rsid w:val="43821D8D"/>
    <w:rsid w:val="439B47F3"/>
    <w:rsid w:val="43A20746"/>
    <w:rsid w:val="43B4601F"/>
    <w:rsid w:val="43C755E8"/>
    <w:rsid w:val="43E42222"/>
    <w:rsid w:val="43E97E7C"/>
    <w:rsid w:val="44242A3A"/>
    <w:rsid w:val="443133A9"/>
    <w:rsid w:val="4439400C"/>
    <w:rsid w:val="44406DAA"/>
    <w:rsid w:val="4453331F"/>
    <w:rsid w:val="445D368E"/>
    <w:rsid w:val="446C4D53"/>
    <w:rsid w:val="4475773A"/>
    <w:rsid w:val="449D7720"/>
    <w:rsid w:val="44DB21F3"/>
    <w:rsid w:val="44F1580E"/>
    <w:rsid w:val="450F36EA"/>
    <w:rsid w:val="45123BD8"/>
    <w:rsid w:val="45207905"/>
    <w:rsid w:val="45344EFF"/>
    <w:rsid w:val="453E5BDD"/>
    <w:rsid w:val="453F2418"/>
    <w:rsid w:val="456D0411"/>
    <w:rsid w:val="4581664C"/>
    <w:rsid w:val="45837C34"/>
    <w:rsid w:val="458C7E36"/>
    <w:rsid w:val="459A09A0"/>
    <w:rsid w:val="459D4C65"/>
    <w:rsid w:val="45C344D5"/>
    <w:rsid w:val="45D864AC"/>
    <w:rsid w:val="460D0F18"/>
    <w:rsid w:val="461F7198"/>
    <w:rsid w:val="46295A03"/>
    <w:rsid w:val="462F0DEF"/>
    <w:rsid w:val="466808A0"/>
    <w:rsid w:val="467852BF"/>
    <w:rsid w:val="46983C65"/>
    <w:rsid w:val="469F0A9E"/>
    <w:rsid w:val="46A56BA1"/>
    <w:rsid w:val="46E666CD"/>
    <w:rsid w:val="46EA6BD5"/>
    <w:rsid w:val="46FD57C4"/>
    <w:rsid w:val="47002980"/>
    <w:rsid w:val="470B69A7"/>
    <w:rsid w:val="471060F7"/>
    <w:rsid w:val="47262F6D"/>
    <w:rsid w:val="4743767B"/>
    <w:rsid w:val="476D1B91"/>
    <w:rsid w:val="478A11B8"/>
    <w:rsid w:val="478F28C0"/>
    <w:rsid w:val="47941C85"/>
    <w:rsid w:val="47A83982"/>
    <w:rsid w:val="47A85730"/>
    <w:rsid w:val="47B40579"/>
    <w:rsid w:val="47C22C96"/>
    <w:rsid w:val="47DB3D58"/>
    <w:rsid w:val="47E726FC"/>
    <w:rsid w:val="47FD6C65"/>
    <w:rsid w:val="48020765"/>
    <w:rsid w:val="480E695D"/>
    <w:rsid w:val="485D651B"/>
    <w:rsid w:val="487B4BF3"/>
    <w:rsid w:val="48832D0E"/>
    <w:rsid w:val="48914416"/>
    <w:rsid w:val="489D4D19"/>
    <w:rsid w:val="48AB372A"/>
    <w:rsid w:val="48E36096"/>
    <w:rsid w:val="48EF0D57"/>
    <w:rsid w:val="48F36E7F"/>
    <w:rsid w:val="490177EE"/>
    <w:rsid w:val="49170DBF"/>
    <w:rsid w:val="493642ED"/>
    <w:rsid w:val="49463453"/>
    <w:rsid w:val="49465201"/>
    <w:rsid w:val="494D47FA"/>
    <w:rsid w:val="494E2307"/>
    <w:rsid w:val="49557B3A"/>
    <w:rsid w:val="49564E45"/>
    <w:rsid w:val="4970308C"/>
    <w:rsid w:val="49725FF6"/>
    <w:rsid w:val="49746212"/>
    <w:rsid w:val="49940662"/>
    <w:rsid w:val="499452A8"/>
    <w:rsid w:val="49BA174B"/>
    <w:rsid w:val="49BE123B"/>
    <w:rsid w:val="49F654D9"/>
    <w:rsid w:val="4A070E34"/>
    <w:rsid w:val="4A1B1292"/>
    <w:rsid w:val="4A2B43F6"/>
    <w:rsid w:val="4A437992"/>
    <w:rsid w:val="4A4E5B36"/>
    <w:rsid w:val="4A5A33C8"/>
    <w:rsid w:val="4A7144FF"/>
    <w:rsid w:val="4AAA5C63"/>
    <w:rsid w:val="4AB417BD"/>
    <w:rsid w:val="4ABA28A7"/>
    <w:rsid w:val="4ADD4937"/>
    <w:rsid w:val="4AE80733"/>
    <w:rsid w:val="4AEB582E"/>
    <w:rsid w:val="4AEC627C"/>
    <w:rsid w:val="4B045373"/>
    <w:rsid w:val="4B101F6A"/>
    <w:rsid w:val="4B1D43D5"/>
    <w:rsid w:val="4B1E616B"/>
    <w:rsid w:val="4B241572"/>
    <w:rsid w:val="4B38501D"/>
    <w:rsid w:val="4B3E2818"/>
    <w:rsid w:val="4B48603E"/>
    <w:rsid w:val="4B5D7EA8"/>
    <w:rsid w:val="4B78366B"/>
    <w:rsid w:val="4B7A193D"/>
    <w:rsid w:val="4B7C23F1"/>
    <w:rsid w:val="4B7F49FA"/>
    <w:rsid w:val="4B9304A5"/>
    <w:rsid w:val="4B976928"/>
    <w:rsid w:val="4BAF2DEC"/>
    <w:rsid w:val="4BB050FB"/>
    <w:rsid w:val="4BB70638"/>
    <w:rsid w:val="4BBE0F3C"/>
    <w:rsid w:val="4BF278C5"/>
    <w:rsid w:val="4C1D4C9C"/>
    <w:rsid w:val="4C2E4820"/>
    <w:rsid w:val="4C2E5100"/>
    <w:rsid w:val="4C371778"/>
    <w:rsid w:val="4C37194B"/>
    <w:rsid w:val="4C4B20A5"/>
    <w:rsid w:val="4C72455F"/>
    <w:rsid w:val="4C7D362F"/>
    <w:rsid w:val="4C7F267A"/>
    <w:rsid w:val="4C894D6F"/>
    <w:rsid w:val="4C8F3363"/>
    <w:rsid w:val="4C96179F"/>
    <w:rsid w:val="4C9B3AB5"/>
    <w:rsid w:val="4C9E7102"/>
    <w:rsid w:val="4CAF57B3"/>
    <w:rsid w:val="4CBE5242"/>
    <w:rsid w:val="4CD34FFD"/>
    <w:rsid w:val="4CE924D7"/>
    <w:rsid w:val="4CF803E4"/>
    <w:rsid w:val="4D0F5E59"/>
    <w:rsid w:val="4D3C6078"/>
    <w:rsid w:val="4D60180E"/>
    <w:rsid w:val="4D6F79FF"/>
    <w:rsid w:val="4D9D0319"/>
    <w:rsid w:val="4DA129EE"/>
    <w:rsid w:val="4DC4703C"/>
    <w:rsid w:val="4DCB2178"/>
    <w:rsid w:val="4DD0587C"/>
    <w:rsid w:val="4DE65204"/>
    <w:rsid w:val="4DED5753"/>
    <w:rsid w:val="4DF80E20"/>
    <w:rsid w:val="4DFB5952"/>
    <w:rsid w:val="4E0256F8"/>
    <w:rsid w:val="4E044182"/>
    <w:rsid w:val="4E17716C"/>
    <w:rsid w:val="4E534A5B"/>
    <w:rsid w:val="4E6846F8"/>
    <w:rsid w:val="4E891B5B"/>
    <w:rsid w:val="4EA215B1"/>
    <w:rsid w:val="4EA73A0E"/>
    <w:rsid w:val="4EAA6232"/>
    <w:rsid w:val="4EE11CA2"/>
    <w:rsid w:val="4F126A45"/>
    <w:rsid w:val="4F165675"/>
    <w:rsid w:val="4F22402A"/>
    <w:rsid w:val="4F5902F9"/>
    <w:rsid w:val="4F665D41"/>
    <w:rsid w:val="4F754A92"/>
    <w:rsid w:val="4F9C2DEA"/>
    <w:rsid w:val="4FB31116"/>
    <w:rsid w:val="4FC450D1"/>
    <w:rsid w:val="4FDD43E5"/>
    <w:rsid w:val="4FE13ED5"/>
    <w:rsid w:val="4FF20B5F"/>
    <w:rsid w:val="4FFC0D47"/>
    <w:rsid w:val="50081462"/>
    <w:rsid w:val="50396D0A"/>
    <w:rsid w:val="503E30D6"/>
    <w:rsid w:val="503E6A9A"/>
    <w:rsid w:val="507A08A8"/>
    <w:rsid w:val="50872924"/>
    <w:rsid w:val="50A15412"/>
    <w:rsid w:val="50AC6291"/>
    <w:rsid w:val="50B213CE"/>
    <w:rsid w:val="50C07DA5"/>
    <w:rsid w:val="50C730CB"/>
    <w:rsid w:val="51022355"/>
    <w:rsid w:val="51167BAE"/>
    <w:rsid w:val="51340732"/>
    <w:rsid w:val="51361FFF"/>
    <w:rsid w:val="514A5AAA"/>
    <w:rsid w:val="514F30C0"/>
    <w:rsid w:val="51630116"/>
    <w:rsid w:val="5167040A"/>
    <w:rsid w:val="517B5C63"/>
    <w:rsid w:val="51BD44CE"/>
    <w:rsid w:val="51C220EF"/>
    <w:rsid w:val="51D13AD5"/>
    <w:rsid w:val="51DC2BA6"/>
    <w:rsid w:val="51E77C7B"/>
    <w:rsid w:val="520378E4"/>
    <w:rsid w:val="521C0134"/>
    <w:rsid w:val="523C1897"/>
    <w:rsid w:val="524F6CA8"/>
    <w:rsid w:val="5253273C"/>
    <w:rsid w:val="52844092"/>
    <w:rsid w:val="52880638"/>
    <w:rsid w:val="52A27751"/>
    <w:rsid w:val="52C10884"/>
    <w:rsid w:val="52D049DF"/>
    <w:rsid w:val="52D15A59"/>
    <w:rsid w:val="52E31D12"/>
    <w:rsid w:val="531047F5"/>
    <w:rsid w:val="53173457"/>
    <w:rsid w:val="531A3230"/>
    <w:rsid w:val="532D3BDD"/>
    <w:rsid w:val="532F074A"/>
    <w:rsid w:val="5334431C"/>
    <w:rsid w:val="53373E0C"/>
    <w:rsid w:val="535E583D"/>
    <w:rsid w:val="536C1D08"/>
    <w:rsid w:val="5399227B"/>
    <w:rsid w:val="539F032F"/>
    <w:rsid w:val="53BD36C9"/>
    <w:rsid w:val="53CB7B14"/>
    <w:rsid w:val="53CE29C2"/>
    <w:rsid w:val="53D110CC"/>
    <w:rsid w:val="53D8114B"/>
    <w:rsid w:val="53F44044"/>
    <w:rsid w:val="53F9144F"/>
    <w:rsid w:val="53FF492A"/>
    <w:rsid w:val="540957A8"/>
    <w:rsid w:val="54113C3E"/>
    <w:rsid w:val="541505F1"/>
    <w:rsid w:val="54183C3E"/>
    <w:rsid w:val="541B530F"/>
    <w:rsid w:val="541B5F0D"/>
    <w:rsid w:val="542B3971"/>
    <w:rsid w:val="54352A41"/>
    <w:rsid w:val="543B5980"/>
    <w:rsid w:val="543F741C"/>
    <w:rsid w:val="54452097"/>
    <w:rsid w:val="54505185"/>
    <w:rsid w:val="54762769"/>
    <w:rsid w:val="5486504B"/>
    <w:rsid w:val="54A56C35"/>
    <w:rsid w:val="54BB2F47"/>
    <w:rsid w:val="54C8174B"/>
    <w:rsid w:val="54E61B86"/>
    <w:rsid w:val="54F14BBA"/>
    <w:rsid w:val="55050666"/>
    <w:rsid w:val="550D3076"/>
    <w:rsid w:val="55195EBF"/>
    <w:rsid w:val="5527238A"/>
    <w:rsid w:val="552D346E"/>
    <w:rsid w:val="552F11B7"/>
    <w:rsid w:val="554051FA"/>
    <w:rsid w:val="5553717F"/>
    <w:rsid w:val="5567079D"/>
    <w:rsid w:val="556B6251"/>
    <w:rsid w:val="55741FDF"/>
    <w:rsid w:val="5583536A"/>
    <w:rsid w:val="55915A56"/>
    <w:rsid w:val="559F5298"/>
    <w:rsid w:val="55A01340"/>
    <w:rsid w:val="55E66E07"/>
    <w:rsid w:val="56083D5B"/>
    <w:rsid w:val="562E599A"/>
    <w:rsid w:val="56336B0D"/>
    <w:rsid w:val="56356D29"/>
    <w:rsid w:val="565F7902"/>
    <w:rsid w:val="56B27079"/>
    <w:rsid w:val="56C500AD"/>
    <w:rsid w:val="56C67981"/>
    <w:rsid w:val="56CB571F"/>
    <w:rsid w:val="56CE08AC"/>
    <w:rsid w:val="56E30533"/>
    <w:rsid w:val="56E60023"/>
    <w:rsid w:val="56E95360"/>
    <w:rsid w:val="56F85C34"/>
    <w:rsid w:val="570D735E"/>
    <w:rsid w:val="57560D05"/>
    <w:rsid w:val="576355D3"/>
    <w:rsid w:val="57640FA0"/>
    <w:rsid w:val="57664CC0"/>
    <w:rsid w:val="57921934"/>
    <w:rsid w:val="57A3112F"/>
    <w:rsid w:val="57A66520"/>
    <w:rsid w:val="57A777B2"/>
    <w:rsid w:val="57BD0D84"/>
    <w:rsid w:val="57BE68AA"/>
    <w:rsid w:val="57E75E01"/>
    <w:rsid w:val="582A525C"/>
    <w:rsid w:val="587F6039"/>
    <w:rsid w:val="58A65CBC"/>
    <w:rsid w:val="58C24114"/>
    <w:rsid w:val="58C24893"/>
    <w:rsid w:val="58D33DF8"/>
    <w:rsid w:val="590D6AC3"/>
    <w:rsid w:val="59376914"/>
    <w:rsid w:val="593C100D"/>
    <w:rsid w:val="593F3A1A"/>
    <w:rsid w:val="594B0611"/>
    <w:rsid w:val="5952374E"/>
    <w:rsid w:val="595E20F3"/>
    <w:rsid w:val="597F3864"/>
    <w:rsid w:val="598853C1"/>
    <w:rsid w:val="5991283D"/>
    <w:rsid w:val="59A10231"/>
    <w:rsid w:val="59B9557B"/>
    <w:rsid w:val="59DA5CBA"/>
    <w:rsid w:val="5A074538"/>
    <w:rsid w:val="5A153CC4"/>
    <w:rsid w:val="5A1B5605"/>
    <w:rsid w:val="5A7476F4"/>
    <w:rsid w:val="5A9F6E67"/>
    <w:rsid w:val="5AA719E3"/>
    <w:rsid w:val="5AA955EF"/>
    <w:rsid w:val="5AC42BDF"/>
    <w:rsid w:val="5ADA7E9F"/>
    <w:rsid w:val="5B060C94"/>
    <w:rsid w:val="5B0B44FC"/>
    <w:rsid w:val="5B1D1191"/>
    <w:rsid w:val="5B2347E5"/>
    <w:rsid w:val="5B24736C"/>
    <w:rsid w:val="5B366A24"/>
    <w:rsid w:val="5B3E042E"/>
    <w:rsid w:val="5B4041A6"/>
    <w:rsid w:val="5B5F72E5"/>
    <w:rsid w:val="5B655A75"/>
    <w:rsid w:val="5B871DD5"/>
    <w:rsid w:val="5B922527"/>
    <w:rsid w:val="5B9C33A6"/>
    <w:rsid w:val="5BBC0880"/>
    <w:rsid w:val="5BD66D67"/>
    <w:rsid w:val="5BD70E12"/>
    <w:rsid w:val="5BEF4C00"/>
    <w:rsid w:val="5BF44F90"/>
    <w:rsid w:val="5C204225"/>
    <w:rsid w:val="5C3655A9"/>
    <w:rsid w:val="5C3929A3"/>
    <w:rsid w:val="5C550687"/>
    <w:rsid w:val="5C6304E0"/>
    <w:rsid w:val="5C8E2CEF"/>
    <w:rsid w:val="5C910A31"/>
    <w:rsid w:val="5CA73351"/>
    <w:rsid w:val="5CAD3DA6"/>
    <w:rsid w:val="5CBF48D8"/>
    <w:rsid w:val="5CC26737"/>
    <w:rsid w:val="5D0C4341"/>
    <w:rsid w:val="5D1A7C60"/>
    <w:rsid w:val="5D600B2F"/>
    <w:rsid w:val="5D6F0D72"/>
    <w:rsid w:val="5D787D8E"/>
    <w:rsid w:val="5D8D11F8"/>
    <w:rsid w:val="5D8D5264"/>
    <w:rsid w:val="5D9205BD"/>
    <w:rsid w:val="5DB22A0D"/>
    <w:rsid w:val="5DE350AE"/>
    <w:rsid w:val="5DEF5A0F"/>
    <w:rsid w:val="5DF26102"/>
    <w:rsid w:val="5E03770C"/>
    <w:rsid w:val="5E61439A"/>
    <w:rsid w:val="5E6847CD"/>
    <w:rsid w:val="5E7303EE"/>
    <w:rsid w:val="5E9228D4"/>
    <w:rsid w:val="5EA23E57"/>
    <w:rsid w:val="5EAA7B88"/>
    <w:rsid w:val="5EAB4034"/>
    <w:rsid w:val="5EB31E59"/>
    <w:rsid w:val="5EB839EA"/>
    <w:rsid w:val="5ED115B9"/>
    <w:rsid w:val="5ED74E21"/>
    <w:rsid w:val="5EFA0B0F"/>
    <w:rsid w:val="5F0279C4"/>
    <w:rsid w:val="5F1A4D0E"/>
    <w:rsid w:val="5F2A00A0"/>
    <w:rsid w:val="5F313E05"/>
    <w:rsid w:val="5F367B26"/>
    <w:rsid w:val="5F4104EC"/>
    <w:rsid w:val="5F4D6E91"/>
    <w:rsid w:val="5F59429D"/>
    <w:rsid w:val="5F6661A5"/>
    <w:rsid w:val="5F7A0282"/>
    <w:rsid w:val="5FA64E91"/>
    <w:rsid w:val="5FB62BC7"/>
    <w:rsid w:val="5FBF1411"/>
    <w:rsid w:val="5FC66C44"/>
    <w:rsid w:val="5FD17AC2"/>
    <w:rsid w:val="5FF217E7"/>
    <w:rsid w:val="600808F0"/>
    <w:rsid w:val="602C46E8"/>
    <w:rsid w:val="602F47E9"/>
    <w:rsid w:val="60367925"/>
    <w:rsid w:val="603E2C7E"/>
    <w:rsid w:val="604324C2"/>
    <w:rsid w:val="605F496E"/>
    <w:rsid w:val="60681B1C"/>
    <w:rsid w:val="607B5C80"/>
    <w:rsid w:val="60885CA7"/>
    <w:rsid w:val="60934D78"/>
    <w:rsid w:val="60AC10A4"/>
    <w:rsid w:val="60BC6CED"/>
    <w:rsid w:val="60C457EE"/>
    <w:rsid w:val="60D45F50"/>
    <w:rsid w:val="60FB3360"/>
    <w:rsid w:val="61045211"/>
    <w:rsid w:val="610F160F"/>
    <w:rsid w:val="61131EE0"/>
    <w:rsid w:val="612861BC"/>
    <w:rsid w:val="612B2820"/>
    <w:rsid w:val="61326FFC"/>
    <w:rsid w:val="614A3380"/>
    <w:rsid w:val="6162299C"/>
    <w:rsid w:val="61671FBA"/>
    <w:rsid w:val="616C52DB"/>
    <w:rsid w:val="616C7377"/>
    <w:rsid w:val="61753621"/>
    <w:rsid w:val="618943CD"/>
    <w:rsid w:val="6193188C"/>
    <w:rsid w:val="619E1C26"/>
    <w:rsid w:val="61B82265"/>
    <w:rsid w:val="61C158B1"/>
    <w:rsid w:val="61CB6793"/>
    <w:rsid w:val="61E23389"/>
    <w:rsid w:val="61EF2482"/>
    <w:rsid w:val="61EF54AA"/>
    <w:rsid w:val="61FB2088"/>
    <w:rsid w:val="61FE4473"/>
    <w:rsid w:val="620677CB"/>
    <w:rsid w:val="621D6D4D"/>
    <w:rsid w:val="6221286F"/>
    <w:rsid w:val="622639C9"/>
    <w:rsid w:val="62353789"/>
    <w:rsid w:val="62562501"/>
    <w:rsid w:val="62602AAB"/>
    <w:rsid w:val="62642590"/>
    <w:rsid w:val="628539FF"/>
    <w:rsid w:val="628E2720"/>
    <w:rsid w:val="62B266FC"/>
    <w:rsid w:val="62CE02E9"/>
    <w:rsid w:val="62D058DC"/>
    <w:rsid w:val="62D1608C"/>
    <w:rsid w:val="62DB2A06"/>
    <w:rsid w:val="62E278F0"/>
    <w:rsid w:val="62E32B18"/>
    <w:rsid w:val="6309501A"/>
    <w:rsid w:val="63133F4E"/>
    <w:rsid w:val="631D301E"/>
    <w:rsid w:val="631D45A6"/>
    <w:rsid w:val="631D4DCC"/>
    <w:rsid w:val="63352116"/>
    <w:rsid w:val="633B5253"/>
    <w:rsid w:val="634603C6"/>
    <w:rsid w:val="63650337"/>
    <w:rsid w:val="636D46E3"/>
    <w:rsid w:val="638C4074"/>
    <w:rsid w:val="63A728E8"/>
    <w:rsid w:val="63BE34C8"/>
    <w:rsid w:val="63D27965"/>
    <w:rsid w:val="640502D6"/>
    <w:rsid w:val="64066FDC"/>
    <w:rsid w:val="640779B7"/>
    <w:rsid w:val="640B731B"/>
    <w:rsid w:val="641F6922"/>
    <w:rsid w:val="642F3009"/>
    <w:rsid w:val="644840CB"/>
    <w:rsid w:val="64813139"/>
    <w:rsid w:val="649015CE"/>
    <w:rsid w:val="64A357A5"/>
    <w:rsid w:val="64C5571C"/>
    <w:rsid w:val="64CF20F6"/>
    <w:rsid w:val="650325A3"/>
    <w:rsid w:val="65066F2E"/>
    <w:rsid w:val="6533428D"/>
    <w:rsid w:val="656B2FE5"/>
    <w:rsid w:val="65796B36"/>
    <w:rsid w:val="659C2113"/>
    <w:rsid w:val="65A215B9"/>
    <w:rsid w:val="65A90EBC"/>
    <w:rsid w:val="65B75534"/>
    <w:rsid w:val="65BC08CD"/>
    <w:rsid w:val="65C81A4F"/>
    <w:rsid w:val="65DF45BB"/>
    <w:rsid w:val="65EA3499"/>
    <w:rsid w:val="65F938CF"/>
    <w:rsid w:val="661A3845"/>
    <w:rsid w:val="662621EA"/>
    <w:rsid w:val="6655119C"/>
    <w:rsid w:val="665705F5"/>
    <w:rsid w:val="66575D7D"/>
    <w:rsid w:val="665A00E6"/>
    <w:rsid w:val="66653181"/>
    <w:rsid w:val="667A530E"/>
    <w:rsid w:val="669F0930"/>
    <w:rsid w:val="66AB50FE"/>
    <w:rsid w:val="66C10E7C"/>
    <w:rsid w:val="66EA2B70"/>
    <w:rsid w:val="66F13DA0"/>
    <w:rsid w:val="66F916AD"/>
    <w:rsid w:val="67193AFD"/>
    <w:rsid w:val="671C4F1D"/>
    <w:rsid w:val="6732696D"/>
    <w:rsid w:val="67337158"/>
    <w:rsid w:val="674F751F"/>
    <w:rsid w:val="675759A0"/>
    <w:rsid w:val="67633AB0"/>
    <w:rsid w:val="67760F4F"/>
    <w:rsid w:val="678C2521"/>
    <w:rsid w:val="679933E7"/>
    <w:rsid w:val="67AB0BF9"/>
    <w:rsid w:val="67B61761"/>
    <w:rsid w:val="67BB124F"/>
    <w:rsid w:val="67BD6639"/>
    <w:rsid w:val="67C1041C"/>
    <w:rsid w:val="67F7371C"/>
    <w:rsid w:val="680D3662"/>
    <w:rsid w:val="682C0C6D"/>
    <w:rsid w:val="6852376A"/>
    <w:rsid w:val="685E3EBD"/>
    <w:rsid w:val="685E5CDD"/>
    <w:rsid w:val="6870599E"/>
    <w:rsid w:val="68706417"/>
    <w:rsid w:val="68784853"/>
    <w:rsid w:val="68896A60"/>
    <w:rsid w:val="689005C2"/>
    <w:rsid w:val="68A11FFC"/>
    <w:rsid w:val="68AC6398"/>
    <w:rsid w:val="68B61D88"/>
    <w:rsid w:val="68B65AF9"/>
    <w:rsid w:val="68C65C96"/>
    <w:rsid w:val="68CD1043"/>
    <w:rsid w:val="68EF55BF"/>
    <w:rsid w:val="68F23CD8"/>
    <w:rsid w:val="68FC0779"/>
    <w:rsid w:val="68FD6917"/>
    <w:rsid w:val="690D143F"/>
    <w:rsid w:val="69196036"/>
    <w:rsid w:val="69246AA9"/>
    <w:rsid w:val="69261E17"/>
    <w:rsid w:val="694D5CE0"/>
    <w:rsid w:val="6954706E"/>
    <w:rsid w:val="69643755"/>
    <w:rsid w:val="698E560F"/>
    <w:rsid w:val="69922853"/>
    <w:rsid w:val="69B30239"/>
    <w:rsid w:val="69BD3B76"/>
    <w:rsid w:val="69D13060"/>
    <w:rsid w:val="69DC05B3"/>
    <w:rsid w:val="69EF7487"/>
    <w:rsid w:val="6A0E546F"/>
    <w:rsid w:val="6A1F768D"/>
    <w:rsid w:val="6A244992"/>
    <w:rsid w:val="6A2C6867"/>
    <w:rsid w:val="6A34260B"/>
    <w:rsid w:val="6A3C022E"/>
    <w:rsid w:val="6A3D1BFD"/>
    <w:rsid w:val="6A5070DE"/>
    <w:rsid w:val="6A6B0B13"/>
    <w:rsid w:val="6AAB3FEE"/>
    <w:rsid w:val="6AB97AD1"/>
    <w:rsid w:val="6ADC77CB"/>
    <w:rsid w:val="6AE968C3"/>
    <w:rsid w:val="6AF162E4"/>
    <w:rsid w:val="6B59087A"/>
    <w:rsid w:val="6B695F28"/>
    <w:rsid w:val="6B700A62"/>
    <w:rsid w:val="6B813CE6"/>
    <w:rsid w:val="6B87197D"/>
    <w:rsid w:val="6BA30330"/>
    <w:rsid w:val="6BB40298"/>
    <w:rsid w:val="6BB67B6C"/>
    <w:rsid w:val="6BBB2524"/>
    <w:rsid w:val="6BBF1117"/>
    <w:rsid w:val="6BCB1861"/>
    <w:rsid w:val="6BCE71A6"/>
    <w:rsid w:val="6BD46244"/>
    <w:rsid w:val="6BDD1D01"/>
    <w:rsid w:val="6BE76250"/>
    <w:rsid w:val="6BFF399D"/>
    <w:rsid w:val="6C0C3C30"/>
    <w:rsid w:val="6C180DB1"/>
    <w:rsid w:val="6C1A00FB"/>
    <w:rsid w:val="6C1E0459"/>
    <w:rsid w:val="6C2F17C6"/>
    <w:rsid w:val="6C3C1A66"/>
    <w:rsid w:val="6C4A6222"/>
    <w:rsid w:val="6C5B1825"/>
    <w:rsid w:val="6C8D4FD3"/>
    <w:rsid w:val="6C9C4FB4"/>
    <w:rsid w:val="6CC25503"/>
    <w:rsid w:val="6CCD33BF"/>
    <w:rsid w:val="6CD02EB0"/>
    <w:rsid w:val="6CD3474E"/>
    <w:rsid w:val="6CFA617E"/>
    <w:rsid w:val="6D0B3EE8"/>
    <w:rsid w:val="6D144025"/>
    <w:rsid w:val="6D1A60D0"/>
    <w:rsid w:val="6D3A657B"/>
    <w:rsid w:val="6D3A78E6"/>
    <w:rsid w:val="6D3E250F"/>
    <w:rsid w:val="6D505D9E"/>
    <w:rsid w:val="6D9B526C"/>
    <w:rsid w:val="6D9D5488"/>
    <w:rsid w:val="6DAD31F1"/>
    <w:rsid w:val="6DB30807"/>
    <w:rsid w:val="6DC36570"/>
    <w:rsid w:val="6DC70686"/>
    <w:rsid w:val="6DD30EA9"/>
    <w:rsid w:val="6DE54739"/>
    <w:rsid w:val="6DE85BCB"/>
    <w:rsid w:val="6DF63795"/>
    <w:rsid w:val="6DFA6436"/>
    <w:rsid w:val="6DFB21AE"/>
    <w:rsid w:val="6DFD1A82"/>
    <w:rsid w:val="6E0E3C8F"/>
    <w:rsid w:val="6E2E74DD"/>
    <w:rsid w:val="6E4A0A40"/>
    <w:rsid w:val="6E4E22DE"/>
    <w:rsid w:val="6E567D69"/>
    <w:rsid w:val="6E6876E0"/>
    <w:rsid w:val="6E6966EE"/>
    <w:rsid w:val="6E6B2E90"/>
    <w:rsid w:val="6E6E2980"/>
    <w:rsid w:val="6E71421E"/>
    <w:rsid w:val="6E862668"/>
    <w:rsid w:val="6E937F29"/>
    <w:rsid w:val="6EC407F2"/>
    <w:rsid w:val="6F003164"/>
    <w:rsid w:val="6F046E40"/>
    <w:rsid w:val="6F165703"/>
    <w:rsid w:val="6F173018"/>
    <w:rsid w:val="6F255735"/>
    <w:rsid w:val="6F394D3C"/>
    <w:rsid w:val="6F4E709D"/>
    <w:rsid w:val="6F525B32"/>
    <w:rsid w:val="6F632D80"/>
    <w:rsid w:val="6F63625D"/>
    <w:rsid w:val="6F683873"/>
    <w:rsid w:val="6F814935"/>
    <w:rsid w:val="6F871F4B"/>
    <w:rsid w:val="6FAE5D9C"/>
    <w:rsid w:val="6FC50CC6"/>
    <w:rsid w:val="6FCA12D5"/>
    <w:rsid w:val="6FE05885"/>
    <w:rsid w:val="6FF957E3"/>
    <w:rsid w:val="6FFA10C7"/>
    <w:rsid w:val="6FFB6495"/>
    <w:rsid w:val="70117A67"/>
    <w:rsid w:val="702308F0"/>
    <w:rsid w:val="704C075F"/>
    <w:rsid w:val="70622071"/>
    <w:rsid w:val="706933FF"/>
    <w:rsid w:val="706C685F"/>
    <w:rsid w:val="706D73FE"/>
    <w:rsid w:val="706E09CF"/>
    <w:rsid w:val="706F3973"/>
    <w:rsid w:val="70765B1C"/>
    <w:rsid w:val="708E1B55"/>
    <w:rsid w:val="70C73094"/>
    <w:rsid w:val="70D016D0"/>
    <w:rsid w:val="71031AA6"/>
    <w:rsid w:val="711B176D"/>
    <w:rsid w:val="71566079"/>
    <w:rsid w:val="717D3CD5"/>
    <w:rsid w:val="71810F15"/>
    <w:rsid w:val="71926986"/>
    <w:rsid w:val="71931673"/>
    <w:rsid w:val="71931C0B"/>
    <w:rsid w:val="719E532A"/>
    <w:rsid w:val="71A6519E"/>
    <w:rsid w:val="71C13B33"/>
    <w:rsid w:val="71C17073"/>
    <w:rsid w:val="71C70D7B"/>
    <w:rsid w:val="71C94084"/>
    <w:rsid w:val="71D84CE0"/>
    <w:rsid w:val="71EC2A3F"/>
    <w:rsid w:val="72013BF9"/>
    <w:rsid w:val="720A0BFF"/>
    <w:rsid w:val="723B701D"/>
    <w:rsid w:val="723C581D"/>
    <w:rsid w:val="724F0D1A"/>
    <w:rsid w:val="72A526E9"/>
    <w:rsid w:val="72A52CC7"/>
    <w:rsid w:val="72AB7BB5"/>
    <w:rsid w:val="72BA082F"/>
    <w:rsid w:val="72D354A8"/>
    <w:rsid w:val="72E06587"/>
    <w:rsid w:val="72ED47BB"/>
    <w:rsid w:val="72F77CB0"/>
    <w:rsid w:val="72FB430F"/>
    <w:rsid w:val="731C0E14"/>
    <w:rsid w:val="73281C56"/>
    <w:rsid w:val="7350457E"/>
    <w:rsid w:val="73695125"/>
    <w:rsid w:val="736D1458"/>
    <w:rsid w:val="73791D2E"/>
    <w:rsid w:val="7384715C"/>
    <w:rsid w:val="73867F6D"/>
    <w:rsid w:val="73B01345"/>
    <w:rsid w:val="73DF0BB1"/>
    <w:rsid w:val="73FB6A64"/>
    <w:rsid w:val="7407365B"/>
    <w:rsid w:val="74171171"/>
    <w:rsid w:val="74192A57"/>
    <w:rsid w:val="742F670E"/>
    <w:rsid w:val="74365CEE"/>
    <w:rsid w:val="74406B6D"/>
    <w:rsid w:val="744120B0"/>
    <w:rsid w:val="74515D0F"/>
    <w:rsid w:val="74732A9E"/>
    <w:rsid w:val="74786307"/>
    <w:rsid w:val="748E5B2A"/>
    <w:rsid w:val="74983962"/>
    <w:rsid w:val="74A50BEC"/>
    <w:rsid w:val="74AA1CA9"/>
    <w:rsid w:val="74B65081"/>
    <w:rsid w:val="74CE4179"/>
    <w:rsid w:val="74D774D1"/>
    <w:rsid w:val="74E8308A"/>
    <w:rsid w:val="74E97204"/>
    <w:rsid w:val="74ED4817"/>
    <w:rsid w:val="7538771C"/>
    <w:rsid w:val="7544443B"/>
    <w:rsid w:val="75472470"/>
    <w:rsid w:val="754D1541"/>
    <w:rsid w:val="755723C0"/>
    <w:rsid w:val="756B2322"/>
    <w:rsid w:val="757A1C0A"/>
    <w:rsid w:val="75862CA5"/>
    <w:rsid w:val="759622C6"/>
    <w:rsid w:val="75A31161"/>
    <w:rsid w:val="75A44ED9"/>
    <w:rsid w:val="75E66D42"/>
    <w:rsid w:val="75E672A0"/>
    <w:rsid w:val="763F1C89"/>
    <w:rsid w:val="765F3E69"/>
    <w:rsid w:val="76642C4E"/>
    <w:rsid w:val="766C59F7"/>
    <w:rsid w:val="7675235D"/>
    <w:rsid w:val="76760624"/>
    <w:rsid w:val="767A40FC"/>
    <w:rsid w:val="769B54C8"/>
    <w:rsid w:val="76D313AC"/>
    <w:rsid w:val="76D773C6"/>
    <w:rsid w:val="76DA66C0"/>
    <w:rsid w:val="76F105F2"/>
    <w:rsid w:val="771E3744"/>
    <w:rsid w:val="776F54FE"/>
    <w:rsid w:val="7770053A"/>
    <w:rsid w:val="777F5BFE"/>
    <w:rsid w:val="77A35EE0"/>
    <w:rsid w:val="77B070F5"/>
    <w:rsid w:val="77B37656"/>
    <w:rsid w:val="77B51620"/>
    <w:rsid w:val="77B9181D"/>
    <w:rsid w:val="77C23F98"/>
    <w:rsid w:val="77FF289B"/>
    <w:rsid w:val="78585CB2"/>
    <w:rsid w:val="785D597B"/>
    <w:rsid w:val="786170B2"/>
    <w:rsid w:val="78886D34"/>
    <w:rsid w:val="78917997"/>
    <w:rsid w:val="78961451"/>
    <w:rsid w:val="789711D5"/>
    <w:rsid w:val="789C633C"/>
    <w:rsid w:val="78B22DD4"/>
    <w:rsid w:val="78D45AD6"/>
    <w:rsid w:val="78F9378E"/>
    <w:rsid w:val="79053EE1"/>
    <w:rsid w:val="790A7749"/>
    <w:rsid w:val="79152036"/>
    <w:rsid w:val="79274CCF"/>
    <w:rsid w:val="79542F67"/>
    <w:rsid w:val="796F0971"/>
    <w:rsid w:val="796F5DDC"/>
    <w:rsid w:val="79975481"/>
    <w:rsid w:val="799A528E"/>
    <w:rsid w:val="79AC7312"/>
    <w:rsid w:val="79BA1F07"/>
    <w:rsid w:val="79CA35C3"/>
    <w:rsid w:val="79CC239E"/>
    <w:rsid w:val="79F15C13"/>
    <w:rsid w:val="79F67C69"/>
    <w:rsid w:val="7A0B5527"/>
    <w:rsid w:val="7A0D1933"/>
    <w:rsid w:val="7A3B22B0"/>
    <w:rsid w:val="7A3C1B84"/>
    <w:rsid w:val="7A405098"/>
    <w:rsid w:val="7A9279F6"/>
    <w:rsid w:val="7A9419C0"/>
    <w:rsid w:val="7AA5597C"/>
    <w:rsid w:val="7AC83418"/>
    <w:rsid w:val="7ACB4CB6"/>
    <w:rsid w:val="7ACF2D0D"/>
    <w:rsid w:val="7AF56D6A"/>
    <w:rsid w:val="7AF95CC7"/>
    <w:rsid w:val="7B187EFC"/>
    <w:rsid w:val="7B191EC6"/>
    <w:rsid w:val="7B5B0730"/>
    <w:rsid w:val="7B7B66DC"/>
    <w:rsid w:val="7B876E2F"/>
    <w:rsid w:val="7B8A691F"/>
    <w:rsid w:val="7B95779E"/>
    <w:rsid w:val="7BB530EA"/>
    <w:rsid w:val="7BB816DF"/>
    <w:rsid w:val="7BC71171"/>
    <w:rsid w:val="7BD06A28"/>
    <w:rsid w:val="7BDC34AC"/>
    <w:rsid w:val="7BE92C4E"/>
    <w:rsid w:val="7BFA03E0"/>
    <w:rsid w:val="7C350F81"/>
    <w:rsid w:val="7C4D1E27"/>
    <w:rsid w:val="7C4D62CB"/>
    <w:rsid w:val="7C58336E"/>
    <w:rsid w:val="7CAB1B33"/>
    <w:rsid w:val="7CAD0B17"/>
    <w:rsid w:val="7CDD764F"/>
    <w:rsid w:val="7CF1204D"/>
    <w:rsid w:val="7CF67CAA"/>
    <w:rsid w:val="7D01709E"/>
    <w:rsid w:val="7D11248E"/>
    <w:rsid w:val="7D1B1F25"/>
    <w:rsid w:val="7D4944D0"/>
    <w:rsid w:val="7D6027A4"/>
    <w:rsid w:val="7D781125"/>
    <w:rsid w:val="7D7D2BE0"/>
    <w:rsid w:val="7D7F0706"/>
    <w:rsid w:val="7D8775BA"/>
    <w:rsid w:val="7D8C5DEA"/>
    <w:rsid w:val="7D8E7AB2"/>
    <w:rsid w:val="7DA104EE"/>
    <w:rsid w:val="7DA57A41"/>
    <w:rsid w:val="7DB163E5"/>
    <w:rsid w:val="7DB52645"/>
    <w:rsid w:val="7DCE6F97"/>
    <w:rsid w:val="7DF86D46"/>
    <w:rsid w:val="7DFB1059"/>
    <w:rsid w:val="7DFC3B04"/>
    <w:rsid w:val="7DFC4599"/>
    <w:rsid w:val="7E091E15"/>
    <w:rsid w:val="7E2748F9"/>
    <w:rsid w:val="7E795155"/>
    <w:rsid w:val="7E7C69F3"/>
    <w:rsid w:val="7E933D3D"/>
    <w:rsid w:val="7E952391"/>
    <w:rsid w:val="7EA83C8C"/>
    <w:rsid w:val="7EC565EC"/>
    <w:rsid w:val="7EE36A72"/>
    <w:rsid w:val="7EE87368"/>
    <w:rsid w:val="7EEA1BAF"/>
    <w:rsid w:val="7F1762D2"/>
    <w:rsid w:val="7F4D213E"/>
    <w:rsid w:val="7F594F87"/>
    <w:rsid w:val="7F62204B"/>
    <w:rsid w:val="7F647934"/>
    <w:rsid w:val="7F6C1FFF"/>
    <w:rsid w:val="7F767AB1"/>
    <w:rsid w:val="7FA75CF2"/>
    <w:rsid w:val="7FB1091F"/>
    <w:rsid w:val="7FB27487"/>
    <w:rsid w:val="7FC566AD"/>
    <w:rsid w:val="7FD12D6F"/>
    <w:rsid w:val="7FD60E21"/>
    <w:rsid w:val="7FD64318"/>
    <w:rsid w:val="7FE24F7C"/>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0" w:name="heading 6"/>
    <w:lsdException w:qFormat="1" w:unhideWhenUsed="0" w:uiPriority="9" w:semiHidden="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qFormat="1" w:uiPriority="99" w:semiHidden="0" w:name="index 5"/>
    <w:lsdException w:uiPriority="0" w:name="index 6"/>
    <w:lsdException w:uiPriority="0" w:name="index 7"/>
    <w:lsdException w:uiPriority="0" w:name="index 8"/>
    <w:lsdException w:qFormat="1" w:uiPriority="99" w:semiHidden="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iPriority="0" w:semiHidden="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iPriority="99"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0"/>
    <w:pPr>
      <w:keepNext/>
      <w:keepLines/>
      <w:spacing w:before="100" w:after="90" w:line="578" w:lineRule="auto"/>
      <w:outlineLvl w:val="0"/>
    </w:pPr>
    <w:rPr>
      <w:rFonts w:eastAsia="华文细黑"/>
      <w:b/>
      <w:bCs/>
      <w:kern w:val="44"/>
      <w:sz w:val="30"/>
      <w:szCs w:val="44"/>
    </w:rPr>
  </w:style>
  <w:style w:type="paragraph" w:styleId="7">
    <w:name w:val="heading 2"/>
    <w:basedOn w:val="1"/>
    <w:next w:val="1"/>
    <w:qFormat/>
    <w:uiPriority w:val="9"/>
    <w:pPr>
      <w:keepNext/>
      <w:keepLines/>
      <w:spacing w:before="260" w:after="260" w:line="416" w:lineRule="auto"/>
      <w:jc w:val="center"/>
      <w:outlineLvl w:val="1"/>
    </w:pPr>
    <w:rPr>
      <w:rFonts w:ascii="Arial" w:hAnsi="Arial" w:eastAsia="幼圆"/>
      <w:b/>
      <w:kern w:val="0"/>
      <w:sz w:val="44"/>
      <w:szCs w:val="20"/>
    </w:rPr>
  </w:style>
  <w:style w:type="paragraph" w:styleId="8">
    <w:name w:val="heading 3"/>
    <w:basedOn w:val="1"/>
    <w:next w:val="1"/>
    <w:link w:val="51"/>
    <w:qFormat/>
    <w:uiPriority w:val="0"/>
    <w:pPr>
      <w:keepNext/>
      <w:keepLines/>
      <w:spacing w:line="416" w:lineRule="auto"/>
      <w:outlineLvl w:val="2"/>
    </w:pPr>
    <w:rPr>
      <w:b/>
      <w:kern w:val="0"/>
      <w:sz w:val="32"/>
      <w:szCs w:val="20"/>
    </w:rPr>
  </w:style>
  <w:style w:type="paragraph" w:styleId="9">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10">
    <w:name w:val="heading 5"/>
    <w:basedOn w:val="1"/>
    <w:next w:val="1"/>
    <w:semiHidden/>
    <w:unhideWhenUsed/>
    <w:qFormat/>
    <w:uiPriority w:val="9"/>
    <w:pPr>
      <w:keepNext/>
      <w:keepLines/>
      <w:spacing w:before="280" w:after="290" w:line="372" w:lineRule="auto"/>
      <w:outlineLvl w:val="4"/>
    </w:pPr>
    <w:rPr>
      <w:b/>
      <w:sz w:val="28"/>
    </w:rPr>
  </w:style>
  <w:style w:type="paragraph" w:styleId="11">
    <w:name w:val="heading 7"/>
    <w:basedOn w:val="1"/>
    <w:next w:val="1"/>
    <w:qFormat/>
    <w:uiPriority w:val="9"/>
    <w:pPr>
      <w:keepNext/>
      <w:keepLines/>
      <w:spacing w:before="240" w:after="64" w:line="320" w:lineRule="auto"/>
      <w:outlineLvl w:val="6"/>
    </w:pPr>
    <w:rPr>
      <w:b/>
      <w:bCs/>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0"/>
    </w:rPr>
  </w:style>
  <w:style w:type="paragraph" w:customStyle="1" w:styleId="3">
    <w:name w:val="一级条标题"/>
    <w:basedOn w:val="4"/>
    <w:next w:val="5"/>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5">
    <w:name w:val="段"/>
    <w:next w:val="1"/>
    <w:qFormat/>
    <w:uiPriority w:val="0"/>
    <w:pPr>
      <w:widowControl w:val="0"/>
      <w:ind w:firstLine="200"/>
      <w:jc w:val="both"/>
    </w:pPr>
    <w:rPr>
      <w:rFonts w:ascii="宋体" w:hAnsi="宋体" w:eastAsia="宋体" w:cs="宋体"/>
      <w:color w:val="000000"/>
      <w:sz w:val="21"/>
      <w:szCs w:val="21"/>
      <w:lang w:val="en-US" w:eastAsia="zh-CN" w:bidi="ar-SA"/>
    </w:rPr>
  </w:style>
  <w:style w:type="paragraph" w:styleId="12">
    <w:name w:val="Normal Indent"/>
    <w:basedOn w:val="1"/>
    <w:qFormat/>
    <w:uiPriority w:val="99"/>
    <w:pPr>
      <w:ind w:firstLine="420"/>
    </w:pPr>
    <w:rPr>
      <w:kern w:val="0"/>
      <w:sz w:val="20"/>
      <w:szCs w:val="20"/>
    </w:rPr>
  </w:style>
  <w:style w:type="paragraph" w:styleId="13">
    <w:name w:val="index 5"/>
    <w:basedOn w:val="1"/>
    <w:next w:val="1"/>
    <w:unhideWhenUsed/>
    <w:qFormat/>
    <w:uiPriority w:val="99"/>
    <w:pPr>
      <w:jc w:val="center"/>
    </w:pPr>
    <w:rPr>
      <w:rFonts w:ascii="方正小标宋简体" w:hAnsi="宋体" w:eastAsia="方正小标宋简体"/>
      <w:snapToGrid w:val="0"/>
      <w:kern w:val="0"/>
      <w:sz w:val="32"/>
      <w:szCs w:val="32"/>
    </w:rPr>
  </w:style>
  <w:style w:type="paragraph" w:styleId="14">
    <w:name w:val="annotation text"/>
    <w:basedOn w:val="1"/>
    <w:link w:val="54"/>
    <w:qFormat/>
    <w:uiPriority w:val="99"/>
    <w:pPr>
      <w:jc w:val="left"/>
    </w:pPr>
    <w:rPr>
      <w:kern w:val="0"/>
      <w:sz w:val="20"/>
    </w:rPr>
  </w:style>
  <w:style w:type="paragraph" w:styleId="15">
    <w:name w:val="Body Text Indent"/>
    <w:basedOn w:val="1"/>
    <w:next w:val="16"/>
    <w:qFormat/>
    <w:uiPriority w:val="0"/>
    <w:pPr>
      <w:ind w:firstLine="645"/>
    </w:pPr>
    <w:rPr>
      <w:rFonts w:ascii="楷体_GB2312" w:eastAsia="楷体_GB2312"/>
      <w:kern w:val="0"/>
      <w:sz w:val="32"/>
      <w:szCs w:val="20"/>
    </w:rPr>
  </w:style>
  <w:style w:type="paragraph" w:styleId="16">
    <w:name w:val="envelope return"/>
    <w:basedOn w:val="1"/>
    <w:unhideWhenUsed/>
    <w:qFormat/>
    <w:uiPriority w:val="0"/>
    <w:pPr>
      <w:snapToGrid w:val="0"/>
    </w:pPr>
    <w:rPr>
      <w:rFonts w:ascii="Arial" w:hAnsi="Arial"/>
    </w:rPr>
  </w:style>
  <w:style w:type="paragraph" w:styleId="17">
    <w:name w:val="index 4"/>
    <w:basedOn w:val="1"/>
    <w:next w:val="1"/>
    <w:unhideWhenUsed/>
    <w:qFormat/>
    <w:uiPriority w:val="99"/>
    <w:pPr>
      <w:ind w:firstLine="420" w:firstLineChars="200"/>
      <w:jc w:val="left"/>
    </w:pPr>
    <w:rPr>
      <w:rFonts w:ascii="宋体" w:hAnsi="宋体"/>
      <w:color w:val="FF0000"/>
      <w:szCs w:val="21"/>
    </w:rPr>
  </w:style>
  <w:style w:type="paragraph" w:styleId="18">
    <w:name w:val="toc 3"/>
    <w:basedOn w:val="1"/>
    <w:next w:val="1"/>
    <w:unhideWhenUsed/>
    <w:qFormat/>
    <w:uiPriority w:val="39"/>
    <w:pPr>
      <w:ind w:left="840" w:leftChars="400"/>
    </w:pPr>
  </w:style>
  <w:style w:type="paragraph" w:styleId="19">
    <w:name w:val="Plain Text"/>
    <w:basedOn w:val="1"/>
    <w:link w:val="52"/>
    <w:qFormat/>
    <w:uiPriority w:val="0"/>
    <w:rPr>
      <w:rFonts w:ascii="宋体" w:hAnsi="Courier New"/>
      <w:kern w:val="0"/>
      <w:sz w:val="20"/>
      <w:szCs w:val="20"/>
    </w:rPr>
  </w:style>
  <w:style w:type="paragraph" w:styleId="20">
    <w:name w:val="Body Text Indent 2"/>
    <w:basedOn w:val="1"/>
    <w:qFormat/>
    <w:uiPriority w:val="0"/>
    <w:pPr>
      <w:widowControl/>
      <w:spacing w:before="100" w:beforeAutospacing="1" w:after="100" w:afterAutospacing="1"/>
      <w:jc w:val="left"/>
    </w:pPr>
    <w:rPr>
      <w:rFonts w:ascii="宋体" w:hAnsi="宋体"/>
      <w:kern w:val="0"/>
      <w:sz w:val="24"/>
    </w:rPr>
  </w:style>
  <w:style w:type="paragraph" w:styleId="21">
    <w:name w:val="Balloon Text"/>
    <w:basedOn w:val="1"/>
    <w:link w:val="42"/>
    <w:qFormat/>
    <w:uiPriority w:val="0"/>
    <w:rPr>
      <w:sz w:val="18"/>
      <w:szCs w:val="18"/>
    </w:rPr>
  </w:style>
  <w:style w:type="paragraph" w:styleId="22">
    <w:name w:val="footer"/>
    <w:basedOn w:val="1"/>
    <w:link w:val="43"/>
    <w:qFormat/>
    <w:uiPriority w:val="0"/>
    <w:pPr>
      <w:tabs>
        <w:tab w:val="center" w:pos="4153"/>
        <w:tab w:val="right" w:pos="8306"/>
      </w:tabs>
      <w:snapToGrid w:val="0"/>
      <w:jc w:val="left"/>
    </w:pPr>
    <w:rPr>
      <w:sz w:val="18"/>
      <w:szCs w:val="18"/>
    </w:rPr>
  </w:style>
  <w:style w:type="paragraph" w:styleId="23">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line="360" w:lineRule="auto"/>
    </w:pPr>
    <w:rPr>
      <w:rFonts w:asciiTheme="minorHAnsi" w:hAnsiTheme="minorHAnsi" w:cstheme="minorBidi"/>
      <w:sz w:val="24"/>
    </w:rPr>
  </w:style>
  <w:style w:type="paragraph" w:styleId="25">
    <w:name w:val="Body Text Indent 3"/>
    <w:basedOn w:val="1"/>
    <w:unhideWhenUsed/>
    <w:qFormat/>
    <w:uiPriority w:val="99"/>
    <w:pPr>
      <w:spacing w:after="120"/>
      <w:ind w:left="420" w:leftChars="200"/>
    </w:pPr>
    <w:rPr>
      <w:sz w:val="16"/>
      <w:szCs w:val="16"/>
    </w:rPr>
  </w:style>
  <w:style w:type="paragraph" w:styleId="26">
    <w:name w:val="index 9"/>
    <w:basedOn w:val="1"/>
    <w:next w:val="1"/>
    <w:unhideWhenUsed/>
    <w:qFormat/>
    <w:uiPriority w:val="99"/>
    <w:pPr>
      <w:ind w:left="1600" w:leftChars="1600"/>
    </w:pPr>
  </w:style>
  <w:style w:type="paragraph" w:styleId="27">
    <w:name w:val="toc 2"/>
    <w:basedOn w:val="1"/>
    <w:next w:val="1"/>
    <w:qFormat/>
    <w:uiPriority w:val="39"/>
    <w:pPr>
      <w:spacing w:line="360" w:lineRule="auto"/>
      <w:ind w:left="420" w:leftChars="200"/>
    </w:pPr>
    <w:rPr>
      <w:rFonts w:asciiTheme="minorHAnsi" w:hAnsiTheme="minorHAnsi" w:cstheme="minorBidi"/>
      <w:sz w:val="24"/>
    </w:rPr>
  </w:style>
  <w:style w:type="paragraph" w:styleId="28">
    <w:name w:val="Normal (Web)"/>
    <w:basedOn w:val="1"/>
    <w:qFormat/>
    <w:uiPriority w:val="0"/>
    <w:pPr>
      <w:widowControl/>
      <w:spacing w:before="100" w:beforeAutospacing="1" w:after="100" w:afterAutospacing="1"/>
    </w:pPr>
    <w:rPr>
      <w:rFonts w:ascii="宋体" w:hAnsi="宋体"/>
      <w:kern w:val="0"/>
      <w:sz w:val="24"/>
      <w:szCs w:val="20"/>
    </w:rPr>
  </w:style>
  <w:style w:type="paragraph" w:styleId="29">
    <w:name w:val="Title"/>
    <w:basedOn w:val="1"/>
    <w:next w:val="1"/>
    <w:link w:val="53"/>
    <w:qFormat/>
    <w:uiPriority w:val="0"/>
    <w:pPr>
      <w:spacing w:before="240" w:after="60"/>
      <w:jc w:val="center"/>
      <w:outlineLvl w:val="0"/>
    </w:pPr>
    <w:rPr>
      <w:rFonts w:asciiTheme="majorHAnsi" w:hAnsiTheme="majorHAnsi" w:eastAsiaTheme="majorEastAsia" w:cstheme="majorBidi"/>
      <w:b/>
      <w:bCs/>
      <w:sz w:val="32"/>
      <w:szCs w:val="32"/>
    </w:rPr>
  </w:style>
  <w:style w:type="paragraph" w:styleId="30">
    <w:name w:val="annotation subject"/>
    <w:basedOn w:val="14"/>
    <w:next w:val="14"/>
    <w:link w:val="55"/>
    <w:semiHidden/>
    <w:unhideWhenUsed/>
    <w:qFormat/>
    <w:uiPriority w:val="0"/>
    <w:rPr>
      <w:b/>
      <w:bCs/>
      <w:kern w:val="2"/>
      <w:sz w:val="21"/>
    </w:rPr>
  </w:style>
  <w:style w:type="paragraph" w:styleId="31">
    <w:name w:val="Body Text First Indent"/>
    <w:basedOn w:val="2"/>
    <w:unhideWhenUsed/>
    <w:qFormat/>
    <w:uiPriority w:val="99"/>
    <w:pPr>
      <w:spacing w:after="120"/>
      <w:ind w:firstLine="420" w:firstLineChars="100"/>
    </w:pPr>
    <w:rPr>
      <w:rFonts w:ascii="Times New Roman"/>
      <w:sz w:val="21"/>
    </w:rPr>
  </w:style>
  <w:style w:type="paragraph" w:styleId="32">
    <w:name w:val="Body Text First Indent 2"/>
    <w:basedOn w:val="1"/>
    <w:next w:val="1"/>
    <w:qFormat/>
    <w:uiPriority w:val="0"/>
    <w:pPr>
      <w:spacing w:line="360" w:lineRule="auto"/>
      <w:ind w:firstLine="420" w:firstLineChars="200"/>
    </w:pPr>
    <w:rPr>
      <w:rFonts w:ascii="宋体" w:hAnsi="宋体"/>
    </w:rPr>
  </w:style>
  <w:style w:type="table" w:styleId="34">
    <w:name w:val="Table Grid"/>
    <w:basedOn w:val="3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basedOn w:val="35"/>
    <w:qFormat/>
    <w:uiPriority w:val="22"/>
    <w:rPr>
      <w:b/>
      <w:bCs/>
    </w:rPr>
  </w:style>
  <w:style w:type="character" w:styleId="37">
    <w:name w:val="Hyperlink"/>
    <w:qFormat/>
    <w:uiPriority w:val="99"/>
    <w:rPr>
      <w:color w:val="0000FF"/>
      <w:u w:val="single"/>
    </w:rPr>
  </w:style>
  <w:style w:type="character" w:styleId="38">
    <w:name w:val="annotation reference"/>
    <w:qFormat/>
    <w:uiPriority w:val="99"/>
    <w:rPr>
      <w:sz w:val="21"/>
      <w:szCs w:val="21"/>
    </w:rPr>
  </w:style>
  <w:style w:type="paragraph" w:customStyle="1" w:styleId="39">
    <w:name w:val="Heading1"/>
    <w:basedOn w:val="1"/>
    <w:next w:val="1"/>
    <w:qFormat/>
    <w:uiPriority w:val="0"/>
    <w:pPr>
      <w:keepNext/>
      <w:textAlignment w:val="baseline"/>
    </w:pPr>
    <w:rPr>
      <w:rFonts w:ascii="等线 Light" w:eastAsia="等线 Light"/>
      <w:sz w:val="28"/>
      <w:szCs w:val="20"/>
    </w:rPr>
  </w:style>
  <w:style w:type="paragraph" w:customStyle="1" w:styleId="40">
    <w:name w:val="首行缩进"/>
    <w:basedOn w:val="1"/>
    <w:qFormat/>
    <w:uiPriority w:val="0"/>
    <w:pPr>
      <w:ind w:firstLine="480" w:firstLineChars="200"/>
    </w:pPr>
    <w:rPr>
      <w:szCs w:val="20"/>
      <w:lang w:val="zh-CN"/>
    </w:rPr>
  </w:style>
  <w:style w:type="character" w:customStyle="1" w:styleId="41">
    <w:name w:val="页眉 字符"/>
    <w:link w:val="23"/>
    <w:qFormat/>
    <w:uiPriority w:val="0"/>
    <w:rPr>
      <w:rFonts w:ascii="Times New Roman" w:hAnsi="Times New Roman" w:eastAsia="宋体" w:cs="Times New Roman"/>
      <w:kern w:val="2"/>
      <w:sz w:val="18"/>
      <w:szCs w:val="18"/>
    </w:rPr>
  </w:style>
  <w:style w:type="character" w:customStyle="1" w:styleId="42">
    <w:name w:val="批注框文本 字符"/>
    <w:link w:val="21"/>
    <w:qFormat/>
    <w:uiPriority w:val="0"/>
    <w:rPr>
      <w:rFonts w:ascii="Times New Roman" w:hAnsi="Times New Roman" w:eastAsia="宋体" w:cs="Times New Roman"/>
      <w:kern w:val="2"/>
      <w:sz w:val="18"/>
      <w:szCs w:val="18"/>
    </w:rPr>
  </w:style>
  <w:style w:type="character" w:customStyle="1" w:styleId="43">
    <w:name w:val="页脚 字符"/>
    <w:link w:val="22"/>
    <w:qFormat/>
    <w:uiPriority w:val="0"/>
    <w:rPr>
      <w:rFonts w:ascii="Times New Roman" w:hAnsi="Times New Roman" w:eastAsia="宋体" w:cs="Times New Roman"/>
      <w:kern w:val="2"/>
      <w:sz w:val="18"/>
      <w:szCs w:val="18"/>
    </w:rPr>
  </w:style>
  <w:style w:type="paragraph" w:styleId="44">
    <w:name w:val="List Paragraph"/>
    <w:basedOn w:val="1"/>
    <w:qFormat/>
    <w:uiPriority w:val="34"/>
    <w:pPr>
      <w:ind w:firstLine="420" w:firstLineChars="200"/>
    </w:pPr>
    <w:rPr>
      <w:rFonts w:ascii="Calibri" w:hAnsi="Calibri"/>
      <w:kern w:val="0"/>
      <w:sz w:val="20"/>
      <w:szCs w:val="20"/>
    </w:rPr>
  </w:style>
  <w:style w:type="paragraph" w:customStyle="1" w:styleId="45">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46">
    <w:name w:val="普通正文"/>
    <w:basedOn w:val="1"/>
    <w:qFormat/>
    <w:uiPriority w:val="99"/>
    <w:pPr>
      <w:adjustRightInd w:val="0"/>
      <w:spacing w:before="120" w:after="120" w:line="360" w:lineRule="auto"/>
      <w:ind w:firstLine="480"/>
      <w:jc w:val="left"/>
      <w:textAlignment w:val="baseline"/>
    </w:pPr>
    <w:rPr>
      <w:rFonts w:ascii="Arial" w:hAnsi="Arial"/>
      <w:kern w:val="0"/>
      <w:sz w:val="24"/>
    </w:rPr>
  </w:style>
  <w:style w:type="paragraph" w:customStyle="1" w:styleId="47">
    <w:name w:val="纯文本1"/>
    <w:basedOn w:val="1"/>
    <w:qFormat/>
    <w:uiPriority w:val="0"/>
    <w:pPr>
      <w:adjustRightInd w:val="0"/>
    </w:pPr>
    <w:rPr>
      <w:rFonts w:ascii="宋体" w:hAnsi="Courier New" w:eastAsia="楷体_GB2312"/>
      <w:sz w:val="28"/>
      <w:szCs w:val="20"/>
    </w:rPr>
  </w:style>
  <w:style w:type="table" w:customStyle="1" w:styleId="48">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4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1"/>
    <w:next w:val="1"/>
    <w:qFormat/>
    <w:uiPriority w:val="0"/>
    <w:pPr>
      <w:widowControl w:val="0"/>
      <w:jc w:val="both"/>
    </w:pPr>
    <w:rPr>
      <w:rFonts w:ascii="Calibri" w:hAnsi="Calibri" w:eastAsia="宋体" w:cs="Times New Roman"/>
      <w:kern w:val="2"/>
      <w:sz w:val="21"/>
      <w:szCs w:val="21"/>
      <w:lang w:val="en-US" w:eastAsia="zh-CN" w:bidi="ar-SA"/>
    </w:rPr>
  </w:style>
  <w:style w:type="character" w:customStyle="1" w:styleId="51">
    <w:name w:val="标题 3 字符"/>
    <w:link w:val="8"/>
    <w:qFormat/>
    <w:uiPriority w:val="0"/>
    <w:rPr>
      <w:b/>
      <w:sz w:val="32"/>
    </w:rPr>
  </w:style>
  <w:style w:type="character" w:customStyle="1" w:styleId="52">
    <w:name w:val="纯文本 字符"/>
    <w:link w:val="19"/>
    <w:qFormat/>
    <w:locked/>
    <w:uiPriority w:val="0"/>
    <w:rPr>
      <w:rFonts w:ascii="宋体" w:hAnsi="Courier New"/>
    </w:rPr>
  </w:style>
  <w:style w:type="character" w:customStyle="1" w:styleId="53">
    <w:name w:val="标题 字符"/>
    <w:basedOn w:val="35"/>
    <w:link w:val="29"/>
    <w:qFormat/>
    <w:uiPriority w:val="0"/>
    <w:rPr>
      <w:rFonts w:asciiTheme="majorHAnsi" w:hAnsiTheme="majorHAnsi" w:eastAsiaTheme="majorEastAsia" w:cstheme="majorBidi"/>
      <w:b/>
      <w:bCs/>
      <w:kern w:val="2"/>
      <w:sz w:val="32"/>
      <w:szCs w:val="32"/>
    </w:rPr>
  </w:style>
  <w:style w:type="character" w:customStyle="1" w:styleId="54">
    <w:name w:val="批注文字 字符"/>
    <w:basedOn w:val="35"/>
    <w:link w:val="14"/>
    <w:qFormat/>
    <w:uiPriority w:val="99"/>
    <w:rPr>
      <w:szCs w:val="24"/>
    </w:rPr>
  </w:style>
  <w:style w:type="character" w:customStyle="1" w:styleId="55">
    <w:name w:val="批注主题 字符"/>
    <w:basedOn w:val="54"/>
    <w:link w:val="30"/>
    <w:semiHidden/>
    <w:qFormat/>
    <w:uiPriority w:val="0"/>
    <w:rPr>
      <w:b/>
      <w:bCs/>
      <w:kern w:val="2"/>
      <w:sz w:val="21"/>
      <w:szCs w:val="24"/>
    </w:rPr>
  </w:style>
  <w:style w:type="paragraph" w:customStyle="1" w:styleId="56">
    <w:name w:val="TOC 标题1"/>
    <w:basedOn w:val="6"/>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57">
    <w:name w:val="一、（二级标题）"/>
    <w:qFormat/>
    <w:uiPriority w:val="0"/>
    <w:pPr>
      <w:widowControl w:val="0"/>
      <w:tabs>
        <w:tab w:val="left" w:pos="993"/>
        <w:tab w:val="left" w:pos="1276"/>
      </w:tabs>
      <w:wordWrap w:val="0"/>
      <w:ind w:firstLine="200" w:firstLineChars="200"/>
      <w:outlineLvl w:val="1"/>
    </w:pPr>
    <w:rPr>
      <w:rFonts w:ascii="Arial" w:hAnsi="Arial" w:eastAsia="黑体" w:cs="Times New Roman"/>
      <w:bCs/>
      <w:kern w:val="2"/>
      <w:sz w:val="28"/>
      <w:szCs w:val="32"/>
      <w:lang w:val="en-US" w:eastAsia="zh-CN" w:bidi="ar-SA"/>
    </w:rPr>
  </w:style>
  <w:style w:type="paragraph" w:customStyle="1" w:styleId="58">
    <w:name w:val="（一）正文标题"/>
    <w:basedOn w:val="8"/>
    <w:qFormat/>
    <w:uiPriority w:val="0"/>
    <w:pPr>
      <w:keepNext w:val="0"/>
      <w:keepLines w:val="0"/>
      <w:tabs>
        <w:tab w:val="left" w:pos="993"/>
        <w:tab w:val="left" w:pos="1134"/>
        <w:tab w:val="left" w:pos="1276"/>
        <w:tab w:val="left" w:pos="1418"/>
      </w:tabs>
      <w:wordWrap w:val="0"/>
      <w:ind w:firstLine="200" w:firstLineChars="200"/>
    </w:pPr>
    <w:rPr>
      <w:rFonts w:ascii="仿宋_GB2312" w:hAnsi="仿宋_GB2312" w:eastAsia="楷体"/>
      <w:szCs w:val="28"/>
    </w:rPr>
  </w:style>
  <w:style w:type="paragraph" w:customStyle="1" w:styleId="59">
    <w:name w:val="文本"/>
    <w:qFormat/>
    <w:uiPriority w:val="0"/>
    <w:pPr>
      <w:widowControl w:val="0"/>
      <w:wordWrap w:val="0"/>
      <w:spacing w:line="360" w:lineRule="auto"/>
      <w:ind w:firstLine="200" w:firstLineChars="200"/>
    </w:pPr>
    <w:rPr>
      <w:rFonts w:ascii="仿宋_GB2312" w:hAnsi="Times New Roman" w:eastAsia="仿宋_GB2312" w:cs="Times New Roman"/>
      <w:kern w:val="2"/>
      <w:sz w:val="28"/>
      <w:szCs w:val="24"/>
      <w:lang w:val="en-US" w:eastAsia="zh-CN" w:bidi="ar-SA"/>
    </w:rPr>
  </w:style>
  <w:style w:type="paragraph" w:customStyle="1" w:styleId="60">
    <w:name w:val="1."/>
    <w:qFormat/>
    <w:uiPriority w:val="0"/>
    <w:pPr>
      <w:widowControl w:val="0"/>
      <w:tabs>
        <w:tab w:val="left" w:pos="851"/>
        <w:tab w:val="left" w:pos="1418"/>
      </w:tabs>
      <w:wordWrap w:val="0"/>
      <w:ind w:firstLine="200" w:firstLineChars="200"/>
      <w:outlineLvl w:val="3"/>
    </w:pPr>
    <w:rPr>
      <w:rFonts w:ascii="仿宋_GB2312" w:hAnsi="Times New Roman" w:eastAsia="仿宋_GB2312" w:cs="Times New Roman"/>
      <w:bCs/>
      <w:kern w:val="2"/>
      <w:sz w:val="28"/>
      <w:szCs w:val="28"/>
      <w:lang w:val="en-US" w:eastAsia="zh-CN" w:bidi="ar-SA"/>
    </w:rPr>
  </w:style>
  <w:style w:type="paragraph" w:customStyle="1" w:styleId="61">
    <w:name w:val="Table Text"/>
    <w:basedOn w:val="1"/>
    <w:semiHidden/>
    <w:qFormat/>
    <w:uiPriority w:val="0"/>
    <w:rPr>
      <w:rFonts w:ascii="宋体" w:hAnsi="宋体" w:cs="宋体"/>
      <w:sz w:val="20"/>
      <w:szCs w:val="20"/>
      <w:lang w:eastAsia="en-US"/>
    </w:rPr>
  </w:style>
  <w:style w:type="paragraph" w:customStyle="1" w:styleId="62">
    <w:name w:val="二级目录"/>
    <w:next w:val="1"/>
    <w:qFormat/>
    <w:uiPriority w:val="99"/>
    <w:pPr>
      <w:tabs>
        <w:tab w:val="left" w:pos="360"/>
        <w:tab w:val="left" w:pos="720"/>
      </w:tabs>
      <w:spacing w:after="160" w:line="256" w:lineRule="auto"/>
      <w:outlineLvl w:val="1"/>
    </w:pPr>
    <w:rPr>
      <w:rFonts w:ascii="Times New Roman" w:hAnsi="Times New Roman" w:eastAsia="宋体" w:cs="Times New Roman"/>
      <w:b/>
      <w:bCs/>
      <w:kern w:val="2"/>
      <w:sz w:val="28"/>
      <w:szCs w:val="28"/>
      <w:lang w:val="en-US" w:eastAsia="zh-CN" w:bidi="ar-SA"/>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6B60B1-A80E-489C-9FAA-0EA356B3A31B}">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37</Pages>
  <Words>4345</Words>
  <Characters>24771</Characters>
  <Lines>206</Lines>
  <Paragraphs>58</Paragraphs>
  <TotalTime>2</TotalTime>
  <ScaleCrop>false</ScaleCrop>
  <LinksUpToDate>false</LinksUpToDate>
  <CharactersWithSpaces>29058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2022-06-18T07:01:00Z</dcterms:created>
  <dc:creator>ASUS</dc:creator>
  <cp:lastModifiedBy>携手阳光</cp:lastModifiedBy>
  <cp:lastPrinted>2023-12-18T03:11:55Z</cp:lastPrinted>
  <dcterms:modified xsi:type="dcterms:W3CDTF">2023-12-18T03:12:41Z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23761B6232284AAB80C4575E77DFFBC2_13</vt:lpwstr>
  </property>
</Properties>
</file>