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项目需求</w:t>
      </w:r>
      <w:bookmarkStart w:id="0" w:name="_Toc26554093"/>
      <w:bookmarkStart w:id="1" w:name="_Toc49090575"/>
    </w:p>
    <w:p>
      <w:pPr>
        <w:rPr>
          <w:rFonts w:hint="eastAsia"/>
        </w:rPr>
      </w:pPr>
    </w:p>
    <w:p>
      <w:pPr>
        <w:spacing w:line="500" w:lineRule="exact"/>
        <w:ind w:firstLine="482" w:firstLineChars="200"/>
        <w:rPr>
          <w:rFonts w:ascii="宋体" w:hAnsi="宋体" w:cs="宋体"/>
          <w:b/>
          <w:bCs/>
          <w:color w:val="000000"/>
          <w:kern w:val="0"/>
          <w:sz w:val="24"/>
          <w:szCs w:val="24"/>
        </w:rPr>
      </w:pPr>
      <w:bookmarkStart w:id="2" w:name="_Toc120614281"/>
      <w:r>
        <w:rPr>
          <w:rFonts w:hint="eastAsia" w:ascii="宋体" w:hAnsi="宋体" w:cs="宋体"/>
          <w:b/>
          <w:bCs/>
          <w:color w:val="000000"/>
          <w:kern w:val="0"/>
          <w:sz w:val="24"/>
          <w:szCs w:val="24"/>
        </w:rPr>
        <w:t xml:space="preserve">一、采购项目信息 </w:t>
      </w:r>
    </w:p>
    <w:p>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1.采购单位：江苏医药职业学院</w:t>
      </w:r>
    </w:p>
    <w:p>
      <w:pPr>
        <w:spacing w:line="500" w:lineRule="exact"/>
        <w:ind w:firstLine="480" w:firstLineChars="200"/>
        <w:rPr>
          <w:rFonts w:ascii="宋体" w:hAnsi="宋体" w:cs="宋体"/>
          <w:sz w:val="24"/>
          <w:szCs w:val="24"/>
        </w:rPr>
      </w:pPr>
      <w:r>
        <w:rPr>
          <w:rFonts w:hint="eastAsia" w:ascii="宋体" w:hAnsi="宋体" w:cs="宋体"/>
          <w:bCs/>
          <w:kern w:val="0"/>
          <w:sz w:val="24"/>
          <w:szCs w:val="24"/>
        </w:rPr>
        <w:t>2.采购项目名称：</w:t>
      </w:r>
      <w:r>
        <w:rPr>
          <w:rFonts w:hint="eastAsia" w:ascii="宋体" w:hAnsi="宋体" w:cs="宋体"/>
          <w:sz w:val="24"/>
          <w:szCs w:val="24"/>
        </w:rPr>
        <w:t>江苏医药职业学</w:t>
      </w:r>
      <w:bookmarkStart w:id="3" w:name="_GoBack"/>
      <w:bookmarkEnd w:id="3"/>
      <w:r>
        <w:rPr>
          <w:rFonts w:hint="eastAsia" w:ascii="宋体" w:hAnsi="宋体" w:cs="宋体"/>
          <w:sz w:val="24"/>
          <w:szCs w:val="24"/>
        </w:rPr>
        <w:t>院2024-2026年校内建设工程监理单位入围服务项目</w:t>
      </w:r>
    </w:p>
    <w:p>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3.预算金额：20万元</w:t>
      </w:r>
    </w:p>
    <w:p>
      <w:pPr>
        <w:pStyle w:val="2"/>
        <w:spacing w:line="520" w:lineRule="exact"/>
        <w:ind w:left="0" w:leftChars="0" w:firstLine="480" w:firstLineChars="200"/>
        <w:jc w:val="left"/>
        <w:rPr>
          <w:rFonts w:hint="eastAsia"/>
          <w:sz w:val="24"/>
          <w:szCs w:val="24"/>
        </w:rPr>
      </w:pPr>
      <w:r>
        <w:rPr>
          <w:rFonts w:hint="eastAsia" w:ascii="宋体" w:hAnsi="宋体" w:cs="宋体"/>
          <w:bCs/>
          <w:kern w:val="0"/>
          <w:sz w:val="24"/>
          <w:szCs w:val="24"/>
        </w:rPr>
        <w:t>4.最高限价：</w:t>
      </w:r>
      <w:r>
        <w:rPr>
          <w:rFonts w:hint="eastAsia"/>
          <w:sz w:val="24"/>
          <w:szCs w:val="24"/>
        </w:rPr>
        <w:t>以《国家发展改革委、建设部关于印发建设工程监理与相关服务收费管理规定的通知》（发改价格〔2007〕670号）文件精神为基础，通过公开招标方式确定实际执行比例。执行比例的投标上限为60%。（2家监理服务单位投标的执行比例不同时，取2家的低值作为共同的执行比例）</w:t>
      </w:r>
      <w:r>
        <w:rPr>
          <w:sz w:val="24"/>
          <w:szCs w:val="24"/>
        </w:rPr>
        <w:t>。</w:t>
      </w:r>
    </w:p>
    <w:p>
      <w:pPr>
        <w:spacing w:line="50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二、采购内容</w:t>
      </w:r>
    </w:p>
    <w:p>
      <w:pPr>
        <w:spacing w:line="440" w:lineRule="exact"/>
        <w:ind w:firstLine="480" w:firstLineChars="200"/>
        <w:jc w:val="left"/>
        <w:rPr>
          <w:sz w:val="24"/>
          <w:szCs w:val="24"/>
        </w:rPr>
      </w:pPr>
      <w:r>
        <w:rPr>
          <w:rFonts w:hint="eastAsia"/>
          <w:sz w:val="24"/>
          <w:szCs w:val="24"/>
        </w:rPr>
        <w:t>1、监理范围：负责学校各类基建、维修、装饰、装修、智能化、特殊采购等零星工程监理服务（原则上单项工程造价在1000万元以下，特殊情况另行商定），包含项目申报（如有）、施工准备阶段、施工阶段、竣工验收阶段、工程结算阶段、质量保修阶段等项目建设的全过程。</w:t>
      </w:r>
    </w:p>
    <w:p>
      <w:pPr>
        <w:spacing w:line="440" w:lineRule="exact"/>
        <w:ind w:firstLine="480" w:firstLineChars="200"/>
        <w:jc w:val="left"/>
        <w:rPr>
          <w:sz w:val="24"/>
          <w:szCs w:val="24"/>
        </w:rPr>
      </w:pPr>
      <w:r>
        <w:rPr>
          <w:rFonts w:hint="eastAsia"/>
          <w:sz w:val="24"/>
          <w:szCs w:val="24"/>
        </w:rPr>
        <w:t>2、监理服务单位须以下条件之一：1、具备建设行政主管部门核发的工程监理综合资质的独立法人；2、具备建设行政主管部门核发的房屋建筑工程专业监理专业乙级及以上资质同时具有市政公用工程专业监理乙级及以上资质的独立法人。</w:t>
      </w:r>
    </w:p>
    <w:p>
      <w:pPr>
        <w:spacing w:line="440" w:lineRule="exact"/>
        <w:ind w:firstLine="480" w:firstLineChars="200"/>
        <w:jc w:val="left"/>
        <w:rPr>
          <w:sz w:val="24"/>
          <w:szCs w:val="24"/>
        </w:rPr>
      </w:pPr>
      <w:r>
        <w:rPr>
          <w:rFonts w:hint="eastAsia"/>
          <w:sz w:val="24"/>
          <w:szCs w:val="24"/>
        </w:rPr>
        <w:t>3、收费方式：以《国家发展改革委、建设部关于印发建设工程监理与相关服务收费管理规定的通知》（发改价格〔2007〕670号）文件精神为基础，通过公开招标方式确定实际执行比例。执行比例的投标上限为60%。（专业调整系数为1.0，高程调整系数为1.0，工程复杂程度调整系数为1.0）</w:t>
      </w:r>
    </w:p>
    <w:p>
      <w:pPr>
        <w:spacing w:line="440" w:lineRule="exact"/>
        <w:ind w:firstLine="480" w:firstLineChars="200"/>
        <w:jc w:val="left"/>
        <w:rPr>
          <w:sz w:val="24"/>
          <w:szCs w:val="24"/>
        </w:rPr>
      </w:pPr>
      <w:r>
        <w:rPr>
          <w:rFonts w:hint="eastAsia"/>
          <w:sz w:val="24"/>
          <w:szCs w:val="24"/>
        </w:rPr>
        <w:t>4、一次引进2家监理服务单位。2家监理服务单位投标的执行比例不同时，取2家的低值作为共同的执行比例。</w:t>
      </w:r>
    </w:p>
    <w:p>
      <w:pPr>
        <w:spacing w:line="440" w:lineRule="exact"/>
        <w:ind w:firstLine="480" w:firstLineChars="200"/>
        <w:jc w:val="left"/>
        <w:rPr>
          <w:sz w:val="24"/>
          <w:szCs w:val="24"/>
        </w:rPr>
      </w:pPr>
      <w:r>
        <w:rPr>
          <w:rFonts w:hint="eastAsia"/>
          <w:sz w:val="24"/>
          <w:szCs w:val="24"/>
        </w:rPr>
        <w:t>5、服务期限：自合同签订日至2026年12月31日止。</w:t>
      </w:r>
    </w:p>
    <w:p>
      <w:pPr>
        <w:spacing w:line="440" w:lineRule="exact"/>
        <w:ind w:firstLine="480" w:firstLineChars="200"/>
        <w:jc w:val="left"/>
        <w:rPr>
          <w:sz w:val="24"/>
          <w:szCs w:val="24"/>
        </w:rPr>
      </w:pPr>
      <w:r>
        <w:rPr>
          <w:rFonts w:hint="eastAsia"/>
          <w:sz w:val="24"/>
          <w:szCs w:val="24"/>
        </w:rPr>
        <w:t>6、工作内容：在国家相关标准和规定指导下，负责各自工程项目准备期开始至竣工验收期内施工图纸的交底会审、质量控制、进度控制、费用控制、合同管理、信息管理、工作协调、安全监理和环境监理等职责；对质保期内施工承包人实施的未完成工作、缺陷修补与缺陷调查，负有监理责任。</w:t>
      </w:r>
    </w:p>
    <w:p>
      <w:pPr>
        <w:spacing w:line="440" w:lineRule="exact"/>
        <w:ind w:firstLine="480" w:firstLineChars="200"/>
        <w:jc w:val="left"/>
        <w:rPr>
          <w:sz w:val="24"/>
          <w:szCs w:val="24"/>
        </w:rPr>
      </w:pPr>
      <w:r>
        <w:rPr>
          <w:rFonts w:hint="eastAsia"/>
          <w:sz w:val="24"/>
          <w:szCs w:val="24"/>
        </w:rPr>
        <w:t>7、监理服务单位要严格履行职责，为学校把好各项工程的安全关、质量关、进度关、造价关、廉政关。</w:t>
      </w:r>
    </w:p>
    <w:p>
      <w:pPr>
        <w:spacing w:line="440" w:lineRule="exact"/>
        <w:ind w:firstLine="480" w:firstLineChars="200"/>
        <w:jc w:val="left"/>
        <w:rPr>
          <w:sz w:val="24"/>
          <w:szCs w:val="24"/>
        </w:rPr>
      </w:pPr>
      <w:r>
        <w:rPr>
          <w:rFonts w:hint="eastAsia"/>
          <w:sz w:val="24"/>
          <w:szCs w:val="24"/>
        </w:rPr>
        <w:t>8、后勤管理处修订监理服务管理办法，对监理服务单位加强管理，并将监理服务考核结果与监理费支付挂钩。（采用评级机制，分为优秀、良好、合格、不合格四个等级，最终评级为良好及以上，该项目付监理费用100%；最终评级为合格，该项目付监理费用80%；最终评级为不合格，扣除该项目全部监理费用）</w:t>
      </w:r>
    </w:p>
    <w:p>
      <w:pPr>
        <w:spacing w:line="440" w:lineRule="exact"/>
        <w:ind w:firstLine="480" w:firstLineChars="200"/>
        <w:jc w:val="left"/>
        <w:rPr>
          <w:sz w:val="24"/>
          <w:szCs w:val="24"/>
        </w:rPr>
      </w:pPr>
      <w:r>
        <w:rPr>
          <w:rFonts w:hint="eastAsia"/>
          <w:sz w:val="24"/>
          <w:szCs w:val="24"/>
        </w:rPr>
        <w:t>9、每年结束，监理服务单位列出各单项工程计费额、收费费率及依据、实际执行比例及监理费数额，汇总后报后勤管理处。后勤管理处根据监理服务考核结果提出调整意见，然后报审计处。审计处核实后，出具审计单。学校依据审计单支付监理服务单位费用（项目监理费付款进度：项目竣工验收合格后，该项目监理费付至90%；项目质保结束后，付清全部监理费）。</w:t>
      </w:r>
    </w:p>
    <w:p>
      <w:pPr>
        <w:spacing w:line="440" w:lineRule="exact"/>
        <w:ind w:firstLine="480" w:firstLineChars="200"/>
        <w:jc w:val="left"/>
        <w:rPr>
          <w:sz w:val="24"/>
          <w:szCs w:val="24"/>
        </w:rPr>
      </w:pPr>
      <w:r>
        <w:rPr>
          <w:rFonts w:hint="eastAsia"/>
          <w:sz w:val="24"/>
          <w:szCs w:val="24"/>
        </w:rPr>
        <w:t>10、监理工作要求：</w:t>
      </w:r>
    </w:p>
    <w:p>
      <w:pPr>
        <w:spacing w:line="440" w:lineRule="exact"/>
        <w:ind w:firstLine="480" w:firstLineChars="200"/>
        <w:jc w:val="left"/>
        <w:rPr>
          <w:sz w:val="24"/>
          <w:szCs w:val="24"/>
        </w:rPr>
      </w:pPr>
      <w:r>
        <w:rPr>
          <w:rFonts w:hint="eastAsia"/>
          <w:sz w:val="24"/>
          <w:szCs w:val="24"/>
        </w:rPr>
        <w:t>廉政要求：</w:t>
      </w:r>
    </w:p>
    <w:p>
      <w:pPr>
        <w:spacing w:line="440" w:lineRule="exact"/>
        <w:ind w:firstLine="480" w:firstLineChars="200"/>
        <w:jc w:val="left"/>
        <w:rPr>
          <w:sz w:val="24"/>
          <w:szCs w:val="24"/>
        </w:rPr>
      </w:pPr>
      <w:r>
        <w:rPr>
          <w:rFonts w:hint="eastAsia"/>
          <w:sz w:val="24"/>
          <w:szCs w:val="24"/>
        </w:rPr>
        <w:t>（1）坚决执行国家及行业有关法规法令，严格履行监理职责，忠于职守，严格把关，对自己签认的各种工程数据终身负责。</w:t>
      </w:r>
    </w:p>
    <w:p>
      <w:pPr>
        <w:spacing w:line="440" w:lineRule="exact"/>
        <w:ind w:firstLine="480" w:firstLineChars="200"/>
        <w:jc w:val="left"/>
        <w:rPr>
          <w:sz w:val="24"/>
          <w:szCs w:val="24"/>
        </w:rPr>
      </w:pPr>
      <w:r>
        <w:rPr>
          <w:rFonts w:hint="eastAsia"/>
          <w:sz w:val="24"/>
          <w:szCs w:val="24"/>
        </w:rPr>
        <w:t>（2）不接受、索要施工单位的礼金、加班费、有价证券和贵重礼品，不在施工单位报销任何票据，不参加相关单位的各种宴请和娱乐活动。</w:t>
      </w:r>
    </w:p>
    <w:p>
      <w:pPr>
        <w:spacing w:line="440" w:lineRule="exact"/>
        <w:ind w:firstLine="480" w:firstLineChars="200"/>
        <w:jc w:val="left"/>
        <w:rPr>
          <w:sz w:val="24"/>
          <w:szCs w:val="24"/>
        </w:rPr>
      </w:pPr>
      <w:r>
        <w:rPr>
          <w:rFonts w:hint="eastAsia"/>
          <w:sz w:val="24"/>
          <w:szCs w:val="24"/>
        </w:rPr>
        <w:t>（3）不利用职权向承包人介绍施工设备、材料及供应商，在工程工序交验过程当中不故意刁难承包人或放低要求，严格按照合同文件及上级的要求报验，做到公正、合法。</w:t>
      </w:r>
    </w:p>
    <w:p>
      <w:pPr>
        <w:spacing w:line="440" w:lineRule="exact"/>
        <w:ind w:firstLine="480" w:firstLineChars="200"/>
        <w:jc w:val="left"/>
        <w:rPr>
          <w:sz w:val="24"/>
          <w:szCs w:val="24"/>
        </w:rPr>
      </w:pPr>
      <w:r>
        <w:rPr>
          <w:rFonts w:hint="eastAsia"/>
          <w:sz w:val="24"/>
          <w:szCs w:val="24"/>
        </w:rPr>
        <w:t>安全要求：</w:t>
      </w:r>
    </w:p>
    <w:p>
      <w:pPr>
        <w:spacing w:line="440" w:lineRule="exact"/>
        <w:ind w:firstLine="480" w:firstLineChars="200"/>
        <w:jc w:val="left"/>
        <w:rPr>
          <w:sz w:val="24"/>
          <w:szCs w:val="24"/>
        </w:rPr>
      </w:pPr>
      <w:r>
        <w:rPr>
          <w:rFonts w:hint="eastAsia"/>
          <w:sz w:val="24"/>
          <w:szCs w:val="24"/>
        </w:rPr>
        <w:t>（1）监理工程师对现场安全负总责，开工前工程项目总监必须组织监理部安全监理员编制安全监理方案。</w:t>
      </w:r>
    </w:p>
    <w:p>
      <w:pPr>
        <w:spacing w:line="440" w:lineRule="exact"/>
        <w:ind w:firstLine="480" w:firstLineChars="200"/>
        <w:jc w:val="left"/>
        <w:rPr>
          <w:sz w:val="24"/>
          <w:szCs w:val="24"/>
        </w:rPr>
      </w:pPr>
      <w:r>
        <w:rPr>
          <w:rFonts w:hint="eastAsia"/>
          <w:sz w:val="24"/>
          <w:szCs w:val="24"/>
        </w:rPr>
        <w:t>（2）监理工程师开工前首先必须熟悉工程项目特点和周边环境，审查施工单位报审的专项方案、特种作业人员持证上岗情况，并出具审查意见。</w:t>
      </w:r>
    </w:p>
    <w:p>
      <w:pPr>
        <w:spacing w:line="440" w:lineRule="exact"/>
        <w:ind w:firstLine="480" w:firstLineChars="200"/>
        <w:jc w:val="left"/>
        <w:rPr>
          <w:sz w:val="24"/>
          <w:szCs w:val="24"/>
        </w:rPr>
      </w:pPr>
      <w:r>
        <w:rPr>
          <w:rFonts w:hint="eastAsia"/>
          <w:sz w:val="24"/>
          <w:szCs w:val="24"/>
        </w:rPr>
        <w:t>（3）安全监理人员必须对施工单位组织实施的危险性较大的工序，委派安全监理人员实行现场跟踪旁站监理，发现安全隐患及时向施工单位指出，必要时下发安全隐患通知单，并将情况及时向校方汇报。</w:t>
      </w:r>
    </w:p>
    <w:p>
      <w:pPr>
        <w:spacing w:line="440" w:lineRule="exact"/>
        <w:ind w:firstLine="480" w:firstLineChars="200"/>
        <w:jc w:val="left"/>
        <w:rPr>
          <w:sz w:val="24"/>
          <w:szCs w:val="24"/>
        </w:rPr>
      </w:pPr>
      <w:r>
        <w:rPr>
          <w:rFonts w:hint="eastAsia"/>
          <w:sz w:val="24"/>
          <w:szCs w:val="24"/>
        </w:rPr>
        <w:t>（4）安全监理人员必须督促施工单位定期对施工大型设备进行检修保养，并做好检修记录。</w:t>
      </w:r>
    </w:p>
    <w:p>
      <w:pPr>
        <w:spacing w:line="440" w:lineRule="exact"/>
        <w:ind w:firstLine="480" w:firstLineChars="200"/>
        <w:jc w:val="left"/>
        <w:rPr>
          <w:sz w:val="24"/>
          <w:szCs w:val="24"/>
        </w:rPr>
      </w:pPr>
      <w:r>
        <w:rPr>
          <w:rFonts w:hint="eastAsia"/>
          <w:sz w:val="24"/>
          <w:szCs w:val="24"/>
        </w:rPr>
        <w:t>（5）现场安全监理人员必须对施工单位已搭设脚手架工程进行全面检查，检查合格后方可投入使用。</w:t>
      </w:r>
    </w:p>
    <w:p>
      <w:pPr>
        <w:spacing w:line="440" w:lineRule="exact"/>
        <w:ind w:firstLine="480" w:firstLineChars="200"/>
        <w:jc w:val="left"/>
        <w:rPr>
          <w:sz w:val="24"/>
          <w:szCs w:val="24"/>
        </w:rPr>
      </w:pPr>
      <w:r>
        <w:rPr>
          <w:rFonts w:hint="eastAsia"/>
          <w:sz w:val="24"/>
          <w:szCs w:val="24"/>
        </w:rPr>
        <w:t>（6）现场安全监理人员必须对施工单位施工用电定期进行检查，发现安全隐患，即时下发指令要求施工单位进行整改，并将情况及时向校方汇报。</w:t>
      </w:r>
    </w:p>
    <w:p>
      <w:pPr>
        <w:spacing w:line="440" w:lineRule="exact"/>
        <w:ind w:firstLine="480" w:firstLineChars="200"/>
        <w:jc w:val="left"/>
        <w:rPr>
          <w:sz w:val="24"/>
          <w:szCs w:val="24"/>
        </w:rPr>
      </w:pPr>
      <w:r>
        <w:rPr>
          <w:rFonts w:hint="eastAsia"/>
          <w:sz w:val="24"/>
          <w:szCs w:val="24"/>
        </w:rPr>
        <w:t>（7）现场安全监理人员必须对施工单位三级安全教育及安全责任制的'落实情况进行检查，并督促施工单位落实到位。</w:t>
      </w:r>
    </w:p>
    <w:p>
      <w:pPr>
        <w:spacing w:line="440" w:lineRule="exact"/>
        <w:ind w:firstLine="480" w:firstLineChars="200"/>
        <w:jc w:val="left"/>
        <w:rPr>
          <w:sz w:val="24"/>
          <w:szCs w:val="24"/>
        </w:rPr>
      </w:pPr>
      <w:r>
        <w:rPr>
          <w:rFonts w:hint="eastAsia"/>
          <w:sz w:val="24"/>
          <w:szCs w:val="24"/>
        </w:rPr>
        <w:t>（8）现场安全监理人员必须对施工现场安全定期巡视检查，发现安全隐患，及时要求施工单位进行整改，必要时下发安全隐患通知单，并将情况及时向校方汇报。</w:t>
      </w:r>
    </w:p>
    <w:p>
      <w:pPr>
        <w:spacing w:line="440" w:lineRule="exact"/>
        <w:ind w:firstLine="480" w:firstLineChars="200"/>
        <w:jc w:val="left"/>
        <w:rPr>
          <w:sz w:val="24"/>
          <w:szCs w:val="24"/>
        </w:rPr>
      </w:pPr>
      <w:r>
        <w:rPr>
          <w:rFonts w:hint="eastAsia"/>
          <w:sz w:val="24"/>
          <w:szCs w:val="24"/>
        </w:rPr>
        <w:t>（9）现场安全监理人员必须对施工单位存在安全隐患整改情况进行复查，对施工单位拒不整改的，及时向校方书面汇报。</w:t>
      </w:r>
    </w:p>
    <w:p>
      <w:pPr>
        <w:spacing w:line="440" w:lineRule="exact"/>
        <w:ind w:firstLine="480" w:firstLineChars="200"/>
        <w:jc w:val="left"/>
        <w:rPr>
          <w:sz w:val="24"/>
          <w:szCs w:val="24"/>
        </w:rPr>
      </w:pPr>
      <w:r>
        <w:rPr>
          <w:rFonts w:hint="eastAsia"/>
          <w:sz w:val="24"/>
          <w:szCs w:val="24"/>
        </w:rPr>
        <w:t>（10）工地安全例会制度，定期召开专题安全会议，对存在的安全问题进行总结、要求限时整改并及时检查整改情况，及时做好记录。</w:t>
      </w:r>
    </w:p>
    <w:p>
      <w:pPr>
        <w:spacing w:line="440" w:lineRule="exact"/>
        <w:ind w:firstLine="480" w:firstLineChars="200"/>
        <w:jc w:val="left"/>
        <w:rPr>
          <w:sz w:val="24"/>
          <w:szCs w:val="24"/>
        </w:rPr>
      </w:pPr>
      <w:r>
        <w:rPr>
          <w:rFonts w:hint="eastAsia"/>
          <w:sz w:val="24"/>
          <w:szCs w:val="24"/>
        </w:rPr>
        <w:t>质量要求：</w:t>
      </w:r>
    </w:p>
    <w:p>
      <w:pPr>
        <w:spacing w:line="440" w:lineRule="exact"/>
        <w:ind w:firstLine="480" w:firstLineChars="200"/>
        <w:jc w:val="left"/>
        <w:rPr>
          <w:sz w:val="24"/>
          <w:szCs w:val="24"/>
        </w:rPr>
      </w:pPr>
      <w:r>
        <w:rPr>
          <w:rFonts w:hint="eastAsia"/>
          <w:sz w:val="24"/>
          <w:szCs w:val="24"/>
        </w:rPr>
        <w:t>（1）监理公司接到监理任务后，根据工程性质配备专业的监理工程师，工程进场前向校方提供监理人员信息表，并将相关专业人员资质复印件交校方备案审查。原则上每个监理工程师同一时间段只能负责一个工程项目监理任务,更换监理工程师必须履行书面手续。</w:t>
      </w:r>
    </w:p>
    <w:p>
      <w:pPr>
        <w:spacing w:line="440" w:lineRule="exact"/>
        <w:ind w:firstLine="480" w:firstLineChars="200"/>
        <w:jc w:val="left"/>
        <w:rPr>
          <w:sz w:val="24"/>
          <w:szCs w:val="24"/>
        </w:rPr>
      </w:pPr>
      <w:r>
        <w:rPr>
          <w:rFonts w:hint="eastAsia"/>
          <w:sz w:val="24"/>
          <w:szCs w:val="24"/>
        </w:rPr>
        <w:t>（2）工程进场后，监理工程师必须每日到场查看工程施工情况，如校方发现监理工程师不在施工现场或15分钟内未到现场，予以处罚。</w:t>
      </w:r>
    </w:p>
    <w:p>
      <w:pPr>
        <w:spacing w:line="440" w:lineRule="exact"/>
        <w:ind w:firstLine="480" w:firstLineChars="200"/>
        <w:jc w:val="left"/>
        <w:rPr>
          <w:sz w:val="24"/>
          <w:szCs w:val="24"/>
        </w:rPr>
      </w:pPr>
      <w:r>
        <w:rPr>
          <w:rFonts w:hint="eastAsia"/>
          <w:sz w:val="24"/>
          <w:szCs w:val="24"/>
        </w:rPr>
        <w:t>（3）监理工程师在监理过程中如发现图纸、任务要求等与现场不符，或其他前期不可预见问题导致工程无法推进的，需立即向校方工程跟踪人员汇报，待校方研究后出具书面意见方可施工，不得先行施工再向甲方提出签证申请。</w:t>
      </w:r>
    </w:p>
    <w:p>
      <w:pPr>
        <w:spacing w:line="440" w:lineRule="exact"/>
        <w:ind w:firstLine="480" w:firstLineChars="200"/>
        <w:jc w:val="left"/>
        <w:rPr>
          <w:sz w:val="24"/>
          <w:szCs w:val="24"/>
        </w:rPr>
      </w:pPr>
      <w:r>
        <w:rPr>
          <w:rFonts w:hint="eastAsia"/>
          <w:sz w:val="24"/>
          <w:szCs w:val="24"/>
        </w:rPr>
        <w:t>（4）施工过程中，材料进场、隐蔽工程等关键节点需报校方跟踪人员，共同现场确认并签字后，方可进入下一施工阶段。</w:t>
      </w:r>
    </w:p>
    <w:p>
      <w:pPr>
        <w:spacing w:line="440" w:lineRule="exact"/>
        <w:ind w:firstLine="480" w:firstLineChars="200"/>
        <w:jc w:val="left"/>
        <w:rPr>
          <w:sz w:val="24"/>
          <w:szCs w:val="24"/>
        </w:rPr>
      </w:pPr>
      <w:r>
        <w:rPr>
          <w:rFonts w:hint="eastAsia"/>
          <w:sz w:val="24"/>
          <w:szCs w:val="24"/>
        </w:rPr>
        <w:t>（5）监理工程师需做好监理日志，日志内容需记录每日施工进度、关键施工步骤等重要内容，无监理日志或监理日志不能反映重要问题视同此工程未监理。</w:t>
      </w:r>
    </w:p>
    <w:p>
      <w:pPr>
        <w:spacing w:line="440" w:lineRule="exact"/>
        <w:ind w:firstLine="480" w:firstLineChars="200"/>
        <w:jc w:val="left"/>
        <w:rPr>
          <w:sz w:val="24"/>
          <w:szCs w:val="24"/>
        </w:rPr>
      </w:pPr>
      <w:r>
        <w:rPr>
          <w:rFonts w:hint="eastAsia"/>
          <w:sz w:val="24"/>
          <w:szCs w:val="24"/>
        </w:rPr>
        <w:t>（6）工程结束后，监理工程师做好本工程总结，对工程质量做好评估工作。</w:t>
      </w:r>
    </w:p>
    <w:p>
      <w:pPr>
        <w:spacing w:line="440" w:lineRule="exact"/>
        <w:ind w:firstLine="480" w:firstLineChars="200"/>
        <w:jc w:val="left"/>
        <w:rPr>
          <w:sz w:val="24"/>
          <w:szCs w:val="24"/>
        </w:rPr>
      </w:pPr>
      <w:r>
        <w:rPr>
          <w:rFonts w:hint="eastAsia"/>
          <w:sz w:val="24"/>
          <w:szCs w:val="24"/>
        </w:rPr>
        <w:t>（7）以上各项监理工作甲方监督，工程施工过程中每发现一次监理工作完成不到位，出具督查通知单（扣款依据附后），一个项目出具达三张，校方通知监理公司更换监理工程师。</w:t>
      </w:r>
    </w:p>
    <w:p>
      <w:pPr>
        <w:spacing w:line="440" w:lineRule="exact"/>
        <w:ind w:firstLine="480" w:firstLineChars="200"/>
        <w:jc w:val="left"/>
        <w:rPr>
          <w:sz w:val="24"/>
          <w:szCs w:val="24"/>
        </w:rPr>
      </w:pPr>
      <w:r>
        <w:rPr>
          <w:rFonts w:hint="eastAsia"/>
          <w:sz w:val="24"/>
          <w:szCs w:val="24"/>
        </w:rPr>
        <w:t>（8）监理采用评级机制，分为优秀、良好、合格、不合格四个等级，由校方跟踪人员根据监理工程师对工程质量、工期、资金控制等方面综合评定。</w:t>
      </w:r>
    </w:p>
    <w:p>
      <w:pPr>
        <w:spacing w:line="440" w:lineRule="exact"/>
        <w:ind w:firstLine="480" w:firstLineChars="200"/>
        <w:jc w:val="left"/>
        <w:rPr>
          <w:sz w:val="24"/>
          <w:szCs w:val="24"/>
        </w:rPr>
      </w:pPr>
      <w:r>
        <w:rPr>
          <w:rFonts w:hint="eastAsia"/>
          <w:sz w:val="24"/>
          <w:szCs w:val="24"/>
        </w:rPr>
        <w:t>最终评级为良好及以上，该项目付监理费用100%；最终评级为合格，该项目付监理费用80%；最终评级为不合格，扣除该项目全部监理费用。项目因为监理工作不到位更换监理工程师，该项目最高评级为合格。</w:t>
      </w:r>
    </w:p>
    <w:p>
      <w:pPr>
        <w:spacing w:line="440" w:lineRule="exact"/>
        <w:ind w:firstLine="480" w:firstLineChars="200"/>
        <w:jc w:val="left"/>
        <w:rPr>
          <w:sz w:val="24"/>
          <w:szCs w:val="24"/>
        </w:rPr>
      </w:pPr>
      <w:r>
        <w:rPr>
          <w:rFonts w:hint="eastAsia"/>
          <w:sz w:val="24"/>
          <w:szCs w:val="24"/>
        </w:rPr>
        <w:t>（9）如监理公司所负责的全部工程（所监理的工程项目总数不低于3个）均评级优秀，予以该监理公司奖励，奖励金额为该公司所获总监理费用10%；如监理工程师在服务过程中对本工程提供合理化建议，使项目在不增加成本的基础上获得更好的施工效果的，或者在不降低施工效果的基础上使甲方获得经济效益的，经校方认定后，对监理工程师所在公司进行奖励，奖励金额根据改进力度决定，但不超过该项目监理费用的10%。</w:t>
      </w:r>
    </w:p>
    <w:p>
      <w:pPr>
        <w:spacing w:line="440" w:lineRule="exact"/>
        <w:ind w:firstLine="480" w:firstLineChars="200"/>
        <w:jc w:val="left"/>
        <w:rPr>
          <w:sz w:val="24"/>
          <w:szCs w:val="24"/>
        </w:rPr>
      </w:pPr>
      <w:r>
        <w:rPr>
          <w:rFonts w:hint="eastAsia"/>
          <w:sz w:val="24"/>
          <w:szCs w:val="24"/>
        </w:rPr>
        <w:t>（10）项目最终监理费用=评级所得监理费用+奖励金额-扣款费用。</w:t>
      </w:r>
    </w:p>
    <w:p>
      <w:pPr>
        <w:spacing w:line="440" w:lineRule="exact"/>
        <w:ind w:firstLine="480" w:firstLineChars="200"/>
        <w:jc w:val="left"/>
        <w:rPr>
          <w:rFonts w:hint="eastAsia"/>
          <w:sz w:val="24"/>
          <w:szCs w:val="24"/>
        </w:rPr>
      </w:pPr>
      <w:r>
        <w:rPr>
          <w:rFonts w:hint="eastAsia"/>
          <w:sz w:val="24"/>
          <w:szCs w:val="24"/>
        </w:rPr>
        <w:t>（11）项目监理费付款进度：项目竣工验收合格后，该项目监理费付至90%；项目质保</w:t>
      </w:r>
    </w:p>
    <w:p>
      <w:pPr>
        <w:spacing w:line="440" w:lineRule="exact"/>
        <w:ind w:firstLine="480" w:firstLineChars="200"/>
        <w:jc w:val="left"/>
        <w:rPr>
          <w:rFonts w:hint="eastAsia"/>
          <w:sz w:val="24"/>
          <w:szCs w:val="24"/>
        </w:rPr>
      </w:pPr>
      <w:r>
        <w:rPr>
          <w:rFonts w:hint="eastAsia"/>
          <w:sz w:val="24"/>
          <w:szCs w:val="24"/>
        </w:rPr>
        <w:t>结束后，付清全部监理费。</w:t>
      </w:r>
    </w:p>
    <w:p>
      <w:pPr>
        <w:spacing w:line="440" w:lineRule="exact"/>
        <w:ind w:firstLine="480" w:firstLineChars="200"/>
        <w:jc w:val="left"/>
        <w:rPr>
          <w:sz w:val="24"/>
          <w:szCs w:val="24"/>
        </w:rPr>
      </w:pPr>
      <w:r>
        <w:rPr>
          <w:rFonts w:hint="eastAsia"/>
          <w:sz w:val="24"/>
          <w:szCs w:val="24"/>
        </w:rPr>
        <w:t>11、监理违约情况：</w:t>
      </w:r>
    </w:p>
    <w:tbl>
      <w:tblPr>
        <w:tblStyle w:val="3"/>
        <w:tblpPr w:leftFromText="180" w:rightFromText="180" w:vertAnchor="page" w:horzAnchor="page" w:tblpX="1725" w:tblpY="25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091"/>
        <w:gridCol w:w="1643"/>
        <w:gridCol w:w="174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b/>
                <w:sz w:val="22"/>
                <w:szCs w:val="28"/>
              </w:rPr>
            </w:pPr>
            <w:r>
              <w:rPr>
                <w:rFonts w:hint="eastAsia" w:ascii="Calibri" w:hAnsi="Calibri"/>
                <w:b/>
                <w:sz w:val="22"/>
                <w:szCs w:val="28"/>
              </w:rPr>
              <w:t>序号</w:t>
            </w:r>
          </w:p>
        </w:tc>
        <w:tc>
          <w:tcPr>
            <w:tcW w:w="3261" w:type="dxa"/>
            <w:noWrap w:val="0"/>
            <w:vAlign w:val="center"/>
          </w:tcPr>
          <w:p>
            <w:pPr>
              <w:jc w:val="center"/>
              <w:rPr>
                <w:rFonts w:ascii="Calibri" w:hAnsi="Calibri"/>
                <w:b/>
                <w:sz w:val="22"/>
                <w:szCs w:val="28"/>
              </w:rPr>
            </w:pPr>
            <w:r>
              <w:rPr>
                <w:rFonts w:hint="eastAsia" w:ascii="Calibri" w:hAnsi="Calibri"/>
                <w:b/>
                <w:sz w:val="22"/>
                <w:szCs w:val="28"/>
              </w:rPr>
              <w:t>处罚项目</w:t>
            </w:r>
          </w:p>
        </w:tc>
        <w:tc>
          <w:tcPr>
            <w:tcW w:w="1701" w:type="dxa"/>
            <w:noWrap w:val="0"/>
            <w:vAlign w:val="center"/>
          </w:tcPr>
          <w:p>
            <w:pPr>
              <w:jc w:val="center"/>
              <w:rPr>
                <w:rFonts w:ascii="Calibri" w:hAnsi="Calibri"/>
                <w:b/>
                <w:sz w:val="22"/>
                <w:szCs w:val="28"/>
              </w:rPr>
            </w:pPr>
            <w:r>
              <w:rPr>
                <w:rFonts w:hint="eastAsia" w:ascii="Calibri" w:hAnsi="Calibri"/>
                <w:b/>
                <w:sz w:val="22"/>
                <w:szCs w:val="28"/>
              </w:rPr>
              <w:t>未监理到位但未造成重大影响的</w:t>
            </w:r>
          </w:p>
        </w:tc>
        <w:tc>
          <w:tcPr>
            <w:tcW w:w="1808" w:type="dxa"/>
            <w:noWrap w:val="0"/>
            <w:vAlign w:val="center"/>
          </w:tcPr>
          <w:p>
            <w:pPr>
              <w:jc w:val="center"/>
              <w:rPr>
                <w:rFonts w:ascii="Calibri" w:hAnsi="Calibri"/>
                <w:b/>
                <w:sz w:val="22"/>
                <w:szCs w:val="28"/>
              </w:rPr>
            </w:pPr>
            <w:r>
              <w:rPr>
                <w:rFonts w:hint="eastAsia" w:ascii="Calibri" w:hAnsi="Calibri"/>
                <w:b/>
                <w:sz w:val="22"/>
                <w:szCs w:val="28"/>
              </w:rPr>
              <w:t>未监理到位造成重大影响的</w:t>
            </w:r>
          </w:p>
        </w:tc>
        <w:tc>
          <w:tcPr>
            <w:tcW w:w="1276" w:type="dxa"/>
            <w:noWrap w:val="0"/>
            <w:vAlign w:val="center"/>
          </w:tcPr>
          <w:p>
            <w:pPr>
              <w:jc w:val="center"/>
              <w:rPr>
                <w:rFonts w:ascii="Calibri" w:hAnsi="Calibri"/>
                <w:b/>
                <w:sz w:val="22"/>
                <w:szCs w:val="28"/>
              </w:rPr>
            </w:pPr>
            <w:r>
              <w:rPr>
                <w:rFonts w:hint="eastAsia" w:ascii="Calibri" w:hAnsi="Calibri"/>
                <w:b/>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1</w:t>
            </w:r>
          </w:p>
        </w:tc>
        <w:tc>
          <w:tcPr>
            <w:tcW w:w="3261" w:type="dxa"/>
            <w:noWrap w:val="0"/>
            <w:vAlign w:val="center"/>
          </w:tcPr>
          <w:p>
            <w:pPr>
              <w:jc w:val="left"/>
              <w:rPr>
                <w:rFonts w:ascii="Calibri" w:hAnsi="Calibri"/>
                <w:sz w:val="22"/>
                <w:szCs w:val="28"/>
              </w:rPr>
            </w:pPr>
            <w:r>
              <w:rPr>
                <w:rFonts w:hint="eastAsia" w:ascii="Calibri" w:hAnsi="Calibri"/>
                <w:sz w:val="22"/>
                <w:szCs w:val="28"/>
              </w:rPr>
              <w:t>监理工程师存在廉政问题</w:t>
            </w:r>
          </w:p>
        </w:tc>
        <w:tc>
          <w:tcPr>
            <w:tcW w:w="1701" w:type="dxa"/>
            <w:noWrap w:val="0"/>
            <w:vAlign w:val="center"/>
          </w:tcPr>
          <w:p>
            <w:pPr>
              <w:jc w:val="center"/>
              <w:rPr>
                <w:rFonts w:ascii="Calibri" w:hAnsi="Calibri"/>
                <w:sz w:val="22"/>
                <w:szCs w:val="28"/>
              </w:rPr>
            </w:pPr>
            <w:r>
              <w:rPr>
                <w:rFonts w:hint="eastAsia" w:ascii="Calibri" w:hAnsi="Calibri"/>
                <w:sz w:val="22"/>
                <w:szCs w:val="28"/>
              </w:rPr>
              <w:t>更换监理工程师</w:t>
            </w:r>
          </w:p>
        </w:tc>
        <w:tc>
          <w:tcPr>
            <w:tcW w:w="1808" w:type="dxa"/>
            <w:noWrap w:val="0"/>
            <w:vAlign w:val="center"/>
          </w:tcPr>
          <w:p>
            <w:pPr>
              <w:jc w:val="center"/>
              <w:rPr>
                <w:rFonts w:ascii="Calibri" w:hAnsi="Calibri"/>
                <w:sz w:val="22"/>
                <w:szCs w:val="28"/>
              </w:rPr>
            </w:pPr>
            <w:r>
              <w:rPr>
                <w:rFonts w:hint="eastAsia" w:ascii="Calibri" w:hAnsi="Calibri"/>
                <w:sz w:val="22"/>
                <w:szCs w:val="28"/>
              </w:rPr>
              <w:t>更换监理单位并承担法律责任</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2</w:t>
            </w:r>
          </w:p>
        </w:tc>
        <w:tc>
          <w:tcPr>
            <w:tcW w:w="3261" w:type="dxa"/>
            <w:noWrap w:val="0"/>
            <w:vAlign w:val="center"/>
          </w:tcPr>
          <w:p>
            <w:pPr>
              <w:jc w:val="left"/>
              <w:rPr>
                <w:rFonts w:ascii="Calibri" w:hAnsi="Calibri"/>
                <w:sz w:val="22"/>
                <w:szCs w:val="28"/>
              </w:rPr>
            </w:pPr>
            <w:r>
              <w:rPr>
                <w:rFonts w:hint="eastAsia" w:ascii="Calibri" w:hAnsi="Calibri"/>
                <w:sz w:val="22"/>
                <w:szCs w:val="28"/>
              </w:rPr>
              <w:t>所监理项目发生安全事故</w:t>
            </w:r>
          </w:p>
        </w:tc>
        <w:tc>
          <w:tcPr>
            <w:tcW w:w="1701" w:type="dxa"/>
            <w:noWrap w:val="0"/>
            <w:vAlign w:val="center"/>
          </w:tcPr>
          <w:p>
            <w:pPr>
              <w:jc w:val="center"/>
              <w:rPr>
                <w:rFonts w:ascii="Calibri" w:hAnsi="Calibri"/>
                <w:sz w:val="22"/>
                <w:szCs w:val="28"/>
              </w:rPr>
            </w:pPr>
            <w:r>
              <w:rPr>
                <w:rFonts w:hint="eastAsia" w:ascii="Calibri" w:hAnsi="Calibri"/>
                <w:sz w:val="22"/>
                <w:szCs w:val="28"/>
              </w:rPr>
              <w:t>更换监理工程师</w:t>
            </w:r>
          </w:p>
        </w:tc>
        <w:tc>
          <w:tcPr>
            <w:tcW w:w="1808" w:type="dxa"/>
            <w:noWrap w:val="0"/>
            <w:vAlign w:val="center"/>
          </w:tcPr>
          <w:p>
            <w:pPr>
              <w:jc w:val="center"/>
              <w:rPr>
                <w:rFonts w:ascii="Calibri" w:hAnsi="Calibri"/>
                <w:sz w:val="22"/>
                <w:szCs w:val="28"/>
              </w:rPr>
            </w:pPr>
            <w:r>
              <w:rPr>
                <w:rFonts w:hint="eastAsia" w:ascii="Calibri" w:hAnsi="Calibri"/>
                <w:sz w:val="22"/>
                <w:szCs w:val="28"/>
              </w:rPr>
              <w:t>更换监理单位并承担法律责任</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3</w:t>
            </w:r>
          </w:p>
        </w:tc>
        <w:tc>
          <w:tcPr>
            <w:tcW w:w="3261" w:type="dxa"/>
            <w:noWrap w:val="0"/>
            <w:vAlign w:val="center"/>
          </w:tcPr>
          <w:p>
            <w:pPr>
              <w:jc w:val="left"/>
              <w:rPr>
                <w:rFonts w:ascii="Calibri" w:hAnsi="Calibri"/>
                <w:sz w:val="22"/>
                <w:szCs w:val="28"/>
              </w:rPr>
            </w:pPr>
            <w:r>
              <w:rPr>
                <w:rFonts w:hint="eastAsia" w:ascii="Calibri" w:hAnsi="Calibri"/>
                <w:sz w:val="22"/>
                <w:szCs w:val="28"/>
              </w:rPr>
              <w:t>监理工程师未及时发现安全隐患，或发现后未及时制止或者汇报校方</w:t>
            </w:r>
          </w:p>
        </w:tc>
        <w:tc>
          <w:tcPr>
            <w:tcW w:w="1701" w:type="dxa"/>
            <w:noWrap w:val="0"/>
            <w:vAlign w:val="center"/>
          </w:tcPr>
          <w:p>
            <w:pPr>
              <w:jc w:val="center"/>
              <w:rPr>
                <w:rFonts w:ascii="Calibri" w:hAnsi="Calibri"/>
                <w:sz w:val="22"/>
                <w:szCs w:val="28"/>
              </w:rPr>
            </w:pPr>
            <w:r>
              <w:rPr>
                <w:rFonts w:hint="eastAsia" w:ascii="Calibri" w:hAnsi="Calibri"/>
                <w:sz w:val="22"/>
                <w:szCs w:val="28"/>
              </w:rPr>
              <w:t>1000元/次</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扣除监理费的10%，且不低于2000元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4</w:t>
            </w:r>
          </w:p>
        </w:tc>
        <w:tc>
          <w:tcPr>
            <w:tcW w:w="3261" w:type="dxa"/>
            <w:noWrap w:val="0"/>
            <w:vAlign w:val="center"/>
          </w:tcPr>
          <w:p>
            <w:pPr>
              <w:jc w:val="left"/>
              <w:rPr>
                <w:rFonts w:ascii="Calibri" w:hAnsi="Calibri"/>
                <w:sz w:val="22"/>
                <w:szCs w:val="28"/>
              </w:rPr>
            </w:pPr>
            <w:r>
              <w:rPr>
                <w:rFonts w:hint="eastAsia" w:ascii="Calibri" w:hAnsi="Calibri"/>
                <w:sz w:val="22"/>
                <w:szCs w:val="28"/>
              </w:rPr>
              <w:t>监理工程师不在施工现场或15分钟内未到现场</w:t>
            </w:r>
          </w:p>
        </w:tc>
        <w:tc>
          <w:tcPr>
            <w:tcW w:w="1701" w:type="dxa"/>
            <w:noWrap w:val="0"/>
            <w:vAlign w:val="center"/>
          </w:tcPr>
          <w:p>
            <w:pPr>
              <w:jc w:val="center"/>
              <w:rPr>
                <w:rFonts w:ascii="Calibri" w:hAnsi="Calibri"/>
                <w:sz w:val="22"/>
                <w:szCs w:val="28"/>
              </w:rPr>
            </w:pPr>
            <w:r>
              <w:rPr>
                <w:rFonts w:hint="eastAsia" w:ascii="Calibri" w:hAnsi="Calibri"/>
                <w:sz w:val="22"/>
                <w:szCs w:val="28"/>
              </w:rPr>
              <w:t>500元/次</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扣除监理费的5%，且不低于1000元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5</w:t>
            </w:r>
          </w:p>
        </w:tc>
        <w:tc>
          <w:tcPr>
            <w:tcW w:w="3261" w:type="dxa"/>
            <w:noWrap w:val="0"/>
            <w:vAlign w:val="center"/>
          </w:tcPr>
          <w:p>
            <w:pPr>
              <w:jc w:val="left"/>
              <w:rPr>
                <w:rFonts w:ascii="Calibri" w:hAnsi="Calibri"/>
                <w:sz w:val="22"/>
                <w:szCs w:val="28"/>
              </w:rPr>
            </w:pPr>
            <w:r>
              <w:rPr>
                <w:rFonts w:hint="eastAsia" w:ascii="Calibri" w:hAnsi="Calibri"/>
                <w:sz w:val="22"/>
                <w:szCs w:val="28"/>
              </w:rPr>
              <w:t>施工方在材料选择上未达到校方要求和国家标准，监理工程师未及时加以制止</w:t>
            </w:r>
          </w:p>
        </w:tc>
        <w:tc>
          <w:tcPr>
            <w:tcW w:w="1701" w:type="dxa"/>
            <w:noWrap w:val="0"/>
            <w:vAlign w:val="center"/>
          </w:tcPr>
          <w:p>
            <w:pPr>
              <w:jc w:val="center"/>
              <w:rPr>
                <w:rFonts w:ascii="Calibri" w:hAnsi="Calibri"/>
                <w:sz w:val="22"/>
                <w:szCs w:val="28"/>
              </w:rPr>
            </w:pPr>
            <w:r>
              <w:rPr>
                <w:rFonts w:hint="eastAsia" w:ascii="Calibri" w:hAnsi="Calibri"/>
                <w:sz w:val="22"/>
                <w:szCs w:val="28"/>
              </w:rPr>
              <w:t>1000元/次</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扣除监理费的10%，且不低于2000元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6</w:t>
            </w:r>
          </w:p>
        </w:tc>
        <w:tc>
          <w:tcPr>
            <w:tcW w:w="3261" w:type="dxa"/>
            <w:noWrap w:val="0"/>
            <w:vAlign w:val="center"/>
          </w:tcPr>
          <w:p>
            <w:pPr>
              <w:jc w:val="left"/>
              <w:rPr>
                <w:rFonts w:ascii="Calibri" w:hAnsi="Calibri"/>
                <w:sz w:val="22"/>
                <w:szCs w:val="28"/>
              </w:rPr>
            </w:pPr>
            <w:r>
              <w:rPr>
                <w:rFonts w:hint="eastAsia" w:ascii="Calibri" w:hAnsi="Calibri"/>
                <w:sz w:val="22"/>
                <w:szCs w:val="28"/>
              </w:rPr>
              <w:t>施工方在施工工艺、技术要求上未达到校方要求和国家标准，监理工程师未及时加以制止</w:t>
            </w:r>
          </w:p>
        </w:tc>
        <w:tc>
          <w:tcPr>
            <w:tcW w:w="1701" w:type="dxa"/>
            <w:noWrap w:val="0"/>
            <w:vAlign w:val="center"/>
          </w:tcPr>
          <w:p>
            <w:pPr>
              <w:jc w:val="center"/>
              <w:rPr>
                <w:rFonts w:ascii="Calibri" w:hAnsi="Calibri"/>
                <w:sz w:val="22"/>
                <w:szCs w:val="28"/>
              </w:rPr>
            </w:pPr>
            <w:r>
              <w:rPr>
                <w:rFonts w:hint="eastAsia" w:ascii="Calibri" w:hAnsi="Calibri"/>
                <w:sz w:val="22"/>
                <w:szCs w:val="28"/>
              </w:rPr>
              <w:t>1000元/次</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扣除监理费的10%，且不低于2000元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7</w:t>
            </w:r>
          </w:p>
        </w:tc>
        <w:tc>
          <w:tcPr>
            <w:tcW w:w="3261" w:type="dxa"/>
            <w:noWrap w:val="0"/>
            <w:vAlign w:val="center"/>
          </w:tcPr>
          <w:p>
            <w:pPr>
              <w:jc w:val="left"/>
              <w:rPr>
                <w:rFonts w:ascii="Calibri" w:hAnsi="Calibri"/>
                <w:sz w:val="22"/>
                <w:szCs w:val="28"/>
              </w:rPr>
            </w:pPr>
            <w:r>
              <w:rPr>
                <w:rFonts w:hint="eastAsia" w:ascii="Calibri" w:hAnsi="Calibri"/>
                <w:sz w:val="22"/>
                <w:szCs w:val="28"/>
              </w:rPr>
              <w:t>除不可抗力因素，施工方因自身原因导致工程延期，而监理未在工期上监管到位的</w:t>
            </w:r>
          </w:p>
        </w:tc>
        <w:tc>
          <w:tcPr>
            <w:tcW w:w="1701" w:type="dxa"/>
            <w:noWrap w:val="0"/>
            <w:vAlign w:val="center"/>
          </w:tcPr>
          <w:p>
            <w:pPr>
              <w:jc w:val="center"/>
              <w:rPr>
                <w:rFonts w:ascii="Calibri" w:hAnsi="Calibri"/>
                <w:sz w:val="22"/>
                <w:szCs w:val="28"/>
              </w:rPr>
            </w:pPr>
            <w:r>
              <w:rPr>
                <w:rFonts w:hint="eastAsia" w:ascii="Calibri" w:hAnsi="Calibri"/>
                <w:sz w:val="22"/>
                <w:szCs w:val="28"/>
              </w:rPr>
              <w:t>扣除监理费的2%（工程延期时间不超过总工期的10%）</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扣除监理费的10%，且不低于2000元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8</w:t>
            </w:r>
          </w:p>
        </w:tc>
        <w:tc>
          <w:tcPr>
            <w:tcW w:w="3261" w:type="dxa"/>
            <w:noWrap w:val="0"/>
            <w:vAlign w:val="center"/>
          </w:tcPr>
          <w:p>
            <w:pPr>
              <w:jc w:val="left"/>
              <w:rPr>
                <w:rFonts w:ascii="Calibri" w:hAnsi="Calibri"/>
                <w:sz w:val="22"/>
                <w:szCs w:val="28"/>
              </w:rPr>
            </w:pPr>
            <w:r>
              <w:rPr>
                <w:rFonts w:hint="eastAsia" w:ascii="Calibri" w:hAnsi="Calibri"/>
                <w:sz w:val="22"/>
                <w:szCs w:val="28"/>
              </w:rPr>
              <w:t>未经校方书面同意，施工方自行施工完成后向甲方提出签证申请的</w:t>
            </w:r>
          </w:p>
        </w:tc>
        <w:tc>
          <w:tcPr>
            <w:tcW w:w="1701" w:type="dxa"/>
            <w:noWrap w:val="0"/>
            <w:vAlign w:val="center"/>
          </w:tcPr>
          <w:p>
            <w:pPr>
              <w:jc w:val="center"/>
              <w:rPr>
                <w:rFonts w:ascii="Calibri" w:hAnsi="Calibri"/>
                <w:sz w:val="22"/>
                <w:szCs w:val="28"/>
              </w:rPr>
            </w:pPr>
            <w:r>
              <w:rPr>
                <w:rFonts w:hint="eastAsia" w:ascii="Calibri" w:hAnsi="Calibri"/>
                <w:sz w:val="22"/>
                <w:szCs w:val="28"/>
              </w:rPr>
              <w:t>由监理公司承担全部费用</w:t>
            </w:r>
          </w:p>
        </w:tc>
        <w:tc>
          <w:tcPr>
            <w:tcW w:w="1808" w:type="dxa"/>
            <w:noWrap w:val="0"/>
            <w:vAlign w:val="center"/>
          </w:tcPr>
          <w:p>
            <w:pPr>
              <w:jc w:val="center"/>
              <w:rPr>
                <w:rFonts w:ascii="Calibri" w:hAnsi="Calibri"/>
                <w:sz w:val="22"/>
                <w:szCs w:val="28"/>
              </w:rPr>
            </w:pPr>
            <w:r>
              <w:rPr>
                <w:rFonts w:hint="eastAsia" w:ascii="Calibri" w:hAnsi="Calibri"/>
                <w:sz w:val="22"/>
                <w:szCs w:val="28"/>
              </w:rPr>
              <w:t>由监理公司承担全部费用</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9</w:t>
            </w:r>
          </w:p>
        </w:tc>
        <w:tc>
          <w:tcPr>
            <w:tcW w:w="3261" w:type="dxa"/>
            <w:noWrap w:val="0"/>
            <w:vAlign w:val="center"/>
          </w:tcPr>
          <w:p>
            <w:pPr>
              <w:jc w:val="left"/>
              <w:rPr>
                <w:rFonts w:ascii="Calibri" w:hAnsi="Calibri"/>
                <w:sz w:val="22"/>
                <w:szCs w:val="28"/>
              </w:rPr>
            </w:pPr>
            <w:r>
              <w:rPr>
                <w:rFonts w:hint="eastAsia" w:ascii="Calibri" w:hAnsi="Calibri"/>
                <w:sz w:val="22"/>
                <w:szCs w:val="28"/>
              </w:rPr>
              <w:t>监理工程师在监理过程中遇到问题导致工程无法推进，但未及时向校方汇报的</w:t>
            </w:r>
          </w:p>
        </w:tc>
        <w:tc>
          <w:tcPr>
            <w:tcW w:w="1701" w:type="dxa"/>
            <w:noWrap w:val="0"/>
            <w:vAlign w:val="center"/>
          </w:tcPr>
          <w:p>
            <w:pPr>
              <w:jc w:val="center"/>
              <w:rPr>
                <w:rFonts w:ascii="Calibri" w:hAnsi="Calibri"/>
                <w:sz w:val="22"/>
                <w:szCs w:val="28"/>
              </w:rPr>
            </w:pPr>
            <w:r>
              <w:rPr>
                <w:rFonts w:hint="eastAsia" w:ascii="Calibri" w:hAnsi="Calibri"/>
                <w:sz w:val="22"/>
                <w:szCs w:val="28"/>
              </w:rPr>
              <w:t>500元/次</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扣除监理费的5%，且不低于1000元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10</w:t>
            </w:r>
          </w:p>
        </w:tc>
        <w:tc>
          <w:tcPr>
            <w:tcW w:w="3261" w:type="dxa"/>
            <w:noWrap w:val="0"/>
            <w:vAlign w:val="center"/>
          </w:tcPr>
          <w:p>
            <w:pPr>
              <w:jc w:val="left"/>
              <w:rPr>
                <w:rFonts w:ascii="Calibri" w:hAnsi="Calibri"/>
                <w:sz w:val="22"/>
                <w:szCs w:val="28"/>
              </w:rPr>
            </w:pPr>
            <w:r>
              <w:rPr>
                <w:rFonts w:hint="eastAsia" w:ascii="Calibri" w:hAnsi="Calibri"/>
                <w:sz w:val="22"/>
                <w:szCs w:val="28"/>
              </w:rPr>
              <w:t>监理工程师在施工过程中的关键节点未向校方汇报验收的</w:t>
            </w:r>
          </w:p>
        </w:tc>
        <w:tc>
          <w:tcPr>
            <w:tcW w:w="1701" w:type="dxa"/>
            <w:noWrap w:val="0"/>
            <w:vAlign w:val="center"/>
          </w:tcPr>
          <w:p>
            <w:pPr>
              <w:jc w:val="center"/>
              <w:rPr>
                <w:rFonts w:ascii="Calibri" w:hAnsi="Calibri"/>
                <w:sz w:val="22"/>
                <w:szCs w:val="28"/>
              </w:rPr>
            </w:pPr>
            <w:r>
              <w:rPr>
                <w:rFonts w:hint="eastAsia" w:ascii="Calibri" w:hAnsi="Calibri"/>
                <w:sz w:val="22"/>
                <w:szCs w:val="28"/>
              </w:rPr>
              <w:t>2000元/次</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扣除监理费的20%，且不低于3000元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11</w:t>
            </w:r>
          </w:p>
        </w:tc>
        <w:tc>
          <w:tcPr>
            <w:tcW w:w="3261" w:type="dxa"/>
            <w:noWrap w:val="0"/>
            <w:vAlign w:val="center"/>
          </w:tcPr>
          <w:p>
            <w:pPr>
              <w:jc w:val="left"/>
              <w:rPr>
                <w:rFonts w:ascii="Calibri" w:hAnsi="Calibri"/>
                <w:sz w:val="22"/>
                <w:szCs w:val="28"/>
              </w:rPr>
            </w:pPr>
            <w:r>
              <w:rPr>
                <w:rFonts w:hint="eastAsia" w:ascii="Calibri" w:hAnsi="Calibri"/>
                <w:sz w:val="22"/>
                <w:szCs w:val="28"/>
              </w:rPr>
              <w:t>监理工程师未及时完成监理日志（含抽查情况）</w:t>
            </w:r>
          </w:p>
        </w:tc>
        <w:tc>
          <w:tcPr>
            <w:tcW w:w="1701" w:type="dxa"/>
            <w:noWrap w:val="0"/>
            <w:vAlign w:val="center"/>
          </w:tcPr>
          <w:p>
            <w:pPr>
              <w:jc w:val="center"/>
              <w:rPr>
                <w:rFonts w:ascii="Calibri" w:hAnsi="Calibri"/>
                <w:sz w:val="22"/>
                <w:szCs w:val="28"/>
              </w:rPr>
            </w:pPr>
            <w:r>
              <w:rPr>
                <w:rFonts w:hint="eastAsia" w:ascii="Calibri" w:hAnsi="Calibri"/>
                <w:sz w:val="22"/>
                <w:szCs w:val="28"/>
              </w:rPr>
              <w:t>扣除全部监理费</w:t>
            </w:r>
          </w:p>
        </w:tc>
        <w:tc>
          <w:tcPr>
            <w:tcW w:w="1808" w:type="dxa"/>
            <w:noWrap w:val="0"/>
            <w:vAlign w:val="center"/>
          </w:tcPr>
          <w:p>
            <w:pPr>
              <w:jc w:val="center"/>
              <w:rPr>
                <w:rFonts w:ascii="Calibri" w:hAnsi="Calibri"/>
                <w:sz w:val="22"/>
                <w:szCs w:val="28"/>
              </w:rPr>
            </w:pPr>
            <w:r>
              <w:rPr>
                <w:rFonts w:hint="eastAsia" w:ascii="Calibri" w:hAnsi="Calibri"/>
                <w:sz w:val="22"/>
                <w:szCs w:val="28"/>
              </w:rPr>
              <w:t>扣除全部监理费</w:t>
            </w:r>
          </w:p>
        </w:tc>
        <w:tc>
          <w:tcPr>
            <w:tcW w:w="1276" w:type="dxa"/>
            <w:noWrap w:val="0"/>
            <w:vAlign w:val="center"/>
          </w:tcPr>
          <w:p>
            <w:pPr>
              <w:jc w:val="center"/>
              <w:rPr>
                <w:rFonts w:ascii="Calibri" w:hAnsi="Calibri"/>
                <w:sz w:val="22"/>
                <w:szCs w:val="28"/>
              </w:rPr>
            </w:pPr>
            <w:r>
              <w:rPr>
                <w:rFonts w:hint="eastAsia" w:ascii="Calibri" w:hAnsi="Calibri"/>
                <w:sz w:val="22"/>
                <w:szCs w:val="28"/>
              </w:rPr>
              <w:t>视该项目未监理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12</w:t>
            </w:r>
          </w:p>
        </w:tc>
        <w:tc>
          <w:tcPr>
            <w:tcW w:w="3261" w:type="dxa"/>
            <w:noWrap w:val="0"/>
            <w:vAlign w:val="center"/>
          </w:tcPr>
          <w:p>
            <w:pPr>
              <w:jc w:val="left"/>
              <w:rPr>
                <w:rFonts w:ascii="Calibri" w:hAnsi="Calibri"/>
                <w:sz w:val="22"/>
                <w:szCs w:val="28"/>
              </w:rPr>
            </w:pPr>
            <w:r>
              <w:rPr>
                <w:rFonts w:hint="eastAsia" w:ascii="Calibri" w:hAnsi="Calibri"/>
                <w:sz w:val="22"/>
                <w:szCs w:val="28"/>
              </w:rPr>
              <w:t>监理日志关键要素未记录的（含抽查情况）</w:t>
            </w:r>
          </w:p>
        </w:tc>
        <w:tc>
          <w:tcPr>
            <w:tcW w:w="1701" w:type="dxa"/>
            <w:noWrap w:val="0"/>
            <w:vAlign w:val="center"/>
          </w:tcPr>
          <w:p>
            <w:pPr>
              <w:jc w:val="center"/>
              <w:rPr>
                <w:rFonts w:ascii="Calibri" w:hAnsi="Calibri"/>
                <w:sz w:val="22"/>
                <w:szCs w:val="28"/>
              </w:rPr>
            </w:pPr>
            <w:r>
              <w:rPr>
                <w:rFonts w:hint="eastAsia" w:ascii="Calibri" w:hAnsi="Calibri"/>
                <w:sz w:val="22"/>
                <w:szCs w:val="28"/>
              </w:rPr>
              <w:t>500元/次</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扣除监理费的5%，且不低于1000元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Calibri" w:hAnsi="Calibri"/>
                <w:sz w:val="22"/>
                <w:szCs w:val="28"/>
              </w:rPr>
            </w:pPr>
            <w:r>
              <w:rPr>
                <w:rFonts w:hint="eastAsia" w:ascii="Calibri" w:hAnsi="Calibri"/>
                <w:sz w:val="22"/>
                <w:szCs w:val="28"/>
              </w:rPr>
              <w:t>13</w:t>
            </w:r>
          </w:p>
        </w:tc>
        <w:tc>
          <w:tcPr>
            <w:tcW w:w="3261" w:type="dxa"/>
            <w:noWrap w:val="0"/>
            <w:vAlign w:val="center"/>
          </w:tcPr>
          <w:p>
            <w:pPr>
              <w:jc w:val="left"/>
              <w:rPr>
                <w:rFonts w:ascii="Calibri" w:hAnsi="Calibri"/>
                <w:sz w:val="22"/>
                <w:szCs w:val="28"/>
              </w:rPr>
            </w:pPr>
            <w:r>
              <w:rPr>
                <w:rFonts w:hint="eastAsia" w:ascii="Calibri" w:hAnsi="Calibri"/>
                <w:sz w:val="22"/>
                <w:szCs w:val="28"/>
              </w:rPr>
              <w:t>监理工程师未做好工程评估工作</w:t>
            </w:r>
          </w:p>
        </w:tc>
        <w:tc>
          <w:tcPr>
            <w:tcW w:w="1701" w:type="dxa"/>
            <w:noWrap w:val="0"/>
            <w:vAlign w:val="center"/>
          </w:tcPr>
          <w:p>
            <w:pPr>
              <w:jc w:val="center"/>
              <w:rPr>
                <w:rFonts w:ascii="Calibri" w:hAnsi="Calibri"/>
                <w:sz w:val="22"/>
                <w:szCs w:val="28"/>
              </w:rPr>
            </w:pPr>
            <w:r>
              <w:rPr>
                <w:rFonts w:ascii="Calibri" w:hAnsi="Calibri"/>
                <w:sz w:val="22"/>
                <w:szCs w:val="28"/>
              </w:rPr>
              <w:t>5</w:t>
            </w:r>
            <w:r>
              <w:rPr>
                <w:rFonts w:hint="eastAsia" w:ascii="Calibri" w:hAnsi="Calibri"/>
                <w:sz w:val="22"/>
                <w:szCs w:val="28"/>
              </w:rPr>
              <w:t>00元/次</w:t>
            </w:r>
          </w:p>
        </w:tc>
        <w:tc>
          <w:tcPr>
            <w:tcW w:w="1808" w:type="dxa"/>
            <w:noWrap w:val="0"/>
            <w:vAlign w:val="center"/>
          </w:tcPr>
          <w:p>
            <w:pPr>
              <w:jc w:val="center"/>
              <w:rPr>
                <w:rFonts w:ascii="Calibri" w:hAnsi="Calibri"/>
                <w:sz w:val="22"/>
                <w:szCs w:val="28"/>
              </w:rPr>
            </w:pPr>
            <w:r>
              <w:rPr>
                <w:rFonts w:hint="eastAsia" w:ascii="Calibri" w:hAnsi="Calibri"/>
                <w:sz w:val="22"/>
                <w:szCs w:val="28"/>
              </w:rPr>
              <w:t>扣除监理费的</w:t>
            </w:r>
            <w:r>
              <w:rPr>
                <w:rFonts w:ascii="Calibri" w:hAnsi="Calibri"/>
                <w:sz w:val="22"/>
                <w:szCs w:val="28"/>
              </w:rPr>
              <w:t>5</w:t>
            </w:r>
            <w:r>
              <w:rPr>
                <w:rFonts w:hint="eastAsia" w:ascii="Calibri" w:hAnsi="Calibri"/>
                <w:sz w:val="22"/>
                <w:szCs w:val="28"/>
              </w:rPr>
              <w:t>%，且不低于</w:t>
            </w:r>
            <w:r>
              <w:rPr>
                <w:rFonts w:ascii="Calibri" w:hAnsi="Calibri"/>
                <w:sz w:val="22"/>
                <w:szCs w:val="28"/>
              </w:rPr>
              <w:t>10</w:t>
            </w:r>
            <w:r>
              <w:rPr>
                <w:rFonts w:hint="eastAsia" w:ascii="Calibri" w:hAnsi="Calibri"/>
                <w:sz w:val="22"/>
                <w:szCs w:val="28"/>
              </w:rPr>
              <w:t>00元</w:t>
            </w:r>
          </w:p>
        </w:tc>
        <w:tc>
          <w:tcPr>
            <w:tcW w:w="1276" w:type="dxa"/>
            <w:noWrap w:val="0"/>
            <w:vAlign w:val="center"/>
          </w:tcPr>
          <w:p>
            <w:pPr>
              <w:jc w:val="center"/>
              <w:rPr>
                <w:rFonts w:ascii="Calibri" w:hAnsi="Calibr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897" w:type="dxa"/>
            <w:gridSpan w:val="5"/>
            <w:noWrap w:val="0"/>
            <w:vAlign w:val="center"/>
          </w:tcPr>
          <w:p>
            <w:pPr>
              <w:ind w:firstLine="440" w:firstLineChars="200"/>
              <w:rPr>
                <w:rFonts w:ascii="Calibri" w:hAnsi="Calibri"/>
                <w:sz w:val="18"/>
                <w:szCs w:val="28"/>
              </w:rPr>
            </w:pPr>
            <w:r>
              <w:rPr>
                <w:rFonts w:hint="eastAsia" w:ascii="Calibri" w:hAnsi="Calibri"/>
                <w:sz w:val="22"/>
                <w:szCs w:val="22"/>
              </w:rPr>
              <w:t>附评级标准：监理工程师存在廉政问题或所监理项目发生安全事故，项目最终评级不合格；监理工程师在安全、质量、进度上监管不及时、不到位（违约情况3-10）发现超过3次的，项目最终评级不得为良好及以上，超过5次的，项目最终评级不合格；监理工程师在工程情况记录总结、资料整理归档不及时、不到位发现超过3次的，项目最终评级不得为良好及以上，超过5次的，项目最终评级不合格；</w:t>
            </w:r>
          </w:p>
        </w:tc>
      </w:tr>
      <w:bookmarkEnd w:id="0"/>
      <w:bookmarkEnd w:id="1"/>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6B75ED8"/>
    <w:rsid w:val="09A02F07"/>
    <w:rsid w:val="0A1B177E"/>
    <w:rsid w:val="0A2A3F94"/>
    <w:rsid w:val="0A4C329E"/>
    <w:rsid w:val="0B9B0B50"/>
    <w:rsid w:val="0C2306DE"/>
    <w:rsid w:val="11C4094C"/>
    <w:rsid w:val="126C4B94"/>
    <w:rsid w:val="127A692D"/>
    <w:rsid w:val="12D80EE0"/>
    <w:rsid w:val="13EF3C65"/>
    <w:rsid w:val="16F9394C"/>
    <w:rsid w:val="171017F6"/>
    <w:rsid w:val="17AD1C47"/>
    <w:rsid w:val="1CBF2330"/>
    <w:rsid w:val="1EDB74BB"/>
    <w:rsid w:val="208572BC"/>
    <w:rsid w:val="21580306"/>
    <w:rsid w:val="24BA6FF6"/>
    <w:rsid w:val="26C22868"/>
    <w:rsid w:val="28C9014F"/>
    <w:rsid w:val="2A3E773C"/>
    <w:rsid w:val="2B204A26"/>
    <w:rsid w:val="2C023617"/>
    <w:rsid w:val="2C413E10"/>
    <w:rsid w:val="2C4A15C5"/>
    <w:rsid w:val="2CE45FAF"/>
    <w:rsid w:val="2FB61930"/>
    <w:rsid w:val="31DB7C26"/>
    <w:rsid w:val="35751081"/>
    <w:rsid w:val="39B95254"/>
    <w:rsid w:val="3C257A29"/>
    <w:rsid w:val="3EA1334D"/>
    <w:rsid w:val="419032B3"/>
    <w:rsid w:val="423E2C3C"/>
    <w:rsid w:val="45815028"/>
    <w:rsid w:val="45F457B6"/>
    <w:rsid w:val="47FB61CA"/>
    <w:rsid w:val="4A896133"/>
    <w:rsid w:val="4B807A4A"/>
    <w:rsid w:val="4CDC0F66"/>
    <w:rsid w:val="4EBB1677"/>
    <w:rsid w:val="4FEB65B7"/>
    <w:rsid w:val="518A6222"/>
    <w:rsid w:val="518E3745"/>
    <w:rsid w:val="52191E7B"/>
    <w:rsid w:val="53002936"/>
    <w:rsid w:val="550A4E58"/>
    <w:rsid w:val="5796147C"/>
    <w:rsid w:val="57DB0FF9"/>
    <w:rsid w:val="583E6D60"/>
    <w:rsid w:val="58687284"/>
    <w:rsid w:val="59121EEA"/>
    <w:rsid w:val="59801CB3"/>
    <w:rsid w:val="59E60742"/>
    <w:rsid w:val="5A2C7A72"/>
    <w:rsid w:val="5A7E088E"/>
    <w:rsid w:val="5AEB5DEF"/>
    <w:rsid w:val="5BFC68F7"/>
    <w:rsid w:val="5C4D76FA"/>
    <w:rsid w:val="5CF6181D"/>
    <w:rsid w:val="5D193E1C"/>
    <w:rsid w:val="5E59229C"/>
    <w:rsid w:val="5E707315"/>
    <w:rsid w:val="60E751E1"/>
    <w:rsid w:val="611D301E"/>
    <w:rsid w:val="612F4DE2"/>
    <w:rsid w:val="61B761CA"/>
    <w:rsid w:val="629E4AE7"/>
    <w:rsid w:val="62A533D5"/>
    <w:rsid w:val="645F10F0"/>
    <w:rsid w:val="648A4D97"/>
    <w:rsid w:val="65274AF0"/>
    <w:rsid w:val="65CF0629"/>
    <w:rsid w:val="660C5BBE"/>
    <w:rsid w:val="66251931"/>
    <w:rsid w:val="681B3755"/>
    <w:rsid w:val="68530868"/>
    <w:rsid w:val="697D344C"/>
    <w:rsid w:val="6C6359BE"/>
    <w:rsid w:val="72C46B86"/>
    <w:rsid w:val="731D2678"/>
    <w:rsid w:val="73311A0E"/>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2024-07-23T06:34:45Z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