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采购需求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项目基本内容：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仿宋"/>
          <w:szCs w:val="21"/>
        </w:rPr>
        <w:t>项目名称：</w:t>
      </w:r>
      <w:r>
        <w:rPr>
          <w:rFonts w:hint="eastAsia" w:ascii="宋体" w:hAnsi="宋体" w:cs="宋体"/>
          <w:szCs w:val="21"/>
        </w:rPr>
        <w:t>江苏医药职业学院 2022年预防医学专业设备采购</w:t>
      </w:r>
    </w:p>
    <w:p>
      <w:pPr>
        <w:spacing w:line="440" w:lineRule="exac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项目内容：预防医学专业实训教学需要采购一批</w:t>
      </w:r>
      <w:bookmarkStart w:id="0" w:name="_GoBack"/>
      <w:bookmarkEnd w:id="0"/>
      <w:r>
        <w:rPr>
          <w:rFonts w:hint="eastAsia" w:ascii="宋体" w:hAnsi="宋体" w:cs="宋体"/>
          <w:szCs w:val="21"/>
        </w:rPr>
        <w:t>设备，分别是人体成分分析仪，营养健康管理系统网络云端版，身高体重超声波测量仪一体机，儿童身高坐高超声波测量仪一体机，经皮黄疸检测仪。</w:t>
      </w:r>
    </w:p>
    <w:p>
      <w:pPr>
        <w:spacing w:line="360" w:lineRule="auto"/>
        <w:ind w:firstLine="420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cs="仿宋"/>
          <w:szCs w:val="21"/>
        </w:rPr>
        <w:t>数量：一批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项目参数</w:t>
      </w:r>
    </w:p>
    <w:tbl>
      <w:tblPr>
        <w:tblStyle w:val="3"/>
        <w:tblW w:w="9425" w:type="dxa"/>
        <w:tblInd w:w="1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66"/>
        <w:gridCol w:w="5824"/>
        <w:gridCol w:w="975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序号</w:t>
            </w:r>
          </w:p>
        </w:tc>
        <w:tc>
          <w:tcPr>
            <w:tcW w:w="1066" w:type="dxa"/>
            <w:shd w:val="clear" w:color="auto" w:fill="auto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名称</w:t>
            </w:r>
          </w:p>
        </w:tc>
        <w:tc>
          <w:tcPr>
            <w:tcW w:w="5824" w:type="dxa"/>
            <w:shd w:val="clear" w:color="auto" w:fill="auto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主要技术需求</w:t>
            </w:r>
          </w:p>
        </w:tc>
        <w:tc>
          <w:tcPr>
            <w:tcW w:w="975" w:type="dxa"/>
            <w:shd w:val="clear" w:color="auto" w:fill="auto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数量</w:t>
            </w:r>
          </w:p>
        </w:tc>
        <w:tc>
          <w:tcPr>
            <w:tcW w:w="840" w:type="dxa"/>
            <w:shd w:val="clear" w:color="auto" w:fill="auto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06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人体成分分析仪</w:t>
            </w:r>
          </w:p>
        </w:tc>
        <w:tc>
          <w:tcPr>
            <w:tcW w:w="5824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ind w:firstLine="420" w:firstLineChars="200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1、使用通过至少6种不同频率(1kH, 5kHz, 50kHz, 250kHz,</w:t>
            </w:r>
          </w:p>
          <w:p>
            <w:pPr>
              <w:spacing w:line="36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500kHz, 1000kHz) 生物电阻抗测法对人体各节段体成分进行测量；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2、（8点）接触式电极；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3、≥8寸彩色液晶屏；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4、具有人性化的用户界面说明；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5、具有亲切的语音提示；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6、成人儿童均适用，提供成人和儿童专用打印报告纸；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7、专用报告纸、 A4纸打印；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8、可提供结果的历史查询管理功能；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9、内存可储存上万组数据；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10、测量方法：8点接触式电极，生物电阻抗测量方法；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11、测量频率：1,5,50,250 kHz；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12、测量时间：≤45秒；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13、重量测量范围5-250kg；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14、具有无线通讯方式传输/接受信息，如蓝牙；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★15、具有配套客户管理软件；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16、至少具备测量以下项目的能力：总水分，蛋白质，无机盐，体脂肪量,体重,肌肉量，去脂体重，骨骼肌肉量，身休质量指数，体脂肪率，腰臀比，内脏脂肪面积，</w:t>
            </w:r>
          </w:p>
          <w:p>
            <w:pPr>
              <w:spacing w:line="360" w:lineRule="exact"/>
              <w:ind w:firstLine="420" w:firstLineChars="200"/>
              <w:jc w:val="lef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体重调整，体型判定，营养评估， 肌肉评估，运动处方等。</w:t>
            </w:r>
          </w:p>
        </w:tc>
        <w:tc>
          <w:tcPr>
            <w:tcW w:w="975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4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06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营养健康管理系统网络云端版</w:t>
            </w:r>
          </w:p>
        </w:tc>
        <w:tc>
          <w:tcPr>
            <w:tcW w:w="5824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1、营养健康管理系统研发需以中国居民膳食营养素参考摄入量2013版、2016版中国居民膳食指南、中国居民膳食宝塔、中国居民膳食物成分表2004、2009、</w:t>
            </w:r>
            <w:r>
              <w:rPr>
                <w:rFonts w:hint="eastAsia" w:ascii="宋体" w:hAnsi="宋体"/>
                <w:szCs w:val="21"/>
              </w:rPr>
              <w:t>2013、</w:t>
            </w:r>
            <w:r>
              <w:rPr>
                <w:rFonts w:hint="eastAsia" w:ascii="宋体" w:hAnsi="宋体"/>
                <w:kern w:val="0"/>
                <w:szCs w:val="21"/>
              </w:rPr>
              <w:t>2019版为依据；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★2、营养健康管理系统适用对象需包括儿童、青少年、孕前期、孕妇、产妇、中年、老年、运动员、慢性病患者、疾病调理等群体；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3、系统要包含膳食营养配餐功能，不仅满足个体配餐，也可满足团体配餐；具备一餐一日和一周三餐、选择性配置三点食谱的配餐功能；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4、系统包含膳食营养分析和评价功能，包括食物中膳食营养素含量，蛋白质来源分析和评价,三大产能营养素能量比分析和评价,钙的来源分析和评价，铁的来源分析和评价,脂肪的来源分析和评价,维生素的来源分析和评价,一日三餐能量比分析和评价,每人每日食物参考摄入量等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5、系统支持打印功能，营养报告输出打印；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★6、系统预存不低于50种运动能耗数据，至少85个微量营养素数据，至少2800种膳食原料、至少5000种食谱可用于编制日食谱或周食谱、原料食谱或成品食谱；</w:t>
            </w:r>
            <w:r>
              <w:rPr>
                <w:rFonts w:hint="eastAsia" w:ascii="宋体" w:hAnsi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7、软件的数据库采取开放模式，数据存储无上限限制，可以视硬件条件存储海量数据。</w:t>
            </w:r>
          </w:p>
        </w:tc>
        <w:tc>
          <w:tcPr>
            <w:tcW w:w="975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84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06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身高体重超声波测量仪一体机</w:t>
            </w:r>
          </w:p>
        </w:tc>
        <w:tc>
          <w:tcPr>
            <w:tcW w:w="5824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1、测量身高范围：20-200cm；</w:t>
            </w: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2、测量体重范围：2-500kg；</w:t>
            </w: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3、可折叠，带滑轮；</w:t>
            </w:r>
          </w:p>
          <w:p>
            <w:pPr>
              <w:spacing w:line="360" w:lineRule="exact"/>
              <w:ind w:firstLine="210" w:firstLineChars="1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4、语音播报，自动测量，超声波测量，LED显示。</w:t>
            </w:r>
          </w:p>
        </w:tc>
        <w:tc>
          <w:tcPr>
            <w:tcW w:w="975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4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06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儿童身高坐高超声波测量仪一体机</w:t>
            </w:r>
          </w:p>
        </w:tc>
        <w:tc>
          <w:tcPr>
            <w:tcW w:w="5824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1、可测身高、坐高、体重，测量身高范围：20-180cm，测量坐高范围：20-180cm，测量体重范围：2-200kg；</w:t>
            </w: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2、电子显示，可语音播报；</w:t>
            </w:r>
          </w:p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★3、配儿童座椅，可折叠，带滑轮。</w:t>
            </w:r>
          </w:p>
        </w:tc>
        <w:tc>
          <w:tcPr>
            <w:tcW w:w="975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4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066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经皮黄疸检测仪</w:t>
            </w:r>
          </w:p>
        </w:tc>
        <w:tc>
          <w:tcPr>
            <w:tcW w:w="5824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★1、测量方式：光反射式；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 xml:space="preserve">   2、显示方式：大屏幕液晶显示；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 xml:space="preserve">   3、测量单位切换功能可分别设置μmol/L、mg/dL、无单位(经皮胆红素)；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 xml:space="preserve">   4、平均测量功能：可设置2~5次平均测量方式；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 xml:space="preserve">   5、电池电压检测功能：电压不足时提示电池需充电；</w:t>
            </w:r>
            <w:r>
              <w:rPr>
                <w:rFonts w:hint="eastAsia" w:ascii="宋体" w:hAnsi="宋体"/>
                <w:szCs w:val="21"/>
              </w:rPr>
              <w:br w:type="textWrapping"/>
            </w:r>
            <w:r>
              <w:rPr>
                <w:rFonts w:hint="eastAsia" w:ascii="宋体" w:hAnsi="宋体"/>
                <w:szCs w:val="21"/>
              </w:rPr>
              <w:t xml:space="preserve">   6、充电时间短、使用时间长（一次充足电后可检测800次以上）。</w:t>
            </w:r>
          </w:p>
        </w:tc>
        <w:tc>
          <w:tcPr>
            <w:tcW w:w="975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40" w:type="dxa"/>
            <w:shd w:val="clear" w:color="auto" w:fill="auto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台</w:t>
            </w:r>
          </w:p>
        </w:tc>
      </w:tr>
    </w:tbl>
    <w:p>
      <w:pPr>
        <w:pStyle w:val="2"/>
        <w:ind w:left="3360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B70115"/>
    <w:multiLevelType w:val="multilevel"/>
    <w:tmpl w:val="1EB70115"/>
    <w:lvl w:ilvl="0" w:tentative="0">
      <w:start w:val="1"/>
      <w:numFmt w:val="japaneseCounting"/>
      <w:lvlText w:val="%1、"/>
      <w:lvlJc w:val="left"/>
      <w:pPr>
        <w:ind w:left="872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2" w:hanging="420"/>
      </w:pPr>
    </w:lvl>
    <w:lvl w:ilvl="2" w:tentative="0">
      <w:start w:val="1"/>
      <w:numFmt w:val="lowerRoman"/>
      <w:lvlText w:val="%3."/>
      <w:lvlJc w:val="right"/>
      <w:pPr>
        <w:ind w:left="1682" w:hanging="420"/>
      </w:pPr>
    </w:lvl>
    <w:lvl w:ilvl="3" w:tentative="0">
      <w:start w:val="1"/>
      <w:numFmt w:val="decimal"/>
      <w:lvlText w:val="%4."/>
      <w:lvlJc w:val="left"/>
      <w:pPr>
        <w:ind w:left="2102" w:hanging="420"/>
      </w:pPr>
    </w:lvl>
    <w:lvl w:ilvl="4" w:tentative="0">
      <w:start w:val="1"/>
      <w:numFmt w:val="lowerLetter"/>
      <w:lvlText w:val="%5)"/>
      <w:lvlJc w:val="left"/>
      <w:pPr>
        <w:ind w:left="2522" w:hanging="420"/>
      </w:pPr>
    </w:lvl>
    <w:lvl w:ilvl="5" w:tentative="0">
      <w:start w:val="1"/>
      <w:numFmt w:val="lowerRoman"/>
      <w:lvlText w:val="%6."/>
      <w:lvlJc w:val="right"/>
      <w:pPr>
        <w:ind w:left="2942" w:hanging="420"/>
      </w:pPr>
    </w:lvl>
    <w:lvl w:ilvl="6" w:tentative="0">
      <w:start w:val="1"/>
      <w:numFmt w:val="decimal"/>
      <w:lvlText w:val="%7."/>
      <w:lvlJc w:val="left"/>
      <w:pPr>
        <w:ind w:left="3362" w:hanging="420"/>
      </w:pPr>
    </w:lvl>
    <w:lvl w:ilvl="7" w:tentative="0">
      <w:start w:val="1"/>
      <w:numFmt w:val="lowerLetter"/>
      <w:lvlText w:val="%8)"/>
      <w:lvlJc w:val="left"/>
      <w:pPr>
        <w:ind w:left="3782" w:hanging="420"/>
      </w:pPr>
    </w:lvl>
    <w:lvl w:ilvl="8" w:tentative="0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c3ZmM0ZDZhYTJjZDcyYmM4N2QxZjk0ZDViYjQifQ=="/>
  </w:docVars>
  <w:rsids>
    <w:rsidRoot w:val="00000000"/>
    <w:rsid w:val="03450073"/>
    <w:rsid w:val="05A72BD7"/>
    <w:rsid w:val="0B9B0B50"/>
    <w:rsid w:val="2C413E10"/>
    <w:rsid w:val="3C257A29"/>
    <w:rsid w:val="4B807A4A"/>
    <w:rsid w:val="4C7E281B"/>
    <w:rsid w:val="5796147C"/>
    <w:rsid w:val="5A7E088E"/>
    <w:rsid w:val="5BFC68F7"/>
    <w:rsid w:val="5C4D76FA"/>
    <w:rsid w:val="6C6359BE"/>
    <w:rsid w:val="7331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1600" w:leftChars="1600"/>
    </w:pPr>
  </w:style>
  <w:style w:type="paragraph" w:customStyle="1" w:styleId="5">
    <w:name w:val="一级条标题"/>
    <w:basedOn w:val="6"/>
    <w:next w:val="7"/>
    <w:qFormat/>
    <w:uiPriority w:val="99"/>
    <w:pPr>
      <w:tabs>
        <w:tab w:val="left" w:pos="810"/>
        <w:tab w:val="left" w:pos="907"/>
        <w:tab w:val="left" w:pos="1265"/>
      </w:tabs>
      <w:spacing w:before="0" w:after="0"/>
      <w:ind w:left="907" w:hanging="907"/>
      <w:outlineLvl w:val="2"/>
    </w:pPr>
    <w:rPr>
      <w:rFonts w:hAnsi="宋体"/>
      <w:kern w:val="0"/>
      <w:sz w:val="20"/>
      <w:szCs w:val="20"/>
    </w:rPr>
  </w:style>
  <w:style w:type="paragraph" w:customStyle="1" w:styleId="6">
    <w:name w:val="章标题"/>
    <w:next w:val="1"/>
    <w:qFormat/>
    <w:uiPriority w:val="0"/>
    <w:pPr>
      <w:tabs>
        <w:tab w:val="left" w:pos="810"/>
        <w:tab w:val="left" w:pos="1265"/>
      </w:tabs>
      <w:spacing w:before="50" w:after="50"/>
      <w:ind w:left="810" w:hanging="810"/>
      <w:jc w:val="both"/>
      <w:outlineLvl w:val="1"/>
    </w:pPr>
    <w:rPr>
      <w:rFonts w:ascii="黑体" w:hAnsi="Calibri" w:eastAsia="黑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段"/>
    <w:next w:val="1"/>
    <w:qFormat/>
    <w:uiPriority w:val="0"/>
    <w:pPr>
      <w:widowControl w:val="0"/>
      <w:ind w:firstLine="200"/>
      <w:jc w:val="both"/>
    </w:pPr>
    <w:rPr>
      <w:rFonts w:ascii="宋体" w:hAnsi="宋体" w:eastAsia="宋体" w:cs="宋体"/>
      <w:color w:val="00000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2021-08-24T06:46:00Z</dcterms:created>
  <dc:creator>Lenovo</dc:creator>
  <cp:lastModifiedBy>一念初见</cp:lastModifiedBy>
  <dcterms:modified xsi:type="dcterms:W3CDTF">2022-05-16T02:44:20Z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567C3DD905534D5CBE82ABB29CB728F4</vt:lpwstr>
  </property>
</Properties>
</file>