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CFDCB">
      <w:pPr>
        <w:pStyle w:val="43"/>
        <w:ind w:firstLine="0"/>
        <w:jc w:val="center"/>
        <w:rPr>
          <w:rFonts w:ascii="宋体" w:hAnsi="宋体" w:cs="宋体"/>
          <w:b/>
          <w:bCs/>
          <w:sz w:val="28"/>
          <w:szCs w:val="28"/>
        </w:rPr>
      </w:pP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-1040765</wp:posOffset>
                </wp:positionH>
                <wp:positionV relativeFrom="paragraph">
                  <wp:posOffset>-1283335</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14:paraId="67FC3848">
                            <w:pPr>
                              <w:jc w:val="center"/>
                            </w:pPr>
                          </w:p>
                        </w:txbxContent>
                      </wps:txbx>
                      <wps:bodyPr upright="1"/>
                    </wps:wsp>
                  </a:graphicData>
                </a:graphic>
              </wp:anchor>
            </w:drawing>
          </mc:Choice>
          <mc:Fallback>
            <w:pict>
              <v:shape id="_x0000_s1026" o:spid="_x0000_s1026" o:spt="3" type="#_x0000_t3" style="position:absolute;left:0pt;margin-left:-81.95pt;margin-top:-101.05pt;height:217.5pt;width:216.75pt;z-index:251667456;mso-width-relative:page;mso-height-relative:page;" fillcolor="#C00000" filled="t" stroked="f" coordsize="21600,21600" o:gfxdata="UEsDBAoAAAAAAIdO4kAAAAAAAAAAAAAAAAAEAAAAZHJzL1BLAwQUAAAACACHTuJAJUYGPNwAAAAN&#10;AQAADwAAAGRycy9kb3ducmV2LnhtbE2PwUrEMBCG74LvEEbwtps0K8XUpnsQdAVB3FVQb9kmttVm&#10;Upq0u/v2jie9/cN8/PNNuT76ns1ujF1ADdlSAHNYB9tho+H15W5xDSwmg9b0AZ2Gk4uwrs7PSlPY&#10;cMCtm3epYVSCsTAa2pSGgvNYt86buAyDQ9p9htGbROPYcDuaA5X7nkshcu5Nh3ShNYO7bV39vZu8&#10;hrfH4WtWmw8Vn6b759MmPFx58a715UUmboAld0x/MPzqkzpU5LQPE9rIeg2LLF8pYilJITNgxMhc&#10;5cD2FFZSAa9K/v+L6gd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RgY8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14:paraId="67FC3848">
                      <w:pPr>
                        <w:jc w:val="center"/>
                      </w:pPr>
                    </w:p>
                  </w:txbxContent>
                </v:textbox>
              </v:shape>
            </w:pict>
          </mc:Fallback>
        </mc:AlternateContent>
      </w:r>
      <w:r>
        <w:rPr>
          <w:rFonts w:ascii="宋体" w:hAnsi="宋体" w:cs="宋体"/>
          <w:b/>
          <w:color w:val="000000"/>
          <w:sz w:val="28"/>
          <w:szCs w:val="28"/>
        </w:rPr>
        <w:drawing>
          <wp:anchor distT="0" distB="0" distL="114300" distR="114300" simplePos="0" relativeHeight="251665408"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p>
    <w:p w14:paraId="56799264">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1445895</wp:posOffset>
                </wp:positionH>
                <wp:positionV relativeFrom="paragraph">
                  <wp:posOffset>3974465</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14:paraId="0F407D7E">
                            <w:r>
                              <w:rPr>
                                <w:rFonts w:hint="eastAsia" w:ascii="黑体" w:hAnsi="黑体" w:eastAsia="黑体" w:cs="黑体"/>
                                <w:kern w:val="24"/>
                                <w:sz w:val="28"/>
                                <w:szCs w:val="32"/>
                              </w:rPr>
                              <w:t>江苏医药职业学院康养实训中心改造项目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37.65pt;width:370.85pt;z-index:251674624;mso-width-relative:page;mso-height-relative:page;" filled="f" stroked="f" coordsize="21600,21600" o:gfxdata="UEsDBAoAAAAAAIdO4kAAAAAAAAAAAAAAAAAEAAAAZHJzL1BLAwQUAAAACACHTuJAb8Rue9wAAAAL&#10;AQAADwAAAGRycy9kb3ducmV2LnhtbE2Py07DMBBF90j8gzVI7KgdiyZNiFOhSBUSgkVLN+wm8TSJ&#10;iO0Quw/4eswKlqN7dO+Zcn0xIzvR7AdnFSQLAYxs6/RgOwX7t83dCpgPaDWOzpKCL/Kwrq6vSiy0&#10;O9stnXahY7HE+gIV9CFMBee+7cmgX7iJbMwObjYY4jl3XM94juVm5FKIlBscbFzocaK6p/ZjdzQK&#10;nuvNK24baVbfY/30cnicPvfvS6VubxLxACzQJfzB8Ksf1aGKTo07Wu3ZqEDKLIuoglQuc2CRyNP8&#10;HlijIBOJBF6V/P8P1Q9QSwMEFAAAAAgAh07iQMwrmodCAgAAdgQAAA4AAABkcnMvZTJvRG9jLnht&#10;bK1UzY7aMBC+V+o7WL6X8LuwiLCii6gqoe5KtOrZOA6JZHtc25DQB2jfoKdeeu9z8RwdO4FF2x72&#10;0IuZv3zj75sxs7taSXIQ1pWgU9rrdCkRmkNW6l1KP31cvZlQ4jzTGZOgRUqPwtG7+etXs8pMRR8K&#10;kJmwBEG0m1YmpYX3ZpokjhdCMdcBIzQmc7CKeXTtLsksqxBdyaTf7d4kFdjMWODCOYwumyRtEe1L&#10;ACHPSy6WwPdKaN+gWiGZR0quKI2j83jbPBfcP+S5E57IlCJTH09sgvY2nMl8xqY7y0xR8vYK7CVX&#10;eMZJsVJj0wvUknlG9rb8C0qV3IKD3Hc4qKQhEhVBFr3uM202BTMickGpnbmI7v4fLP9weLSkzHAT&#10;+pRopnDipx/fTz9/n359IxhDgSrjpli3MVjp67dQY/E57jAYeNe5VeEXGRHMo7zHi7yi9oRjcHA7&#10;6U56I0o45gbj3nA8CjDJ09fGOv9OgCLBSKnF8UVV2WHtfFN6LgnNNKxKKeMIpSZVSm8Go2784JJB&#10;cKlDrYjL0MIERs3Ng+Xrbd3S3EJ2RJYWmkVxhq9KvMqaOf/ILG4GEsO34x/wyCVgS2gtSgqwX/8V&#10;D/U4MMxSUuGmpdR92TMrKJHvNY7ytjcchtWMznA07qNjrzPb64zeq3vAZe7hKzU8mqHey7OZW1Cf&#10;8YktQldMMc2xd0r92bz3zf7jE+VisYhFuIyG+bXeGB6gG3EXew95GXUPMjXa4LyCg+sYJ9c+nbDv&#10;136sevq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Rue9wAAAALAQAADwAAAAAAAAABACAA&#10;AAAiAAAAZHJzL2Rvd25yZXYueG1sUEsBAhQAFAAAAAgAh07iQMwrmodCAgAAdgQAAA4AAAAAAAAA&#10;AQAgAAAAKwEAAGRycy9lMm9Eb2MueG1sUEsFBgAAAAAGAAYAWQEAAN8FAAAAAA==&#10;">
                <v:fill on="f" focussize="0,0"/>
                <v:stroke on="f" weight="0.5pt"/>
                <v:imagedata o:title=""/>
                <o:lock v:ext="edit" aspectratio="f"/>
                <v:textbox>
                  <w:txbxContent>
                    <w:p w14:paraId="0F407D7E">
                      <w:r>
                        <w:rPr>
                          <w:rFonts w:hint="eastAsia" w:ascii="黑体" w:hAnsi="黑体" w:eastAsia="黑体" w:cs="黑体"/>
                          <w:kern w:val="24"/>
                          <w:sz w:val="28"/>
                          <w:szCs w:val="32"/>
                        </w:rPr>
                        <w:t>江苏医药职业学院康养实训中心改造项目</w:t>
                      </w:r>
                    </w:p>
                  </w:txbxContent>
                </v:textbox>
              </v:shape>
            </w:pict>
          </mc:Fallback>
        </mc:AlternateContent>
      </w: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14:paraId="3CFC0967"/>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14:paraId="3CFC0967"/>
                  </w:txbxContent>
                </v:textbox>
              </v:shape>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14:paraId="68AE61AB">
                            <w:pPr>
                              <w:pStyle w:val="22"/>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0288;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14:paraId="68AE61AB">
                      <w:pPr>
                        <w:pStyle w:val="22"/>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p>
    <w:p w14:paraId="52F2B3D5">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-320040</wp:posOffset>
                </wp:positionH>
                <wp:positionV relativeFrom="paragraph">
                  <wp:posOffset>415290</wp:posOffset>
                </wp:positionV>
                <wp:extent cx="6870700" cy="944245"/>
                <wp:effectExtent l="0" t="0" r="0" b="8255"/>
                <wp:wrapNone/>
                <wp:docPr id="11" name="文本框 11"/>
                <wp:cNvGraphicFramePr/>
                <a:graphic xmlns:a="http://schemas.openxmlformats.org/drawingml/2006/main">
                  <a:graphicData uri="http://schemas.microsoft.com/office/word/2010/wordprocessingShape">
                    <wps:wsp>
                      <wps:cNvSpPr txBox="1"/>
                      <wps:spPr>
                        <a:xfrm>
                          <a:off x="0" y="0"/>
                          <a:ext cx="6870700" cy="944245"/>
                        </a:xfrm>
                        <a:prstGeom prst="rect">
                          <a:avLst/>
                        </a:prstGeom>
                        <a:noFill/>
                        <a:ln>
                          <a:noFill/>
                        </a:ln>
                        <a:effectLst/>
                      </wps:spPr>
                      <wps:txbx>
                        <w:txbxContent>
                          <w:p w14:paraId="2A979D0C">
                            <w:pPr>
                              <w:ind w:firstLine="1200" w:firstLineChars="300"/>
                              <w:rPr>
                                <w:rFonts w:ascii="黑体" w:hAnsi="黑体" w:eastAsia="黑体" w:cs="黑体"/>
                                <w:kern w:val="24"/>
                                <w:sz w:val="28"/>
                                <w:szCs w:val="32"/>
                              </w:rPr>
                            </w:pPr>
                            <w:r>
                              <w:rPr>
                                <w:rFonts w:hint="eastAsia"/>
                                <w:sz w:val="40"/>
                                <w:szCs w:val="48"/>
                              </w:rPr>
                              <w:t>江苏医药职业学院康养实训中心改造项目</w:t>
                            </w:r>
                          </w:p>
                          <w:p w14:paraId="06E04F58">
                            <w:pPr>
                              <w:jc w:val="center"/>
                              <w:rPr>
                                <w:sz w:val="40"/>
                                <w:szCs w:val="48"/>
                              </w:rPr>
                            </w:pPr>
                          </w:p>
                        </w:txbxContent>
                      </wps:txbx>
                      <wps:bodyPr wrap="square" rtlCol="0">
                        <a:noAutofit/>
                      </wps:bodyPr>
                    </wps:wsp>
                  </a:graphicData>
                </a:graphic>
              </wp:anchor>
            </w:drawing>
          </mc:Choice>
          <mc:Fallback>
            <w:pict>
              <v:shape id="_x0000_s1026" o:spid="_x0000_s1026" o:spt="202" type="#_x0000_t202" style="position:absolute;left:0pt;margin-left:-25.2pt;margin-top:32.7pt;height:74.35pt;width:541pt;z-index:251666432;mso-width-relative:page;mso-height-relative:page;" filled="f" stroked="f" coordsize="21600,21600" o:gfxdata="UEsDBAoAAAAAAIdO4kAAAAAAAAAAAAAAAAAEAAAAZHJzL1BLAwQUAAAACACHTuJAF0ZsRNgAAAAL&#10;AQAADwAAAGRycy9kb3ducmV2LnhtbE2PTU/DMAyG70j8h8hI3LYko62g1N0BxBXE+JC4ZY3XVjRO&#10;1WRr+fdkJzhZlh+9ft5qu7hBnGgKvWcEvVYgiBtve24R3t+eVrcgQjRszeCZEH4owLa+vKhMaf3M&#10;r3TaxVakEA6lQehiHEspQ9ORM2HtR+J0O/jJmZjWqZV2MnMKd4PcKFVIZ3pOHzoz0kNHzffu6BA+&#10;ng9fn5l6aR9dPs5+UZLdnUS8vtLqHkSkJf7BcNZP6lAnp70/sg1iQFjlKksoQpGneQbUjS5A7BE2&#10;OtMg60r+71D/AlBLAwQUAAAACACHTuJAGpE0oMYBAACFAwAADgAAAGRycy9lMm9Eb2MueG1srVPN&#10;jtMwEL4j8Q6W7zRpVXaXqOkKqJYLAqSFB3Adu7EUe4zHbdIXgDfgxIU7z9Xn2LGT7cJy2QMXx/P3&#10;eb5vJqvrwXbsoAIacDWfz0rOlJPQGLer+ZfPNy+uOMMoXCM6cKrmR4X8ev382ar3lVpAC12jAiMQ&#10;h1Xva97G6KuiQNkqK3AGXjkKaghWRDLDrmiC6AnddsWiLC+KHkLjA0iFSN7NGOQTYngKIGhtpNqA&#10;3Fvl4ogaVCciUcLWeOTr3K3WSsaPWqOKrKs5MY35pEfovk1nsV6JaheEb42cWhBPaeERJyuMo0fP&#10;UBsRBdsH8w+UNTIAgo4zCbYYiWRFiMW8fKTNbSu8ylxIavRn0fH/wcoPh0+BmYY2Yc6ZE5Ymfvrx&#10;/fTz9+nXN0Y+Eqj3WFHerafMOLyBgZLv/UjOxHvQwaYvMWIUJ3mPZ3nVEJkk58XVZXlZUkhS7NVy&#10;uVi+TDDFQ7UPGN8psCxdah5ofFlVcXiPcUy9T0mPObgxXZdH2Lm/HIQ5elTegak6ERkbTrc4bIeJ&#10;3RaaI5HraQ9qjl/3IijOQuzeQl6bEfr1PoI2uY1UPtZQ+8mg6WQi0yal8f9p56yHv2d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dGbETYAAAACwEAAA8AAAAAAAAAAQAgAAAAIgAAAGRycy9kb3du&#10;cmV2LnhtbFBLAQIUABQAAAAIAIdO4kAakTSgxgEAAIUDAAAOAAAAAAAAAAEAIAAAACcBAABkcnMv&#10;ZTJvRG9jLnhtbFBLBQYAAAAABgAGAFkBAABfBQAAAAA=&#10;">
                <v:fill on="f" focussize="0,0"/>
                <v:stroke on="f"/>
                <v:imagedata o:title=""/>
                <o:lock v:ext="edit" aspectratio="f"/>
                <v:textbox>
                  <w:txbxContent>
                    <w:p w14:paraId="2A979D0C">
                      <w:pPr>
                        <w:ind w:firstLine="1200" w:firstLineChars="300"/>
                        <w:rPr>
                          <w:rFonts w:ascii="黑体" w:hAnsi="黑体" w:eastAsia="黑体" w:cs="黑体"/>
                          <w:kern w:val="24"/>
                          <w:sz w:val="28"/>
                          <w:szCs w:val="32"/>
                        </w:rPr>
                      </w:pPr>
                      <w:r>
                        <w:rPr>
                          <w:rFonts w:hint="eastAsia"/>
                          <w:sz w:val="40"/>
                          <w:szCs w:val="48"/>
                        </w:rPr>
                        <w:t>江苏医药职业学院康养实训中心改造项目</w:t>
                      </w:r>
                    </w:p>
                    <w:p w14:paraId="06E04F58">
                      <w:pPr>
                        <w:jc w:val="center"/>
                        <w:rPr>
                          <w:sz w:val="40"/>
                          <w:szCs w:val="48"/>
                        </w:rPr>
                      </w:pPr>
                    </w:p>
                  </w:txbxContent>
                </v:textbox>
              </v:shape>
            </w:pict>
          </mc:Fallback>
        </mc:AlternateContent>
      </w:r>
    </w:p>
    <w:p w14:paraId="242605BD">
      <w:pPr>
        <w:rPr>
          <w:rFonts w:ascii="宋体" w:hAnsi="宋体" w:cs="宋体"/>
          <w:sz w:val="44"/>
          <w:szCs w:val="44"/>
          <w:lang w:val="zh-CN"/>
        </w:rPr>
      </w:pPr>
    </w:p>
    <w:p w14:paraId="42B12B5F">
      <w:pPr>
        <w:rPr>
          <w:rFonts w:ascii="宋体" w:hAnsi="宋体" w:cs="宋体"/>
          <w:sz w:val="44"/>
          <w:szCs w:val="44"/>
          <w:lang w:val="zh-CN"/>
        </w:rPr>
      </w:pPr>
    </w:p>
    <w:p w14:paraId="1B81B505">
      <w:pPr>
        <w:rPr>
          <w:rFonts w:ascii="宋体" w:hAnsi="宋体" w:cs="宋体"/>
          <w:sz w:val="44"/>
          <w:szCs w:val="44"/>
          <w:lang w:val="zh-CN"/>
        </w:rPr>
      </w:pPr>
    </w:p>
    <w:p w14:paraId="58744750">
      <w:pPr>
        <w:rPr>
          <w:rFonts w:ascii="宋体" w:hAnsi="宋体" w:cs="宋体"/>
          <w:sz w:val="44"/>
          <w:szCs w:val="44"/>
          <w:lang w:val="zh-CN"/>
        </w:rPr>
      </w:pPr>
    </w:p>
    <w:p w14:paraId="03D51907">
      <w:pPr>
        <w:rPr>
          <w:rFonts w:ascii="宋体" w:hAnsi="宋体" w:cs="宋体"/>
          <w:sz w:val="44"/>
          <w:szCs w:val="44"/>
          <w:lang w:val="zh-CN"/>
        </w:rPr>
      </w:pPr>
    </w:p>
    <w:p w14:paraId="6F640C7F">
      <w:pPr>
        <w:jc w:val="right"/>
        <w:rPr>
          <w:rFonts w:ascii="宋体" w:hAnsi="宋体" w:cs="宋体"/>
          <w:sz w:val="44"/>
          <w:szCs w:val="44"/>
          <w:lang w:val="zh-CN"/>
        </w:rPr>
      </w:pPr>
    </w:p>
    <w:p w14:paraId="6BE1F674">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1571625</wp:posOffset>
                </wp:positionH>
                <wp:positionV relativeFrom="paragraph">
                  <wp:posOffset>597535</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14:paraId="4A257C70">
                            <w:pPr>
                              <w:jc w:val="left"/>
                              <w:rPr>
                                <w:rFonts w:ascii="黑体" w:hAnsi="黑体" w:eastAsia="黑体" w:cs="黑体"/>
                                <w:kern w:val="24"/>
                                <w:sz w:val="28"/>
                                <w:szCs w:val="32"/>
                              </w:rPr>
                            </w:pPr>
                            <w:r>
                              <w:rPr>
                                <w:rFonts w:hint="eastAsia" w:ascii="黑体" w:hAnsi="黑体" w:eastAsia="黑体" w:cs="黑体"/>
                                <w:kern w:val="24"/>
                                <w:sz w:val="28"/>
                                <w:szCs w:val="32"/>
                              </w:rPr>
                              <w:t xml:space="preserve">SY2024-028-GC-JC </w:t>
                            </w:r>
                          </w:p>
                        </w:txbxContent>
                      </wps:txbx>
                      <wps:bodyPr wrap="square" rtlCol="0">
                        <a:noAutofit/>
                      </wps:bodyPr>
                    </wps:wsp>
                  </a:graphicData>
                </a:graphic>
              </wp:anchor>
            </w:drawing>
          </mc:Choice>
          <mc:Fallback>
            <w:pict>
              <v:shape id="_x0000_s1026" o:spid="_x0000_s1026" o:spt="202" type="#_x0000_t202" style="position:absolute;left:0pt;flip:x;margin-left:123.75pt;margin-top:47.05pt;height:30.2pt;width:209.25pt;z-index:251668480;mso-width-relative:page;mso-height-relative:page;" filled="f" stroked="f" coordsize="21600,21600" o:gfxdata="UEsDBAoAAAAAAIdO4kAAAAAAAAAAAAAAAAAEAAAAZHJzL1BLAwQUAAAACACHTuJA1oglANoAAAAK&#10;AQAADwAAAGRycy9kb3ducmV2LnhtbE2Py07DMBBF90j8gzVI7KiTKkkhxOkCCYlFQDQglaUbT+Oo&#10;8TiK3Qd/z7CC5WiO7j23Wl/cKE44h8GTgnSRgEDqvBmoV/D58Xx3DyJETUaPnlDBNwZY19dXlS6N&#10;P9MGT23sBYdQKLUCG+NUShk6i06HhZ+Q+Lf3s9ORz7mXZtZnDnejXCZJIZ0eiBusnvDJYndoj06B&#10;abbbfHWYmo39yvYv45tp2vdXpW5v0uQRRMRL/IPhV5/VoWannT+SCWJUsMxWOaMKHrIUBANFUfC4&#10;HZN5loOsK/l/Qv0DUEsDBBQAAAAIAIdO4kD4UQ+60AEAAI8DAAAOAAAAZHJzL2Uyb0RvYy54bWyt&#10;U8FuEzEQvSPxD5bvZNO0SasomwqICgcESIUPcLzjrCXbY2wnu/kB+ANOXLj3u/IdjL1pWsqlBy4r&#10;+83M83szs4vr3hq2gxA1upqfjcacgZPYaLep+dcvN6+uOItJuEYYdFDzPUR+vXz5YtH5OUywRdNA&#10;YETi4rzzNW9T8vOqirIFK+IIPTgKKgxWJLqGTdUE0RG7NdVkPJ5VHYbGB5QQI6GrIciPjOE5hKiU&#10;lrBCubXg0sAawIhElmKrfeTLolYpkOmTUhESMzUnp6l86RE6r/O3Wi7EfBOEb7U8ShDPkfDEkxXa&#10;0aMnqpVIgm2D/ofKahkwokojibYajJSOkIuz8ZPe3LbCQ/FCrY7+1PT4/2jlx93nwHRT89mUMycs&#10;Tfzw88fh193h93dGGDWo83FOebeeMlP/Bntam3s8Eph99ypYpoz273MwI+SNUSY1en9qNPSJSQIn&#10;s+nlxSU9KCl2fnU+vSiTqAaeXO1DTO8ALcuHmgcaZGEVuw8xkSZKvU/J6Q5vtDFlmMb9BVDigEDZ&#10;hmN1tjRIz6fUr/ujzzU2e7LZ0UbUPH7bigCchWTeYlmggfr1NqHSRUYuH2pIU77QnIq6407lRXh8&#10;L1kP/9H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aIJQDaAAAACgEAAA8AAAAAAAAAAQAgAAAA&#10;IgAAAGRycy9kb3ducmV2LnhtbFBLAQIUABQAAAAIAIdO4kD4UQ+60AEAAI8DAAAOAAAAAAAAAAEA&#10;IAAAACkBAABkcnMvZTJvRG9jLnhtbFBLBQYAAAAABgAGAFkBAABrBQAAAAA=&#10;">
                <v:fill on="f" focussize="0,0"/>
                <v:stroke on="f"/>
                <v:imagedata o:title=""/>
                <o:lock v:ext="edit" aspectratio="f"/>
                <v:textbox>
                  <w:txbxContent>
                    <w:p w14:paraId="4A257C70">
                      <w:pPr>
                        <w:jc w:val="left"/>
                        <w:rPr>
                          <w:rFonts w:ascii="黑体" w:hAnsi="黑体" w:eastAsia="黑体" w:cs="黑体"/>
                          <w:kern w:val="24"/>
                          <w:sz w:val="28"/>
                          <w:szCs w:val="32"/>
                        </w:rPr>
                      </w:pPr>
                      <w:r>
                        <w:rPr>
                          <w:rFonts w:hint="eastAsia" w:ascii="黑体" w:hAnsi="黑体" w:eastAsia="黑体" w:cs="黑体"/>
                          <w:kern w:val="24"/>
                          <w:sz w:val="28"/>
                          <w:szCs w:val="32"/>
                        </w:rPr>
                        <w:t xml:space="preserve">SY2024-028-GC-JC </w:t>
                      </w:r>
                    </w:p>
                  </w:txbxContent>
                </v:textbox>
              </v:shape>
            </w:pict>
          </mc:Fallback>
        </mc:AlternateContent>
      </w: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1460500</wp:posOffset>
                </wp:positionH>
                <wp:positionV relativeFrom="paragraph">
                  <wp:posOffset>2630170</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23795" cy="401955"/>
                        </a:xfrm>
                        <a:prstGeom prst="rect">
                          <a:avLst/>
                        </a:prstGeom>
                        <a:noFill/>
                        <a:ln w="6350">
                          <a:noFill/>
                        </a:ln>
                        <a:effectLst/>
                      </wps:spPr>
                      <wps:txbx>
                        <w:txbxContent>
                          <w:p w14:paraId="423924D5">
                            <w:pPr>
                              <w:rPr>
                                <w:rFonts w:ascii="黑体" w:hAnsi="黑体" w:eastAsia="黑体" w:cs="黑体"/>
                                <w:sz w:val="32"/>
                                <w:szCs w:val="32"/>
                              </w:rPr>
                            </w:pPr>
                            <w:r>
                              <w:rPr>
                                <w:rFonts w:hint="eastAsia" w:ascii="黑体" w:hAnsi="黑体" w:eastAsia="黑体" w:cs="黑体"/>
                                <w:sz w:val="32"/>
                                <w:szCs w:val="32"/>
                              </w:rPr>
                              <w:t>2024年9月</w:t>
                            </w:r>
                            <w:r>
                              <w:rPr>
                                <w:rFonts w:hint="eastAsia" w:ascii="黑体" w:hAnsi="黑体" w:eastAsia="黑体" w:cs="黑体"/>
                                <w:sz w:val="32"/>
                                <w:szCs w:val="32"/>
                                <w:lang w:val="en-US" w:eastAsia="zh-CN"/>
                              </w:rPr>
                              <w:t>05</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207.1pt;height:31.65pt;width:190.85pt;z-index:251659264;mso-width-relative:page;mso-height-relative:page;" filled="f" stroked="f" coordsize="21600,21600" o:gfxdata="UEsDBAoAAAAAAIdO4kAAAAAAAAAAAAAAAAAEAAAAZHJzL1BLAwQUAAAACACHTuJAPQHKotwAAAAL&#10;AQAADwAAAGRycy9kb3ducmV2LnhtbE2PzU7DMBCE70i8g7VI3Kjt0DZViFOhSBUSgkNLL9w2sZtE&#10;2OsQuz/w9JgTHGdnNPtNub44y05mCoMnBXImgBlqvR6oU7B/29ytgIWIpNF6Mgq+TIB1dX1VYqH9&#10;mbbmtIsdSyUUClTQxzgWnIe2Nw7DzI+Gknfwk8OY5NRxPeE5lTvLMyGW3OFA6UOPo6l7037sjk7B&#10;c715xW2TudW3rZ9eDo/j5/59odTtjRQPwKK5xL8w/OIndKgSU+OPpAOzCrJ7kbZEBXM5z4ClxFLK&#10;HFiTLnm+AF6V/P+G6gdQSwMEFAAAAAgAh07iQP/KK69CAgAAdAQAAA4AAABkcnMvZTJvRG9jLnht&#10;bK1UwY7aMBC9V+o/WL6XBBbYgggruoiq0qq7Eq16No5DItke1zYk9APaP9hTL733u/iOjp3Aom0P&#10;e+jFjD2TN35vnpndNEqSvbCuAp3Rfi+lRGgOeaW3Gf38afXmLSXOM50zCVpk9CAcvZm/fjWrzVQM&#10;oASZC0sQRLtpbTJaem+mSeJ4KRRzPTBCY7IAq5jHrd0muWU1oiuZDNJ0nNRgc2OBC+fwdNkmaYdo&#10;XwIIRVFxsQS+U0L7FtUKyTxScmVlHJ3H2xaF4P6+KJzwRGYUmfq4YhOMN2FN5jM23Vpmyop3V2Av&#10;ucIzTopVGpueoZbMM7Kz1V9QquIWHBS+x0ElLZGoCLLop8+0WZfMiMgFpXbmLLr7f7D84/7BkirP&#10;6JgSzRQO/Pj44/jz9/HXdzIO8tTGTbFqbbDON++gQdOczh0eBtZNYVX4RT4E8yju4SyuaDzheDgY&#10;Dq6uJyNKOOaGaX8yGgWY5OlrY51/L0CREGTU4vCipmx/53xbeioJzTSsKinjAKUmNTK4GqXxg3MG&#10;waUOtSJaoYMJjNqbh8g3m6ajuYH8gCwttDZxhq8qvModc/6BWfQFEsOX4+9xKSRgS+giSkqw3/51&#10;HupxXJilpEafZdR93TErKJEfNA5y0h8OgzHjZji6HuDGXmY2lxm9U7eAVu7jGzU8hqHey1NYWFBf&#10;8IEtQldMMc2xd0b9Kbz1rfvxgXKxWMQitKJh/k6vDQ/QrbiLnYeiiroHmVptcF5hg2aMk+seTnD7&#10;5T5WPf1Z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QHKotwAAAALAQAADwAAAAAAAAABACAA&#10;AAAiAAAAZHJzL2Rvd25yZXYueG1sUEsBAhQAFAAAAAgAh07iQP/KK69CAgAAdAQAAA4AAAAAAAAA&#10;AQAgAAAAKwEAAGRycy9lMm9Eb2MueG1sUEsFBgAAAAAGAAYAWQEAAN8FAAAAAA==&#10;">
                <v:fill on="f" focussize="0,0"/>
                <v:stroke on="f" weight="0.5pt"/>
                <v:imagedata o:title=""/>
                <o:lock v:ext="edit" aspectratio="f"/>
                <v:textbox>
                  <w:txbxContent>
                    <w:p w14:paraId="423924D5">
                      <w:pPr>
                        <w:rPr>
                          <w:rFonts w:ascii="黑体" w:hAnsi="黑体" w:eastAsia="黑体" w:cs="黑体"/>
                          <w:sz w:val="32"/>
                          <w:szCs w:val="32"/>
                        </w:rPr>
                      </w:pPr>
                      <w:r>
                        <w:rPr>
                          <w:rFonts w:hint="eastAsia" w:ascii="黑体" w:hAnsi="黑体" w:eastAsia="黑体" w:cs="黑体"/>
                          <w:sz w:val="32"/>
                          <w:szCs w:val="32"/>
                        </w:rPr>
                        <w:t>2024年9月</w:t>
                      </w:r>
                      <w:r>
                        <w:rPr>
                          <w:rFonts w:hint="eastAsia" w:ascii="黑体" w:hAnsi="黑体" w:eastAsia="黑体" w:cs="黑体"/>
                          <w:sz w:val="32"/>
                          <w:szCs w:val="32"/>
                          <w:lang w:val="en-US" w:eastAsia="zh-CN"/>
                        </w:rPr>
                        <w:t>05</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1441450</wp:posOffset>
                </wp:positionH>
                <wp:positionV relativeFrom="paragraph">
                  <wp:posOffset>2265045</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14:paraId="77C3C77C">
                            <w:pPr>
                              <w:pStyle w:val="22"/>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13.5pt;margin-top:178.35pt;height:27pt;width:267.75pt;z-index:251671552;mso-width-relative:page;mso-height-relative:page;" filled="f" stroked="f" coordsize="21600,21600" o:gfxdata="UEsDBAoAAAAAAIdO4kAAAAAAAAAAAAAAAAAEAAAAZHJzL1BLAwQUAAAACACHTuJAbzy6kdsAAAAL&#10;AQAADwAAAGRycy9kb3ducmV2LnhtbE2Py07DMBRE90j8g3WR2FE7oYmrkJsukJBYBEQDUrt0YzeO&#10;6kcUuw/+HrOC5WhGM2fq9dUaclZzGL1DyBYMiHK9l6MbEL4+Xx5WQEIUTgrjnUL4VgHWze1NLSrp&#10;L26jzl0cSCpxoRIIOsapojT0WlkRFn5SLnkHP1sRk5wHKmdxSeXW0JyxkloxurSgxaSeteqP3cki&#10;yHa7Lfhxajd6tzy8mnfZdh9viPd3GXsCEtU1/oXhFz+hQ5OY9v7kZCAGIc95+hIRHouSA0kJXuYF&#10;kD3CMmMcaFPT/x+aH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PLqR2wAAAAsBAAAPAAAAAAAAAAEAIAAA&#10;ACIAAABkcnMvZG93bnJldi54bWxQSwECFAAUAAAACACHTuJAS2SkEdABAACPAwAADgAAAAAAAAAB&#10;ACAAAAAqAQAAZHJzL2Uyb0RvYy54bWxQSwUGAAAAAAYABgBZAQAAbAUAAAAA&#10;">
                <v:fill on="f" focussize="0,0"/>
                <v:stroke on="f"/>
                <v:imagedata o:title=""/>
                <o:lock v:ext="edit" aspectratio="f"/>
                <v:textbox>
                  <w:txbxContent>
                    <w:p w14:paraId="77C3C77C">
                      <w:pPr>
                        <w:pStyle w:val="22"/>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1470025</wp:posOffset>
                </wp:positionH>
                <wp:positionV relativeFrom="paragraph">
                  <wp:posOffset>1840230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49475" cy="362585"/>
                        </a:xfrm>
                        <a:prstGeom prst="rect">
                          <a:avLst/>
                        </a:prstGeom>
                        <a:noFill/>
                        <a:ln>
                          <a:noFill/>
                        </a:ln>
                        <a:effectLst/>
                      </wps:spPr>
                      <wps:txbx>
                        <w:txbxContent>
                          <w:p w14:paraId="1ED8F8F6">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15.75pt;margin-top:144.9pt;height:28.55pt;width:169.25pt;z-index:251670528;mso-width-relative:page;mso-height-relative:page;" filled="f" stroked="f" coordsize="21600,21600" o:gfxdata="UEsDBAoAAAAAAIdO4kAAAAAAAAAAAAAAAAAEAAAAZHJzL1BLAwQUAAAACACHTuJABIB6E9sAAAAL&#10;AQAADwAAAGRycy9kb3ducmV2LnhtbE2Py07DMBBF90j8gzVI7KidtukjxOkCCYlFQDQglaUbT+Oo&#10;fkSx++DvGVawm9Ec3Tm33FydZWccYx+8hGwigKFvg+59J+Hz4/lhBSwm5bWywaOEb4ywqW5vSlXo&#10;cPFbPDepYxTiY6EkmJSGgvPYGnQqTsKAnm6HMDqVaB07rkd1oXBn+VSIBXeq9/TBqAGfDLbH5uQk&#10;6Hq3y5fHod6ar/nhxb7punl/lfL+LhOPwBJe0x8Mv/qkDhU57cPJ68ishOksywmlYbWmDkTkS0Ht&#10;9hJm88UaeFXy/x2qH1BLAwQUAAAACACHTuJAIEeONs8BAACPAwAADgAAAGRycy9lMm9Eb2MueG1s&#10;rVNBjhMxELwj8QfLdzJJ2ITdUSYrIFo4IEBa9gGOx85Yst3GdjKTD8APOHHhzrvyDtr2bIDlsgcu&#10;I7u6utzV3bO6HowmB+GDAtvQ2WRKibAcWmV3Db37dPPskpIQmW2ZBisaehSBXq+fPln1rhZz6EC3&#10;whMUsaHuXUO7GF1dVYF3wrAwAScsBiV4wyJe/a5qPetR3ehqPp0uqx586zxwEQKimxKko6J/jCBI&#10;qbjYAN8bYWNR9UKziJZCp1yg61ytlILHD1IGEYluKDqN+YuP4HmbvtV6xeqdZ65TfCyBPaaEB54M&#10;UxYfPUttWGRk79U/UkZxDwFknHAwVTGSO4IuZtMHvbntmBPZC7Y6uHPTw/+T5e8PHz1RbUOXS0os&#10;Mzjx07evp+8/Tz++EMSwQb0LNfJuHTLj8AoGXJt7PCCYfA/SGyK1cm9TMCHojSATG308N1oMkXAE&#10;57OLq4sXC0o4xp4v54vLRRKsik7Kdj7ENwIMSYeGehxkVmWHdyEW6j0l0S3cKK3zMLX9C0DNgoi8&#10;DWN2slRKT6c4bIfR5xbaI9rscSMaGj7vmReU+KhfQ16gIv1yH0GqXEZKLzlYfrrgnLKRcafSIvx5&#10;z6zf/9H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SAehPbAAAACwEAAA8AAAAAAAAAAQAgAAAA&#10;IgAAAGRycy9kb3ducmV2LnhtbFBLAQIUABQAAAAIAIdO4kAgR442zwEAAI8DAAAOAAAAAAAAAAEA&#10;IAAAACoBAABkcnMvZTJvRG9jLnhtbFBLBQYAAAAABgAGAFkBAABrBQAAAAA=&#10;">
                <v:fill on="f" focussize="0,0"/>
                <v:stroke on="f"/>
                <v:imagedata o:title=""/>
                <o:lock v:ext="edit" aspectratio="f"/>
                <v:textbox>
                  <w:txbxContent>
                    <w:p w14:paraId="1ED8F8F6">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2616835</wp:posOffset>
                </wp:positionV>
                <wp:extent cx="923925" cy="454025"/>
                <wp:effectExtent l="0" t="0" r="0" b="3175"/>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14:paraId="3C5D877F">
                            <w:pPr>
                              <w:pStyle w:val="22"/>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62.75pt;margin-top:206.05pt;height:35.75pt;width:72.75pt;z-index:251664384;mso-width-relative:page;mso-height-relative:page;" filled="f" stroked="f" coordsize="21600,21600" o:gfxdata="UEsDBAoAAAAAAIdO4kAAAAAAAAAAAAAAAAAEAAAAZHJzL1BLAwQUAAAACACHTuJADia60dcAAAAL&#10;AQAADwAAAGRycy9kb3ducmV2LnhtbE2PwU7DMBBE70j8g7VI3Kjt0LQlxOkBxBVEgUrc3HibRMTr&#10;KHab8PcsJzjO7NPsTLmdfS/OOMYukAG9UCCQ6uA6agy8vz3dbEDEZMnZPhAa+MYI2+ryorSFCxO9&#10;4nmXGsEhFAtroE1pKKSMdYvexkUYkPh2DKO3ieXYSDfaicN9LzOlVtLbjvhDawd8aLH+2p28gY/n&#10;4+d+qV6aR58PU5iVJH8njbm+0uoeRMI5/cHwW5+rQ8WdDuFELoqedZbnjBpY6kyDYCJba153YGdz&#10;uwJZlfL/huoHUEsDBBQAAAAIAIdO4kDmQpD0xgEAAIQDAAAOAAAAZHJzL2Uyb0RvYy54bWytU82O&#10;0zAQviPxDpbvNGnYRWzUdAVUywUB0sIDuI7dWLI9xuM26QvAG3Diwp3n6nMwcbJdWC574OKM5+fz&#10;fN9MVteDs+ygIhrwDV8uSs6Ul9Aav2v45083z15yhkn4VljwquFHhfx6/fTJqg+1qqAD26rICMRj&#10;3YeGdymFuihQdsoJXEBQnoIaohOJrnFXtFH0hO5sUZXli6KH2IYIUiGSdzMF+YwYHwMIWhupNiD3&#10;Tvk0oUZlRSJK2JmAfJ271VrJ9EFrVInZhhPTlE96hOzteBbrlah3UYTOyLkF8ZgWHnBywnh69Ay1&#10;EUmwfTT/QDkjIyDotJDgiolIVoRYLMsH2tx2IqjMhaTGcBYd/x+sfH/4GJlpG14tOfPC0cRP37+d&#10;fvw6/fzKyEcC9QFryrsNlJmG1zDQ2tz5kZwj70FHN36JEaM4yXs8y6uGxCQ5r6rnV9UlZ5JCF5cX&#10;JdmEXtwXh4jprQLHRqPhkaaXRRWHd5im1LuU8S0PN8baPEHr/3IQ5uRReQXm6pHH1O9opWE7zOS2&#10;0B6JW09r0HD8shdRcRaTfQN5ayboV/sE2uQ2xvKphtofLzScTGRepHH6f95z1v3P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ia60dcAAAALAQAADwAAAAAAAAABACAAAAAiAAAAZHJzL2Rvd25y&#10;ZXYueG1sUEsBAhQAFAAAAAgAh07iQOZCkPTGAQAAhAMAAA4AAAAAAAAAAQAgAAAAJgEAAGRycy9l&#10;Mm9Eb2MueG1sUEsFBgAAAAAGAAYAWQEAAF4FAAAAAA==&#10;">
                <v:fill on="f" focussize="0,0"/>
                <v:stroke on="f"/>
                <v:imagedata o:title=""/>
                <o:lock v:ext="edit" aspectratio="f"/>
                <v:textbox>
                  <w:txbxContent>
                    <w:p w14:paraId="3C5D877F">
                      <w:pPr>
                        <w:pStyle w:val="22"/>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2199005</wp:posOffset>
                </wp:positionV>
                <wp:extent cx="1452880" cy="344805"/>
                <wp:effectExtent l="0" t="0" r="0" b="635"/>
                <wp:wrapNone/>
                <wp:docPr id="19" name="文本框 19"/>
                <wp:cNvGraphicFramePr/>
                <a:graphic xmlns:a="http://schemas.openxmlformats.org/drawingml/2006/main">
                  <a:graphicData uri="http://schemas.microsoft.com/office/word/2010/wordprocessingShape">
                    <wps:wsp>
                      <wps:cNvSpPr txBox="1"/>
                      <wps:spPr>
                        <a:xfrm flipH="1">
                          <a:off x="0" y="0"/>
                          <a:ext cx="1452880" cy="344805"/>
                        </a:xfrm>
                        <a:prstGeom prst="rect">
                          <a:avLst/>
                        </a:prstGeom>
                        <a:noFill/>
                        <a:ln>
                          <a:noFill/>
                        </a:ln>
                        <a:effectLst/>
                      </wps:spPr>
                      <wps:txbx>
                        <w:txbxContent>
                          <w:p w14:paraId="3CB7B236">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2.35pt;margin-top:173.15pt;height:27.15pt;width:114.4pt;z-index:251663360;mso-width-relative:page;mso-height-relative:page;" filled="f" stroked="f" coordsize="21600,21600" o:gfxdata="UEsDBAoAAAAAAIdO4kAAAAAAAAAAAAAAAAAEAAAAZHJzL1BLAwQUAAAACACHTuJAfrExMNsAAAAK&#10;AQAADwAAAGRycy9kb3ducmV2LnhtbE2Py07DMBBF90j8gzVI7Fo7adSiEKcCpAo2SDQgHrtJYpKI&#10;eBxs9wFfz7CC5ege3XumWB/tKPbGh8GRhmSuQBhqXDtQp+HpcTO7ABEiUoujI6PhywRYl6cnBeat&#10;O9DW7KvYCS6hkKOGPsYplzI0vbEY5m4yxNm78xYjn76TrccDl9tRpkotpcWBeKHHydz0pvmodlbD&#10;A1356ha//fXGvanPl+fX+n51p/X5WaIuQURzjH8w/OqzOpTsVLsdtUGMGmbZikkNi2y5AMFAmmYJ&#10;iFpDxrsgy0L+f6H8AVBLAwQUAAAACACHTuJA1GZOfM4BAACPAwAADgAAAGRycy9lMm9Eb2MueG1s&#10;rVPBjtMwEL0j8Q+W7zTZ0kUlaroCqoUDAqSFD3Adp7Fke4zHbdIfgD/gxIU739XvYOxku8ty2QOX&#10;yH7z5nnezGR1NVjDDiqgBlfzi1nJmXISGu12Nf/y+frZkjOMwjXCgFM1PyrkV+unT1a9r9QcOjCN&#10;CoxEHFa9r3kXo6+KAmWnrMAZeOUo2EKwItI17IomiJ7UrSnmZfmi6CE0PoBUiIRuxiCfFMNjBKFt&#10;tVQbkHurXBxVgzIikiXstEe+ztW2rZLxY9uiiszUnJzG/KVH6LxN32K9EtUuCN9pOZUgHlPCA09W&#10;aEePnqU2Igq2D/ofKatlAIQ2ziTYYjSSO0IuLsoHvbnphFfZC7Ua/bnp+P9k5YfDp8B0Q5vwkjMn&#10;LE389OP76efv069vjDBqUO+xIt6NJ2YcXsNA5FscCUy+hzZY1hrt36VgQsgbIyY1+nhutBoikyl9&#10;cTlfLikkKfZ8sViWl0mwGHVStg8Y3yqwLB1qHmiQWVUc3mMcqbeURHdwrY3JwzTuL4A0R0TlbZiy&#10;k6Wx9HSKw3aYfG6hOZLNnjai5vh1L4LiLETzBvICJWn0r/aR3stlpPQxh8pPF5pTNjLtVFqE+/fM&#10;uvuP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rExMNsAAAAKAQAADwAAAAAAAAABACAAAAAi&#10;AAAAZHJzL2Rvd25yZXYueG1sUEsBAhQAFAAAAAgAh07iQNRmTnzOAQAAjwMAAA4AAAAAAAAAAQAg&#10;AAAAKgEAAGRycy9lMm9Eb2MueG1sUEsFBgAAAAAGAAYAWQEAAGoFAAAAAA==&#10;">
                <v:fill on="f" focussize="0,0"/>
                <v:stroke on="f"/>
                <v:imagedata o:title=""/>
                <o:lock v:ext="edit" aspectratio="f"/>
                <v:textbox style="mso-fit-shape-to-text:t;">
                  <w:txbxContent>
                    <w:p w14:paraId="3CB7B236">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595630</wp:posOffset>
                </wp:positionH>
                <wp:positionV relativeFrom="paragraph">
                  <wp:posOffset>1837055</wp:posOffset>
                </wp:positionV>
                <wp:extent cx="1082675" cy="344805"/>
                <wp:effectExtent l="0" t="0" r="0" b="635"/>
                <wp:wrapNone/>
                <wp:docPr id="17" name="文本框 17"/>
                <wp:cNvGraphicFramePr/>
                <a:graphic xmlns:a="http://schemas.openxmlformats.org/drawingml/2006/main">
                  <a:graphicData uri="http://schemas.microsoft.com/office/word/2010/wordprocessingShape">
                    <wps:wsp>
                      <wps:cNvSpPr txBox="1"/>
                      <wps:spPr>
                        <a:xfrm flipH="1">
                          <a:off x="0" y="0"/>
                          <a:ext cx="1082675" cy="344805"/>
                        </a:xfrm>
                        <a:prstGeom prst="rect">
                          <a:avLst/>
                        </a:prstGeom>
                        <a:noFill/>
                        <a:ln>
                          <a:noFill/>
                        </a:ln>
                        <a:effectLst/>
                      </wps:spPr>
                      <wps:txbx>
                        <w:txbxContent>
                          <w:p w14:paraId="505CFF4A">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46.9pt;margin-top:144.65pt;height:27.15pt;width:85.25pt;z-index:251662336;mso-width-relative:page;mso-height-relative:page;" filled="f" stroked="f" coordsize="21600,21600" o:gfxdata="UEsDBAoAAAAAAIdO4kAAAAAAAAAAAAAAAAAEAAAAZHJzL1BLAwQUAAAACACHTuJALAolXtwAAAAK&#10;AQAADwAAAGRycy9kb3ducmV2LnhtbE2PS0/DMBCE70j8B2uRuFG7SRXaEKcCpAouSBAQj9smMUlE&#10;vA62+4Bfz3KC2452NPNNsT7YUeyMD4MjDfOZAmGoce1AnYanx83ZEkSISC2OjoyGLxNgXR4fFZi3&#10;bk8PZlfFTnAIhRw19DFOuZSh6Y3FMHOTIf69O28xsvSdbD3uOdyOMlEqkxYH4oYeJ3Pdm+aj2loN&#10;93Tpqxv89lcb96Y+X55f67vzW61PT+bqAkQ0h/hnhl98RoeSmWq3pTaIUcMqZfKoIVmuUhBsSLIF&#10;H7WGdJFmIMtC/p9Q/gBQSwMEFAAAAAgAh07iQH26ybLPAQAAjwMAAA4AAABkcnMvZTJvRG9jLnht&#10;bK1TzY7TMBC+I/EOlu802bI/VdR0BVQLBwRICw/gOk5jyfYYj9ukLwBvwIkLd56rz8HYyZbd5bIH&#10;LpH9zTef55uZLK8Ha9heBdTgan42KzlTTkKj3bbmXz7fvFhwhlG4RhhwquYHhfx69fzZsveVmkMH&#10;plGBkYjDqvc172L0VVGg7JQVOAOvHAVbCFZEuoZt0QTRk7o1xbwsL4seQuMDSIVI6HoM8kkxPEUQ&#10;2lZLtQa5s8rFUTUoIyJZwk575KtcbdsqGT+2LarITM3JacxfeoTOm/QtVktRbYPwnZZTCeIpJTzy&#10;ZIV29OhJai2iYLug/5GyWgZAaONMgi1GI7kj5OKsfNSb2054lb1Qq9Gfmo7/T1Z+2H8KTDe0CVec&#10;OWFp4scf348/fx9/fWOEUYN6jxXxbj0x4/AaBiLf4Uhg8j20wbLWaP8uBRNC3hgxqdGHU6PVEJlM&#10;6eVifnl1wZmk2Mvz80V5kQSLUSdl+4DxrQLL0qHmgQaZVcX+PcaRekdJdAc32pg8TOMeAKQ5Iipv&#10;w5SdLI2lp1McNsPkcwPNgWz2tBE1x687ERRnIZo3kBcoSaN/tYv0Xi4jpY85VH660JyykWmn0iLc&#10;v2fW3/9o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CiVe3AAAAAoBAAAPAAAAAAAAAAEAIAAA&#10;ACIAAABkcnMvZG93bnJldi54bWxQSwECFAAUAAAACACHTuJAfbrJss8BAACPAwAADgAAAAAAAAAB&#10;ACAAAAArAQAAZHJzL2Uyb0RvYy54bWxQSwUGAAAAAAYABgBZAQAAbAUAAAAA&#10;">
                <v:fill on="f" focussize="0,0"/>
                <v:stroke on="f"/>
                <v:imagedata o:title=""/>
                <o:lock v:ext="edit" aspectratio="f"/>
                <v:textbox style="mso-fit-shape-to-text:t;">
                  <w:txbxContent>
                    <w:p w14:paraId="505CFF4A">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128270</wp:posOffset>
                </wp:positionH>
                <wp:positionV relativeFrom="paragraph">
                  <wp:posOffset>588010</wp:posOffset>
                </wp:positionV>
                <wp:extent cx="1438910" cy="396240"/>
                <wp:effectExtent l="0" t="0" r="0" b="381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14:paraId="036FDC0A">
                            <w:pPr>
                              <w:pStyle w:val="22"/>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10.1pt;margin-top:46.3pt;height:31.2pt;width:113.3pt;z-index:251661312;mso-width-relative:page;mso-height-relative:page;" filled="f" stroked="f" coordsize="21600,21600" o:gfxdata="UEsDBAoAAAAAAIdO4kAAAAAAAAAAAAAAAAAEAAAAZHJzL1BLAwQUAAAACACHTuJAEzaCcdkAAAAJ&#10;AQAADwAAAGRycy9kb3ducmV2LnhtbE2Py07DMBBF90j8gzVI7Khdqwk0xOkCCYlFQDQgtUs3nsZR&#10;YzuK3Qd/z7Ciy9E9unNuubq4gZ1win3wCuYzAQx9G0zvOwXfX68PT8Bi0t7oIXhU8IMRVtXtTakL&#10;E85+jacmdYxKfCy0ApvSWHAeW4tOx1kY0VO2D5PTic6p42bSZyp3A5dC5Nzp3tMHq0d8sdgemqNT&#10;YOrNJns8jPXabhf7t+HD1M3nu1L3d3PxDCzhJf3D8KdP6lCR0y4cvYlsUCCFJFLBUubAKJeLnKbs&#10;CMwyAbwq+fWC6hdQSwMEFAAAAAgAh07iQA0J8GnOAQAAjwMAAA4AAABkcnMvZTJvRG9jLnhtbK1T&#10;wW4TMRC9I/EPlu9kk7RU7SqbCogKBwRIhQ9wvHbWku0xHie7+QH4A05cuPNd+Q7G3jS05dIDl5U9&#10;8+b5vZnZxfXgLNupiAZ8w2eTKWfKS2iN3zT8y+ebF5ecYRK+FRa8avheIb9ePn+26EOt5tCBbVVk&#10;ROKx7kPDu5RCXVUoO+UETiAoT0kN0YlE17ip2ih6Yne2mk+nF1UPsQ0RpEKk6GpM8iNjfAohaG2k&#10;WoHcOuXTyBqVFYksYWcC8mVRq7WS6aPWqBKzDSenqXzpETqv87daLkS9iSJ0Rh4liKdIeOTJCePp&#10;0RPVSiTBttH8Q+WMjICg00SCq0YjpSPkYjZ91JvbTgRVvFCrMZyajv+PVn7YfYrMtLQJLznzwtHE&#10;Dz++H37+Pvz6xihGDeoD1oS7DYRMw2sYCHwXRwpm34OOjmlrwruczBHyxghJjd6fGq2GxGQuPz+7&#10;vJpRSlLu7Opifl4mUY08uTpETG8VOJYPDY80yMIqdu8xkSaC3kEy3MONsbYM0/oHAQKOEVW24Vid&#10;LY3S8ykN6+Hocw3tnmz2tBENx69bERVnMdk3UBZopH61TaBNkZHLxxrSlC80p6LuuFN5Ee7fC+rv&#10;f7T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M2gnHZAAAACQEAAA8AAAAAAAAAAQAgAAAAIgAA&#10;AGRycy9kb3ducmV2LnhtbFBLAQIUABQAAAAIAIdO4kANCfBpzgEAAI8DAAAOAAAAAAAAAAEAIAAA&#10;ACgBAABkcnMvZTJvRG9jLnhtbFBLBQYAAAAABgAGAFkBAABoBQAAAAA=&#10;">
                <v:fill on="f" focussize="0,0"/>
                <v:stroke on="f"/>
                <v:imagedata o:title=""/>
                <o:lock v:ext="edit" aspectratio="f"/>
                <v:textbox>
                  <w:txbxContent>
                    <w:p w14:paraId="036FDC0A">
                      <w:pPr>
                        <w:pStyle w:val="22"/>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380365</wp:posOffset>
                </wp:positionH>
                <wp:positionV relativeFrom="paragraph">
                  <wp:posOffset>1039495</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28700" cy="409575"/>
                        </a:xfrm>
                        <a:prstGeom prst="rect">
                          <a:avLst/>
                        </a:prstGeom>
                        <a:noFill/>
                        <a:ln w="6350">
                          <a:noFill/>
                        </a:ln>
                        <a:effectLst/>
                      </wps:spPr>
                      <wps:txbx>
                        <w:txbxContent>
                          <w:p w14:paraId="7FBD7FAA">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5pt;margin-top:81.85pt;height:32.25pt;width:81pt;z-index:251672576;mso-width-relative:page;mso-height-relative:page;" filled="f" stroked="f" coordsize="21600,21600" o:gfxdata="UEsDBAoAAAAAAIdO4kAAAAAAAAAAAAAAAAAEAAAAZHJzL1BLAwQUAAAACACHTuJA2rNnZtoAAAAK&#10;AQAADwAAAGRycy9kb3ducmV2LnhtbE2PzU7DMBCE70i8g7VI3KgTo5Y0xKlQpAoJwaGlF26b2E0i&#10;4nWI3R94erYnuO3OjGa/LVZnN4ijnULvSUM6S0BYarzpqdWwe1/fZSBCRDI4eLIavm2AVXl9VWBu&#10;/Ik29riNreASCjlq6GIccylD01mHYeZHS+zt/eQw8jq10kx44nI3SJUkC+mwJ77Q4Wirzjaf24PT&#10;8FKt33BTK5f9DNXz6/5p/Np9zLW+vUmTRxDRnuNfGC74jA4lM9X+QCaIQcN8ueQk64v7BxAcUCpl&#10;pb4MmQJZFvL/C+UvUEsDBBQAAAAIAIdO4kCFkCBtQQIAAHYEAAAOAAAAZHJzL2Uyb0RvYy54bWyt&#10;VEtu2zAQ3RfoHQjuG8munY9hOXBjpCgQNAHcomuaoiwB/JWkI6UHaG+QVTfd91w+Rx8p2zHSLrLo&#10;hhpyhm/mvRlqetkpSe6F843RBR2c5JQIzU3Z6HVBP3+6fnNOiQ9Ml0waLQr6IDy9nL1+NW3tRAxN&#10;bWQpHAGI9pPWFrQOwU6yzPNaKOZPjBUazso4xQK2bp2VjrVAVzIb5vlp1hpXWme48B6ni95Jd4ju&#10;JYCmqhouFoZvlNChR3VCsgBKvm6sp7NUbVUJHm6ryotAZEHBNKQVSWCv4prNpmyydszWDd+VwF5S&#10;wjNOijUaSQ9QCxYY2bjmLyjVcGe8qcIJNyrriSRFwGKQP9NmWTMrEhdI7e1BdP//YPnH+ztHmhKT&#10;AEk0U+j49vHH9ufv7a/vBGcQqLV+grilRWTo3pkOwftzj8PIu6ucil8wIvAD6+Egr+gC4fFSPjw/&#10;y+Hi8I3yi/HZOMJkT7et8+G9MIpEo6AO7UuqsvsbH/rQfUhMps11I2VqodSkLejp23GeLhw8AJc6&#10;xoo0DDuYyKivPFqhW3U7mitTPoClM/2geMuvG5Ryw3y4Yw6TgerxdsItlkoapDQ7i5LauG//Oo/x&#10;aBi8lLSYtIL6rxvmBCXyg0YrLwajEWBD2ozGZ0Ns3LFndezRG3VlMMwDvFLLkxnjg9yblTPqC57Y&#10;PGaFi2mO3AUNe/Mq9POPJ8rFfJ6CMIyWhRu9tDxC9+LON8FUTdI9ytRrg37FDcYxdW73dOK8H+9T&#10;1NPvYv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rNnZtoAAAAKAQAADwAAAAAAAAABACAAAAAi&#10;AAAAZHJzL2Rvd25yZXYueG1sUEsBAhQAFAAAAAgAh07iQIWQIG1BAgAAdgQAAA4AAAAAAAAAAQAg&#10;AAAAKQEAAGRycy9lMm9Eb2MueG1sUEsFBgAAAAAGAAYAWQEAANwFAAAAAA==&#10;">
                <v:fill on="f" focussize="0,0"/>
                <v:stroke on="f" weight="0.5pt"/>
                <v:imagedata o:title=""/>
                <o:lock v:ext="edit" aspectratio="f"/>
                <v:textbox>
                  <w:txbxContent>
                    <w:p w14:paraId="7FBD7FAA">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-986155</wp:posOffset>
                </wp:positionH>
                <wp:positionV relativeFrom="paragraph">
                  <wp:posOffset>1761490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14:paraId="0C084712"/>
                        </w:txbxContent>
                      </wps:txbx>
                      <wps:bodyPr upright="1"/>
                    </wps:wsp>
                  </a:graphicData>
                </a:graphic>
              </wp:anchor>
            </w:drawing>
          </mc:Choice>
          <mc:Fallback>
            <w:pict>
              <v:shape id="_x0000_s1026" o:spid="_x0000_s1026" o:spt="6" type="#_x0000_t6" style="position:absolute;left:0pt;flip:x;margin-left:-77.65pt;margin-top:138.7pt;height:298.4pt;width:552.25pt;z-index:251669504;mso-width-relative:page;mso-height-relative:page;" fillcolor="#012D86" filled="t" stroked="f" coordsize="21600,21600" o:gfxdata="UEsDBAoAAAAAAIdO4kAAAAAAAAAAAAAAAAAEAAAAZHJzL1BLAwQUAAAACACHTuJAHHdQmtsAAAAM&#10;AQAADwAAAGRycy9kb3ducmV2LnhtbE2PQU+DQBCF7yb+h82YeDHtLpQKRYYemqjxKDSeF3YFLDtL&#10;2C2t/971pMfJ+/LeN8X+aka26NkNlhCitQCmqbVqoA7hWD+vMmDOS1JytKQRvrWDfXl7U8hc2Qu9&#10;66XyHQsl5HKJ0Hs/5Zy7ttdGurWdNIXs085G+nDOHVezvIRyM/JYiEdu5EBhoZeTPvS6PVVng/BV&#10;LUu9aT5e316yWlTzcTglDwfE+7tIPAHz+ur/YPjVD+pQBqfGnkk5NiKsou12E1iEOE0TYAHZJbsY&#10;WIOQpUkMvCz4/yfKH1BLAwQUAAAACACHTuJAsZIZlB8CAAAsBAAADgAAAGRycy9lMm9Eb2MueG1s&#10;rVO9btswEN4L9B0I7rUkO/6pYDlDDbdD0QZNis40RUkEKJI40rb8CF27duvSF8jQpW/TonmMHCnF&#10;MJIlQzUQR97dd/d9d1pedq0iewFOGl3QbJRSIjQ3pdR1QT/fbF4tKHGe6ZIpo0VBj8LRy9XLF8uD&#10;zcXYNEaVAgiCaJcfbEEb722eJI43omVuZKzQ6KwMtMzjFeqkBHZA9FYl4zSdJQcDpQXDhXP4uu6d&#10;dECE5wCaqpJcrA3ftUL7HhWEYh4puUZaR1ex26oS3H+sKic8UQVFpj6eWATtbTiT1ZLlNTDbSD60&#10;wJ7TwiNOLZMai56g1swzsgP5BKqVHIwzlR9x0yY9kagIssjSR9pcN8yKyAWldvYkuvt/sPzD/gqI&#10;LAt6MaFEsxYn/u/77d3Pb39+fcXz7+8fBD0o08G6HKOv7RUMN4dm4NxV0JJKSfsO9ymqgLxIF0U+&#10;nkQWnSccH+dpNpnOp5Rw9E3mi9ezRRxD0gMFQAvOvxWmJcEoKPgbkEzXKmjBcrZ/7zy2gAkPgYPy&#10;5UYqRcD4L9I3UbyHhmqHOTHKEWtQvzRCOai3bxSQPQvrkY3Xi1mgisi1O4/O0vA9TdnE7ywlZg6l&#10;lNQEuy7o9KJPJ44zJVDqLGSw3EslPuGGDhWBxf6DR+lwahP49N7+RcSNHuiHgfQjCJbvth2GBnNr&#10;yiMOdWdB1g3qF8slwYNL1LPrFz5s6fkd7fOffH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HdQ&#10;mtsAAAAMAQAADwAAAAAAAAABACAAAAAiAAAAZHJzL2Rvd25yZXYueG1sUEsBAhQAFAAAAAgAh07i&#10;QLGSGZQfAgAALAQAAA4AAAAAAAAAAQAgAAAAKgEAAGRycy9lMm9Eb2MueG1sUEsFBgAAAAAGAAYA&#10;WQEAALsFAAAAAA==&#10;">
                <v:fill type="gradient" on="t" color2="#FFFFFF" focus="100%" focussize="0,0" rotate="t"/>
                <v:stroke on="f"/>
                <v:imagedata o:title=""/>
                <o:lock v:ext="edit" aspectratio="f"/>
                <v:textbox>
                  <w:txbxContent>
                    <w:p w14:paraId="0C084712"/>
                  </w:txbxContent>
                </v:textbox>
              </v:shape>
            </w:pict>
          </mc:Fallback>
        </mc:AlternateContent>
      </w:r>
    </w:p>
    <w:p w14:paraId="558CA61E">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宋体" w:hAnsi="宋体"/>
        </w:rPr>
        <w:id w:val="147482402"/>
        <w:docPartObj>
          <w:docPartGallery w:val="Table of Contents"/>
          <w:docPartUnique/>
        </w:docPartObj>
      </w:sdtPr>
      <w:sdtEndPr>
        <w:rPr>
          <w:rFonts w:ascii="Times New Roman" w:hAnsi="Times New Roman"/>
        </w:rPr>
      </w:sdtEndPr>
      <w:sdtContent>
        <w:p w14:paraId="39E2D989">
          <w:pPr>
            <w:jc w:val="center"/>
            <w:rPr>
              <w:b/>
              <w:sz w:val="36"/>
            </w:rPr>
          </w:pPr>
          <w:r>
            <w:rPr>
              <w:rFonts w:ascii="宋体" w:hAnsi="宋体"/>
              <w:b/>
              <w:sz w:val="36"/>
            </w:rPr>
            <w:t>目</w:t>
          </w:r>
          <w:r>
            <w:rPr>
              <w:rFonts w:hint="eastAsia" w:ascii="宋体" w:hAnsi="宋体"/>
              <w:b/>
              <w:sz w:val="36"/>
            </w:rPr>
            <w:t xml:space="preserve">  </w:t>
          </w:r>
          <w:r>
            <w:rPr>
              <w:rFonts w:ascii="宋体" w:hAnsi="宋体"/>
              <w:b/>
              <w:sz w:val="36"/>
            </w:rPr>
            <w:t>录</w:t>
          </w:r>
        </w:p>
        <w:p w14:paraId="3BDF2711">
          <w:pPr>
            <w:pStyle w:val="18"/>
            <w:tabs>
              <w:tab w:val="right" w:leader="dot" w:pos="8296"/>
            </w:tabs>
            <w:spacing w:line="720" w:lineRule="auto"/>
            <w:ind w:firstLine="480"/>
            <w:rPr>
              <w:sz w:val="22"/>
              <w:szCs w:val="22"/>
            </w:rPr>
          </w:pPr>
          <w:r>
            <w:fldChar w:fldCharType="begin"/>
          </w:r>
          <w:r>
            <w:instrText xml:space="preserve">TOC \o "1-3" \h \u </w:instrText>
          </w:r>
          <w:r>
            <w:fldChar w:fldCharType="separate"/>
          </w:r>
          <w:r>
            <w:fldChar w:fldCharType="begin"/>
          </w:r>
          <w:r>
            <w:instrText xml:space="preserve"> TOC \o "1-3" \h \z \u </w:instrText>
          </w:r>
          <w:r>
            <w:fldChar w:fldCharType="separate"/>
          </w:r>
          <w:r>
            <w:fldChar w:fldCharType="begin"/>
          </w:r>
          <w:r>
            <w:instrText xml:space="preserve"> HYPERLINK \l "_Toc173404783" </w:instrText>
          </w:r>
          <w:r>
            <w:fldChar w:fldCharType="separate"/>
          </w:r>
          <w:r>
            <w:rPr>
              <w:rStyle w:val="31"/>
              <w:rFonts w:hint="eastAsia" w:ascii="宋体" w:hAnsi="宋体"/>
              <w:b/>
              <w:sz w:val="28"/>
            </w:rPr>
            <w:t>第一章 采购公告</w:t>
          </w:r>
          <w:r>
            <w:rPr>
              <w:sz w:val="28"/>
            </w:rPr>
            <w:tab/>
          </w:r>
          <w:r>
            <w:rPr>
              <w:rFonts w:hint="eastAsia"/>
              <w:sz w:val="28"/>
            </w:rPr>
            <w:t>3</w:t>
          </w:r>
          <w:r>
            <w:rPr>
              <w:rFonts w:hint="eastAsia"/>
              <w:sz w:val="28"/>
            </w:rPr>
            <w:fldChar w:fldCharType="end"/>
          </w:r>
        </w:p>
        <w:p w14:paraId="46DC29D5">
          <w:pPr>
            <w:pStyle w:val="18"/>
            <w:tabs>
              <w:tab w:val="right" w:leader="dot" w:pos="8296"/>
            </w:tabs>
            <w:spacing w:line="720" w:lineRule="auto"/>
            <w:ind w:firstLine="560"/>
            <w:rPr>
              <w:sz w:val="22"/>
              <w:szCs w:val="22"/>
            </w:rPr>
          </w:pPr>
          <w:r>
            <w:fldChar w:fldCharType="begin"/>
          </w:r>
          <w:r>
            <w:instrText xml:space="preserve"> HYPERLINK \l "_Toc173404785" </w:instrText>
          </w:r>
          <w:r>
            <w:fldChar w:fldCharType="separate"/>
          </w:r>
          <w:r>
            <w:rPr>
              <w:rStyle w:val="31"/>
              <w:rFonts w:hint="eastAsia" w:ascii="宋体" w:hAnsi="宋体"/>
              <w:b/>
              <w:sz w:val="28"/>
            </w:rPr>
            <w:t>第二章</w:t>
          </w:r>
          <w:r>
            <w:rPr>
              <w:rStyle w:val="31"/>
              <w:rFonts w:ascii="宋体" w:hAnsi="宋体"/>
              <w:b/>
              <w:sz w:val="28"/>
            </w:rPr>
            <w:t xml:space="preserve">  </w:t>
          </w:r>
          <w:r>
            <w:rPr>
              <w:rStyle w:val="31"/>
              <w:rFonts w:hint="eastAsia" w:ascii="宋体" w:hAnsi="宋体"/>
              <w:b/>
              <w:sz w:val="28"/>
            </w:rPr>
            <w:t>供货商须知</w:t>
          </w:r>
          <w:r>
            <w:rPr>
              <w:sz w:val="28"/>
            </w:rPr>
            <w:tab/>
          </w:r>
          <w:r>
            <w:rPr>
              <w:sz w:val="28"/>
            </w:rPr>
            <w:fldChar w:fldCharType="begin"/>
          </w:r>
          <w:r>
            <w:rPr>
              <w:sz w:val="28"/>
            </w:rPr>
            <w:instrText xml:space="preserve"> PAGEREF _Toc173404785 \h </w:instrText>
          </w:r>
          <w:r>
            <w:rPr>
              <w:sz w:val="28"/>
            </w:rPr>
            <w:fldChar w:fldCharType="separate"/>
          </w:r>
          <w:r>
            <w:rPr>
              <w:sz w:val="28"/>
            </w:rPr>
            <w:t>6</w:t>
          </w:r>
          <w:r>
            <w:rPr>
              <w:sz w:val="28"/>
            </w:rPr>
            <w:fldChar w:fldCharType="end"/>
          </w:r>
          <w:r>
            <w:rPr>
              <w:sz w:val="28"/>
            </w:rPr>
            <w:fldChar w:fldCharType="end"/>
          </w:r>
        </w:p>
        <w:p w14:paraId="6B5A512E">
          <w:pPr>
            <w:pStyle w:val="18"/>
            <w:tabs>
              <w:tab w:val="right" w:leader="dot" w:pos="8296"/>
            </w:tabs>
            <w:spacing w:line="720" w:lineRule="auto"/>
            <w:ind w:firstLine="560"/>
            <w:rPr>
              <w:sz w:val="22"/>
              <w:szCs w:val="22"/>
            </w:rPr>
          </w:pPr>
          <w:r>
            <w:fldChar w:fldCharType="begin"/>
          </w:r>
          <w:r>
            <w:instrText xml:space="preserve"> HYPERLINK \l "_Toc173404795" </w:instrText>
          </w:r>
          <w:r>
            <w:fldChar w:fldCharType="separate"/>
          </w:r>
          <w:r>
            <w:rPr>
              <w:rStyle w:val="31"/>
              <w:rFonts w:hint="eastAsia" w:ascii="宋体" w:hAnsi="宋体"/>
              <w:b/>
              <w:sz w:val="28"/>
            </w:rPr>
            <w:t>第三章</w:t>
          </w:r>
          <w:r>
            <w:rPr>
              <w:rStyle w:val="31"/>
              <w:rFonts w:ascii="宋体" w:hAnsi="宋体"/>
              <w:b/>
              <w:sz w:val="28"/>
            </w:rPr>
            <w:t xml:space="preserve">  </w:t>
          </w:r>
          <w:r>
            <w:rPr>
              <w:rStyle w:val="31"/>
              <w:rFonts w:hint="eastAsia" w:ascii="宋体" w:hAnsi="宋体"/>
              <w:b/>
              <w:sz w:val="28"/>
            </w:rPr>
            <w:t>采购需求及政府采购合同（拟签订的合同文本）</w:t>
          </w:r>
          <w:r>
            <w:rPr>
              <w:sz w:val="28"/>
            </w:rPr>
            <w:tab/>
          </w:r>
          <w:r>
            <w:rPr>
              <w:sz w:val="28"/>
            </w:rPr>
            <w:fldChar w:fldCharType="begin"/>
          </w:r>
          <w:r>
            <w:rPr>
              <w:sz w:val="28"/>
            </w:rPr>
            <w:instrText xml:space="preserve"> PAGEREF _Toc173404795 \h </w:instrText>
          </w:r>
          <w:r>
            <w:rPr>
              <w:sz w:val="28"/>
            </w:rPr>
            <w:fldChar w:fldCharType="separate"/>
          </w:r>
          <w:r>
            <w:rPr>
              <w:sz w:val="28"/>
            </w:rPr>
            <w:t>15</w:t>
          </w:r>
          <w:r>
            <w:rPr>
              <w:sz w:val="28"/>
            </w:rPr>
            <w:fldChar w:fldCharType="end"/>
          </w:r>
          <w:r>
            <w:rPr>
              <w:sz w:val="28"/>
            </w:rPr>
            <w:fldChar w:fldCharType="end"/>
          </w:r>
        </w:p>
        <w:p w14:paraId="34E1B145">
          <w:pPr>
            <w:pStyle w:val="18"/>
            <w:tabs>
              <w:tab w:val="right" w:leader="dot" w:pos="8296"/>
            </w:tabs>
            <w:spacing w:line="720" w:lineRule="auto"/>
            <w:ind w:firstLine="560"/>
            <w:rPr>
              <w:sz w:val="22"/>
              <w:szCs w:val="22"/>
            </w:rPr>
          </w:pPr>
          <w:r>
            <w:fldChar w:fldCharType="begin"/>
          </w:r>
          <w:r>
            <w:instrText xml:space="preserve"> HYPERLINK \l "_Toc173404818" </w:instrText>
          </w:r>
          <w:r>
            <w:fldChar w:fldCharType="separate"/>
          </w:r>
          <w:r>
            <w:rPr>
              <w:rStyle w:val="31"/>
              <w:rFonts w:hint="eastAsia" w:ascii="宋体" w:hAnsi="宋体"/>
              <w:b/>
              <w:sz w:val="28"/>
            </w:rPr>
            <w:t>第四章</w:t>
          </w:r>
          <w:r>
            <w:rPr>
              <w:rStyle w:val="31"/>
              <w:rFonts w:ascii="宋体" w:hAnsi="宋体"/>
              <w:b/>
              <w:sz w:val="28"/>
            </w:rPr>
            <w:t xml:space="preserve">  </w:t>
          </w:r>
          <w:r>
            <w:rPr>
              <w:rStyle w:val="31"/>
              <w:rFonts w:hint="eastAsia" w:ascii="宋体" w:hAnsi="宋体"/>
              <w:b/>
              <w:sz w:val="28"/>
            </w:rPr>
            <w:t>评标方法和标准（主要部分）</w:t>
          </w:r>
          <w:r>
            <w:rPr>
              <w:sz w:val="28"/>
            </w:rPr>
            <w:tab/>
          </w:r>
          <w:r>
            <w:rPr>
              <w:rFonts w:hint="eastAsia"/>
              <w:sz w:val="28"/>
            </w:rPr>
            <w:t>2</w:t>
          </w:r>
          <w:r>
            <w:rPr>
              <w:rFonts w:hint="eastAsia"/>
              <w:sz w:val="28"/>
            </w:rPr>
            <w:fldChar w:fldCharType="end"/>
          </w:r>
          <w:r>
            <w:rPr>
              <w:rFonts w:hint="eastAsia"/>
              <w:sz w:val="28"/>
            </w:rPr>
            <w:t>9</w:t>
          </w:r>
        </w:p>
        <w:p w14:paraId="76B67E1E">
          <w:pPr>
            <w:pStyle w:val="18"/>
            <w:tabs>
              <w:tab w:val="right" w:leader="dot" w:pos="8296"/>
            </w:tabs>
            <w:spacing w:line="720" w:lineRule="auto"/>
            <w:ind w:firstLine="560"/>
            <w:rPr>
              <w:sz w:val="21"/>
              <w:szCs w:val="22"/>
            </w:rPr>
          </w:pPr>
          <w:r>
            <w:fldChar w:fldCharType="begin"/>
          </w:r>
          <w:r>
            <w:instrText xml:space="preserve"> HYPERLINK \l "_Toc173404821" </w:instrText>
          </w:r>
          <w:r>
            <w:fldChar w:fldCharType="separate"/>
          </w:r>
          <w:r>
            <w:rPr>
              <w:rStyle w:val="31"/>
              <w:rFonts w:hint="eastAsia" w:ascii="宋体" w:hAnsi="宋体"/>
              <w:b/>
              <w:sz w:val="28"/>
            </w:rPr>
            <w:t>第五章</w:t>
          </w:r>
          <w:r>
            <w:rPr>
              <w:rStyle w:val="31"/>
              <w:rFonts w:ascii="宋体" w:hAnsi="宋体"/>
              <w:b/>
              <w:sz w:val="28"/>
            </w:rPr>
            <w:t xml:space="preserve">  </w:t>
          </w:r>
          <w:r>
            <w:rPr>
              <w:rStyle w:val="31"/>
              <w:rFonts w:hint="eastAsia" w:ascii="宋体" w:hAnsi="宋体"/>
              <w:b/>
              <w:sz w:val="28"/>
            </w:rPr>
            <w:t>投标（响应）文件格式</w:t>
          </w:r>
          <w:r>
            <w:rPr>
              <w:sz w:val="28"/>
            </w:rPr>
            <w:tab/>
          </w:r>
          <w:r>
            <w:rPr>
              <w:rFonts w:hint="eastAsia"/>
              <w:sz w:val="28"/>
            </w:rPr>
            <w:t>3</w:t>
          </w:r>
          <w:r>
            <w:rPr>
              <w:rFonts w:hint="eastAsia"/>
              <w:sz w:val="28"/>
            </w:rPr>
            <w:fldChar w:fldCharType="end"/>
          </w:r>
          <w:r>
            <w:rPr>
              <w:rFonts w:hint="eastAsia"/>
              <w:sz w:val="28"/>
            </w:rPr>
            <w:t>2</w:t>
          </w:r>
        </w:p>
        <w:p w14:paraId="5A843D00">
          <w:pPr>
            <w:pStyle w:val="62"/>
            <w:tabs>
              <w:tab w:val="right" w:leader="dot" w:pos="8306"/>
            </w:tabs>
            <w:ind w:left="420"/>
            <w:rPr>
              <w:sz w:val="22"/>
            </w:rPr>
          </w:pPr>
          <w:r>
            <w:rPr>
              <w:b/>
              <w:bCs/>
              <w:lang w:val="zh-CN"/>
            </w:rPr>
            <w:fldChar w:fldCharType="end"/>
          </w:r>
        </w:p>
        <w:p w14:paraId="05E65A01">
          <w:pPr>
            <w:pStyle w:val="61"/>
            <w:tabs>
              <w:tab w:val="right" w:leader="dot" w:pos="8306"/>
            </w:tabs>
            <w:rPr>
              <w:sz w:val="22"/>
            </w:rPr>
          </w:pPr>
        </w:p>
        <w:p w14:paraId="2962DED8">
          <w:pPr>
            <w:sectPr>
              <w:pgSz w:w="11906" w:h="16838"/>
              <w:pgMar w:top="1440" w:right="1800" w:bottom="1440" w:left="1800" w:header="851" w:footer="992" w:gutter="0"/>
              <w:cols w:space="425" w:num="1"/>
              <w:docGrid w:type="lines" w:linePitch="312" w:charSpace="0"/>
            </w:sectPr>
          </w:pPr>
          <w:r>
            <w:fldChar w:fldCharType="end"/>
          </w:r>
        </w:p>
      </w:sdtContent>
    </w:sdt>
    <w:p w14:paraId="75C9FAAA">
      <w:pPr>
        <w:numPr>
          <w:ilvl w:val="0"/>
          <w:numId w:val="1"/>
        </w:numPr>
        <w:spacing w:line="480" w:lineRule="auto"/>
        <w:jc w:val="center"/>
        <w:outlineLvl w:val="0"/>
        <w:rPr>
          <w:rFonts w:ascii="宋体" w:hAnsi="宋体" w:cs="宋体"/>
          <w:b/>
          <w:sz w:val="32"/>
          <w:szCs w:val="21"/>
        </w:rPr>
      </w:pPr>
      <w:bookmarkStart w:id="0" w:name="_Toc12623"/>
      <w:bookmarkStart w:id="1" w:name="_Toc14568"/>
      <w:r>
        <w:rPr>
          <w:rFonts w:hint="eastAsia" w:ascii="宋体" w:hAnsi="宋体" w:cs="宋体"/>
          <w:b/>
          <w:sz w:val="32"/>
          <w:szCs w:val="21"/>
        </w:rPr>
        <w:t>采购公告</w:t>
      </w:r>
      <w:bookmarkEnd w:id="0"/>
      <w:bookmarkEnd w:id="1"/>
    </w:p>
    <w:p w14:paraId="37F0D107">
      <w:pPr>
        <w:spacing w:line="336" w:lineRule="auto"/>
        <w:rPr>
          <w:rFonts w:ascii="宋体" w:hAnsi="宋体" w:cs="宋体"/>
          <w:szCs w:val="21"/>
        </w:rPr>
      </w:pPr>
    </w:p>
    <w:p w14:paraId="5F461908">
      <w:pPr>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14:paraId="6DB76BF6">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14:paraId="1D1B22BE">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江苏医药职业学院康养实训中心改造项目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cs="宋体"/>
          <w:b/>
          <w:bCs/>
          <w:szCs w:val="21"/>
          <w:u w:val="single"/>
        </w:rPr>
        <w:t>2024年9月</w:t>
      </w:r>
      <w:r>
        <w:rPr>
          <w:rFonts w:hint="eastAsia" w:ascii="宋体" w:hAnsi="宋体" w:cs="宋体"/>
          <w:b/>
          <w:bCs/>
          <w:szCs w:val="21"/>
          <w:u w:val="single"/>
          <w:lang w:val="en-US" w:eastAsia="zh-CN"/>
        </w:rPr>
        <w:t>19</w:t>
      </w:r>
      <w:r>
        <w:rPr>
          <w:rFonts w:hint="eastAsia" w:ascii="宋体" w:hAnsi="宋体" w:cs="宋体"/>
          <w:b/>
          <w:bCs/>
          <w:szCs w:val="21"/>
          <w:u w:val="single"/>
        </w:rPr>
        <w:t>日15点00分</w:t>
      </w:r>
      <w:r>
        <w:rPr>
          <w:rFonts w:hint="eastAsia" w:ascii="宋体" w:hAnsi="宋体" w:cs="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14:paraId="7992776A">
      <w:pPr>
        <w:spacing w:line="340" w:lineRule="exact"/>
        <w:outlineLvl w:val="1"/>
        <w:rPr>
          <w:rFonts w:ascii="宋体" w:hAnsi="宋体" w:cs="宋体"/>
          <w:b/>
        </w:rPr>
      </w:pPr>
      <w:bookmarkStart w:id="2" w:name="_Toc107916278"/>
      <w:bookmarkStart w:id="3" w:name="_Toc28359012"/>
      <w:bookmarkStart w:id="4" w:name="_Toc35393798"/>
      <w:bookmarkStart w:id="5" w:name="_Toc7502"/>
      <w:bookmarkStart w:id="6" w:name="_Toc35393629"/>
      <w:bookmarkStart w:id="7" w:name="_Toc24498"/>
      <w:bookmarkStart w:id="8" w:name="_Toc28359089"/>
      <w:bookmarkStart w:id="9" w:name="_Toc27868"/>
      <w:bookmarkStart w:id="10" w:name="_Toc35393800"/>
      <w:bookmarkStart w:id="11" w:name="_Toc28359014"/>
      <w:bookmarkStart w:id="12" w:name="_Toc28359091"/>
      <w:bookmarkStart w:id="13" w:name="_Toc35393631"/>
      <w:r>
        <w:rPr>
          <w:rFonts w:hint="eastAsia" w:ascii="宋体" w:hAnsi="宋体" w:cs="宋体"/>
          <w:b/>
        </w:rPr>
        <w:t>一、项目基本情况</w:t>
      </w:r>
      <w:bookmarkEnd w:id="2"/>
      <w:bookmarkEnd w:id="3"/>
      <w:bookmarkEnd w:id="4"/>
      <w:bookmarkEnd w:id="5"/>
      <w:bookmarkEnd w:id="6"/>
      <w:bookmarkEnd w:id="7"/>
      <w:bookmarkEnd w:id="8"/>
      <w:bookmarkEnd w:id="9"/>
    </w:p>
    <w:p w14:paraId="4E1D498D">
      <w:pPr>
        <w:spacing w:line="340" w:lineRule="exact"/>
        <w:ind w:firstLine="420" w:firstLineChars="200"/>
        <w:rPr>
          <w:rFonts w:ascii="宋体" w:hAnsi="宋体" w:cs="宋体"/>
          <w:szCs w:val="21"/>
        </w:rPr>
      </w:pPr>
      <w:bookmarkStart w:id="14" w:name="_Toc31034"/>
      <w:r>
        <w:rPr>
          <w:rFonts w:hint="eastAsia" w:ascii="宋体" w:hAnsi="宋体" w:cs="宋体"/>
          <w:szCs w:val="21"/>
        </w:rPr>
        <w:t>1.项目编号：</w:t>
      </w:r>
      <w:bookmarkEnd w:id="14"/>
      <w:r>
        <w:rPr>
          <w:rFonts w:hint="eastAsia" w:ascii="宋体" w:hAnsi="宋体" w:cs="宋体"/>
          <w:szCs w:val="21"/>
        </w:rPr>
        <w:t xml:space="preserve">SY2024-028-GC-JC </w:t>
      </w:r>
    </w:p>
    <w:p w14:paraId="0BF0BEBB">
      <w:pPr>
        <w:spacing w:line="340" w:lineRule="exact"/>
        <w:ind w:firstLine="420" w:firstLineChars="200"/>
        <w:rPr>
          <w:rFonts w:ascii="宋体" w:hAnsi="宋体" w:cs="宋体"/>
          <w:szCs w:val="21"/>
        </w:rPr>
      </w:pPr>
      <w:r>
        <w:rPr>
          <w:rFonts w:hint="eastAsia" w:ascii="宋体" w:hAnsi="宋体" w:cs="宋体"/>
          <w:szCs w:val="21"/>
        </w:rPr>
        <w:t>2.项目名称：江苏医药职业学院康养实训中心改造项目</w:t>
      </w:r>
    </w:p>
    <w:p w14:paraId="49D45D84">
      <w:pPr>
        <w:spacing w:line="340" w:lineRule="exact"/>
        <w:ind w:firstLine="420" w:firstLineChars="200"/>
        <w:jc w:val="left"/>
        <w:rPr>
          <w:rFonts w:ascii="宋体" w:hAnsi="宋体" w:cs="宋体"/>
          <w:szCs w:val="21"/>
        </w:rPr>
      </w:pPr>
      <w:r>
        <w:rPr>
          <w:rFonts w:hint="eastAsia" w:ascii="宋体" w:hAnsi="宋体" w:cs="宋体"/>
          <w:szCs w:val="21"/>
        </w:rPr>
        <w:t>3.预算（最高限价）：</w:t>
      </w:r>
      <w:r>
        <w:rPr>
          <w:rFonts w:hint="eastAsia" w:ascii="宋体" w:hAnsi="宋体" w:cs="宋体"/>
          <w:szCs w:val="21"/>
          <w:u w:val="single"/>
        </w:rPr>
        <w:t>94</w:t>
      </w:r>
      <w:r>
        <w:rPr>
          <w:rFonts w:hint="eastAsia" w:ascii="宋体" w:hAnsi="宋体" w:cs="宋体"/>
          <w:szCs w:val="21"/>
        </w:rPr>
        <w:t>万元。采购人不接收高于最高限价的投标报价，投标报价高于最高限价的视为无效标书。</w:t>
      </w:r>
    </w:p>
    <w:p w14:paraId="5BB06CF1">
      <w:pPr>
        <w:spacing w:line="340" w:lineRule="exact"/>
        <w:ind w:firstLine="420" w:firstLineChars="200"/>
        <w:jc w:val="left"/>
        <w:rPr>
          <w:rFonts w:ascii="宋体" w:hAnsi="宋体" w:cs="宋体"/>
          <w:szCs w:val="21"/>
        </w:rPr>
      </w:pPr>
      <w:bookmarkStart w:id="15" w:name="_Toc6317"/>
      <w:r>
        <w:rPr>
          <w:rFonts w:ascii="宋体" w:hAnsi="宋体" w:cs="宋体"/>
          <w:szCs w:val="21"/>
        </w:rPr>
        <w:t>4</w:t>
      </w:r>
      <w:r>
        <w:rPr>
          <w:rFonts w:hint="eastAsia" w:ascii="宋体" w:hAnsi="宋体" w:cs="宋体"/>
          <w:szCs w:val="21"/>
        </w:rPr>
        <w:t>.采购方式：竞争性磋商</w:t>
      </w:r>
      <w:bookmarkEnd w:id="15"/>
    </w:p>
    <w:p w14:paraId="725E1083">
      <w:pPr>
        <w:spacing w:line="340" w:lineRule="exact"/>
        <w:ind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.采购需求：本项目位于学校实训中心三楼，建筑面积约1200平方米，拟改造为2个中心（服务中心、数字中心）和4个实训室（评估实训室、康复实训室、照护实训室和乐龄实训室）以及1个准备间。</w:t>
      </w:r>
      <w:r>
        <w:rPr>
          <w:rFonts w:hint="eastAsia" w:ascii="宋体" w:hAnsi="宋体" w:cs="宋体"/>
          <w:b/>
          <w:bCs/>
          <w:szCs w:val="21"/>
        </w:rPr>
        <w:t>详见磋商文件需求部分及工程量清单等。</w:t>
      </w:r>
    </w:p>
    <w:p w14:paraId="349B8F54">
      <w:pPr>
        <w:spacing w:line="340" w:lineRule="exact"/>
        <w:ind w:firstLine="422" w:firstLineChars="200"/>
        <w:rPr>
          <w:rFonts w:ascii="宋体" w:hAnsi="宋体" w:cs="宋体"/>
          <w:b/>
          <w:bCs/>
          <w:color w:val="auto"/>
          <w:szCs w:val="21"/>
        </w:rPr>
      </w:pPr>
      <w:r>
        <w:rPr>
          <w:rFonts w:ascii="宋体" w:hAnsi="宋体" w:cs="宋体"/>
          <w:b/>
          <w:bCs/>
          <w:color w:val="auto"/>
          <w:szCs w:val="21"/>
        </w:rPr>
        <w:t>6</w:t>
      </w:r>
      <w:r>
        <w:rPr>
          <w:rFonts w:hint="eastAsia" w:ascii="宋体" w:hAnsi="宋体" w:cs="宋体"/>
          <w:b/>
          <w:bCs/>
          <w:color w:val="auto"/>
          <w:szCs w:val="21"/>
        </w:rPr>
        <w:t>.工程保修期：叁年（质保期自验收合格之日起算）</w:t>
      </w:r>
    </w:p>
    <w:p w14:paraId="4A51D3E4">
      <w:pPr>
        <w:spacing w:line="340" w:lineRule="exact"/>
        <w:ind w:firstLine="422" w:firstLineChars="200"/>
        <w:rPr>
          <w:rFonts w:ascii="宋体" w:hAnsi="宋体" w:cs="宋体"/>
          <w:color w:val="auto"/>
          <w:szCs w:val="21"/>
        </w:rPr>
      </w:pPr>
      <w:bookmarkStart w:id="16" w:name="_Toc10205"/>
      <w:r>
        <w:rPr>
          <w:rFonts w:hint="eastAsia" w:ascii="宋体" w:hAnsi="宋体" w:cs="宋体"/>
          <w:b/>
          <w:bCs/>
          <w:color w:val="auto"/>
          <w:szCs w:val="21"/>
        </w:rPr>
        <w:t>7.工程期限：</w:t>
      </w:r>
      <w:bookmarkEnd w:id="16"/>
      <w:r>
        <w:rPr>
          <w:rFonts w:hint="eastAsia" w:ascii="宋体" w:hAnsi="宋体" w:cs="宋体"/>
          <w:b/>
          <w:bCs/>
          <w:color w:val="auto"/>
          <w:szCs w:val="21"/>
        </w:rPr>
        <w:t>60日历天。</w:t>
      </w:r>
    </w:p>
    <w:p w14:paraId="67D83BB9">
      <w:pPr>
        <w:spacing w:line="340" w:lineRule="exact"/>
        <w:ind w:firstLine="422" w:firstLineChars="200"/>
      </w:pPr>
      <w:r>
        <w:rPr>
          <w:rFonts w:hint="eastAsia" w:ascii="宋体" w:hAnsi="宋体"/>
          <w:b/>
          <w:bCs/>
          <w:color w:val="auto"/>
        </w:rPr>
        <w:t>8.本项目</w:t>
      </w:r>
      <w:r>
        <w:rPr>
          <w:rFonts w:hint="eastAsia" w:ascii="宋体" w:hAnsi="宋体"/>
          <w:b/>
          <w:bCs/>
          <w:color w:val="auto"/>
          <w:u w:val="single"/>
        </w:rPr>
        <w:t>不接受</w:t>
      </w:r>
      <w:r>
        <w:rPr>
          <w:rFonts w:hint="eastAsia" w:ascii="宋体" w:hAnsi="宋体"/>
          <w:b/>
          <w:bCs/>
          <w:color w:val="auto"/>
        </w:rPr>
        <w:t>联合体投标</w:t>
      </w:r>
      <w:r>
        <w:rPr>
          <w:rFonts w:ascii="宋体" w:hAnsi="宋体"/>
          <w:b/>
          <w:bCs/>
        </w:rPr>
        <w:t>,</w:t>
      </w:r>
      <w:r>
        <w:rPr>
          <w:rFonts w:hint="eastAsia" w:ascii="宋体" w:hAnsi="宋体"/>
          <w:b/>
          <w:bCs/>
        </w:rPr>
        <w:t>不得</w:t>
      </w:r>
      <w:r>
        <w:rPr>
          <w:rFonts w:hint="eastAsia" w:ascii="宋体" w:hAnsi="宋体"/>
          <w:b/>
          <w:bCs/>
          <w:szCs w:val="21"/>
        </w:rPr>
        <w:t>转包、分包本项目。</w:t>
      </w:r>
    </w:p>
    <w:p w14:paraId="59B33AE6">
      <w:pPr>
        <w:spacing w:line="340" w:lineRule="exact"/>
        <w:outlineLvl w:val="1"/>
        <w:rPr>
          <w:rFonts w:ascii="宋体" w:hAnsi="宋体" w:cs="宋体"/>
          <w:b/>
        </w:rPr>
      </w:pPr>
      <w:bookmarkStart w:id="17" w:name="_Toc16243"/>
      <w:bookmarkStart w:id="18" w:name="_Toc19951"/>
      <w:bookmarkStart w:id="19" w:name="_Toc107916279"/>
      <w:bookmarkStart w:id="20" w:name="_Toc23590"/>
      <w:r>
        <w:rPr>
          <w:rFonts w:hint="eastAsia" w:ascii="宋体" w:hAnsi="宋体" w:cs="宋体"/>
          <w:b/>
        </w:rPr>
        <w:t>二、申请人（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17"/>
      <w:bookmarkEnd w:id="18"/>
      <w:bookmarkEnd w:id="19"/>
      <w:bookmarkEnd w:id="20"/>
    </w:p>
    <w:p w14:paraId="6181B0D1">
      <w:pPr>
        <w:spacing w:line="340" w:lineRule="exact"/>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14:paraId="09C9D962">
      <w:pPr>
        <w:spacing w:line="340" w:lineRule="exact"/>
        <w:ind w:firstLine="420" w:firstLineChars="200"/>
        <w:rPr>
          <w:rFonts w:ascii="宋体" w:hAnsi="宋体" w:cs="宋体"/>
          <w:szCs w:val="21"/>
        </w:rPr>
      </w:pPr>
      <w:r>
        <w:rPr>
          <w:rFonts w:hint="eastAsia" w:ascii="宋体" w:hAnsi="宋体" w:cs="宋体"/>
          <w:szCs w:val="21"/>
        </w:rPr>
        <w:t>1.1具有独立承担民事责任的能力；</w:t>
      </w:r>
    </w:p>
    <w:p w14:paraId="59842F49">
      <w:pPr>
        <w:spacing w:line="340" w:lineRule="exact"/>
        <w:ind w:firstLine="420" w:firstLineChars="200"/>
        <w:rPr>
          <w:rFonts w:ascii="宋体" w:hAnsi="宋体" w:cs="宋体"/>
          <w:szCs w:val="21"/>
        </w:rPr>
      </w:pPr>
      <w:r>
        <w:rPr>
          <w:rFonts w:hint="eastAsia" w:ascii="宋体" w:hAnsi="宋体" w:cs="宋体"/>
          <w:szCs w:val="21"/>
        </w:rPr>
        <w:t>1.2具有良好的商业信誉和健全的财务会计制度；</w:t>
      </w:r>
    </w:p>
    <w:p w14:paraId="5ECE96AB">
      <w:pPr>
        <w:spacing w:line="340" w:lineRule="exact"/>
        <w:ind w:firstLine="420" w:firstLineChars="200"/>
        <w:rPr>
          <w:rFonts w:ascii="宋体" w:hAnsi="宋体" w:cs="宋体"/>
          <w:szCs w:val="21"/>
        </w:rPr>
      </w:pPr>
      <w:r>
        <w:rPr>
          <w:rFonts w:hint="eastAsia" w:ascii="宋体" w:hAnsi="宋体" w:cs="宋体"/>
          <w:szCs w:val="21"/>
        </w:rPr>
        <w:t>1.3具有履行合同所必需的设备和专业技术能力；</w:t>
      </w:r>
    </w:p>
    <w:p w14:paraId="2C509F1E">
      <w:pPr>
        <w:spacing w:line="340" w:lineRule="exact"/>
        <w:ind w:firstLine="420" w:firstLineChars="200"/>
        <w:rPr>
          <w:rFonts w:ascii="宋体" w:hAnsi="宋体" w:cs="宋体"/>
          <w:szCs w:val="21"/>
        </w:rPr>
      </w:pPr>
      <w:r>
        <w:rPr>
          <w:rFonts w:hint="eastAsia" w:ascii="宋体" w:hAnsi="宋体" w:cs="宋体"/>
          <w:szCs w:val="21"/>
        </w:rPr>
        <w:t>1.4有依法缴纳税收和社会保障资金的良好记录；</w:t>
      </w:r>
    </w:p>
    <w:p w14:paraId="3CC5F292">
      <w:pPr>
        <w:spacing w:line="340" w:lineRule="exact"/>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14:paraId="799B7437">
      <w:pPr>
        <w:spacing w:line="340" w:lineRule="exact"/>
        <w:ind w:firstLine="420" w:firstLineChars="200"/>
        <w:rPr>
          <w:rFonts w:ascii="宋体" w:hAnsi="宋体" w:cs="宋体"/>
          <w:szCs w:val="21"/>
        </w:rPr>
      </w:pPr>
      <w:bookmarkStart w:id="21" w:name="_Toc23154"/>
      <w:r>
        <w:rPr>
          <w:rFonts w:hint="eastAsia" w:ascii="宋体" w:hAnsi="宋体" w:cs="宋体"/>
          <w:szCs w:val="21"/>
        </w:rPr>
        <w:t>1.6法律、行政法规规定的其他条件。</w:t>
      </w:r>
      <w:bookmarkEnd w:id="21"/>
    </w:p>
    <w:p w14:paraId="6C23ED32">
      <w:pPr>
        <w:spacing w:line="340" w:lineRule="exact"/>
        <w:ind w:firstLine="420" w:firstLineChars="200"/>
        <w:rPr>
          <w:rFonts w:ascii="宋体" w:hAnsi="宋体" w:cs="宋体"/>
          <w:b/>
          <w:bCs/>
          <w:color w:val="auto"/>
          <w:szCs w:val="21"/>
        </w:rPr>
      </w:pPr>
      <w:r>
        <w:rPr>
          <w:rFonts w:hint="eastAsia" w:ascii="宋体" w:hAnsi="宋体" w:cs="宋体"/>
          <w:color w:val="auto"/>
          <w:szCs w:val="21"/>
        </w:rPr>
        <w:t>2.落实政府采购政策需满足的资格要求：</w:t>
      </w:r>
      <w:r>
        <w:rPr>
          <w:rFonts w:hint="eastAsia" w:ascii="宋体" w:hAnsi="宋体" w:cs="宋体"/>
          <w:b/>
          <w:bCs/>
          <w:color w:val="auto"/>
          <w:szCs w:val="21"/>
        </w:rPr>
        <w:t>落实政府采购政策需满足的资格要求：根据苏财购〔2020〕52号文件精神，本项目专门面向中小企业采购。中小企业划分标准见《工业和信息化部、国家统计局、国家发展和改革委员会、财政部关于印发中小企业划型标准规定的通知》（工信部联企业〔2011〕300号）（所属行业：建筑业）。</w:t>
      </w:r>
    </w:p>
    <w:p w14:paraId="7E28972D">
      <w:pPr>
        <w:spacing w:line="340" w:lineRule="exact"/>
        <w:ind w:firstLine="420" w:firstLineChars="200"/>
        <w:jc w:val="left"/>
        <w:rPr>
          <w:rFonts w:ascii="宋体" w:hAnsi="宋体"/>
          <w:szCs w:val="21"/>
        </w:rPr>
      </w:pPr>
      <w:r>
        <w:rPr>
          <w:rFonts w:hint="eastAsia" w:ascii="宋体" w:hAnsi="宋体"/>
          <w:szCs w:val="21"/>
        </w:rPr>
        <w:t>3.本项目的特定资格要求：</w:t>
      </w:r>
    </w:p>
    <w:p w14:paraId="1872436F">
      <w:pPr>
        <w:spacing w:line="340" w:lineRule="exact"/>
        <w:ind w:firstLine="422" w:firstLineChars="200"/>
        <w:jc w:val="left"/>
        <w:rPr>
          <w:b/>
          <w:bCs/>
          <w:sz w:val="24"/>
        </w:rPr>
      </w:pPr>
      <w:r>
        <w:rPr>
          <w:rFonts w:hint="eastAsia" w:ascii="宋体" w:hAnsi="宋体"/>
          <w:b/>
          <w:bCs/>
          <w:szCs w:val="21"/>
        </w:rPr>
        <w:t>3.1申请人资质等级和范围：投标申请人应具有建设行政主管部门核发的建筑工程施工总承包三级及以上（或建筑装修装饰工程专业承包二级及以上）资质的独立法人，并取得安全生产许可证。【提供投标人资质证书及安全生产许可证复印件并加盖公章】</w:t>
      </w:r>
    </w:p>
    <w:p w14:paraId="1CE20817">
      <w:pPr>
        <w:spacing w:line="340" w:lineRule="exact"/>
        <w:ind w:firstLine="422" w:firstLineChars="200"/>
        <w:jc w:val="left"/>
        <w:rPr>
          <w:rFonts w:ascii="宋体" w:hAnsi="宋体"/>
          <w:b/>
          <w:bCs/>
          <w:szCs w:val="21"/>
        </w:rPr>
      </w:pPr>
      <w:r>
        <w:rPr>
          <w:rFonts w:hint="eastAsia" w:ascii="宋体" w:hAnsi="宋体"/>
          <w:b/>
          <w:bCs/>
          <w:szCs w:val="21"/>
        </w:rPr>
        <w:t>3.2项目负责人资质类别和等级：项目负责人必须是投标人本单位正式职工且无在建工程项目，具有建筑工程专业的二级及以上建造师注册证书（或建造师临时执业证书），并取得安全生产考核合格证（B类）【提供投标人资质证书及安全生产许可证复印件并加盖公章】。</w:t>
      </w:r>
    </w:p>
    <w:p w14:paraId="1242050B">
      <w:pPr>
        <w:spacing w:line="340" w:lineRule="exact"/>
        <w:ind w:firstLine="422" w:firstLineChars="200"/>
        <w:jc w:val="left"/>
        <w:rPr>
          <w:rFonts w:ascii="宋体" w:hAnsi="宋体"/>
          <w:b/>
          <w:bCs/>
          <w:szCs w:val="21"/>
        </w:rPr>
      </w:pPr>
      <w:r>
        <w:rPr>
          <w:rFonts w:hint="eastAsia" w:ascii="宋体" w:hAnsi="宋体"/>
          <w:b/>
          <w:bCs/>
          <w:szCs w:val="21"/>
        </w:rPr>
        <w:t>【提供投标人为项目负责人缴纳的近三个月以来任意一个月社保缴费证明（如截止时间为9月某天，则提供6月到8月中任意一个月）、证书及安全生产许可证复印件并加盖公章；提供项目负责人无在建工程项日的承诺函】</w:t>
      </w:r>
    </w:p>
    <w:p w14:paraId="0117D513">
      <w:pPr>
        <w:spacing w:line="340" w:lineRule="exact"/>
        <w:ind w:firstLine="422" w:firstLineChars="200"/>
        <w:jc w:val="left"/>
        <w:rPr>
          <w:rFonts w:ascii="宋体" w:hAnsi="宋体"/>
          <w:b/>
          <w:bCs/>
          <w:szCs w:val="21"/>
        </w:rPr>
      </w:pPr>
      <w:r>
        <w:rPr>
          <w:rFonts w:hint="eastAsia" w:ascii="宋体" w:hAnsi="宋体"/>
          <w:b/>
          <w:bCs/>
          <w:szCs w:val="21"/>
        </w:rPr>
        <w:t>3</w:t>
      </w:r>
      <w:r>
        <w:rPr>
          <w:rFonts w:ascii="宋体" w:hAnsi="宋体"/>
          <w:b/>
          <w:bCs/>
          <w:szCs w:val="21"/>
        </w:rPr>
        <w:t>.3</w:t>
      </w:r>
      <w:r>
        <w:rPr>
          <w:rFonts w:hint="eastAsia" w:ascii="宋体" w:hAnsi="宋体"/>
          <w:b/>
          <w:bCs/>
          <w:szCs w:val="21"/>
        </w:rPr>
        <w:t>投标人没有被国家、江苏省省级有关部门及盐城市级有关部门暂停招投标或市场准入资格且在公示处罚期内；没有处于被责令停业、财产被接管、冻结、破产等状态（投标时须提供承诺函）。</w:t>
      </w:r>
    </w:p>
    <w:p w14:paraId="52153F14">
      <w:pPr>
        <w:spacing w:line="340" w:lineRule="exact"/>
        <w:ind w:firstLine="422" w:firstLineChars="200"/>
        <w:jc w:val="left"/>
        <w:outlineLvl w:val="1"/>
        <w:rPr>
          <w:rFonts w:hint="eastAsia" w:ascii="宋体" w:hAnsi="宋体" w:cs="宋体"/>
          <w:b/>
          <w:bCs/>
          <w:u w:val="single"/>
        </w:rPr>
      </w:pPr>
      <w:bookmarkStart w:id="22" w:name="_Toc3080"/>
      <w:r>
        <w:rPr>
          <w:rFonts w:hint="eastAsia" w:ascii="宋体" w:hAnsi="宋体" w:cs="宋体"/>
          <w:b/>
        </w:rPr>
        <w:t>三、获取采购文件</w:t>
      </w:r>
      <w:bookmarkEnd w:id="10"/>
      <w:bookmarkEnd w:id="11"/>
      <w:bookmarkEnd w:id="12"/>
      <w:bookmarkEnd w:id="13"/>
      <w:bookmarkEnd w:id="22"/>
    </w:p>
    <w:p w14:paraId="28631E84">
      <w:pPr>
        <w:spacing w:line="340" w:lineRule="exact"/>
        <w:ind w:firstLine="422" w:firstLineChars="200"/>
        <w:rPr>
          <w:rFonts w:hint="eastAsia" w:ascii="宋体" w:hAnsi="宋体" w:cs="宋体"/>
          <w:u w:val="single"/>
        </w:rPr>
      </w:pPr>
      <w:r>
        <w:rPr>
          <w:rFonts w:hint="eastAsia" w:ascii="宋体" w:hAnsi="宋体" w:cs="宋体"/>
          <w:b/>
          <w:bCs/>
          <w:u w:val="single"/>
        </w:rPr>
        <w:t>时间：2024年</w:t>
      </w:r>
      <w:r>
        <w:rPr>
          <w:rFonts w:hint="eastAsia" w:ascii="宋体" w:hAnsi="宋体" w:cs="宋体"/>
          <w:b/>
          <w:bCs/>
          <w:u w:val="single"/>
          <w:lang w:val="en-US" w:eastAsia="zh-CN"/>
        </w:rPr>
        <w:t>9</w:t>
      </w:r>
      <w:r>
        <w:rPr>
          <w:rFonts w:hint="eastAsia" w:ascii="宋体" w:hAnsi="宋体" w:cs="宋体"/>
          <w:b/>
          <w:bCs/>
          <w:u w:val="single"/>
        </w:rPr>
        <w:t>月</w:t>
      </w:r>
      <w:r>
        <w:rPr>
          <w:rFonts w:hint="eastAsia" w:ascii="宋体" w:hAnsi="宋体" w:cs="宋体"/>
          <w:b/>
          <w:bCs/>
          <w:u w:val="single"/>
          <w:lang w:val="en-US" w:eastAsia="zh-CN"/>
        </w:rPr>
        <w:t>06</w:t>
      </w:r>
      <w:r>
        <w:rPr>
          <w:rFonts w:hint="eastAsia" w:ascii="宋体" w:hAnsi="宋体" w:cs="宋体"/>
          <w:b/>
          <w:bCs/>
          <w:u w:val="single"/>
        </w:rPr>
        <w:t>日至2024年</w:t>
      </w:r>
      <w:r>
        <w:rPr>
          <w:rFonts w:hint="eastAsia" w:ascii="宋体" w:hAnsi="宋体" w:cs="宋体"/>
          <w:b/>
          <w:bCs/>
          <w:u w:val="single"/>
          <w:lang w:val="en-US" w:eastAsia="zh-CN"/>
        </w:rPr>
        <w:t>9</w:t>
      </w:r>
      <w:r>
        <w:rPr>
          <w:rFonts w:hint="eastAsia" w:ascii="宋体" w:hAnsi="宋体" w:cs="宋体"/>
          <w:b/>
          <w:bCs/>
          <w:u w:val="single"/>
        </w:rPr>
        <w:t>月</w:t>
      </w:r>
      <w:r>
        <w:rPr>
          <w:rFonts w:hint="eastAsia" w:ascii="宋体" w:hAnsi="宋体" w:cs="宋体"/>
          <w:b/>
          <w:bCs/>
          <w:u w:val="single"/>
          <w:lang w:val="en-US" w:eastAsia="zh-CN"/>
        </w:rPr>
        <w:t>12</w:t>
      </w:r>
      <w:r>
        <w:rPr>
          <w:rFonts w:hint="eastAsia" w:ascii="宋体" w:hAnsi="宋体" w:cs="宋体"/>
          <w:b/>
          <w:bCs/>
          <w:u w:val="single"/>
        </w:rPr>
        <w:t>日</w:t>
      </w:r>
      <w:r>
        <w:rPr>
          <w:rFonts w:hint="eastAsia" w:ascii="宋体" w:hAnsi="宋体" w:cs="宋体"/>
          <w:b/>
          <w:bCs/>
          <w:szCs w:val="21"/>
          <w:u w:val="single"/>
        </w:rPr>
        <w:t>（发售时间每个工作日的9时至12时，15时至18时</w:t>
      </w:r>
      <w:r>
        <w:rPr>
          <w:rFonts w:hint="eastAsia" w:ascii="宋体" w:hAnsi="宋体" w:cs="宋体"/>
          <w:b/>
          <w:bCs/>
          <w:szCs w:val="21"/>
          <w:u w:val="single"/>
          <w:lang w:val="en-US" w:eastAsia="zh-CN"/>
        </w:rPr>
        <w:t>,非工作日时间</w:t>
      </w:r>
      <w:bookmarkStart w:id="302" w:name="_GoBack"/>
      <w:bookmarkEnd w:id="302"/>
      <w:r>
        <w:rPr>
          <w:rFonts w:hint="eastAsia" w:ascii="宋体" w:hAnsi="宋体" w:cs="宋体"/>
          <w:b/>
          <w:bCs/>
          <w:szCs w:val="21"/>
          <w:u w:val="single"/>
          <w:lang w:val="en-US" w:eastAsia="zh-CN"/>
        </w:rPr>
        <w:t>不</w:t>
      </w:r>
      <w:r>
        <w:rPr>
          <w:rFonts w:hint="eastAsia" w:ascii="宋体" w:hAnsi="宋体" w:cs="宋体"/>
          <w:b/>
          <w:bCs/>
          <w:szCs w:val="21"/>
          <w:u w:val="single"/>
        </w:rPr>
        <w:t>发售</w:t>
      </w:r>
      <w:r>
        <w:rPr>
          <w:rFonts w:hint="eastAsia" w:ascii="宋体" w:hAnsi="宋体" w:cs="宋体"/>
          <w:b/>
          <w:bCs/>
          <w:szCs w:val="21"/>
          <w:u w:val="single"/>
          <w:lang w:eastAsia="zh-CN"/>
        </w:rPr>
        <w:t>采购文件</w:t>
      </w:r>
      <w:r>
        <w:rPr>
          <w:rFonts w:hint="eastAsia" w:ascii="宋体" w:hAnsi="宋体" w:cs="宋体"/>
          <w:b/>
          <w:bCs/>
          <w:szCs w:val="21"/>
          <w:u w:val="single"/>
          <w:lang w:val="en-US" w:eastAsia="zh-CN"/>
        </w:rPr>
        <w:t>。</w:t>
      </w:r>
      <w:r>
        <w:rPr>
          <w:rFonts w:hint="eastAsia" w:ascii="宋体" w:hAnsi="宋体" w:cs="宋体"/>
          <w:b/>
          <w:bCs/>
          <w:szCs w:val="21"/>
          <w:u w:val="single"/>
        </w:rPr>
        <w:t>）</w:t>
      </w:r>
    </w:p>
    <w:p w14:paraId="5D124353">
      <w:pPr>
        <w:spacing w:line="340" w:lineRule="exact"/>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14:paraId="41636C12">
      <w:pPr>
        <w:spacing w:line="340" w:lineRule="exact"/>
        <w:ind w:firstLine="422" w:firstLineChars="200"/>
        <w:rPr>
          <w:rFonts w:ascii="宋体" w:hAnsi="宋体" w:cs="宋体"/>
          <w:szCs w:val="21"/>
        </w:rPr>
      </w:pPr>
      <w:bookmarkStart w:id="23" w:name="_Toc35393632"/>
      <w:bookmarkStart w:id="24" w:name="_Toc28359015"/>
      <w:bookmarkStart w:id="25" w:name="_Toc28359092"/>
      <w:bookmarkStart w:id="26" w:name="_Toc35393801"/>
      <w:r>
        <w:rPr>
          <w:rFonts w:hint="eastAsia" w:ascii="宋体" w:hAnsi="宋体" w:cs="宋体"/>
          <w:b/>
          <w:bCs/>
          <w:szCs w:val="21"/>
        </w:rPr>
        <w:t>方式：现场发售</w:t>
      </w:r>
      <w:r>
        <w:rPr>
          <w:rFonts w:hint="eastAsia" w:ascii="宋体" w:hAnsi="宋体" w:cs="宋体"/>
          <w:szCs w:val="21"/>
        </w:rPr>
        <w:t>；投标人凭加盖公章的《供应商联系信息表》（见公告附件）、营业执照（复印件即可）到携手阳光公司领购（地址见本公告。注:未领购的任何单位或个人没有参与权以及相关知情权）</w:t>
      </w:r>
    </w:p>
    <w:p w14:paraId="4EB51309">
      <w:pPr>
        <w:spacing w:line="340" w:lineRule="exact"/>
        <w:ind w:firstLine="420" w:firstLineChars="200"/>
        <w:rPr>
          <w:rFonts w:ascii="宋体" w:hAnsi="宋体"/>
          <w:szCs w:val="21"/>
        </w:rPr>
      </w:pPr>
      <w:r>
        <w:rPr>
          <w:rFonts w:hint="eastAsia" w:ascii="宋体" w:hAnsi="宋体"/>
          <w:szCs w:val="21"/>
        </w:rPr>
        <w:t>售价：500元，售后不退；交纳方式：现金、支付宝（18662096009）等。</w:t>
      </w:r>
    </w:p>
    <w:bookmarkEnd w:id="23"/>
    <w:bookmarkEnd w:id="24"/>
    <w:bookmarkEnd w:id="25"/>
    <w:bookmarkEnd w:id="26"/>
    <w:p w14:paraId="6B311052">
      <w:pPr>
        <w:spacing w:line="340" w:lineRule="exact"/>
        <w:outlineLvl w:val="1"/>
        <w:rPr>
          <w:rFonts w:ascii="宋体" w:hAnsi="宋体"/>
          <w:b/>
          <w:szCs w:val="22"/>
        </w:rPr>
      </w:pPr>
      <w:bookmarkStart w:id="27" w:name="_Toc28359005"/>
      <w:bookmarkStart w:id="28" w:name="_Toc28359082"/>
      <w:bookmarkStart w:id="29" w:name="_Toc35393624"/>
      <w:bookmarkStart w:id="30" w:name="_Toc14338"/>
      <w:bookmarkStart w:id="31" w:name="_Toc35393793"/>
      <w:bookmarkStart w:id="32" w:name="_Toc35393633"/>
      <w:bookmarkStart w:id="33" w:name="_Toc28359016"/>
      <w:bookmarkStart w:id="34" w:name="_Toc35393802"/>
      <w:bookmarkStart w:id="35" w:name="_Toc28359093"/>
      <w:bookmarkStart w:id="36" w:name="_Toc35393626"/>
      <w:bookmarkStart w:id="37" w:name="_Toc35393795"/>
      <w:bookmarkStart w:id="38" w:name="_Toc35393804"/>
      <w:bookmarkStart w:id="39" w:name="_Toc35393635"/>
      <w:r>
        <w:rPr>
          <w:rFonts w:hint="eastAsia" w:ascii="宋体" w:hAnsi="宋体"/>
          <w:b/>
          <w:szCs w:val="22"/>
        </w:rPr>
        <w:t>四、提交投标文件</w:t>
      </w:r>
      <w:bookmarkEnd w:id="27"/>
      <w:bookmarkEnd w:id="28"/>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9"/>
      <w:bookmarkEnd w:id="30"/>
      <w:bookmarkEnd w:id="31"/>
    </w:p>
    <w:p w14:paraId="6393DCCD">
      <w:pPr>
        <w:spacing w:line="340" w:lineRule="exact"/>
        <w:ind w:firstLine="422" w:firstLineChars="200"/>
        <w:rPr>
          <w:rFonts w:ascii="宋体" w:hAnsi="宋体" w:cs="宋体"/>
          <w:b/>
          <w:bCs/>
          <w:u w:val="single"/>
        </w:rPr>
      </w:pPr>
      <w:r>
        <w:rPr>
          <w:rFonts w:hint="eastAsia" w:ascii="宋体" w:hAnsi="宋体" w:cs="宋体"/>
          <w:b/>
          <w:bCs/>
          <w:u w:val="single"/>
        </w:rPr>
        <w:t>时间：2024年</w:t>
      </w:r>
      <w:r>
        <w:rPr>
          <w:rFonts w:hint="eastAsia" w:ascii="宋体" w:hAnsi="宋体" w:cs="宋体"/>
          <w:b/>
          <w:bCs/>
          <w:u w:val="single"/>
          <w:lang w:val="en-US" w:eastAsia="zh-CN"/>
        </w:rPr>
        <w:t>9</w:t>
      </w:r>
      <w:r>
        <w:rPr>
          <w:rFonts w:hint="eastAsia" w:ascii="宋体" w:hAnsi="宋体" w:cs="宋体"/>
          <w:b/>
          <w:bCs/>
          <w:u w:val="single"/>
        </w:rPr>
        <w:t>月</w:t>
      </w:r>
      <w:r>
        <w:rPr>
          <w:rFonts w:hint="eastAsia" w:ascii="宋体" w:hAnsi="宋体" w:cs="宋体"/>
          <w:b/>
          <w:bCs/>
          <w:u w:val="single"/>
          <w:lang w:val="en-US" w:eastAsia="zh-CN"/>
        </w:rPr>
        <w:t>19</w:t>
      </w:r>
      <w:r>
        <w:rPr>
          <w:rFonts w:hint="eastAsia" w:ascii="宋体" w:hAnsi="宋体" w:cs="宋体"/>
          <w:b/>
          <w:bCs/>
          <w:u w:val="single"/>
        </w:rPr>
        <w:t>日15点00分（北京时间）（逾期送达的为无效文件）</w:t>
      </w:r>
    </w:p>
    <w:p w14:paraId="3A00A6FE">
      <w:pPr>
        <w:spacing w:line="340" w:lineRule="exact"/>
        <w:ind w:firstLine="422" w:firstLineChars="200"/>
        <w:rPr>
          <w:rFonts w:ascii="宋体" w:hAnsi="宋体" w:cs="宋体"/>
          <w:b/>
          <w:bCs/>
          <w:color w:val="auto"/>
          <w:u w:val="single"/>
        </w:rPr>
      </w:pPr>
      <w:bookmarkStart w:id="40" w:name="_Toc24400"/>
      <w:r>
        <w:rPr>
          <w:rFonts w:hint="eastAsia" w:ascii="宋体" w:hAnsi="宋体" w:cs="宋体"/>
          <w:b/>
          <w:bCs/>
          <w:color w:val="auto"/>
          <w:u w:val="single"/>
        </w:rPr>
        <w:t>地点：</w:t>
      </w:r>
      <w:r>
        <w:rPr>
          <w:rFonts w:hint="eastAsia" w:ascii="宋体" w:hAnsi="宋体" w:cs="宋体"/>
          <w:b/>
          <w:color w:val="auto"/>
          <w:u w:val="single"/>
        </w:rPr>
        <w:t>江苏医药职业学院（盐城市解放南路283号）行政楼210室。</w:t>
      </w:r>
    </w:p>
    <w:p w14:paraId="6616C1ED">
      <w:pPr>
        <w:numPr>
          <w:ilvl w:val="0"/>
          <w:numId w:val="2"/>
        </w:numPr>
        <w:spacing w:line="340" w:lineRule="exact"/>
        <w:outlineLvl w:val="1"/>
        <w:rPr>
          <w:rFonts w:ascii="宋体" w:hAnsi="宋体" w:cs="宋体"/>
          <w:b/>
          <w:color w:val="auto"/>
          <w:u w:val="single"/>
        </w:rPr>
      </w:pPr>
      <w:r>
        <w:rPr>
          <w:rFonts w:hint="eastAsia" w:ascii="宋体" w:hAnsi="宋体" w:cs="宋体"/>
          <w:b/>
          <w:bCs/>
          <w:color w:val="auto"/>
          <w:u w:val="single"/>
        </w:rPr>
        <w:t>开启</w:t>
      </w:r>
      <w:bookmarkEnd w:id="32"/>
      <w:bookmarkEnd w:id="33"/>
      <w:bookmarkEnd w:id="34"/>
      <w:bookmarkEnd w:id="35"/>
      <w:r>
        <w:rPr>
          <w:rFonts w:hint="eastAsia" w:ascii="宋体" w:hAnsi="宋体" w:cs="宋体"/>
          <w:b/>
          <w:bCs/>
          <w:color w:val="auto"/>
          <w:u w:val="single"/>
        </w:rPr>
        <w:t>时间：2</w:t>
      </w:r>
      <w:r>
        <w:rPr>
          <w:rFonts w:hint="eastAsia" w:ascii="宋体" w:hAnsi="宋体" w:cs="宋体"/>
          <w:b/>
          <w:color w:val="auto"/>
          <w:u w:val="single"/>
        </w:rPr>
        <w:t>024年</w:t>
      </w:r>
      <w:r>
        <w:rPr>
          <w:rFonts w:hint="eastAsia" w:ascii="宋体" w:hAnsi="宋体" w:cs="宋体"/>
          <w:b/>
          <w:color w:val="auto"/>
          <w:u w:val="single"/>
          <w:lang w:val="en-US" w:eastAsia="zh-CN"/>
        </w:rPr>
        <w:t>9</w:t>
      </w:r>
      <w:r>
        <w:rPr>
          <w:rFonts w:hint="eastAsia" w:ascii="宋体" w:hAnsi="宋体" w:cs="宋体"/>
          <w:b/>
          <w:color w:val="auto"/>
          <w:u w:val="single"/>
        </w:rPr>
        <w:t>月</w:t>
      </w:r>
      <w:r>
        <w:rPr>
          <w:rFonts w:hint="eastAsia" w:ascii="宋体" w:hAnsi="宋体" w:cs="宋体"/>
          <w:b/>
          <w:color w:val="auto"/>
          <w:u w:val="single"/>
          <w:lang w:val="en-US" w:eastAsia="zh-CN"/>
        </w:rPr>
        <w:t>19</w:t>
      </w:r>
      <w:r>
        <w:rPr>
          <w:rFonts w:hint="eastAsia" w:ascii="宋体" w:hAnsi="宋体" w:cs="宋体"/>
          <w:b/>
          <w:color w:val="auto"/>
          <w:u w:val="single"/>
        </w:rPr>
        <w:t>日15点00分</w:t>
      </w:r>
      <w:r>
        <w:rPr>
          <w:rFonts w:hint="eastAsia" w:ascii="宋体" w:hAnsi="宋体" w:cs="宋体"/>
          <w:b/>
          <w:bCs/>
          <w:color w:val="auto"/>
          <w:u w:val="single"/>
        </w:rPr>
        <w:t>（北京时间）</w:t>
      </w:r>
      <w:r>
        <w:rPr>
          <w:rFonts w:hint="eastAsia" w:ascii="宋体" w:hAnsi="宋体" w:cs="宋体"/>
          <w:b/>
          <w:color w:val="auto"/>
          <w:u w:val="single"/>
        </w:rPr>
        <w:t>（逾期送达的为无效文件）</w:t>
      </w:r>
      <w:bookmarkEnd w:id="40"/>
    </w:p>
    <w:p w14:paraId="2317F501">
      <w:pPr>
        <w:spacing w:line="340" w:lineRule="exact"/>
        <w:ind w:firstLine="422" w:firstLineChars="200"/>
        <w:rPr>
          <w:rFonts w:ascii="宋体" w:hAnsi="宋体" w:cs="宋体"/>
          <w:b/>
          <w:bCs/>
          <w:color w:val="auto"/>
          <w:u w:val="single"/>
        </w:rPr>
      </w:pPr>
      <w:r>
        <w:rPr>
          <w:rFonts w:hint="eastAsia" w:ascii="宋体" w:hAnsi="宋体" w:cs="宋体"/>
          <w:b/>
          <w:bCs/>
          <w:color w:val="auto"/>
          <w:u w:val="single"/>
        </w:rPr>
        <w:t>地点：</w:t>
      </w:r>
      <w:r>
        <w:rPr>
          <w:rFonts w:hint="eastAsia" w:ascii="宋体" w:hAnsi="宋体" w:cs="宋体"/>
          <w:b/>
          <w:color w:val="auto"/>
          <w:u w:val="single"/>
        </w:rPr>
        <w:t>江苏医药职业学院（盐城市解放南路283号）行政楼210室。</w:t>
      </w:r>
    </w:p>
    <w:p w14:paraId="156C3A16">
      <w:pPr>
        <w:spacing w:line="340" w:lineRule="exact"/>
        <w:outlineLvl w:val="1"/>
        <w:rPr>
          <w:rFonts w:ascii="宋体" w:hAnsi="宋体"/>
          <w:b/>
          <w:bCs/>
          <w:color w:val="auto"/>
          <w:szCs w:val="21"/>
        </w:rPr>
      </w:pPr>
      <w:r>
        <w:rPr>
          <w:rFonts w:hint="eastAsia" w:ascii="宋体" w:hAnsi="宋体" w:cs="宋体"/>
          <w:b/>
          <w:color w:val="auto"/>
        </w:rPr>
        <w:t>六、</w:t>
      </w:r>
      <w:r>
        <w:rPr>
          <w:rFonts w:hint="eastAsia" w:ascii="宋体" w:hAnsi="宋体"/>
          <w:b/>
          <w:bCs/>
          <w:color w:val="auto"/>
          <w:szCs w:val="21"/>
        </w:rPr>
        <w:t>保证金（磋商保证金）</w:t>
      </w:r>
    </w:p>
    <w:p w14:paraId="795FA5FC">
      <w:pPr>
        <w:spacing w:line="340" w:lineRule="exact"/>
        <w:ind w:firstLine="422" w:firstLineChars="200"/>
        <w:rPr>
          <w:rFonts w:ascii="宋体" w:hAnsi="宋体"/>
          <w:b/>
          <w:bCs/>
          <w:color w:val="auto"/>
          <w:szCs w:val="21"/>
        </w:rPr>
      </w:pPr>
      <w:r>
        <w:rPr>
          <w:rFonts w:hint="eastAsia" w:ascii="宋体" w:hAnsi="宋体"/>
          <w:b/>
          <w:bCs/>
          <w:color w:val="auto"/>
          <w:szCs w:val="21"/>
        </w:rPr>
        <w:t>保证金数额：1.8万元；【报名截止时间前（建议在获取采购文件时交纳）】</w:t>
      </w:r>
    </w:p>
    <w:p w14:paraId="2EEEC345">
      <w:pPr>
        <w:spacing w:line="340" w:lineRule="exact"/>
        <w:ind w:firstLine="422" w:firstLineChars="200"/>
        <w:rPr>
          <w:rFonts w:ascii="宋体" w:hAnsi="宋体"/>
          <w:b/>
          <w:bCs/>
          <w:color w:val="auto"/>
          <w:szCs w:val="21"/>
        </w:rPr>
      </w:pPr>
      <w:r>
        <w:rPr>
          <w:rFonts w:hint="eastAsia" w:ascii="宋体" w:hAnsi="宋体"/>
          <w:b/>
          <w:bCs/>
          <w:color w:val="auto"/>
          <w:szCs w:val="21"/>
        </w:rPr>
        <w:t>保证金形式：电汇、转账等非现金方式</w:t>
      </w:r>
    </w:p>
    <w:p w14:paraId="6BBE807B">
      <w:pPr>
        <w:spacing w:line="340" w:lineRule="exact"/>
        <w:ind w:firstLine="422" w:firstLineChars="200"/>
        <w:rPr>
          <w:rFonts w:ascii="宋体" w:hAnsi="宋体"/>
          <w:b/>
          <w:bCs/>
          <w:color w:val="auto"/>
          <w:szCs w:val="21"/>
        </w:rPr>
      </w:pPr>
      <w:r>
        <w:rPr>
          <w:rFonts w:hint="eastAsia" w:ascii="宋体" w:hAnsi="宋体"/>
          <w:b/>
          <w:bCs/>
          <w:color w:val="auto"/>
          <w:szCs w:val="21"/>
        </w:rPr>
        <w:t>保证金收款人：开户名：盐城市携手阳光集中采购代理有限公司</w:t>
      </w:r>
    </w:p>
    <w:p w14:paraId="25F0236B">
      <w:pPr>
        <w:spacing w:line="340" w:lineRule="exact"/>
        <w:ind w:firstLine="422" w:firstLineChars="200"/>
        <w:rPr>
          <w:rFonts w:ascii="宋体" w:hAnsi="宋体"/>
          <w:b/>
          <w:bCs/>
          <w:color w:val="auto"/>
          <w:szCs w:val="21"/>
        </w:rPr>
      </w:pPr>
      <w:r>
        <w:rPr>
          <w:rFonts w:hint="eastAsia" w:ascii="宋体" w:hAnsi="宋体"/>
          <w:b/>
          <w:bCs/>
          <w:color w:val="auto"/>
          <w:szCs w:val="21"/>
        </w:rPr>
        <w:t>开户行：中国民生银行盐城分行    帐  号：608565566</w:t>
      </w:r>
    </w:p>
    <w:p w14:paraId="55D0EB2C">
      <w:pPr>
        <w:spacing w:line="340" w:lineRule="exact"/>
        <w:outlineLvl w:val="1"/>
        <w:rPr>
          <w:rFonts w:ascii="宋体" w:hAnsi="宋体" w:cs="宋体"/>
          <w:b/>
          <w:bCs/>
          <w:color w:val="auto"/>
        </w:rPr>
      </w:pPr>
      <w:bookmarkStart w:id="41" w:name="_Toc24423"/>
      <w:r>
        <w:rPr>
          <w:rFonts w:hint="eastAsia" w:ascii="宋体" w:hAnsi="宋体" w:cs="宋体"/>
          <w:b/>
          <w:color w:val="auto"/>
        </w:rPr>
        <w:t>七、公告期限</w:t>
      </w:r>
      <w:r>
        <w:rPr>
          <w:rFonts w:hint="eastAsia" w:ascii="宋体" w:hAnsi="宋体" w:cs="宋体"/>
          <w:b/>
          <w:bCs/>
          <w:color w:val="auto"/>
        </w:rPr>
        <w:t>：</w:t>
      </w:r>
      <w:bookmarkEnd w:id="41"/>
    </w:p>
    <w:p w14:paraId="44F9F89C">
      <w:pPr>
        <w:spacing w:line="340" w:lineRule="exact"/>
        <w:ind w:firstLine="420" w:firstLineChars="200"/>
        <w:rPr>
          <w:rFonts w:ascii="宋体" w:hAnsi="宋体" w:cs="宋体"/>
        </w:rPr>
      </w:pPr>
      <w:r>
        <w:rPr>
          <w:rFonts w:hint="eastAsia" w:ascii="宋体" w:hAnsi="宋体" w:cs="宋体"/>
          <w:kern w:val="0"/>
        </w:rPr>
        <w:t>自本公告发布之日起3个工作日</w:t>
      </w:r>
      <w:r>
        <w:rPr>
          <w:rFonts w:hint="eastAsia" w:ascii="宋体" w:hAnsi="宋体" w:cs="宋体"/>
          <w:color w:val="000000" w:themeColor="text1"/>
          <w:szCs w:val="21"/>
          <w14:textFill>
            <w14:solidFill>
              <w14:schemeClr w14:val="tx1"/>
            </w14:solidFill>
          </w14:textFill>
        </w:rPr>
        <w:t>（江苏医药职业学院网站）</w:t>
      </w:r>
    </w:p>
    <w:p w14:paraId="4485C565">
      <w:pPr>
        <w:spacing w:line="340" w:lineRule="exact"/>
        <w:outlineLvl w:val="1"/>
        <w:rPr>
          <w:rFonts w:ascii="宋体" w:hAnsi="宋体" w:cs="宋体"/>
          <w:b/>
        </w:rPr>
      </w:pPr>
      <w:bookmarkStart w:id="42" w:name="_Toc22030"/>
      <w:r>
        <w:rPr>
          <w:rFonts w:hint="eastAsia" w:ascii="宋体" w:hAnsi="宋体"/>
          <w:b/>
          <w:bCs/>
        </w:rPr>
        <w:t>八、</w:t>
      </w:r>
      <w:r>
        <w:rPr>
          <w:rFonts w:hint="eastAsia" w:ascii="宋体" w:hAnsi="宋体" w:cs="宋体"/>
          <w:b/>
        </w:rPr>
        <w:t>凡对本次采购提出询问，请按以下方式联系</w:t>
      </w:r>
      <w:bookmarkEnd w:id="42"/>
    </w:p>
    <w:bookmarkEnd w:id="36"/>
    <w:bookmarkEnd w:id="37"/>
    <w:p w14:paraId="10D05DC5">
      <w:pPr>
        <w:spacing w:line="340" w:lineRule="exact"/>
        <w:ind w:firstLine="420" w:firstLineChars="200"/>
        <w:rPr>
          <w:rFonts w:ascii="宋体" w:hAnsi="宋体" w:cs="宋体"/>
          <w:szCs w:val="21"/>
        </w:rPr>
      </w:pPr>
      <w:bookmarkStart w:id="43" w:name="_Toc17030"/>
      <w:bookmarkStart w:id="44" w:name="_Toc35393627"/>
      <w:bookmarkStart w:id="45" w:name="_Toc35393796"/>
      <w:bookmarkStart w:id="46" w:name="_Toc28359085"/>
      <w:bookmarkStart w:id="47" w:name="_Toc28359008"/>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bookmarkEnd w:id="43"/>
    </w:p>
    <w:p w14:paraId="45C97051">
      <w:pPr>
        <w:spacing w:line="340" w:lineRule="exact"/>
        <w:ind w:firstLine="630" w:firstLineChars="300"/>
        <w:rPr>
          <w:rFonts w:ascii="宋体" w:hAnsi="宋体" w:cs="宋体"/>
          <w:szCs w:val="21"/>
        </w:rPr>
      </w:pPr>
      <w:r>
        <w:rPr>
          <w:rFonts w:hint="eastAsia" w:ascii="宋体" w:hAnsi="宋体" w:cs="宋体"/>
          <w:szCs w:val="21"/>
        </w:rPr>
        <w:t>项目联系人：赵</w:t>
      </w:r>
      <w:r>
        <w:rPr>
          <w:rFonts w:hint="eastAsia" w:ascii="宋体" w:hAnsi="宋体"/>
        </w:rPr>
        <w:t>老师；电话：</w:t>
      </w:r>
      <w:r>
        <w:rPr>
          <w:rFonts w:ascii="宋体" w:hAnsi="宋体"/>
        </w:rPr>
        <w:t>15851077869</w:t>
      </w:r>
      <w:r>
        <w:rPr>
          <w:rFonts w:hint="eastAsia" w:ascii="宋体" w:hAnsi="宋体"/>
        </w:rPr>
        <w:t>；</w:t>
      </w:r>
    </w:p>
    <w:p w14:paraId="2C719106">
      <w:pPr>
        <w:spacing w:line="340" w:lineRule="exact"/>
        <w:ind w:firstLine="420" w:firstLineChars="200"/>
        <w:rPr>
          <w:rFonts w:ascii="宋体" w:hAnsi="宋体" w:cs="宋体"/>
          <w:szCs w:val="21"/>
        </w:rPr>
      </w:pPr>
      <w:bookmarkStart w:id="48" w:name="_Toc11334"/>
      <w:r>
        <w:rPr>
          <w:rFonts w:hint="eastAsia" w:ascii="宋体" w:hAnsi="宋体" w:cs="宋体"/>
          <w:szCs w:val="21"/>
        </w:rPr>
        <w:t>2.采购人信息：江苏医药职业学院；</w:t>
      </w:r>
      <w:bookmarkEnd w:id="48"/>
    </w:p>
    <w:p w14:paraId="22CA51A0">
      <w:pPr>
        <w:spacing w:line="340" w:lineRule="exact"/>
        <w:ind w:firstLine="630" w:firstLineChars="300"/>
        <w:rPr>
          <w:rFonts w:ascii="宋体" w:hAnsi="宋体" w:cs="宋体"/>
          <w:szCs w:val="21"/>
        </w:rPr>
      </w:pPr>
      <w:r>
        <w:rPr>
          <w:rFonts w:hint="eastAsia" w:ascii="宋体" w:hAnsi="宋体" w:cs="宋体"/>
          <w:szCs w:val="21"/>
        </w:rPr>
        <w:t>地址：盐城市解放南路283号行政楼208室；（邮编224005）</w:t>
      </w:r>
    </w:p>
    <w:p w14:paraId="21822310">
      <w:pPr>
        <w:spacing w:line="340" w:lineRule="exact"/>
        <w:ind w:firstLine="630" w:firstLineChars="300"/>
        <w:rPr>
          <w:rFonts w:ascii="宋体" w:hAnsi="宋体" w:cs="宋体"/>
          <w:szCs w:val="21"/>
        </w:rPr>
      </w:pPr>
      <w:r>
        <w:rPr>
          <w:rFonts w:hint="eastAsia" w:ascii="宋体" w:hAnsi="宋体" w:cs="宋体"/>
          <w:szCs w:val="21"/>
        </w:rPr>
        <w:t>联系方式：刘老师；电话：0515-88550311；</w:t>
      </w:r>
    </w:p>
    <w:p w14:paraId="23916BDB">
      <w:pPr>
        <w:spacing w:line="340" w:lineRule="exact"/>
        <w:ind w:firstLine="420" w:firstLineChars="200"/>
        <w:rPr>
          <w:rFonts w:ascii="宋体" w:hAnsi="宋体"/>
          <w:szCs w:val="21"/>
        </w:rPr>
      </w:pPr>
      <w:bookmarkStart w:id="49" w:name="_Toc16446"/>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bookmarkEnd w:id="49"/>
    </w:p>
    <w:p w14:paraId="50182280">
      <w:pPr>
        <w:spacing w:line="340" w:lineRule="exact"/>
        <w:ind w:firstLine="630" w:firstLineChars="300"/>
        <w:rPr>
          <w:rFonts w:ascii="宋体" w:hAnsi="宋体"/>
          <w:szCs w:val="21"/>
        </w:rPr>
      </w:pPr>
      <w:r>
        <w:rPr>
          <w:rFonts w:hint="eastAsia" w:ascii="宋体" w:hAnsi="宋体"/>
          <w:szCs w:val="21"/>
        </w:rPr>
        <w:t>联系方式：万工；电话：17705100013；</w:t>
      </w:r>
    </w:p>
    <w:p w14:paraId="04E17CF7">
      <w:pPr>
        <w:spacing w:line="340" w:lineRule="exact"/>
        <w:ind w:firstLine="632" w:firstLineChars="300"/>
        <w:rPr>
          <w:rFonts w:ascii="宋体" w:hAnsi="宋体"/>
          <w:b/>
          <w:szCs w:val="21"/>
          <w:u w:val="single"/>
        </w:rPr>
      </w:pPr>
      <w:r>
        <w:rPr>
          <w:rFonts w:hint="eastAsia" w:ascii="宋体" w:hAnsi="宋体"/>
          <w:b/>
        </w:rPr>
        <w:t>邮箱：xsyg007@163.com（邮箱不接受报名）</w:t>
      </w:r>
      <w:r>
        <w:rPr>
          <w:rFonts w:hint="eastAsia" w:ascii="宋体" w:hAnsi="宋体"/>
          <w:b/>
          <w:szCs w:val="21"/>
        </w:rPr>
        <w:t>；</w:t>
      </w:r>
    </w:p>
    <w:p w14:paraId="548DDC98">
      <w:pPr>
        <w:spacing w:line="340" w:lineRule="exact"/>
        <w:ind w:firstLine="630" w:firstLineChars="300"/>
        <w:rPr>
          <w:rFonts w:ascii="宋体" w:hAnsi="宋体"/>
          <w:szCs w:val="21"/>
        </w:rPr>
      </w:pPr>
      <w:r>
        <w:rPr>
          <w:rFonts w:hint="eastAsia" w:ascii="宋体" w:hAnsi="宋体"/>
          <w:szCs w:val="21"/>
        </w:rPr>
        <w:t>地址：盐城市府西路华邦国际西厦A区（东）302室（邮编224000）</w:t>
      </w:r>
    </w:p>
    <w:p w14:paraId="371D2AD9">
      <w:pPr>
        <w:spacing w:line="340" w:lineRule="exact"/>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14:paraId="3F2D5FA6">
      <w:pPr>
        <w:spacing w:line="340" w:lineRule="exact"/>
        <w:rPr>
          <w:b/>
          <w:bCs/>
          <w:lang w:val="zh-TW"/>
        </w:rPr>
      </w:pPr>
      <w:bookmarkStart w:id="50" w:name="_Toc13469"/>
      <w:r>
        <w:rPr>
          <w:rFonts w:hint="eastAsia" w:ascii="宋体" w:hAnsi="宋体"/>
          <w:b/>
        </w:rPr>
        <w:t>九、其他补充事宜</w:t>
      </w:r>
      <w:bookmarkEnd w:id="50"/>
    </w:p>
    <w:p w14:paraId="58D77712">
      <w:pPr>
        <w:widowControl/>
        <w:shd w:val="clear" w:color="auto" w:fill="FFFFFF"/>
        <w:spacing w:line="340" w:lineRule="exact"/>
        <w:ind w:firstLine="420"/>
        <w:rPr>
          <w:rFonts w:ascii="微软雅黑" w:hAnsi="微软雅黑" w:eastAsia="微软雅黑" w:cs="微软雅黑"/>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本项目鼓励供应商开展信用担保（0515-88285999）、扶持不发达地区等政府采购政策。</w:t>
      </w:r>
    </w:p>
    <w:p w14:paraId="3E3BF403">
      <w:pPr>
        <w:widowControl/>
        <w:shd w:val="clear" w:color="auto" w:fill="FFFFFF"/>
        <w:spacing w:line="34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本项目使用时间：北京时间，24小时制；货币单位：人民币；</w:t>
      </w:r>
      <w:bookmarkEnd w:id="38"/>
      <w:bookmarkEnd w:id="39"/>
      <w:bookmarkEnd w:id="44"/>
      <w:bookmarkEnd w:id="45"/>
      <w:bookmarkEnd w:id="46"/>
      <w:bookmarkEnd w:id="47"/>
    </w:p>
    <w:p w14:paraId="6E0CF50D">
      <w:pPr>
        <w:spacing w:line="340" w:lineRule="exact"/>
        <w:jc w:val="right"/>
        <w:rPr>
          <w:rFonts w:ascii="宋体" w:hAnsi="宋体" w:cs="宋体"/>
          <w:szCs w:val="21"/>
        </w:rPr>
      </w:pPr>
    </w:p>
    <w:p w14:paraId="7B535CD7">
      <w:pPr>
        <w:widowControl/>
        <w:shd w:val="clear" w:color="auto" w:fill="FFFFFF"/>
        <w:spacing w:line="340" w:lineRule="exact"/>
        <w:ind w:firstLine="420"/>
        <w:rPr>
          <w:rFonts w:ascii="宋体" w:hAnsi="宋体" w:cs="宋体"/>
          <w:szCs w:val="21"/>
        </w:rPr>
      </w:pPr>
      <w:r>
        <w:rPr>
          <w:rFonts w:hint="eastAsia" w:ascii="宋体" w:hAnsi="宋体" w:cs="宋体"/>
          <w:color w:val="000000" w:themeColor="text1"/>
          <w:kern w:val="0"/>
          <w:szCs w:val="21"/>
          <w:shd w:val="clear" w:color="auto" w:fill="FFFFFF"/>
          <w14:textFill>
            <w14:solidFill>
              <w14:schemeClr w14:val="tx1"/>
            </w14:solidFill>
          </w14:textFill>
        </w:rPr>
        <w:t>附件：《供应商联系信息表》、《采购需求》、《图纸及清单》</w:t>
      </w:r>
    </w:p>
    <w:p w14:paraId="36A569B3">
      <w:pPr>
        <w:spacing w:line="276" w:lineRule="auto"/>
        <w:jc w:val="right"/>
        <w:rPr>
          <w:rFonts w:ascii="宋体" w:hAnsi="宋体" w:cs="宋体"/>
          <w:szCs w:val="21"/>
        </w:rPr>
      </w:pPr>
      <w:r>
        <w:rPr>
          <w:rFonts w:hint="eastAsia" w:ascii="宋体" w:hAnsi="宋体" w:cs="宋体"/>
          <w:szCs w:val="21"/>
        </w:rPr>
        <w:t>盐城市携手阳光集中采购代理有限公司</w:t>
      </w:r>
    </w:p>
    <w:p w14:paraId="38084B5C">
      <w:pPr>
        <w:spacing w:line="276" w:lineRule="auto"/>
        <w:ind w:right="840"/>
        <w:jc w:val="right"/>
        <w:rPr>
          <w:rFonts w:ascii="宋体" w:hAnsi="宋体" w:cs="宋体"/>
          <w:szCs w:val="21"/>
        </w:rPr>
      </w:pPr>
      <w:r>
        <w:rPr>
          <w:rFonts w:hint="eastAsia" w:ascii="宋体" w:hAnsi="宋体" w:cs="宋体"/>
          <w:szCs w:val="21"/>
        </w:rPr>
        <w:t>2024年9月</w:t>
      </w:r>
      <w:r>
        <w:rPr>
          <w:rFonts w:hint="eastAsia" w:ascii="宋体" w:hAnsi="宋体" w:cs="宋体"/>
          <w:szCs w:val="21"/>
          <w:lang w:val="en-US" w:eastAsia="zh-CN"/>
        </w:rPr>
        <w:t>05</w:t>
      </w:r>
      <w:r>
        <w:rPr>
          <w:rFonts w:hint="eastAsia" w:ascii="宋体" w:hAnsi="宋体" w:cs="宋体"/>
          <w:szCs w:val="21"/>
        </w:rPr>
        <w:t>日</w:t>
      </w:r>
      <w:bookmarkStart w:id="51" w:name="_Toc16938518"/>
      <w:bookmarkStart w:id="52" w:name="_Toc436038460"/>
      <w:bookmarkStart w:id="53" w:name="_Toc513029202"/>
      <w:bookmarkStart w:id="54" w:name="_Toc120614213"/>
      <w:bookmarkStart w:id="55" w:name="_Toc403987204"/>
      <w:bookmarkStart w:id="56" w:name="_Toc436018347"/>
      <w:bookmarkStart w:id="57" w:name="_Toc436038552"/>
      <w:bookmarkStart w:id="58" w:name="_Toc436038399"/>
      <w:bookmarkStart w:id="59" w:name="_Toc436039138"/>
      <w:bookmarkStart w:id="60" w:name="_Toc20823274"/>
    </w:p>
    <w:bookmarkEnd w:id="51"/>
    <w:bookmarkEnd w:id="52"/>
    <w:bookmarkEnd w:id="53"/>
    <w:bookmarkEnd w:id="54"/>
    <w:bookmarkEnd w:id="55"/>
    <w:bookmarkEnd w:id="56"/>
    <w:bookmarkEnd w:id="57"/>
    <w:bookmarkEnd w:id="58"/>
    <w:bookmarkEnd w:id="59"/>
    <w:bookmarkEnd w:id="60"/>
    <w:p w14:paraId="1C53A71B">
      <w:pPr>
        <w:spacing w:line="480" w:lineRule="auto"/>
        <w:jc w:val="center"/>
        <w:outlineLvl w:val="0"/>
        <w:rPr>
          <w:rFonts w:ascii="宋体" w:hAnsi="宋体" w:cs="宋体"/>
          <w:b/>
          <w:szCs w:val="28"/>
        </w:rPr>
      </w:pPr>
      <w:r>
        <w:rPr>
          <w:rFonts w:hint="eastAsia"/>
        </w:rPr>
        <w:br w:type="page"/>
      </w:r>
      <w:bookmarkStart w:id="61" w:name="_Toc12165"/>
      <w:bookmarkStart w:id="62" w:name="_Toc6873"/>
      <w:r>
        <w:rPr>
          <w:rFonts w:hint="eastAsia" w:ascii="宋体" w:hAnsi="宋体" w:cs="宋体"/>
          <w:b/>
          <w:sz w:val="32"/>
          <w:szCs w:val="21"/>
        </w:rPr>
        <w:t>第二章  供货商须知</w:t>
      </w:r>
      <w:bookmarkEnd w:id="61"/>
      <w:bookmarkEnd w:id="62"/>
    </w:p>
    <w:p w14:paraId="747DB001">
      <w:pPr>
        <w:spacing w:line="334" w:lineRule="auto"/>
        <w:jc w:val="center"/>
        <w:rPr>
          <w:rFonts w:ascii="宋体" w:hAnsi="宋体" w:cs="宋体"/>
          <w:b/>
          <w:szCs w:val="21"/>
        </w:rPr>
      </w:pPr>
      <w:r>
        <w:rPr>
          <w:rFonts w:hint="eastAsia" w:ascii="宋体" w:hAnsi="宋体" w:cs="宋体"/>
          <w:b/>
          <w:szCs w:val="21"/>
        </w:rPr>
        <w:t>供应商须知资料表</w:t>
      </w:r>
    </w:p>
    <w:p w14:paraId="2A977FDF">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7"/>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14:paraId="0B9FA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1418" w:type="dxa"/>
            <w:vAlign w:val="center"/>
          </w:tcPr>
          <w:p w14:paraId="2B48ADC3">
            <w:pPr>
              <w:spacing w:line="400" w:lineRule="exact"/>
              <w:jc w:val="center"/>
              <w:rPr>
                <w:rFonts w:ascii="宋体" w:hAnsi="宋体" w:cs="宋体"/>
                <w:b/>
                <w:szCs w:val="21"/>
              </w:rPr>
            </w:pPr>
            <w:bookmarkStart w:id="63" w:name="_Hlt26670330"/>
            <w:bookmarkEnd w:id="63"/>
            <w:bookmarkStart w:id="64" w:name="_Hlt26954810"/>
            <w:bookmarkEnd w:id="64"/>
            <w:bookmarkStart w:id="65" w:name="_Hlt26668836"/>
            <w:bookmarkEnd w:id="65"/>
            <w:bookmarkStart w:id="66" w:name="_Hlt26954907"/>
            <w:bookmarkEnd w:id="66"/>
            <w:bookmarkStart w:id="67" w:name="_Hlt26954824"/>
            <w:bookmarkEnd w:id="67"/>
            <w:r>
              <w:rPr>
                <w:rFonts w:hint="eastAsia" w:ascii="宋体" w:hAnsi="宋体" w:cs="宋体"/>
                <w:b/>
                <w:szCs w:val="21"/>
              </w:rPr>
              <w:t>条款号/名称</w:t>
            </w:r>
          </w:p>
        </w:tc>
        <w:tc>
          <w:tcPr>
            <w:tcW w:w="8096" w:type="dxa"/>
            <w:vAlign w:val="center"/>
          </w:tcPr>
          <w:p w14:paraId="30A8414C">
            <w:pPr>
              <w:spacing w:line="400" w:lineRule="exact"/>
              <w:ind w:firstLine="422"/>
              <w:jc w:val="center"/>
              <w:rPr>
                <w:rFonts w:ascii="宋体" w:hAnsi="宋体" w:cs="宋体"/>
                <w:b/>
                <w:szCs w:val="21"/>
              </w:rPr>
            </w:pPr>
            <w:r>
              <w:rPr>
                <w:rFonts w:hint="eastAsia" w:ascii="宋体" w:hAnsi="宋体" w:cs="宋体"/>
                <w:b/>
                <w:szCs w:val="21"/>
              </w:rPr>
              <w:t>内      容</w:t>
            </w:r>
          </w:p>
        </w:tc>
      </w:tr>
      <w:tr w14:paraId="3492F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294CB016">
            <w:pPr>
              <w:spacing w:line="340" w:lineRule="exact"/>
              <w:jc w:val="center"/>
              <w:rPr>
                <w:rFonts w:ascii="宋体" w:hAnsi="宋体" w:cs="宋体"/>
                <w:b/>
                <w:szCs w:val="21"/>
              </w:rPr>
            </w:pPr>
            <w:r>
              <w:rPr>
                <w:rFonts w:hint="eastAsia" w:ascii="宋体" w:hAnsi="宋体" w:cs="宋体"/>
                <w:b/>
                <w:bCs/>
                <w:szCs w:val="21"/>
              </w:rPr>
              <w:t>说明</w:t>
            </w:r>
          </w:p>
        </w:tc>
        <w:tc>
          <w:tcPr>
            <w:tcW w:w="8096" w:type="dxa"/>
            <w:vAlign w:val="center"/>
          </w:tcPr>
          <w:p w14:paraId="3B2FF93A">
            <w:pPr>
              <w:spacing w:line="340" w:lineRule="exact"/>
              <w:ind w:firstLine="422" w:firstLineChars="200"/>
              <w:rPr>
                <w:rFonts w:ascii="宋体" w:hAnsi="宋体" w:cs="宋体"/>
                <w:b/>
                <w:szCs w:val="21"/>
              </w:rPr>
            </w:pPr>
            <w:r>
              <w:rPr>
                <w:rFonts w:hint="eastAsia" w:ascii="宋体" w:hAnsi="宋体" w:cs="宋体"/>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14:paraId="43C5F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17B2D5C5">
            <w:pPr>
              <w:spacing w:line="340" w:lineRule="exact"/>
              <w:jc w:val="center"/>
              <w:rPr>
                <w:rFonts w:ascii="宋体" w:hAnsi="宋体" w:cs="宋体"/>
                <w:b/>
                <w:szCs w:val="21"/>
              </w:rPr>
            </w:pPr>
            <w:r>
              <w:rPr>
                <w:rFonts w:hint="eastAsia" w:ascii="宋体" w:hAnsi="宋体" w:cs="宋体"/>
                <w:b/>
                <w:szCs w:val="21"/>
              </w:rPr>
              <w:t>适用法律</w:t>
            </w:r>
          </w:p>
        </w:tc>
        <w:tc>
          <w:tcPr>
            <w:tcW w:w="8096" w:type="dxa"/>
            <w:vAlign w:val="center"/>
          </w:tcPr>
          <w:p w14:paraId="49B58AF8">
            <w:pPr>
              <w:spacing w:line="340" w:lineRule="exact"/>
              <w:ind w:firstLine="422" w:firstLineChars="200"/>
              <w:rPr>
                <w:rFonts w:ascii="宋体" w:hAnsi="宋体" w:cs="宋体"/>
                <w:b/>
                <w:szCs w:val="21"/>
              </w:rPr>
            </w:pPr>
            <w:r>
              <w:rPr>
                <w:rFonts w:hint="eastAsia" w:ascii="宋体" w:hAnsi="宋体" w:cs="宋体"/>
                <w:b/>
                <w:bCs/>
                <w:szCs w:val="21"/>
              </w:rPr>
              <w:t>本次采购适用于采购人的内控制度（政府采购限额以下项目）。为规范采购活动，携手阳光公司参照政府采购程序组织本次采购活动。</w:t>
            </w:r>
          </w:p>
        </w:tc>
      </w:tr>
      <w:tr w14:paraId="0D92D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1AA2FB06">
            <w:pPr>
              <w:spacing w:line="340" w:lineRule="exact"/>
              <w:jc w:val="center"/>
              <w:rPr>
                <w:rFonts w:ascii="宋体" w:hAnsi="宋体" w:cs="宋体"/>
                <w:b/>
                <w:szCs w:val="21"/>
              </w:rPr>
            </w:pPr>
            <w:r>
              <w:rPr>
                <w:rFonts w:hint="eastAsia" w:ascii="宋体" w:hAnsi="宋体" w:cs="宋体"/>
                <w:b/>
                <w:szCs w:val="21"/>
              </w:rPr>
              <w:t>采购文件</w:t>
            </w:r>
          </w:p>
          <w:p w14:paraId="02DCA050">
            <w:pPr>
              <w:spacing w:line="340" w:lineRule="exact"/>
              <w:jc w:val="center"/>
              <w:rPr>
                <w:rFonts w:ascii="宋体" w:hAnsi="宋体" w:cs="宋体"/>
                <w:b/>
                <w:szCs w:val="21"/>
              </w:rPr>
            </w:pPr>
            <w:r>
              <w:rPr>
                <w:rFonts w:hint="eastAsia" w:ascii="宋体" w:hAnsi="宋体" w:cs="宋体"/>
                <w:b/>
                <w:szCs w:val="21"/>
              </w:rPr>
              <w:t>的约束力</w:t>
            </w:r>
          </w:p>
        </w:tc>
        <w:tc>
          <w:tcPr>
            <w:tcW w:w="8096" w:type="dxa"/>
            <w:vAlign w:val="center"/>
          </w:tcPr>
          <w:p w14:paraId="6E8062DB">
            <w:pPr>
              <w:spacing w:line="340" w:lineRule="exact"/>
              <w:ind w:firstLine="420" w:firstLineChars="200"/>
              <w:rPr>
                <w:rFonts w:ascii="宋体" w:hAnsi="宋体" w:cs="宋体"/>
                <w:szCs w:val="21"/>
              </w:rPr>
            </w:pPr>
            <w:r>
              <w:rPr>
                <w:rFonts w:hint="eastAsia" w:ascii="宋体" w:hAnsi="宋体" w:cs="宋体"/>
                <w:szCs w:val="21"/>
              </w:rPr>
              <w:t>供应商一旦下载了本采购文件并决定参加磋商，即代表供应商已阅读了本采购文件每一条条款，并接受了本采购文件所有的规定和约束。</w:t>
            </w:r>
          </w:p>
        </w:tc>
      </w:tr>
      <w:tr w14:paraId="4DB38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662DFA9A">
            <w:pPr>
              <w:spacing w:line="340" w:lineRule="exact"/>
              <w:jc w:val="center"/>
              <w:rPr>
                <w:rFonts w:ascii="宋体" w:hAnsi="宋体" w:cs="宋体"/>
                <w:b/>
                <w:bCs/>
                <w:szCs w:val="21"/>
              </w:rPr>
            </w:pPr>
            <w:r>
              <w:rPr>
                <w:rFonts w:hint="eastAsia" w:ascii="宋体" w:hAnsi="宋体" w:cs="宋体"/>
                <w:b/>
                <w:bCs/>
                <w:szCs w:val="21"/>
              </w:rPr>
              <w:t>与供应商</w:t>
            </w:r>
          </w:p>
          <w:p w14:paraId="3A08AE30">
            <w:pPr>
              <w:spacing w:line="340" w:lineRule="exact"/>
              <w:jc w:val="center"/>
              <w:rPr>
                <w:rFonts w:ascii="宋体" w:hAnsi="宋体" w:cs="宋体"/>
                <w:b/>
                <w:szCs w:val="21"/>
              </w:rPr>
            </w:pPr>
            <w:r>
              <w:rPr>
                <w:rFonts w:hint="eastAsia" w:ascii="宋体" w:hAnsi="宋体" w:cs="宋体"/>
                <w:b/>
                <w:bCs/>
                <w:szCs w:val="21"/>
              </w:rPr>
              <w:t>的联系</w:t>
            </w:r>
          </w:p>
        </w:tc>
        <w:tc>
          <w:tcPr>
            <w:tcW w:w="8096" w:type="dxa"/>
            <w:vAlign w:val="center"/>
          </w:tcPr>
          <w:p w14:paraId="5FA46A4C">
            <w:pPr>
              <w:spacing w:line="340" w:lineRule="exact"/>
              <w:ind w:firstLine="420" w:firstLineChars="200"/>
              <w:rPr>
                <w:rFonts w:ascii="宋体" w:hAnsi="宋体" w:cs="宋体"/>
                <w:szCs w:val="21"/>
              </w:rPr>
            </w:pPr>
            <w:r>
              <w:rPr>
                <w:rFonts w:hint="eastAsia" w:ascii="宋体" w:hAnsi="宋体" w:cs="宋体"/>
                <w:szCs w:val="21"/>
              </w:rPr>
              <w:t>法律法规中规定采购人、采购代理机构须以书面形式通知供应商的，为提高政府采购效率，采购人、携手阳光公司可以</w:t>
            </w:r>
            <w:r>
              <w:rPr>
                <w:rFonts w:hint="eastAsia" w:ascii="宋体" w:hAnsi="宋体" w:cs="宋体"/>
                <w:bCs/>
                <w:spacing w:val="15"/>
                <w:kern w:val="0"/>
                <w:szCs w:val="21"/>
              </w:rPr>
              <w:t>以电子邮件</w:t>
            </w:r>
            <w:r>
              <w:rPr>
                <w:rFonts w:hint="eastAsia" w:ascii="宋体" w:hAnsi="宋体" w:cs="宋体"/>
                <w:bCs/>
                <w:szCs w:val="21"/>
              </w:rPr>
              <w:t>方式</w:t>
            </w:r>
            <w:r>
              <w:rPr>
                <w:rFonts w:hint="eastAsia" w:ascii="宋体" w:hAnsi="宋体" w:cs="宋体"/>
                <w:szCs w:val="21"/>
              </w:rPr>
              <w:t>通知供应商（视为书面形式）。</w:t>
            </w:r>
            <w:r>
              <w:rPr>
                <w:rFonts w:hint="eastAsia" w:ascii="宋体" w:hAnsi="宋体" w:cs="宋体"/>
                <w:bCs/>
                <w:spacing w:val="15"/>
                <w:kern w:val="0"/>
                <w:szCs w:val="21"/>
              </w:rPr>
              <w:t>本项目采购活动中，</w:t>
            </w:r>
            <w:r>
              <w:rPr>
                <w:rFonts w:hint="eastAsia" w:ascii="宋体" w:hAnsi="宋体" w:cs="宋体"/>
                <w:szCs w:val="21"/>
              </w:rPr>
              <w:t>携手阳光公司的</w:t>
            </w:r>
            <w:r>
              <w:rPr>
                <w:rFonts w:hint="eastAsia" w:ascii="宋体" w:hAnsi="宋体" w:cs="宋体"/>
                <w:bCs/>
                <w:spacing w:val="15"/>
                <w:kern w:val="0"/>
                <w:szCs w:val="21"/>
              </w:rPr>
              <w:t>电子邮箱以采购公告为准（下同</w:t>
            </w:r>
            <w:r>
              <w:rPr>
                <w:rFonts w:hint="eastAsia" w:ascii="宋体" w:hAnsi="宋体" w:cs="宋体"/>
                <w:bCs/>
                <w:szCs w:val="21"/>
              </w:rPr>
              <w:t>）。</w:t>
            </w:r>
          </w:p>
        </w:tc>
      </w:tr>
      <w:tr w14:paraId="6F521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3A07186B">
            <w:pPr>
              <w:spacing w:line="340" w:lineRule="exact"/>
              <w:jc w:val="center"/>
              <w:rPr>
                <w:rFonts w:ascii="宋体" w:hAnsi="宋体" w:cs="宋体"/>
                <w:b/>
                <w:szCs w:val="21"/>
              </w:rPr>
            </w:pPr>
            <w:r>
              <w:rPr>
                <w:rFonts w:hint="eastAsia" w:ascii="宋体" w:hAnsi="宋体" w:cs="宋体"/>
                <w:b/>
                <w:szCs w:val="21"/>
              </w:rPr>
              <w:t>投标有效期</w:t>
            </w:r>
          </w:p>
        </w:tc>
        <w:tc>
          <w:tcPr>
            <w:tcW w:w="8096" w:type="dxa"/>
            <w:vAlign w:val="center"/>
          </w:tcPr>
          <w:p w14:paraId="33BF5DDE">
            <w:pPr>
              <w:spacing w:line="340" w:lineRule="exact"/>
              <w:ind w:firstLine="420" w:firstLineChars="200"/>
              <w:rPr>
                <w:rFonts w:ascii="宋体" w:hAnsi="宋体" w:cs="宋体"/>
                <w:b/>
                <w:szCs w:val="21"/>
              </w:rPr>
            </w:pPr>
            <w:r>
              <w:rPr>
                <w:rFonts w:hint="eastAsia" w:ascii="宋体" w:hAnsi="宋体" w:cs="宋体"/>
                <w:szCs w:val="21"/>
              </w:rPr>
              <w:t>投标有效期（磋商响应有效期）：提交响应文件截止之日起</w:t>
            </w:r>
            <w:r>
              <w:rPr>
                <w:rFonts w:hint="eastAsia" w:ascii="宋体" w:hAnsi="宋体" w:cs="宋体"/>
                <w:szCs w:val="21"/>
                <w:u w:val="single"/>
              </w:rPr>
              <w:t>60个日历日</w:t>
            </w:r>
          </w:p>
        </w:tc>
      </w:tr>
      <w:tr w14:paraId="79221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14:paraId="6C17B5E9">
            <w:pPr>
              <w:spacing w:line="340" w:lineRule="exact"/>
              <w:jc w:val="center"/>
              <w:rPr>
                <w:rFonts w:ascii="宋体" w:hAnsi="宋体" w:cs="宋体"/>
                <w:b/>
                <w:szCs w:val="21"/>
              </w:rPr>
            </w:pPr>
            <w:r>
              <w:rPr>
                <w:rFonts w:hint="eastAsia" w:ascii="宋体" w:hAnsi="宋体" w:cs="宋体"/>
                <w:b/>
                <w:szCs w:val="21"/>
              </w:rPr>
              <w:t>投标（响应）文件份数</w:t>
            </w:r>
          </w:p>
        </w:tc>
        <w:tc>
          <w:tcPr>
            <w:tcW w:w="8096" w:type="dxa"/>
            <w:vAlign w:val="center"/>
          </w:tcPr>
          <w:p w14:paraId="6E92CBC8">
            <w:pPr>
              <w:spacing w:line="340" w:lineRule="exact"/>
              <w:ind w:firstLine="422" w:firstLineChars="200"/>
              <w:rPr>
                <w:rFonts w:ascii="宋体" w:hAnsi="宋体" w:cs="宋体"/>
                <w:szCs w:val="21"/>
              </w:rPr>
            </w:pPr>
            <w:r>
              <w:rPr>
                <w:rFonts w:hint="eastAsia" w:ascii="宋体" w:hAnsi="宋体" w:cs="宋体"/>
                <w:b/>
                <w:szCs w:val="21"/>
                <w:u w:val="single"/>
              </w:rPr>
              <w:t>投标（响应）文件：正本：1份、副本：4份（建议正本与副本分开封装）</w:t>
            </w:r>
          </w:p>
          <w:p w14:paraId="094DBDEC">
            <w:pPr>
              <w:spacing w:line="340" w:lineRule="exact"/>
              <w:ind w:firstLine="422" w:firstLineChars="200"/>
              <w:rPr>
                <w:rFonts w:ascii="宋体" w:hAnsi="宋体" w:cs="宋体"/>
                <w:szCs w:val="21"/>
              </w:rPr>
            </w:pPr>
            <w:r>
              <w:rPr>
                <w:rFonts w:hint="eastAsia" w:ascii="宋体" w:hAnsi="宋体" w:cs="宋体"/>
                <w:b/>
                <w:bCs/>
                <w:szCs w:val="21"/>
              </w:rPr>
              <w:t>除上述文件外，还须递交投标（响应）文件电子文档1份（建议U盘）。</w:t>
            </w:r>
          </w:p>
        </w:tc>
      </w:tr>
      <w:tr w14:paraId="7BFC3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30483B46">
            <w:pPr>
              <w:spacing w:line="340" w:lineRule="exact"/>
              <w:jc w:val="center"/>
              <w:rPr>
                <w:rFonts w:ascii="宋体" w:hAnsi="宋体" w:cs="宋体"/>
                <w:szCs w:val="21"/>
              </w:rPr>
            </w:pPr>
            <w:r>
              <w:rPr>
                <w:rFonts w:hint="eastAsia" w:ascii="宋体" w:hAnsi="宋体" w:cs="宋体"/>
                <w:b/>
                <w:szCs w:val="21"/>
              </w:rPr>
              <w:t>履约保证金</w:t>
            </w:r>
          </w:p>
        </w:tc>
        <w:tc>
          <w:tcPr>
            <w:tcW w:w="8096" w:type="dxa"/>
            <w:vAlign w:val="center"/>
          </w:tcPr>
          <w:p w14:paraId="58227C9B">
            <w:pPr>
              <w:spacing w:line="340" w:lineRule="exact"/>
              <w:ind w:firstLine="420" w:firstLineChars="200"/>
              <w:jc w:val="left"/>
            </w:pPr>
            <w:r>
              <w:rPr>
                <w:rFonts w:hint="eastAsia" w:ascii="宋体" w:hAnsi="宋体" w:cs="宋体"/>
                <w:szCs w:val="21"/>
              </w:rPr>
              <w:t>在签订合同前，中标人需向招标人交纳履约保证金（</w:t>
            </w:r>
            <w:r>
              <w:rPr>
                <w:rFonts w:hint="eastAsia" w:ascii="宋体" w:hAnsi="宋体" w:cs="宋体"/>
                <w:b/>
                <w:bCs/>
                <w:szCs w:val="21"/>
              </w:rPr>
              <w:t>以支票、汇票、本票或者金融机构、担保机构出具的保函等非现金形式提交履约保证金。</w:t>
            </w:r>
            <w:r>
              <w:rPr>
                <w:rFonts w:hint="eastAsia" w:ascii="宋体" w:hAnsi="宋体" w:cs="宋体"/>
                <w:szCs w:val="21"/>
              </w:rPr>
              <w:t>请将履约保证金相关凭证发送至QQ邮箱：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w:t>
            </w:r>
            <w:r>
              <w:rPr>
                <w:rFonts w:hint="eastAsia"/>
                <w:b/>
                <w:bCs/>
              </w:rPr>
              <w:t>具体金额为：中标价的5%</w:t>
            </w:r>
            <w:r>
              <w:rPr>
                <w:rFonts w:hint="eastAsia" w:ascii="宋体" w:hAnsi="宋体" w:cs="宋体"/>
                <w:b/>
                <w:bCs/>
                <w:szCs w:val="21"/>
              </w:rPr>
              <w:t>（须在合同签订之前一次性缴纳至财务处）</w:t>
            </w:r>
            <w:r>
              <w:rPr>
                <w:rFonts w:hint="eastAsia"/>
                <w:b/>
                <w:bCs/>
              </w:rPr>
              <w:t>。</w:t>
            </w:r>
            <w:r>
              <w:rPr>
                <w:rFonts w:hint="eastAsia"/>
              </w:rPr>
              <w:t>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68" w:name="_Toc118235408"/>
          </w:p>
          <w:p w14:paraId="3CA3162D">
            <w:pPr>
              <w:spacing w:line="340" w:lineRule="exact"/>
              <w:ind w:firstLine="422" w:firstLineChars="200"/>
              <w:jc w:val="left"/>
              <w:rPr>
                <w:rFonts w:ascii="宋体" w:hAnsi="宋体" w:cs="宋体"/>
                <w:szCs w:val="21"/>
              </w:rPr>
            </w:pPr>
            <w:r>
              <w:rPr>
                <w:rFonts w:hint="eastAsia" w:ascii="宋体" w:hAnsi="宋体" w:cs="宋体"/>
                <w:b/>
                <w:bCs/>
                <w:szCs w:val="21"/>
              </w:rPr>
              <w:t>具体履约保证金事项详见：《供货商须知》六、合同签订相关事项。</w:t>
            </w:r>
            <w:bookmarkEnd w:id="68"/>
          </w:p>
        </w:tc>
      </w:tr>
      <w:tr w14:paraId="38104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14:paraId="485C17C0">
            <w:pPr>
              <w:spacing w:line="340" w:lineRule="exact"/>
              <w:jc w:val="center"/>
              <w:rPr>
                <w:rFonts w:ascii="宋体" w:hAnsi="宋体" w:cs="宋体"/>
                <w:b/>
                <w:szCs w:val="21"/>
              </w:rPr>
            </w:pPr>
            <w:r>
              <w:rPr>
                <w:rFonts w:hint="eastAsia" w:ascii="宋体" w:hAnsi="宋体" w:cs="宋体"/>
                <w:b/>
                <w:szCs w:val="21"/>
              </w:rPr>
              <w:t>代理服务费</w:t>
            </w:r>
          </w:p>
        </w:tc>
        <w:tc>
          <w:tcPr>
            <w:tcW w:w="8096" w:type="dxa"/>
            <w:vAlign w:val="center"/>
          </w:tcPr>
          <w:p w14:paraId="1C8BDF98">
            <w:pPr>
              <w:spacing w:line="340" w:lineRule="exact"/>
              <w:ind w:firstLine="420"/>
              <w:jc w:val="left"/>
              <w:rPr>
                <w:rFonts w:ascii="宋体" w:hAnsi="宋体" w:cs="宋体"/>
                <w:szCs w:val="21"/>
              </w:rPr>
            </w:pPr>
            <w:r>
              <w:rPr>
                <w:rFonts w:hint="eastAsia" w:ascii="宋体" w:hAnsi="宋体" w:cs="宋体"/>
                <w:szCs w:val="21"/>
              </w:rPr>
              <w:t>代理服务费（中标服务费）：本项目的代理服务费由成交供应商承担。</w:t>
            </w:r>
          </w:p>
          <w:p w14:paraId="4AFC77C5">
            <w:pPr>
              <w:spacing w:line="340" w:lineRule="exact"/>
              <w:ind w:firstLine="420" w:firstLineChars="200"/>
              <w:rPr>
                <w:rFonts w:ascii="宋体" w:hAnsi="宋体" w:cs="宋体"/>
                <w:szCs w:val="21"/>
              </w:rPr>
            </w:pPr>
            <w:r>
              <w:rPr>
                <w:rFonts w:hint="eastAsia" w:ascii="宋体" w:hAnsi="宋体" w:cs="宋体"/>
                <w:szCs w:val="21"/>
              </w:rPr>
              <w:t>代理服务费收费标准：为方便计算，代理服务费参照原《招标代理服务收费管理暂行办法》（计价格[2002]1980号）</w:t>
            </w:r>
            <w:r>
              <w:rPr>
                <w:rFonts w:hint="eastAsia" w:ascii="宋体" w:hAnsi="宋体"/>
              </w:rPr>
              <w:t>收费标准的40%计取（如低于3000元的，按3000元计取）；</w:t>
            </w:r>
          </w:p>
          <w:p w14:paraId="7C7B2D55">
            <w:pPr>
              <w:pStyle w:val="19"/>
              <w:spacing w:line="340" w:lineRule="exact"/>
              <w:ind w:left="0" w:leftChars="0" w:firstLine="422" w:firstLineChars="200"/>
              <w:jc w:val="left"/>
              <w:rPr>
                <w:rFonts w:ascii="宋体" w:hAnsi="宋体" w:cs="宋体"/>
                <w:szCs w:val="21"/>
              </w:rPr>
            </w:pPr>
            <w:r>
              <w:rPr>
                <w:rFonts w:hint="eastAsia" w:ascii="宋体" w:hAnsi="宋体" w:cs="宋体"/>
                <w:b/>
                <w:szCs w:val="21"/>
              </w:rPr>
              <w:t>代理服务费支付形式为：电款、转账等；发票为普通发票。账户信息：开户名：盐城市携手阳光集中采购代理有限公司；开户行：兴业银行盐城分行；账号：402010100100119375）</w:t>
            </w:r>
          </w:p>
        </w:tc>
      </w:tr>
      <w:tr w14:paraId="07743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14:paraId="4EAF33A2">
            <w:pPr>
              <w:spacing w:line="340" w:lineRule="exact"/>
              <w:jc w:val="center"/>
              <w:rPr>
                <w:rFonts w:ascii="宋体" w:hAnsi="宋体" w:cs="宋体"/>
                <w:b/>
                <w:szCs w:val="21"/>
              </w:rPr>
            </w:pPr>
            <w:r>
              <w:rPr>
                <w:rFonts w:hint="eastAsia" w:ascii="宋体" w:hAnsi="宋体" w:cs="宋体"/>
                <w:b/>
                <w:szCs w:val="21"/>
              </w:rPr>
              <w:t>版权所有</w:t>
            </w:r>
          </w:p>
          <w:p w14:paraId="35808CDE">
            <w:pPr>
              <w:spacing w:line="340" w:lineRule="exact"/>
              <w:jc w:val="center"/>
              <w:rPr>
                <w:rFonts w:ascii="宋体" w:hAnsi="宋体" w:cs="宋体"/>
                <w:b/>
                <w:szCs w:val="21"/>
              </w:rPr>
            </w:pPr>
            <w:r>
              <w:rPr>
                <w:rFonts w:hint="eastAsia" w:ascii="宋体" w:hAnsi="宋体" w:cs="宋体"/>
                <w:b/>
                <w:szCs w:val="21"/>
              </w:rPr>
              <w:t>翻版必究</w:t>
            </w:r>
          </w:p>
        </w:tc>
        <w:tc>
          <w:tcPr>
            <w:tcW w:w="8096" w:type="dxa"/>
            <w:vAlign w:val="center"/>
          </w:tcPr>
          <w:p w14:paraId="18FFF1E2">
            <w:pPr>
              <w:spacing w:line="340" w:lineRule="exact"/>
              <w:ind w:firstLine="422" w:firstLineChars="200"/>
              <w:jc w:val="left"/>
              <w:rPr>
                <w:rFonts w:ascii="宋体" w:hAnsi="宋体" w:cs="宋体"/>
                <w:b/>
                <w:szCs w:val="21"/>
              </w:rPr>
            </w:pPr>
            <w:r>
              <w:rPr>
                <w:rFonts w:hint="eastAsia" w:ascii="宋体" w:hAnsi="宋体" w:cs="宋体"/>
                <w:b/>
                <w:szCs w:val="21"/>
              </w:rPr>
              <w:t>携手阳光公司创建之始（2012年），便致力于政府采购业务不断完善和改进。寒窗苦读不易，未经携手阳光公司书面授权，本采购文件内容严禁摘录、引用、传播或用于它处。</w:t>
            </w:r>
          </w:p>
        </w:tc>
      </w:tr>
      <w:tr w14:paraId="1180F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14:paraId="2DA8DC45">
            <w:pPr>
              <w:spacing w:line="340" w:lineRule="exact"/>
              <w:jc w:val="center"/>
              <w:rPr>
                <w:rFonts w:ascii="宋体" w:hAnsi="宋体" w:cs="宋体"/>
                <w:b/>
                <w:szCs w:val="21"/>
              </w:rPr>
            </w:pPr>
            <w:r>
              <w:rPr>
                <w:rFonts w:hint="eastAsia" w:ascii="宋体" w:hAnsi="宋体" w:cs="宋体"/>
                <w:b/>
                <w:szCs w:val="21"/>
              </w:rPr>
              <w:t>CSR</w:t>
            </w:r>
          </w:p>
          <w:p w14:paraId="160D4EDA">
            <w:pPr>
              <w:spacing w:line="340" w:lineRule="exact"/>
              <w:jc w:val="center"/>
              <w:rPr>
                <w:rFonts w:ascii="宋体" w:hAnsi="宋体" w:cs="宋体"/>
                <w:b/>
                <w:szCs w:val="21"/>
              </w:rPr>
            </w:pPr>
            <w:r>
              <w:rPr>
                <w:rFonts w:hint="eastAsia" w:ascii="宋体" w:hAnsi="宋体" w:cs="宋体"/>
                <w:b/>
                <w:szCs w:val="21"/>
              </w:rPr>
              <w:t>企业社会责任</w:t>
            </w:r>
          </w:p>
        </w:tc>
        <w:tc>
          <w:tcPr>
            <w:tcW w:w="8096" w:type="dxa"/>
            <w:vAlign w:val="center"/>
          </w:tcPr>
          <w:p w14:paraId="475EDAC1">
            <w:pPr>
              <w:spacing w:line="340" w:lineRule="exact"/>
              <w:ind w:firstLine="420" w:firstLineChars="200"/>
              <w:rPr>
                <w:rFonts w:ascii="宋体" w:hAnsi="宋体" w:cs="宋体"/>
                <w:szCs w:val="21"/>
              </w:rPr>
            </w:pPr>
            <w:r>
              <w:rPr>
                <w:rFonts w:hint="eastAsia" w:ascii="宋体" w:hAnsi="宋体" w:cs="宋体"/>
                <w:szCs w:val="21"/>
              </w:rPr>
              <w:t>盐城市携手阳光集中采购代理有限公司从成立起，重视社会责任，在第一份招标文件中，就已公开了自己的企业社会责任。</w:t>
            </w:r>
          </w:p>
          <w:p w14:paraId="0AE47910">
            <w:pPr>
              <w:spacing w:line="340" w:lineRule="exact"/>
              <w:ind w:firstLine="420" w:firstLineChars="200"/>
              <w:rPr>
                <w:rFonts w:ascii="宋体" w:hAnsi="宋体" w:cs="宋体"/>
                <w:szCs w:val="21"/>
              </w:rPr>
            </w:pPr>
            <w:r>
              <w:rPr>
                <w:rFonts w:hint="eastAsia" w:ascii="宋体" w:hAnsi="宋体" w:cs="宋体"/>
                <w:szCs w:val="21"/>
              </w:rPr>
              <w:t>绿色环保：我们建议供应商响应文件技术部分使用双面打印，以减少纸张的浪费。</w:t>
            </w:r>
          </w:p>
          <w:p w14:paraId="6889C3A4">
            <w:pPr>
              <w:spacing w:line="340" w:lineRule="exact"/>
              <w:ind w:firstLine="420" w:firstLineChars="200"/>
              <w:rPr>
                <w:rFonts w:ascii="宋体" w:hAnsi="宋体" w:cs="宋体"/>
                <w:szCs w:val="21"/>
              </w:rPr>
            </w:pPr>
            <w:r>
              <w:rPr>
                <w:rFonts w:hint="eastAsia" w:ascii="宋体" w:hAnsi="宋体" w:cs="宋体"/>
                <w:szCs w:val="21"/>
              </w:rPr>
              <w:t>社会公益：我司定期安排拥军拥属以及其它社会公益行为。</w:t>
            </w:r>
          </w:p>
        </w:tc>
      </w:tr>
    </w:tbl>
    <w:p w14:paraId="5CF9AA6E">
      <w:pPr>
        <w:spacing w:line="410" w:lineRule="exact"/>
        <w:jc w:val="center"/>
        <w:rPr>
          <w:rFonts w:ascii="宋体" w:hAnsi="宋体" w:cs="宋体"/>
          <w:b/>
          <w:szCs w:val="21"/>
        </w:rPr>
      </w:pPr>
    </w:p>
    <w:p w14:paraId="12B00168">
      <w:pPr>
        <w:spacing w:line="410" w:lineRule="exact"/>
        <w:ind w:firstLine="422"/>
        <w:jc w:val="center"/>
        <w:rPr>
          <w:rFonts w:ascii="宋体" w:hAnsi="宋体" w:cs="宋体"/>
          <w:b/>
          <w:szCs w:val="21"/>
        </w:rPr>
      </w:pPr>
      <w:r>
        <w:rPr>
          <w:rFonts w:hint="eastAsia" w:ascii="宋体" w:hAnsi="宋体" w:cs="宋体"/>
          <w:b/>
          <w:szCs w:val="21"/>
        </w:rPr>
        <w:t>（参加竞争性磋商的供应商以下简称“磋商供应商”）</w:t>
      </w:r>
    </w:p>
    <w:p w14:paraId="52A291B9">
      <w:pPr>
        <w:spacing w:line="262" w:lineRule="auto"/>
        <w:ind w:firstLine="422"/>
        <w:jc w:val="center"/>
        <w:outlineLvl w:val="1"/>
        <w:rPr>
          <w:rFonts w:ascii="宋体" w:hAnsi="宋体" w:cs="宋体"/>
          <w:b/>
          <w:szCs w:val="21"/>
        </w:rPr>
      </w:pPr>
      <w:bookmarkStart w:id="69" w:name="_Toc118275634"/>
      <w:bookmarkStart w:id="70" w:name="_Toc173404786"/>
      <w:bookmarkStart w:id="71" w:name="_Toc118275514"/>
      <w:bookmarkStart w:id="72" w:name="_Toc107916288"/>
      <w:bookmarkStart w:id="73" w:name="_Toc118275554"/>
      <w:bookmarkStart w:id="74" w:name="_Toc118235409"/>
      <w:r>
        <w:rPr>
          <w:rFonts w:hint="eastAsia" w:ascii="宋体" w:hAnsi="宋体" w:cs="宋体"/>
          <w:b/>
          <w:bCs/>
          <w:szCs w:val="21"/>
        </w:rPr>
        <w:t>一、</w:t>
      </w:r>
      <w:r>
        <w:rPr>
          <w:rFonts w:hint="eastAsia" w:ascii="宋体" w:hAnsi="宋体" w:cs="宋体"/>
          <w:b/>
          <w:szCs w:val="21"/>
        </w:rPr>
        <w:t>总则</w:t>
      </w:r>
      <w:bookmarkEnd w:id="69"/>
      <w:bookmarkEnd w:id="70"/>
      <w:bookmarkEnd w:id="71"/>
      <w:bookmarkEnd w:id="72"/>
      <w:bookmarkEnd w:id="73"/>
      <w:bookmarkEnd w:id="74"/>
    </w:p>
    <w:p w14:paraId="468975C8">
      <w:pPr>
        <w:pStyle w:val="9"/>
        <w:spacing w:line="240" w:lineRule="exact"/>
        <w:ind w:firstLine="420"/>
        <w:rPr>
          <w:rFonts w:ascii="宋体" w:hAnsi="宋体" w:eastAsia="宋体" w:cs="宋体"/>
          <w:sz w:val="21"/>
          <w:szCs w:val="21"/>
        </w:rPr>
      </w:pPr>
    </w:p>
    <w:p w14:paraId="4C168C98">
      <w:pPr>
        <w:spacing w:line="262" w:lineRule="auto"/>
        <w:ind w:firstLine="422"/>
        <w:jc w:val="left"/>
        <w:rPr>
          <w:rFonts w:ascii="宋体" w:hAnsi="宋体" w:cs="宋体"/>
          <w:b/>
          <w:szCs w:val="21"/>
        </w:rPr>
      </w:pPr>
      <w:r>
        <w:rPr>
          <w:rFonts w:hint="eastAsia" w:ascii="宋体" w:hAnsi="宋体" w:cs="宋体"/>
          <w:b/>
          <w:szCs w:val="21"/>
        </w:rPr>
        <w:t>1</w:t>
      </w:r>
      <w:bookmarkStart w:id="75" w:name="_Toc5999"/>
      <w:bookmarkStart w:id="76" w:name="_Toc515647758"/>
      <w:bookmarkStart w:id="77" w:name="_Toc32623"/>
      <w:bookmarkStart w:id="78" w:name="_Toc520356144"/>
      <w:bookmarkStart w:id="79" w:name="_Toc32189"/>
      <w:r>
        <w:rPr>
          <w:rFonts w:hint="eastAsia" w:ascii="宋体" w:hAnsi="宋体" w:cs="宋体"/>
          <w:b/>
          <w:szCs w:val="21"/>
        </w:rPr>
        <w:t>.适用法律、采购方式、采购磋商</w:t>
      </w:r>
    </w:p>
    <w:p w14:paraId="349B1891">
      <w:pPr>
        <w:spacing w:line="262" w:lineRule="auto"/>
        <w:ind w:firstLine="420" w:firstLineChars="200"/>
        <w:rPr>
          <w:rFonts w:ascii="宋体" w:hAnsi="宋体" w:cs="宋体"/>
          <w:szCs w:val="21"/>
        </w:rPr>
      </w:pPr>
      <w:r>
        <w:rPr>
          <w:rFonts w:hint="eastAsia" w:ascii="宋体" w:hAnsi="宋体" w:cs="宋体"/>
          <w:szCs w:val="21"/>
        </w:rPr>
        <w:t>1.1本次采购及由此产生的合同受中华人民共和国有关的法律法规制约和保护。</w:t>
      </w:r>
    </w:p>
    <w:p w14:paraId="5D6F25E6">
      <w:pPr>
        <w:spacing w:line="262" w:lineRule="auto"/>
        <w:ind w:firstLine="420" w:firstLineChars="200"/>
        <w:rPr>
          <w:rFonts w:ascii="宋体" w:hAnsi="宋体" w:cs="宋体"/>
          <w:szCs w:val="21"/>
        </w:rPr>
      </w:pPr>
      <w:r>
        <w:rPr>
          <w:rFonts w:hint="eastAsia" w:ascii="宋体" w:hAnsi="宋体" w:cs="宋体"/>
          <w:szCs w:val="21"/>
        </w:rPr>
        <w:t>1.2本次采购方式为：</w:t>
      </w:r>
      <w:r>
        <w:rPr>
          <w:rFonts w:hint="eastAsia" w:ascii="宋体" w:hAnsi="宋体" w:cs="宋体"/>
          <w:szCs w:val="21"/>
          <w:u w:val="single"/>
        </w:rPr>
        <w:t>磋商</w:t>
      </w:r>
      <w:r>
        <w:rPr>
          <w:rFonts w:hint="eastAsia" w:ascii="宋体" w:hAnsi="宋体" w:cs="宋体"/>
          <w:szCs w:val="21"/>
        </w:rPr>
        <w:t>。</w:t>
      </w:r>
    </w:p>
    <w:p w14:paraId="2B18850E">
      <w:pPr>
        <w:spacing w:line="262" w:lineRule="auto"/>
        <w:ind w:firstLine="420" w:firstLineChars="200"/>
        <w:rPr>
          <w:rFonts w:ascii="宋体" w:hAnsi="宋体" w:cs="宋体"/>
          <w:szCs w:val="21"/>
        </w:rPr>
      </w:pPr>
      <w:r>
        <w:rPr>
          <w:rFonts w:hint="eastAsia" w:ascii="宋体" w:hAnsi="宋体" w:cs="宋体"/>
          <w:szCs w:val="21"/>
        </w:rPr>
        <w:t>1.3采购磋商：略，本项目的采购磋商书同</w:t>
      </w:r>
      <w:r>
        <w:rPr>
          <w:rFonts w:hint="eastAsia" w:ascii="宋体" w:hAnsi="宋体" w:cs="宋体"/>
          <w:szCs w:val="21"/>
          <w:u w:val="single"/>
        </w:rPr>
        <w:t>采购公告</w:t>
      </w:r>
      <w:r>
        <w:rPr>
          <w:rFonts w:hint="eastAsia" w:ascii="宋体" w:hAnsi="宋体" w:cs="宋体"/>
          <w:szCs w:val="21"/>
        </w:rPr>
        <w:t>。</w:t>
      </w:r>
    </w:p>
    <w:p w14:paraId="366BC08D">
      <w:pPr>
        <w:spacing w:line="262" w:lineRule="auto"/>
        <w:ind w:firstLine="422"/>
        <w:jc w:val="left"/>
        <w:rPr>
          <w:rFonts w:ascii="宋体" w:hAnsi="宋体" w:cs="宋体"/>
          <w:b/>
          <w:szCs w:val="21"/>
        </w:rPr>
      </w:pPr>
      <w:r>
        <w:rPr>
          <w:rFonts w:hint="eastAsia" w:ascii="宋体" w:hAnsi="宋体" w:cs="宋体"/>
          <w:b/>
          <w:szCs w:val="21"/>
        </w:rPr>
        <w:t>2.采购人、采购代理机构及</w:t>
      </w:r>
      <w:bookmarkEnd w:id="75"/>
      <w:bookmarkEnd w:id="76"/>
      <w:bookmarkEnd w:id="77"/>
      <w:bookmarkEnd w:id="78"/>
      <w:bookmarkEnd w:id="79"/>
      <w:r>
        <w:rPr>
          <w:rFonts w:hint="eastAsia" w:ascii="宋体" w:hAnsi="宋体" w:cs="宋体"/>
          <w:b/>
          <w:szCs w:val="21"/>
        </w:rPr>
        <w:t>供应商</w:t>
      </w:r>
    </w:p>
    <w:p w14:paraId="76AF56EC">
      <w:pPr>
        <w:spacing w:line="262" w:lineRule="auto"/>
        <w:ind w:firstLine="420" w:firstLineChars="200"/>
        <w:jc w:val="left"/>
        <w:rPr>
          <w:rFonts w:ascii="宋体" w:hAnsi="宋体" w:cs="宋体"/>
          <w:b/>
          <w:szCs w:val="21"/>
        </w:rPr>
      </w:pPr>
      <w:r>
        <w:rPr>
          <w:rFonts w:hint="eastAsia" w:ascii="宋体" w:hAnsi="宋体" w:cs="宋体"/>
          <w:szCs w:val="21"/>
        </w:rPr>
        <w:t>2.1采购人：本项目的采购人见</w:t>
      </w:r>
      <w:r>
        <w:rPr>
          <w:rFonts w:hint="eastAsia" w:ascii="宋体" w:hAnsi="宋体" w:cs="宋体"/>
          <w:bCs/>
          <w:szCs w:val="21"/>
          <w:u w:val="single"/>
        </w:rPr>
        <w:t>采购公告</w:t>
      </w:r>
      <w:r>
        <w:rPr>
          <w:rFonts w:hint="eastAsia" w:ascii="宋体" w:hAnsi="宋体" w:cs="宋体"/>
          <w:szCs w:val="21"/>
        </w:rPr>
        <w:t>。</w:t>
      </w:r>
    </w:p>
    <w:p w14:paraId="49F3E46C">
      <w:pPr>
        <w:spacing w:line="262" w:lineRule="auto"/>
        <w:ind w:firstLine="420" w:firstLineChars="200"/>
        <w:jc w:val="left"/>
        <w:rPr>
          <w:rFonts w:ascii="宋体" w:hAnsi="宋体" w:cs="宋体"/>
          <w:szCs w:val="21"/>
        </w:rPr>
      </w:pPr>
      <w:r>
        <w:rPr>
          <w:rFonts w:hint="eastAsia" w:ascii="宋体" w:hAnsi="宋体" w:cs="宋体"/>
          <w:szCs w:val="21"/>
        </w:rPr>
        <w:t>2.2采购代理机构：盐城市携手阳光集中采购代理有限公司（本次采购活动中可简称：携手阳光公司；携手阳光公司的工作人员，可以简称工作人员）</w:t>
      </w:r>
    </w:p>
    <w:p w14:paraId="35BC6F7B">
      <w:pPr>
        <w:spacing w:line="262" w:lineRule="auto"/>
        <w:ind w:firstLine="420" w:firstLineChars="200"/>
        <w:jc w:val="left"/>
        <w:rPr>
          <w:rFonts w:ascii="宋体" w:hAnsi="宋体" w:cs="宋体"/>
          <w:b/>
          <w:szCs w:val="21"/>
        </w:rPr>
      </w:pPr>
      <w:r>
        <w:rPr>
          <w:rFonts w:hint="eastAsia" w:ascii="宋体" w:hAnsi="宋体" w:cs="宋体"/>
          <w:szCs w:val="21"/>
        </w:rPr>
        <w:t>2.3供应商：是指向采购人提供产品（货物、工程或者服务。下同）的法人、非法人组织或者自然人。</w:t>
      </w:r>
    </w:p>
    <w:p w14:paraId="26B8DF3B">
      <w:pPr>
        <w:spacing w:line="262" w:lineRule="auto"/>
        <w:ind w:firstLine="422" w:firstLineChars="200"/>
        <w:jc w:val="left"/>
        <w:rPr>
          <w:rFonts w:ascii="宋体" w:hAnsi="宋体" w:cs="宋体"/>
          <w:b/>
          <w:szCs w:val="21"/>
        </w:rPr>
      </w:pPr>
      <w:r>
        <w:rPr>
          <w:rFonts w:hint="eastAsia" w:ascii="宋体" w:hAnsi="宋体" w:cs="宋体"/>
          <w:b/>
          <w:szCs w:val="21"/>
        </w:rPr>
        <w:t>2.3.1供应商资格条件</w:t>
      </w:r>
    </w:p>
    <w:p w14:paraId="64475EE6">
      <w:pPr>
        <w:spacing w:line="262" w:lineRule="auto"/>
        <w:ind w:firstLine="420" w:firstLineChars="200"/>
        <w:jc w:val="left"/>
        <w:rPr>
          <w:rFonts w:ascii="宋体" w:hAnsi="宋体" w:cs="宋体"/>
          <w:szCs w:val="21"/>
        </w:rPr>
      </w:pPr>
      <w:r>
        <w:rPr>
          <w:rFonts w:hint="eastAsia" w:ascii="宋体" w:hAnsi="宋体" w:cs="宋体"/>
          <w:szCs w:val="21"/>
        </w:rPr>
        <w:t>2.3.1.1供应商须符合</w:t>
      </w:r>
      <w:r>
        <w:rPr>
          <w:rFonts w:hint="eastAsia" w:ascii="宋体" w:hAnsi="宋体" w:cs="宋体"/>
          <w:bCs/>
          <w:szCs w:val="21"/>
          <w:u w:val="single"/>
        </w:rPr>
        <w:t>采购公告</w:t>
      </w:r>
      <w:r>
        <w:rPr>
          <w:rFonts w:hint="eastAsia" w:ascii="宋体" w:hAnsi="宋体" w:cs="宋体"/>
          <w:bCs/>
          <w:szCs w:val="21"/>
        </w:rPr>
        <w:t>中</w:t>
      </w:r>
      <w:r>
        <w:rPr>
          <w:rFonts w:hint="eastAsia" w:ascii="宋体" w:hAnsi="宋体" w:cs="宋体"/>
          <w:szCs w:val="21"/>
        </w:rPr>
        <w:t>申请人（</w:t>
      </w:r>
      <w:r>
        <w:rPr>
          <w:rFonts w:hint="eastAsia" w:ascii="宋体" w:hAnsi="宋体" w:cs="宋体"/>
          <w:kern w:val="0"/>
          <w:szCs w:val="21"/>
        </w:rPr>
        <w:t>供应商）</w:t>
      </w:r>
      <w:r>
        <w:rPr>
          <w:rFonts w:hint="eastAsia" w:ascii="宋体" w:hAnsi="宋体" w:cs="宋体"/>
          <w:szCs w:val="21"/>
        </w:rPr>
        <w:t>的资格要求；</w:t>
      </w:r>
    </w:p>
    <w:p w14:paraId="63CC212E">
      <w:pPr>
        <w:spacing w:line="262" w:lineRule="auto"/>
        <w:ind w:firstLine="420" w:firstLineChars="200"/>
        <w:rPr>
          <w:rFonts w:ascii="宋体" w:hAnsi="宋体" w:cs="宋体"/>
          <w:szCs w:val="21"/>
        </w:rPr>
      </w:pPr>
      <w:r>
        <w:rPr>
          <w:rFonts w:hint="eastAsia" w:ascii="宋体" w:hAnsi="宋体" w:cs="宋体"/>
          <w:szCs w:val="21"/>
        </w:rPr>
        <w:t>2.3.1.2供应商须以携手阳光公司认可的方式获得了本采购文件；</w:t>
      </w:r>
    </w:p>
    <w:p w14:paraId="17A00F83">
      <w:pPr>
        <w:spacing w:line="262" w:lineRule="auto"/>
        <w:ind w:firstLine="420" w:firstLineChars="200"/>
        <w:rPr>
          <w:rFonts w:ascii="宋体" w:hAnsi="宋体" w:cs="宋体"/>
          <w:szCs w:val="21"/>
        </w:rPr>
      </w:pPr>
      <w:r>
        <w:rPr>
          <w:rFonts w:hint="eastAsia" w:ascii="宋体" w:hAnsi="宋体" w:cs="宋体"/>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14:paraId="17603958">
      <w:pPr>
        <w:spacing w:line="262" w:lineRule="auto"/>
        <w:ind w:firstLine="422"/>
        <w:rPr>
          <w:rFonts w:ascii="宋体" w:hAnsi="宋体" w:cs="宋体"/>
          <w:b/>
          <w:szCs w:val="21"/>
        </w:rPr>
      </w:pPr>
      <w:r>
        <w:rPr>
          <w:rFonts w:hint="eastAsia" w:ascii="宋体" w:hAnsi="宋体" w:cs="宋体"/>
          <w:b/>
          <w:szCs w:val="21"/>
        </w:rPr>
        <w:t>3.</w:t>
      </w:r>
      <w:r>
        <w:rPr>
          <w:rFonts w:hint="eastAsia" w:ascii="宋体" w:hAnsi="宋体" w:cs="宋体"/>
          <w:b/>
          <w:bCs/>
          <w:szCs w:val="21"/>
        </w:rPr>
        <w:t>资金来源、</w:t>
      </w:r>
      <w:r>
        <w:rPr>
          <w:rFonts w:hint="eastAsia" w:ascii="宋体" w:hAnsi="宋体" w:cs="宋体"/>
          <w:b/>
          <w:szCs w:val="21"/>
        </w:rPr>
        <w:t>采购预算、采购需求</w:t>
      </w:r>
    </w:p>
    <w:p w14:paraId="0F78B81E">
      <w:pPr>
        <w:spacing w:line="262" w:lineRule="auto"/>
        <w:ind w:firstLine="420" w:firstLineChars="200"/>
        <w:rPr>
          <w:rFonts w:ascii="宋体" w:hAnsi="宋体" w:cs="宋体"/>
          <w:szCs w:val="21"/>
        </w:rPr>
      </w:pPr>
      <w:r>
        <w:rPr>
          <w:rFonts w:hint="eastAsia" w:ascii="宋体" w:hAnsi="宋体" w:cs="宋体"/>
          <w:szCs w:val="21"/>
        </w:rPr>
        <w:t>3.1本项目的采购人已获得足以支付本次采购后所签订的合同项下的资金。</w:t>
      </w:r>
    </w:p>
    <w:p w14:paraId="11089858">
      <w:pPr>
        <w:spacing w:line="262" w:lineRule="auto"/>
        <w:ind w:firstLine="420" w:firstLineChars="200"/>
        <w:rPr>
          <w:rFonts w:ascii="宋体" w:hAnsi="宋体" w:cs="宋体"/>
          <w:szCs w:val="21"/>
        </w:rPr>
      </w:pPr>
      <w:r>
        <w:rPr>
          <w:rFonts w:hint="eastAsia" w:ascii="宋体" w:hAnsi="宋体" w:cs="宋体"/>
          <w:szCs w:val="21"/>
        </w:rPr>
        <w:t>3.2本项目采购预算</w:t>
      </w:r>
      <w:r>
        <w:rPr>
          <w:rFonts w:hint="eastAsia" w:ascii="宋体" w:hAnsi="宋体" w:cs="宋体"/>
          <w:b/>
          <w:szCs w:val="21"/>
        </w:rPr>
        <w:t>、</w:t>
      </w:r>
      <w:r>
        <w:rPr>
          <w:rFonts w:hint="eastAsia" w:ascii="宋体" w:hAnsi="宋体" w:cs="宋体"/>
          <w:kern w:val="0"/>
          <w:szCs w:val="21"/>
        </w:rPr>
        <w:t>最高限价</w:t>
      </w:r>
      <w:r>
        <w:rPr>
          <w:rFonts w:hint="eastAsia" w:ascii="宋体" w:hAnsi="宋体" w:cs="宋体"/>
          <w:szCs w:val="21"/>
        </w:rPr>
        <w:t>（</w:t>
      </w:r>
      <w:r>
        <w:rPr>
          <w:rFonts w:hint="eastAsia" w:ascii="宋体" w:hAnsi="宋体" w:cs="宋体"/>
          <w:kern w:val="0"/>
          <w:szCs w:val="21"/>
        </w:rPr>
        <w:t>如有）</w:t>
      </w:r>
      <w:r>
        <w:rPr>
          <w:rFonts w:hint="eastAsia" w:ascii="宋体" w:hAnsi="宋体" w:cs="宋体"/>
          <w:szCs w:val="21"/>
        </w:rPr>
        <w:t>见</w:t>
      </w:r>
      <w:r>
        <w:rPr>
          <w:rFonts w:hint="eastAsia" w:ascii="宋体" w:hAnsi="宋体" w:cs="宋体"/>
          <w:bCs/>
          <w:szCs w:val="21"/>
          <w:u w:val="single"/>
        </w:rPr>
        <w:t>采购公告</w:t>
      </w:r>
      <w:r>
        <w:rPr>
          <w:rFonts w:hint="eastAsia" w:ascii="宋体" w:hAnsi="宋体" w:cs="宋体"/>
          <w:szCs w:val="21"/>
        </w:rPr>
        <w:t>。供应商报价超过采购文件规定的预算金额或者最高限价的，其投标将被认定为</w:t>
      </w:r>
      <w:r>
        <w:rPr>
          <w:rFonts w:hint="eastAsia" w:ascii="宋体" w:hAnsi="宋体" w:cs="宋体"/>
          <w:b/>
          <w:bCs/>
          <w:szCs w:val="21"/>
        </w:rPr>
        <w:t>投标无效</w:t>
      </w:r>
      <w:r>
        <w:rPr>
          <w:rFonts w:hint="eastAsia" w:ascii="宋体" w:hAnsi="宋体" w:cs="宋体"/>
          <w:szCs w:val="21"/>
        </w:rPr>
        <w:t>。</w:t>
      </w:r>
    </w:p>
    <w:p w14:paraId="00DF4813">
      <w:pPr>
        <w:spacing w:line="262" w:lineRule="auto"/>
        <w:ind w:firstLine="420" w:firstLineChars="200"/>
        <w:rPr>
          <w:rFonts w:ascii="宋体" w:hAnsi="宋体" w:cs="宋体"/>
          <w:szCs w:val="21"/>
        </w:rPr>
      </w:pPr>
      <w:r>
        <w:rPr>
          <w:rFonts w:hint="eastAsia" w:ascii="宋体" w:hAnsi="宋体" w:cs="宋体"/>
          <w:szCs w:val="21"/>
        </w:rPr>
        <w:t>3.3本项目的</w:t>
      </w:r>
      <w:r>
        <w:rPr>
          <w:rFonts w:hint="eastAsia" w:ascii="宋体" w:hAnsi="宋体" w:cs="宋体"/>
          <w:szCs w:val="21"/>
          <w:u w:val="single"/>
        </w:rPr>
        <w:t>采购需求见本采购文件第3章</w:t>
      </w:r>
      <w:r>
        <w:rPr>
          <w:rFonts w:hint="eastAsia" w:ascii="宋体" w:hAnsi="宋体" w:cs="宋体"/>
          <w:szCs w:val="21"/>
        </w:rPr>
        <w:t>“采购需求及政府采购合同（拟签订的合同文本）”。</w:t>
      </w:r>
    </w:p>
    <w:p w14:paraId="6104C725">
      <w:pPr>
        <w:spacing w:line="262" w:lineRule="auto"/>
        <w:ind w:firstLine="422"/>
        <w:rPr>
          <w:rFonts w:ascii="宋体" w:hAnsi="宋体" w:cs="宋体"/>
          <w:b/>
          <w:szCs w:val="21"/>
        </w:rPr>
      </w:pPr>
      <w:r>
        <w:rPr>
          <w:rFonts w:hint="eastAsia" w:ascii="宋体" w:hAnsi="宋体" w:cs="宋体"/>
          <w:b/>
          <w:szCs w:val="21"/>
        </w:rPr>
        <w:t>4.参加政府采购活动费用</w:t>
      </w:r>
    </w:p>
    <w:p w14:paraId="271C2451">
      <w:pPr>
        <w:spacing w:line="300" w:lineRule="auto"/>
        <w:ind w:firstLine="420" w:firstLineChars="200"/>
        <w:rPr>
          <w:rFonts w:ascii="宋体" w:hAnsi="宋体" w:cs="宋体"/>
          <w:szCs w:val="21"/>
        </w:rPr>
      </w:pPr>
      <w:r>
        <w:rPr>
          <w:rFonts w:hint="eastAsia" w:ascii="宋体" w:hAnsi="宋体" w:cs="宋体"/>
          <w:szCs w:val="21"/>
        </w:rPr>
        <w:t>不论结果如何，供应商应承担所有与准备和参加本次磋商采购有关的费用。采购人及携手阳光公司在任何情况下均无义务和责任承担这些费用。</w:t>
      </w:r>
    </w:p>
    <w:p w14:paraId="718069EA">
      <w:pPr>
        <w:spacing w:line="262" w:lineRule="auto"/>
        <w:ind w:firstLine="422"/>
        <w:rPr>
          <w:rFonts w:ascii="宋体" w:hAnsi="宋体" w:cs="宋体"/>
          <w:b/>
          <w:szCs w:val="21"/>
        </w:rPr>
      </w:pPr>
      <w:r>
        <w:rPr>
          <w:rFonts w:hint="eastAsia" w:ascii="宋体" w:hAnsi="宋体" w:cs="宋体"/>
          <w:b/>
          <w:szCs w:val="21"/>
        </w:rPr>
        <w:t>5.其它有关说明</w:t>
      </w:r>
    </w:p>
    <w:p w14:paraId="5F802BC2">
      <w:pPr>
        <w:spacing w:line="262" w:lineRule="auto"/>
        <w:ind w:firstLine="420" w:firstLineChars="200"/>
        <w:rPr>
          <w:rFonts w:ascii="宋体" w:hAnsi="宋体" w:cs="宋体"/>
          <w:b/>
          <w:szCs w:val="21"/>
        </w:rPr>
      </w:pPr>
      <w:r>
        <w:rPr>
          <w:rFonts w:hint="eastAsia" w:ascii="宋体" w:hAnsi="宋体" w:cs="宋体"/>
          <w:szCs w:val="21"/>
        </w:rPr>
        <w:t>5.1供应商提交的响应文件以及供应商与采购人、携手阳光公司就有关投标的所有来往通知、函件和文件均须使用</w:t>
      </w:r>
      <w:r>
        <w:rPr>
          <w:rFonts w:hint="eastAsia" w:ascii="宋体" w:hAnsi="宋体" w:cs="宋体"/>
          <w:szCs w:val="21"/>
          <w:u w:val="single"/>
        </w:rPr>
        <w:t>简体中文</w:t>
      </w:r>
      <w:r>
        <w:rPr>
          <w:rFonts w:hint="eastAsia" w:ascii="宋体" w:hAnsi="宋体" w:cs="宋体"/>
          <w:b/>
          <w:szCs w:val="21"/>
        </w:rPr>
        <w:t>。</w:t>
      </w:r>
    </w:p>
    <w:p w14:paraId="70032D38">
      <w:pPr>
        <w:spacing w:line="262" w:lineRule="auto"/>
        <w:ind w:firstLine="420" w:firstLineChars="200"/>
        <w:rPr>
          <w:rFonts w:ascii="宋体" w:hAnsi="宋体" w:cs="宋体"/>
          <w:szCs w:val="21"/>
        </w:rPr>
      </w:pPr>
      <w:r>
        <w:rPr>
          <w:rFonts w:hint="eastAsia" w:ascii="宋体" w:hAnsi="宋体" w:cs="宋体"/>
          <w:szCs w:val="21"/>
        </w:rPr>
        <w:t>5.2采购文件中所称的“以上”、“以下”、“内”、“以内”，包括本数；所称的“不足”，不包括本数。</w:t>
      </w:r>
    </w:p>
    <w:p w14:paraId="4D6145EC">
      <w:pPr>
        <w:spacing w:line="262" w:lineRule="auto"/>
        <w:ind w:firstLine="420" w:firstLineChars="200"/>
        <w:rPr>
          <w:rFonts w:ascii="宋体" w:hAnsi="宋体" w:cs="宋体"/>
          <w:szCs w:val="21"/>
        </w:rPr>
      </w:pPr>
      <w:r>
        <w:rPr>
          <w:rFonts w:hint="eastAsia" w:ascii="宋体" w:hAnsi="宋体" w:cs="宋体"/>
          <w:szCs w:val="21"/>
        </w:rPr>
        <w:t>5.3如供应商为非法人单位的，“法定代表人”可为自然人本人、经营者本人、负责人。如供应商为自然人的，可由自然人以签字替代盖章。</w:t>
      </w:r>
    </w:p>
    <w:p w14:paraId="4345CC2A">
      <w:pPr>
        <w:spacing w:line="262" w:lineRule="auto"/>
        <w:ind w:firstLine="420" w:firstLineChars="200"/>
        <w:rPr>
          <w:rFonts w:ascii="宋体" w:hAnsi="宋体" w:cs="宋体"/>
          <w:szCs w:val="21"/>
        </w:rPr>
      </w:pPr>
      <w:r>
        <w:rPr>
          <w:rFonts w:hint="eastAsia" w:ascii="宋体" w:hAnsi="宋体" w:cs="宋体"/>
          <w:szCs w:val="21"/>
        </w:rPr>
        <w:t>5.4本次采购活动（含采购文件）中的产品（货物、服务、工程）包括其相关伴随产品（货物、服务、工程）等为实现采购人采购需要（需求）而涉及的所有产品及事宜。</w:t>
      </w:r>
    </w:p>
    <w:p w14:paraId="097F8F54">
      <w:pPr>
        <w:spacing w:line="262" w:lineRule="auto"/>
        <w:ind w:firstLine="422" w:firstLineChars="200"/>
        <w:rPr>
          <w:rFonts w:ascii="宋体" w:hAnsi="宋体" w:cs="宋体"/>
          <w:b/>
          <w:szCs w:val="21"/>
        </w:rPr>
      </w:pPr>
      <w:r>
        <w:rPr>
          <w:rFonts w:hint="eastAsia" w:ascii="宋体" w:hAnsi="宋体" w:cs="宋体"/>
          <w:b/>
          <w:szCs w:val="21"/>
        </w:rPr>
        <w:t>5.5★特别说明（约定性条款）：</w:t>
      </w:r>
    </w:p>
    <w:p w14:paraId="4B2B9362">
      <w:pPr>
        <w:spacing w:line="262" w:lineRule="auto"/>
        <w:ind w:firstLine="422" w:firstLineChars="200"/>
        <w:rPr>
          <w:rFonts w:ascii="宋体" w:hAnsi="宋体" w:cs="宋体"/>
          <w:b/>
          <w:szCs w:val="21"/>
        </w:rPr>
      </w:pPr>
      <w:r>
        <w:rPr>
          <w:rFonts w:hint="eastAsia" w:ascii="宋体" w:hAnsi="宋体" w:cs="宋体"/>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宋体" w:hAnsi="宋体" w:cs="宋体"/>
          <w:b/>
          <w:spacing w:val="15"/>
          <w:kern w:val="0"/>
          <w:szCs w:val="21"/>
        </w:rPr>
        <w:t>提高采购效率，降低纠错成本的原则，请</w:t>
      </w:r>
      <w:r>
        <w:rPr>
          <w:rFonts w:hint="eastAsia" w:ascii="宋体" w:hAnsi="宋体" w:cs="宋体"/>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14:paraId="24063FA9">
      <w:pPr>
        <w:spacing w:line="262" w:lineRule="auto"/>
        <w:ind w:firstLine="422" w:firstLineChars="200"/>
        <w:rPr>
          <w:rFonts w:ascii="宋体" w:hAnsi="宋体" w:cs="宋体"/>
          <w:b/>
          <w:szCs w:val="21"/>
        </w:rPr>
      </w:pPr>
      <w:r>
        <w:rPr>
          <w:rFonts w:hint="eastAsia" w:ascii="宋体" w:hAnsi="宋体" w:cs="宋体"/>
          <w:b/>
          <w:szCs w:val="21"/>
        </w:rPr>
        <w:t>5.6采购文件的约束力</w:t>
      </w:r>
    </w:p>
    <w:p w14:paraId="298D7ADE">
      <w:pPr>
        <w:spacing w:line="262" w:lineRule="auto"/>
        <w:ind w:firstLine="420" w:firstLineChars="200"/>
        <w:rPr>
          <w:rFonts w:ascii="宋体" w:hAnsi="宋体" w:cs="宋体"/>
          <w:szCs w:val="21"/>
        </w:rPr>
      </w:pPr>
      <w:r>
        <w:rPr>
          <w:rFonts w:hint="eastAsia" w:ascii="宋体" w:hAnsi="宋体" w:cs="宋体"/>
          <w:szCs w:val="21"/>
        </w:rPr>
        <w:t>供应商一旦下载了本采购文件并决定参加投标，即代表供应商接受了本采购文件所有的规定和约束</w:t>
      </w:r>
      <w:bookmarkStart w:id="80" w:name="_Hlt26954830"/>
      <w:bookmarkEnd w:id="80"/>
      <w:bookmarkStart w:id="81" w:name="_Hlt26670345"/>
      <w:bookmarkEnd w:id="81"/>
      <w:bookmarkStart w:id="82" w:name="_Hlt26670348"/>
      <w:bookmarkEnd w:id="82"/>
      <w:bookmarkStart w:id="83" w:name="_Hlt26954832"/>
      <w:bookmarkEnd w:id="83"/>
      <w:bookmarkStart w:id="84" w:name="_Hlt26668969"/>
      <w:bookmarkEnd w:id="84"/>
      <w:bookmarkStart w:id="85" w:name="_Hlt26954828"/>
      <w:bookmarkEnd w:id="85"/>
      <w:bookmarkStart w:id="86" w:name="_Hlt26670354"/>
      <w:bookmarkEnd w:id="86"/>
      <w:bookmarkStart w:id="87" w:name="_Toc14577351"/>
      <w:bookmarkStart w:id="88" w:name="_Toc462564072"/>
      <w:bookmarkStart w:id="89" w:name="_Toc513029213"/>
      <w:bookmarkStart w:id="90" w:name="_Toc61149553"/>
    </w:p>
    <w:p w14:paraId="1157870F">
      <w:pPr>
        <w:pStyle w:val="9"/>
        <w:spacing w:line="240" w:lineRule="exact"/>
        <w:ind w:firstLine="420"/>
        <w:rPr>
          <w:rFonts w:ascii="宋体" w:hAnsi="宋体" w:eastAsia="宋体" w:cs="宋体"/>
          <w:sz w:val="21"/>
          <w:szCs w:val="21"/>
        </w:rPr>
      </w:pPr>
    </w:p>
    <w:p w14:paraId="3011FC56">
      <w:pPr>
        <w:spacing w:line="262" w:lineRule="auto"/>
        <w:ind w:firstLine="422" w:firstLineChars="200"/>
        <w:jc w:val="center"/>
        <w:outlineLvl w:val="1"/>
        <w:rPr>
          <w:rFonts w:ascii="宋体" w:hAnsi="宋体" w:cs="宋体"/>
          <w:b/>
          <w:szCs w:val="21"/>
        </w:rPr>
      </w:pPr>
      <w:bookmarkStart w:id="91" w:name="_Toc118275555"/>
      <w:bookmarkStart w:id="92" w:name="_Toc118275515"/>
      <w:bookmarkStart w:id="93" w:name="_Toc118275635"/>
      <w:bookmarkStart w:id="94" w:name="_Toc118235410"/>
      <w:bookmarkStart w:id="95" w:name="_Toc173404787"/>
      <w:bookmarkStart w:id="96" w:name="_Toc107916289"/>
      <w:r>
        <w:rPr>
          <w:rFonts w:hint="eastAsia" w:ascii="宋体" w:hAnsi="宋体" w:cs="宋体"/>
          <w:b/>
          <w:szCs w:val="21"/>
        </w:rPr>
        <w:t>二、采购文件</w:t>
      </w:r>
      <w:bookmarkEnd w:id="91"/>
      <w:bookmarkEnd w:id="92"/>
      <w:bookmarkEnd w:id="93"/>
      <w:bookmarkEnd w:id="94"/>
      <w:bookmarkEnd w:id="95"/>
      <w:bookmarkEnd w:id="96"/>
    </w:p>
    <w:p w14:paraId="791B4257">
      <w:pPr>
        <w:pStyle w:val="9"/>
        <w:spacing w:line="240" w:lineRule="exact"/>
        <w:ind w:firstLine="420"/>
        <w:rPr>
          <w:rFonts w:ascii="宋体" w:hAnsi="宋体" w:eastAsia="宋体" w:cs="宋体"/>
          <w:sz w:val="21"/>
          <w:szCs w:val="21"/>
        </w:rPr>
      </w:pPr>
    </w:p>
    <w:p w14:paraId="7E5B465D">
      <w:pPr>
        <w:spacing w:line="262" w:lineRule="auto"/>
        <w:ind w:firstLine="422"/>
        <w:rPr>
          <w:rFonts w:ascii="宋体" w:hAnsi="宋体" w:cs="宋体"/>
          <w:b/>
          <w:szCs w:val="21"/>
        </w:rPr>
      </w:pPr>
      <w:r>
        <w:rPr>
          <w:rFonts w:hint="eastAsia" w:ascii="宋体" w:hAnsi="宋体" w:cs="宋体"/>
          <w:b/>
          <w:szCs w:val="21"/>
        </w:rPr>
        <w:t>1.采购文件构成</w:t>
      </w:r>
    </w:p>
    <w:p w14:paraId="2C48B9E4">
      <w:pPr>
        <w:spacing w:line="262" w:lineRule="auto"/>
        <w:ind w:firstLine="420"/>
        <w:rPr>
          <w:rFonts w:ascii="宋体" w:hAnsi="宋体" w:cs="宋体"/>
          <w:b/>
          <w:szCs w:val="21"/>
        </w:rPr>
      </w:pPr>
      <w:r>
        <w:rPr>
          <w:rFonts w:hint="eastAsia" w:ascii="宋体" w:hAnsi="宋体" w:cs="宋体"/>
          <w:szCs w:val="21"/>
        </w:rPr>
        <w:t>1.1采购文件共5章，内容如下：</w:t>
      </w:r>
    </w:p>
    <w:p w14:paraId="28775990">
      <w:pPr>
        <w:spacing w:line="262" w:lineRule="auto"/>
        <w:ind w:firstLine="420"/>
        <w:rPr>
          <w:rFonts w:ascii="宋体" w:hAnsi="宋体" w:cs="宋体"/>
          <w:b/>
          <w:szCs w:val="21"/>
        </w:rPr>
      </w:pPr>
      <w:r>
        <w:rPr>
          <w:rFonts w:hint="eastAsia" w:ascii="宋体" w:hAnsi="宋体" w:cs="宋体"/>
          <w:szCs w:val="21"/>
        </w:rPr>
        <w:t>第1章  采购公告（采购磋商）</w:t>
      </w:r>
    </w:p>
    <w:p w14:paraId="17915CAC">
      <w:pPr>
        <w:spacing w:line="262" w:lineRule="auto"/>
        <w:ind w:firstLine="420"/>
        <w:rPr>
          <w:rFonts w:ascii="宋体" w:hAnsi="宋体" w:cs="宋体"/>
          <w:b/>
          <w:szCs w:val="21"/>
        </w:rPr>
      </w:pPr>
      <w:r>
        <w:rPr>
          <w:rFonts w:hint="eastAsia" w:ascii="宋体" w:hAnsi="宋体" w:cs="宋体"/>
          <w:szCs w:val="21"/>
        </w:rPr>
        <w:t xml:space="preserve">    第2章  供货商须知</w:t>
      </w:r>
    </w:p>
    <w:p w14:paraId="0F23ADB0">
      <w:pPr>
        <w:spacing w:line="262" w:lineRule="auto"/>
        <w:ind w:firstLine="420"/>
        <w:rPr>
          <w:rFonts w:ascii="宋体" w:hAnsi="宋体" w:cs="宋体"/>
          <w:szCs w:val="21"/>
          <w:highlight w:val="yellow"/>
        </w:rPr>
      </w:pPr>
      <w:r>
        <w:rPr>
          <w:rFonts w:hint="eastAsia" w:ascii="宋体" w:hAnsi="宋体" w:cs="宋体"/>
          <w:szCs w:val="21"/>
        </w:rPr>
        <w:t xml:space="preserve">    第3章  采购需求及政府采购合同（拟签订的合同文本）</w:t>
      </w:r>
    </w:p>
    <w:p w14:paraId="26819C44">
      <w:pPr>
        <w:spacing w:line="262" w:lineRule="auto"/>
        <w:ind w:firstLine="420"/>
        <w:rPr>
          <w:rFonts w:ascii="宋体" w:hAnsi="宋体" w:cs="宋体"/>
          <w:szCs w:val="21"/>
        </w:rPr>
      </w:pPr>
      <w:r>
        <w:rPr>
          <w:rFonts w:hint="eastAsia" w:ascii="宋体" w:hAnsi="宋体" w:cs="宋体"/>
          <w:szCs w:val="21"/>
        </w:rPr>
        <w:t xml:space="preserve">    第4章  评审方法和标准（主要部分）</w:t>
      </w:r>
    </w:p>
    <w:p w14:paraId="6069C375">
      <w:pPr>
        <w:spacing w:line="262" w:lineRule="auto"/>
        <w:ind w:firstLine="420"/>
        <w:rPr>
          <w:rFonts w:ascii="宋体" w:hAnsi="宋体" w:cs="宋体"/>
          <w:szCs w:val="21"/>
        </w:rPr>
      </w:pPr>
      <w:r>
        <w:rPr>
          <w:rFonts w:hint="eastAsia" w:ascii="宋体" w:hAnsi="宋体" w:cs="宋体"/>
          <w:szCs w:val="21"/>
        </w:rPr>
        <w:t xml:space="preserve">    第5章  投标（响应）文件格式</w:t>
      </w:r>
    </w:p>
    <w:p w14:paraId="641FCC37">
      <w:pPr>
        <w:spacing w:line="262" w:lineRule="auto"/>
        <w:ind w:left="785" w:leftChars="199" w:hanging="367" w:hangingChars="175"/>
        <w:rPr>
          <w:rFonts w:ascii="宋体" w:hAnsi="宋体" w:cs="宋体"/>
          <w:szCs w:val="21"/>
        </w:rPr>
      </w:pPr>
      <w:r>
        <w:rPr>
          <w:rFonts w:hint="eastAsia" w:ascii="宋体" w:hAnsi="宋体" w:cs="宋体"/>
          <w:szCs w:val="21"/>
        </w:rPr>
        <w:t>请供应商仔细检查采购文件是否齐全，如有缺漏请立即与</w:t>
      </w:r>
      <w:r>
        <w:rPr>
          <w:rFonts w:hint="eastAsia" w:ascii="宋体" w:hAnsi="宋体" w:cs="宋体"/>
          <w:bCs/>
          <w:szCs w:val="21"/>
        </w:rPr>
        <w:t>携手阳光公司</w:t>
      </w:r>
      <w:r>
        <w:rPr>
          <w:rFonts w:hint="eastAsia" w:ascii="宋体" w:hAnsi="宋体" w:cs="宋体"/>
          <w:szCs w:val="21"/>
        </w:rPr>
        <w:t>联系。</w:t>
      </w:r>
    </w:p>
    <w:p w14:paraId="2321D7D2">
      <w:pPr>
        <w:tabs>
          <w:tab w:val="left" w:pos="0"/>
        </w:tabs>
        <w:spacing w:line="262" w:lineRule="auto"/>
        <w:ind w:firstLine="420" w:firstLineChars="200"/>
        <w:rPr>
          <w:rFonts w:ascii="宋体" w:hAnsi="宋体" w:cs="宋体"/>
          <w:szCs w:val="21"/>
        </w:rPr>
      </w:pPr>
      <w:r>
        <w:rPr>
          <w:rFonts w:hint="eastAsia" w:ascii="宋体" w:hAnsi="宋体" w:cs="宋体"/>
          <w:szCs w:val="21"/>
        </w:rPr>
        <w:t>1.2如本采购文件的前后内容不一致，以最后描述为准。</w:t>
      </w:r>
    </w:p>
    <w:p w14:paraId="1CA4BFBC">
      <w:pPr>
        <w:tabs>
          <w:tab w:val="left" w:pos="0"/>
        </w:tabs>
        <w:spacing w:line="262" w:lineRule="auto"/>
        <w:ind w:firstLine="420" w:firstLineChars="200"/>
        <w:rPr>
          <w:rFonts w:ascii="宋体" w:hAnsi="宋体" w:cs="宋体"/>
          <w:szCs w:val="21"/>
        </w:rPr>
      </w:pPr>
      <w:r>
        <w:rPr>
          <w:rFonts w:hint="eastAsia" w:ascii="宋体" w:hAnsi="宋体" w:cs="宋体"/>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宋体" w:hAnsi="宋体" w:cs="宋体"/>
          <w:b/>
          <w:bCs/>
          <w:szCs w:val="21"/>
        </w:rPr>
        <w:t>投标无效</w:t>
      </w:r>
      <w:r>
        <w:rPr>
          <w:rFonts w:hint="eastAsia" w:ascii="宋体" w:hAnsi="宋体" w:cs="宋体"/>
          <w:szCs w:val="21"/>
        </w:rPr>
        <w:t>。</w:t>
      </w:r>
      <w:bookmarkStart w:id="97" w:name="_Toc515904805"/>
      <w:bookmarkStart w:id="98" w:name="_Toc26044"/>
      <w:bookmarkStart w:id="99" w:name="_Toc1922"/>
      <w:bookmarkStart w:id="100" w:name="_Toc9232"/>
    </w:p>
    <w:p w14:paraId="5BD3893F">
      <w:pPr>
        <w:tabs>
          <w:tab w:val="left" w:pos="0"/>
        </w:tabs>
        <w:spacing w:line="262" w:lineRule="auto"/>
        <w:ind w:firstLine="422"/>
        <w:rPr>
          <w:rFonts w:ascii="宋体" w:hAnsi="宋体" w:cs="宋体"/>
          <w:b/>
          <w:bCs/>
          <w:szCs w:val="21"/>
        </w:rPr>
      </w:pPr>
      <w:r>
        <w:rPr>
          <w:rFonts w:hint="eastAsia" w:ascii="宋体" w:hAnsi="宋体" w:cs="宋体"/>
          <w:b/>
          <w:bCs/>
          <w:szCs w:val="21"/>
        </w:rPr>
        <w:t>2.</w:t>
      </w:r>
      <w:r>
        <w:rPr>
          <w:rFonts w:hint="eastAsia" w:ascii="宋体" w:hAnsi="宋体" w:cs="宋体"/>
          <w:b/>
          <w:szCs w:val="21"/>
        </w:rPr>
        <w:t>采购文件</w:t>
      </w:r>
      <w:r>
        <w:rPr>
          <w:rFonts w:hint="eastAsia" w:ascii="宋体" w:hAnsi="宋体" w:cs="宋体"/>
          <w:b/>
          <w:bCs/>
          <w:szCs w:val="21"/>
        </w:rPr>
        <w:t>的澄清</w:t>
      </w:r>
      <w:bookmarkEnd w:id="97"/>
      <w:r>
        <w:rPr>
          <w:rFonts w:hint="eastAsia" w:ascii="宋体" w:hAnsi="宋体" w:cs="宋体"/>
          <w:b/>
          <w:bCs/>
          <w:szCs w:val="21"/>
        </w:rPr>
        <w:t>与修改</w:t>
      </w:r>
      <w:bookmarkEnd w:id="98"/>
      <w:bookmarkEnd w:id="99"/>
      <w:bookmarkEnd w:id="100"/>
    </w:p>
    <w:p w14:paraId="4BAD7550">
      <w:pPr>
        <w:spacing w:line="262" w:lineRule="auto"/>
        <w:ind w:firstLine="420" w:firstLineChars="200"/>
        <w:rPr>
          <w:rFonts w:ascii="宋体" w:hAnsi="宋体" w:cs="宋体"/>
          <w:szCs w:val="21"/>
        </w:rPr>
      </w:pPr>
      <w:bookmarkStart w:id="101" w:name="_Toc515904806"/>
      <w:r>
        <w:rPr>
          <w:rFonts w:hint="eastAsia" w:ascii="宋体" w:hAnsi="宋体" w:cs="宋体"/>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14:paraId="7D757FD3">
      <w:pPr>
        <w:spacing w:line="262" w:lineRule="auto"/>
        <w:ind w:firstLine="420" w:firstLineChars="200"/>
        <w:rPr>
          <w:rFonts w:ascii="宋体" w:hAnsi="宋体" w:cs="宋体"/>
          <w:szCs w:val="21"/>
        </w:rPr>
      </w:pPr>
      <w:r>
        <w:rPr>
          <w:rFonts w:hint="eastAsia" w:ascii="宋体" w:hAnsi="宋体" w:cs="宋体"/>
          <w:szCs w:val="21"/>
        </w:rPr>
        <w:t>2.2澄清或者修改的内容可能影响响应文件编制的，携手阳光公司将以书面形式通知所有购买采购文件的潜在供应商，并对其具有约束力。</w:t>
      </w:r>
      <w:r>
        <w:rPr>
          <w:rFonts w:hint="eastAsia" w:ascii="宋体" w:hAnsi="宋体" w:cs="宋体"/>
          <w:b/>
          <w:bCs/>
          <w:szCs w:val="21"/>
        </w:rPr>
        <w:t>供应商在收到上述通知后，应及时向采购代理机构回函确认，否视为该供应商已接受</w:t>
      </w:r>
      <w:r>
        <w:rPr>
          <w:rFonts w:hint="eastAsia" w:ascii="宋体" w:hAnsi="宋体" w:cs="宋体"/>
          <w:szCs w:val="21"/>
        </w:rPr>
        <w:t xml:space="preserve">。 </w:t>
      </w:r>
    </w:p>
    <w:p w14:paraId="69C850EB">
      <w:pPr>
        <w:spacing w:line="262" w:lineRule="auto"/>
        <w:ind w:firstLine="420" w:firstLineChars="200"/>
        <w:rPr>
          <w:rFonts w:ascii="宋体" w:hAnsi="宋体" w:cs="宋体"/>
          <w:szCs w:val="21"/>
        </w:rPr>
      </w:pPr>
      <w:r>
        <w:rPr>
          <w:rFonts w:hint="eastAsia" w:ascii="宋体" w:hAnsi="宋体" w:cs="宋体"/>
          <w:szCs w:val="21"/>
        </w:rPr>
        <w:t>2.3</w:t>
      </w:r>
      <w:bookmarkStart w:id="102" w:name="_Toc14569"/>
      <w:bookmarkStart w:id="103" w:name="_Toc12448"/>
      <w:bookmarkStart w:id="104" w:name="_Toc25635"/>
      <w:r>
        <w:rPr>
          <w:rFonts w:hint="eastAsia" w:ascii="宋体" w:hAnsi="宋体" w:cs="宋体"/>
          <w:szCs w:val="21"/>
        </w:rPr>
        <w:t>对没有加盖公章或非实名方式的询问、要求澄清等任何非实名的来函（信息），采购人、携手 阳光公司均有权</w:t>
      </w:r>
      <w:r>
        <w:rPr>
          <w:rFonts w:hint="eastAsia" w:ascii="宋体" w:hAnsi="宋体" w:cs="宋体"/>
          <w:b/>
          <w:szCs w:val="21"/>
        </w:rPr>
        <w:t>视为与本次采购活动无关而不予接收或受理</w:t>
      </w:r>
      <w:r>
        <w:rPr>
          <w:rFonts w:hint="eastAsia" w:ascii="宋体" w:hAnsi="宋体" w:cs="宋体"/>
          <w:szCs w:val="21"/>
        </w:rPr>
        <w:t>。采购人、携手阳光公司</w:t>
      </w:r>
      <w:r>
        <w:rPr>
          <w:rFonts w:hint="eastAsia" w:ascii="宋体" w:hAnsi="宋体" w:cs="宋体"/>
          <w:b/>
          <w:szCs w:val="21"/>
        </w:rPr>
        <w:t>仅对加盖公章的书面形式回复负责</w:t>
      </w:r>
      <w:r>
        <w:rPr>
          <w:rFonts w:hint="eastAsia" w:ascii="宋体" w:hAnsi="宋体" w:cs="宋体"/>
          <w:szCs w:val="21"/>
        </w:rPr>
        <w:t>，采购人或携手阳光公司不承担电话问答、口头问答等非书面形式回复的有效性。</w:t>
      </w:r>
    </w:p>
    <w:bookmarkEnd w:id="101"/>
    <w:p w14:paraId="2B48BBA1">
      <w:pPr>
        <w:spacing w:line="262" w:lineRule="auto"/>
        <w:ind w:firstLine="422"/>
        <w:rPr>
          <w:rFonts w:ascii="宋体" w:hAnsi="宋体" w:cs="宋体"/>
          <w:b/>
          <w:szCs w:val="21"/>
        </w:rPr>
      </w:pPr>
      <w:r>
        <w:rPr>
          <w:rFonts w:hint="eastAsia" w:ascii="宋体" w:hAnsi="宋体" w:cs="宋体"/>
          <w:b/>
          <w:bCs/>
          <w:szCs w:val="21"/>
        </w:rPr>
        <w:t>3.</w:t>
      </w:r>
      <w:r>
        <w:rPr>
          <w:rFonts w:hint="eastAsia" w:ascii="宋体" w:hAnsi="宋体" w:cs="宋体"/>
          <w:b/>
          <w:szCs w:val="21"/>
        </w:rPr>
        <w:t xml:space="preserve"> 提交响应文件截止时间</w:t>
      </w:r>
      <w:r>
        <w:rPr>
          <w:rFonts w:hint="eastAsia" w:ascii="宋体" w:hAnsi="宋体" w:cs="宋体"/>
          <w:b/>
          <w:bCs/>
          <w:szCs w:val="21"/>
        </w:rPr>
        <w:t>的顺延</w:t>
      </w:r>
      <w:bookmarkEnd w:id="102"/>
      <w:bookmarkEnd w:id="103"/>
      <w:bookmarkEnd w:id="104"/>
    </w:p>
    <w:p w14:paraId="42CAA732">
      <w:pPr>
        <w:spacing w:line="262" w:lineRule="auto"/>
        <w:ind w:firstLine="420" w:firstLineChars="200"/>
        <w:rPr>
          <w:rFonts w:ascii="宋体" w:hAnsi="宋体" w:cs="宋体"/>
          <w:szCs w:val="21"/>
        </w:rPr>
      </w:pPr>
      <w:r>
        <w:rPr>
          <w:rFonts w:hint="eastAsia" w:ascii="宋体" w:hAnsi="宋体" w:cs="宋体"/>
          <w:szCs w:val="21"/>
        </w:rPr>
        <w:t>为使供应商准备投标时有足够的时间对采购文件的澄清或者修改部分进行研究，采购人将依法决定是否顺延提交响应文件截止时间。</w:t>
      </w:r>
    </w:p>
    <w:p w14:paraId="0363A553">
      <w:pPr>
        <w:pStyle w:val="9"/>
        <w:spacing w:line="240" w:lineRule="exact"/>
        <w:ind w:firstLine="420"/>
        <w:rPr>
          <w:rFonts w:ascii="宋体" w:hAnsi="宋体" w:eastAsia="宋体" w:cs="宋体"/>
          <w:sz w:val="21"/>
          <w:szCs w:val="21"/>
        </w:rPr>
      </w:pPr>
    </w:p>
    <w:p w14:paraId="4497E9ED">
      <w:pPr>
        <w:spacing w:line="262" w:lineRule="auto"/>
        <w:ind w:firstLine="422"/>
        <w:jc w:val="center"/>
        <w:outlineLvl w:val="1"/>
        <w:rPr>
          <w:rFonts w:ascii="宋体" w:hAnsi="宋体" w:cs="宋体"/>
          <w:b/>
          <w:szCs w:val="21"/>
        </w:rPr>
      </w:pPr>
      <w:bookmarkStart w:id="105" w:name="_Toc173404788"/>
      <w:bookmarkStart w:id="106" w:name="_Toc118235411"/>
      <w:bookmarkStart w:id="107" w:name="_Toc118275556"/>
      <w:bookmarkStart w:id="108" w:name="_Toc118275636"/>
      <w:bookmarkStart w:id="109" w:name="_Toc118275516"/>
      <w:bookmarkStart w:id="110" w:name="_Toc107916290"/>
      <w:r>
        <w:rPr>
          <w:rFonts w:hint="eastAsia" w:ascii="宋体" w:hAnsi="宋体" w:cs="宋体"/>
          <w:b/>
          <w:szCs w:val="21"/>
        </w:rPr>
        <w:t>三、</w:t>
      </w:r>
      <w:bookmarkEnd w:id="87"/>
      <w:bookmarkEnd w:id="88"/>
      <w:bookmarkEnd w:id="89"/>
      <w:bookmarkEnd w:id="90"/>
      <w:r>
        <w:rPr>
          <w:rFonts w:hint="eastAsia" w:ascii="宋体" w:hAnsi="宋体" w:cs="宋体"/>
          <w:b/>
          <w:szCs w:val="21"/>
        </w:rPr>
        <w:t>响应文件编制要求及保证金</w:t>
      </w:r>
      <w:bookmarkEnd w:id="105"/>
      <w:bookmarkEnd w:id="106"/>
      <w:bookmarkEnd w:id="107"/>
      <w:bookmarkEnd w:id="108"/>
      <w:bookmarkEnd w:id="109"/>
      <w:bookmarkEnd w:id="110"/>
    </w:p>
    <w:p w14:paraId="6972F653">
      <w:pPr>
        <w:pStyle w:val="9"/>
        <w:spacing w:line="240" w:lineRule="exact"/>
        <w:ind w:firstLine="420"/>
        <w:rPr>
          <w:rFonts w:ascii="宋体" w:hAnsi="宋体" w:eastAsia="宋体" w:cs="宋体"/>
          <w:sz w:val="21"/>
          <w:szCs w:val="21"/>
        </w:rPr>
      </w:pPr>
    </w:p>
    <w:p w14:paraId="2795C303">
      <w:pPr>
        <w:spacing w:line="262" w:lineRule="auto"/>
        <w:ind w:firstLine="422"/>
        <w:rPr>
          <w:rFonts w:ascii="宋体" w:hAnsi="宋体" w:cs="宋体"/>
          <w:b/>
          <w:szCs w:val="21"/>
        </w:rPr>
      </w:pPr>
      <w:r>
        <w:rPr>
          <w:rFonts w:hint="eastAsia" w:ascii="宋体" w:hAnsi="宋体" w:cs="宋体"/>
          <w:b/>
          <w:szCs w:val="21"/>
        </w:rPr>
        <w:t>1.投标范围及响应文件中标准和计量单位的使用</w:t>
      </w:r>
    </w:p>
    <w:p w14:paraId="5E8E70A4">
      <w:pPr>
        <w:spacing w:line="262" w:lineRule="auto"/>
        <w:ind w:firstLine="420" w:firstLineChars="200"/>
        <w:rPr>
          <w:rFonts w:ascii="宋体" w:hAnsi="宋体" w:cs="宋体"/>
          <w:b/>
          <w:szCs w:val="21"/>
        </w:rPr>
      </w:pPr>
      <w:r>
        <w:rPr>
          <w:rFonts w:hint="eastAsia" w:ascii="宋体" w:hAnsi="宋体" w:cs="宋体"/>
          <w:szCs w:val="21"/>
        </w:rPr>
        <w:t>1.1如“采购需求”中没有限定，供应商可对采购文件其中某一个或几个采购包进行投标。</w:t>
      </w:r>
    </w:p>
    <w:p w14:paraId="1B651F85">
      <w:pPr>
        <w:spacing w:line="262" w:lineRule="auto"/>
        <w:ind w:firstLine="420" w:firstLineChars="200"/>
        <w:rPr>
          <w:rFonts w:ascii="宋体" w:hAnsi="宋体" w:cs="宋体"/>
          <w:szCs w:val="21"/>
        </w:rPr>
      </w:pPr>
      <w:r>
        <w:rPr>
          <w:rFonts w:hint="eastAsia" w:ascii="宋体" w:hAnsi="宋体" w:cs="宋体"/>
          <w:szCs w:val="21"/>
        </w:rPr>
        <w:t>1.2本项目按采购包确定成交供应商。供应商应当对所投采购包中“采购需求”所列的所有内容进行投标，如仅响应某一包中的部分内容，其该包投标将被认定为</w:t>
      </w:r>
      <w:r>
        <w:rPr>
          <w:rFonts w:hint="eastAsia" w:ascii="宋体" w:hAnsi="宋体" w:cs="宋体"/>
          <w:b/>
          <w:bCs/>
          <w:szCs w:val="21"/>
        </w:rPr>
        <w:t>投标无效</w:t>
      </w:r>
      <w:r>
        <w:rPr>
          <w:rFonts w:hint="eastAsia" w:ascii="宋体" w:hAnsi="宋体" w:cs="宋体"/>
          <w:szCs w:val="21"/>
        </w:rPr>
        <w:t>。</w:t>
      </w:r>
    </w:p>
    <w:p w14:paraId="76ABE586">
      <w:pPr>
        <w:spacing w:line="262" w:lineRule="auto"/>
        <w:ind w:firstLine="420" w:firstLineChars="200"/>
        <w:rPr>
          <w:rFonts w:ascii="宋体" w:hAnsi="宋体" w:cs="宋体"/>
          <w:b/>
          <w:szCs w:val="21"/>
        </w:rPr>
      </w:pPr>
      <w:r>
        <w:rPr>
          <w:rFonts w:hint="eastAsia" w:ascii="宋体" w:hAnsi="宋体" w:cs="宋体"/>
          <w:szCs w:val="21"/>
        </w:rPr>
        <w:t>1.3无论采购文件是否要求，供应商所投产品均应符合国家强制性标准。除采购文件中有特殊要求外，响应文件中所使用的计量单位，应采用中华人民共和国法定计量单位。</w:t>
      </w:r>
      <w:bookmarkStart w:id="111" w:name="_Ref467306195"/>
      <w:bookmarkStart w:id="112" w:name="_Toc516367022"/>
      <w:bookmarkStart w:id="113" w:name="_Ref467306676"/>
      <w:bookmarkStart w:id="114" w:name="_Toc520356152"/>
      <w:bookmarkStart w:id="115" w:name="_Toc28307"/>
      <w:bookmarkStart w:id="116" w:name="_Toc10364"/>
      <w:bookmarkStart w:id="117" w:name="_Toc18692"/>
      <w:bookmarkStart w:id="118" w:name="_Toc515647768"/>
    </w:p>
    <w:p w14:paraId="3BCB8710">
      <w:pPr>
        <w:spacing w:line="262" w:lineRule="auto"/>
        <w:ind w:firstLine="422"/>
        <w:rPr>
          <w:rFonts w:ascii="宋体" w:hAnsi="宋体" w:cs="宋体"/>
          <w:szCs w:val="21"/>
        </w:rPr>
      </w:pPr>
      <w:r>
        <w:rPr>
          <w:rFonts w:hint="eastAsia" w:ascii="宋体" w:hAnsi="宋体" w:cs="宋体"/>
          <w:b/>
          <w:szCs w:val="21"/>
        </w:rPr>
        <w:t>2.投标</w:t>
      </w:r>
      <w:bookmarkEnd w:id="111"/>
      <w:bookmarkEnd w:id="112"/>
      <w:bookmarkEnd w:id="113"/>
      <w:r>
        <w:rPr>
          <w:rFonts w:hint="eastAsia" w:ascii="宋体" w:hAnsi="宋体" w:cs="宋体"/>
          <w:b/>
          <w:szCs w:val="21"/>
        </w:rPr>
        <w:t>（响应）文件构成</w:t>
      </w:r>
      <w:bookmarkEnd w:id="114"/>
      <w:bookmarkEnd w:id="115"/>
      <w:bookmarkEnd w:id="116"/>
      <w:bookmarkEnd w:id="117"/>
      <w:bookmarkEnd w:id="118"/>
    </w:p>
    <w:p w14:paraId="10DFE9EE">
      <w:pPr>
        <w:spacing w:line="262" w:lineRule="auto"/>
        <w:ind w:firstLine="420" w:firstLineChars="200"/>
        <w:rPr>
          <w:rFonts w:ascii="宋体" w:hAnsi="宋体" w:cs="宋体"/>
          <w:b/>
          <w:szCs w:val="21"/>
        </w:rPr>
      </w:pPr>
      <w:r>
        <w:rPr>
          <w:rFonts w:hint="eastAsia" w:ascii="宋体" w:hAnsi="宋体" w:cs="宋体"/>
          <w:szCs w:val="21"/>
        </w:rPr>
        <w:t>2.1供应商应完整地按采购文件提供的响应文件格式及要求编写响应文件，响应文件应装订成册，分别密封递交。供应商应承担封装失误产生的任何后果。</w:t>
      </w:r>
    </w:p>
    <w:p w14:paraId="3730683C">
      <w:pPr>
        <w:spacing w:line="262" w:lineRule="auto"/>
        <w:ind w:firstLine="420" w:firstLineChars="200"/>
        <w:rPr>
          <w:rFonts w:ascii="宋体" w:hAnsi="宋体" w:cs="宋体"/>
          <w:szCs w:val="21"/>
        </w:rPr>
      </w:pPr>
      <w:r>
        <w:rPr>
          <w:rFonts w:hint="eastAsia" w:ascii="宋体" w:hAnsi="宋体" w:cs="宋体"/>
          <w:szCs w:val="21"/>
        </w:rPr>
        <w:t>2.2上述文件应按照采购文件规定的格式填写、签署和盖章</w:t>
      </w:r>
      <w:bookmarkStart w:id="119" w:name="_Toc516367023"/>
      <w:bookmarkStart w:id="120" w:name="_Toc515647769"/>
      <w:bookmarkStart w:id="121" w:name="_Toc4601"/>
      <w:bookmarkStart w:id="122" w:name="_Toc13143"/>
      <w:bookmarkStart w:id="123" w:name="_Toc10379"/>
      <w:bookmarkStart w:id="124" w:name="_Toc520356153"/>
      <w:r>
        <w:rPr>
          <w:rFonts w:hint="eastAsia" w:ascii="宋体" w:hAnsi="宋体" w:cs="宋体"/>
          <w:szCs w:val="21"/>
        </w:rPr>
        <w:t>（法定印章。不包括发票等业务专用章）。</w:t>
      </w:r>
    </w:p>
    <w:p w14:paraId="68194EF4">
      <w:pPr>
        <w:spacing w:line="262" w:lineRule="auto"/>
        <w:ind w:firstLine="422" w:firstLineChars="200"/>
        <w:rPr>
          <w:rFonts w:ascii="宋体" w:hAnsi="宋体" w:cs="宋体"/>
          <w:b/>
          <w:szCs w:val="21"/>
        </w:rPr>
      </w:pPr>
      <w:r>
        <w:rPr>
          <w:rFonts w:hint="eastAsia" w:ascii="宋体" w:hAnsi="宋体" w:cs="宋体"/>
          <w:b/>
          <w:szCs w:val="21"/>
        </w:rPr>
        <w:t>2.3供应商应当遵循格式规范、便于查找的原则编辑响应文件目录（如：《评分索引表》等）。如响应文件出现目录（含页码）编辑错误、漏页或缺页等情况，后果由供应商承担（含承担</w:t>
      </w:r>
      <w:r>
        <w:rPr>
          <w:rFonts w:hint="eastAsia" w:ascii="宋体" w:hAnsi="宋体" w:cs="宋体"/>
          <w:b/>
          <w:szCs w:val="21"/>
          <w:shd w:val="clear" w:color="auto" w:fill="FFFFFF"/>
        </w:rPr>
        <w:t>过错赔偿等）</w:t>
      </w:r>
      <w:r>
        <w:rPr>
          <w:rFonts w:hint="eastAsia" w:ascii="宋体" w:hAnsi="宋体" w:cs="宋体"/>
          <w:b/>
          <w:szCs w:val="21"/>
        </w:rPr>
        <w:t>。</w:t>
      </w:r>
    </w:p>
    <w:p w14:paraId="0388F044">
      <w:pPr>
        <w:spacing w:line="262" w:lineRule="auto"/>
        <w:ind w:firstLine="422"/>
        <w:rPr>
          <w:rFonts w:ascii="宋体" w:hAnsi="宋体" w:cs="宋体"/>
          <w:b/>
          <w:szCs w:val="21"/>
        </w:rPr>
      </w:pPr>
      <w:r>
        <w:rPr>
          <w:rFonts w:hint="eastAsia" w:ascii="宋体" w:hAnsi="宋体" w:cs="宋体"/>
          <w:b/>
          <w:szCs w:val="21"/>
        </w:rPr>
        <w:t>3.证明投标标的的合格性和符合采购文件规定的技术文件（响应文件）</w:t>
      </w:r>
    </w:p>
    <w:p w14:paraId="00DF7304">
      <w:pPr>
        <w:spacing w:line="262" w:lineRule="auto"/>
        <w:ind w:firstLine="420" w:firstLineChars="200"/>
        <w:rPr>
          <w:rFonts w:ascii="宋体" w:hAnsi="宋体" w:cs="宋体"/>
          <w:szCs w:val="21"/>
        </w:rPr>
      </w:pPr>
      <w:r>
        <w:rPr>
          <w:rFonts w:hint="eastAsia" w:ascii="宋体" w:hAnsi="宋体" w:cs="宋体"/>
          <w:szCs w:val="21"/>
        </w:rPr>
        <w:t>3.1供应商应提交证明文件，证明其投标内容（产品）符合采购文件规定。该证明文件是投标（响应）文件的一部分。</w:t>
      </w:r>
    </w:p>
    <w:p w14:paraId="4474A41E">
      <w:pPr>
        <w:spacing w:line="262" w:lineRule="auto"/>
        <w:ind w:firstLine="420" w:firstLineChars="200"/>
        <w:rPr>
          <w:rFonts w:ascii="宋体" w:hAnsi="宋体" w:cs="宋体"/>
          <w:szCs w:val="21"/>
        </w:rPr>
      </w:pPr>
      <w:r>
        <w:rPr>
          <w:rFonts w:hint="eastAsia" w:ascii="宋体" w:hAnsi="宋体" w:cs="宋体"/>
          <w:szCs w:val="21"/>
        </w:rPr>
        <w:t>3.2上款所述的证明文件，可以是文字资料、图纸和数据，它包括：</w:t>
      </w:r>
    </w:p>
    <w:p w14:paraId="61899A6C">
      <w:pPr>
        <w:spacing w:line="262" w:lineRule="auto"/>
        <w:ind w:firstLine="420" w:firstLineChars="200"/>
        <w:rPr>
          <w:rFonts w:ascii="宋体" w:hAnsi="宋体" w:cs="宋体"/>
          <w:szCs w:val="21"/>
        </w:rPr>
      </w:pPr>
      <w:r>
        <w:rPr>
          <w:rFonts w:hint="eastAsia" w:ascii="宋体" w:hAnsi="宋体" w:cs="宋体"/>
          <w:szCs w:val="21"/>
        </w:rPr>
        <w:t>3.2.1产品主要技术指标和性能的详细说明；</w:t>
      </w:r>
    </w:p>
    <w:p w14:paraId="334CC67F">
      <w:pPr>
        <w:spacing w:line="262" w:lineRule="auto"/>
        <w:ind w:firstLine="420" w:firstLineChars="200"/>
        <w:rPr>
          <w:rFonts w:ascii="宋体" w:hAnsi="宋体" w:cs="宋体"/>
          <w:szCs w:val="21"/>
        </w:rPr>
      </w:pPr>
      <w:r>
        <w:rPr>
          <w:rFonts w:hint="eastAsia" w:ascii="宋体" w:hAnsi="宋体" w:cs="宋体"/>
          <w:szCs w:val="21"/>
        </w:rPr>
        <w:t>3.2.2产品从买方开始使用至采购文件规定的保质期内正常、连续地使用所必须的各项费用价格。</w:t>
      </w:r>
    </w:p>
    <w:p w14:paraId="4FC20693">
      <w:pPr>
        <w:spacing w:line="262" w:lineRule="auto"/>
        <w:ind w:firstLine="420" w:firstLineChars="200"/>
        <w:rPr>
          <w:rFonts w:ascii="宋体" w:hAnsi="宋体" w:cs="宋体"/>
          <w:szCs w:val="21"/>
        </w:rPr>
      </w:pPr>
      <w:r>
        <w:rPr>
          <w:rFonts w:hint="eastAsia" w:ascii="宋体" w:hAnsi="宋体" w:cs="宋体"/>
          <w:szCs w:val="21"/>
        </w:rPr>
        <w:t>3.2.3对照采购文件技术规格，逐条说明所提供产品[含其相关伴随产品（货物、服务、工程）等]已对采购文件的技术规格做出了实质性的响应，或申明与技术规格条文的偏差和例外。</w:t>
      </w:r>
    </w:p>
    <w:p w14:paraId="5DA85FE8">
      <w:pPr>
        <w:spacing w:line="262" w:lineRule="auto"/>
        <w:ind w:firstLine="422" w:firstLineChars="200"/>
        <w:rPr>
          <w:rFonts w:ascii="宋体" w:hAnsi="宋体" w:cs="宋体"/>
          <w:szCs w:val="21"/>
        </w:rPr>
      </w:pPr>
      <w:r>
        <w:rPr>
          <w:rFonts w:hint="eastAsia" w:ascii="宋体" w:hAnsi="宋体" w:cs="宋体"/>
          <w:b/>
          <w:szCs w:val="21"/>
        </w:rPr>
        <w:t>供应商证明材料非简体中文的，供应商须同时提供简体中文翻译说明并加盖公章，否评审人员有权仅按简体中文部分评审。</w:t>
      </w:r>
    </w:p>
    <w:p w14:paraId="2900AEAD">
      <w:pPr>
        <w:spacing w:line="262" w:lineRule="auto"/>
        <w:ind w:firstLine="420" w:firstLineChars="200"/>
        <w:rPr>
          <w:rFonts w:ascii="宋体" w:hAnsi="宋体" w:cs="宋体"/>
          <w:b/>
          <w:szCs w:val="21"/>
        </w:rPr>
      </w:pPr>
      <w:r>
        <w:rPr>
          <w:rFonts w:hint="eastAsia" w:ascii="宋体" w:hAnsi="宋体" w:cs="宋体"/>
          <w:szCs w:val="21"/>
        </w:rPr>
        <w:t>3.3</w:t>
      </w:r>
      <w:r>
        <w:rPr>
          <w:rFonts w:hint="eastAsia" w:ascii="宋体" w:hAnsi="宋体" w:cs="宋体"/>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14:paraId="691D0E6E">
      <w:pPr>
        <w:ind w:firstLine="422"/>
        <w:rPr>
          <w:rFonts w:ascii="宋体" w:hAnsi="宋体" w:cs="宋体"/>
          <w:b/>
          <w:szCs w:val="21"/>
        </w:rPr>
      </w:pPr>
      <w:r>
        <w:rPr>
          <w:rFonts w:hint="eastAsia" w:ascii="宋体" w:hAnsi="宋体" w:cs="宋体"/>
          <w:b/>
          <w:szCs w:val="21"/>
        </w:rPr>
        <w:t>4.价格构成（报价要求）</w:t>
      </w:r>
    </w:p>
    <w:p w14:paraId="18B1DF32">
      <w:pPr>
        <w:spacing w:line="262" w:lineRule="auto"/>
        <w:ind w:firstLine="422" w:firstLineChars="200"/>
        <w:rPr>
          <w:rFonts w:ascii="宋体" w:hAnsi="宋体" w:cs="宋体"/>
          <w:b/>
          <w:szCs w:val="21"/>
        </w:rPr>
      </w:pPr>
      <w:r>
        <w:rPr>
          <w:rFonts w:hint="eastAsia" w:ascii="宋体" w:hAnsi="宋体" w:cs="宋体"/>
          <w:b/>
          <w:szCs w:val="21"/>
        </w:rPr>
        <w:t>4.1所有投标（报价）均以人民币报价。</w:t>
      </w:r>
    </w:p>
    <w:p w14:paraId="5009B07D">
      <w:pPr>
        <w:spacing w:line="262" w:lineRule="auto"/>
        <w:ind w:firstLine="420" w:firstLineChars="200"/>
        <w:rPr>
          <w:rFonts w:ascii="宋体" w:hAnsi="宋体" w:cs="宋体"/>
          <w:b/>
          <w:szCs w:val="21"/>
        </w:rPr>
      </w:pPr>
      <w:r>
        <w:rPr>
          <w:rFonts w:hint="eastAsia" w:ascii="宋体" w:hAnsi="宋体" w:cs="宋体"/>
          <w:szCs w:val="21"/>
        </w:rPr>
        <w:t>供应商的报价应遵守《中华人民共和国价格法》。同时，根据《中华人民共和国政府采购法》第二条的规定，为保证公平竞争，如有主体投标标的的赠与行为，其投标将被认定为</w:t>
      </w:r>
      <w:r>
        <w:rPr>
          <w:rFonts w:hint="eastAsia" w:ascii="宋体" w:hAnsi="宋体" w:cs="宋体"/>
          <w:b/>
          <w:bCs/>
          <w:szCs w:val="21"/>
        </w:rPr>
        <w:t>投标无效</w:t>
      </w:r>
      <w:r>
        <w:rPr>
          <w:rFonts w:hint="eastAsia" w:ascii="宋体" w:hAnsi="宋体" w:cs="宋体"/>
          <w:szCs w:val="21"/>
        </w:rPr>
        <w:t>。</w:t>
      </w:r>
    </w:p>
    <w:p w14:paraId="6D172CC1">
      <w:pPr>
        <w:spacing w:line="262" w:lineRule="auto"/>
        <w:ind w:firstLine="422" w:firstLineChars="200"/>
        <w:rPr>
          <w:rFonts w:ascii="宋体" w:hAnsi="宋体" w:cs="宋体"/>
          <w:b/>
          <w:szCs w:val="21"/>
        </w:rPr>
      </w:pPr>
      <w:r>
        <w:rPr>
          <w:rFonts w:hint="eastAsia" w:ascii="宋体" w:hAnsi="宋体" w:cs="宋体"/>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14:paraId="4BCDF199">
      <w:pPr>
        <w:spacing w:line="262" w:lineRule="auto"/>
        <w:ind w:firstLine="420" w:firstLineChars="200"/>
        <w:rPr>
          <w:rFonts w:ascii="宋体" w:hAnsi="宋体" w:cs="宋体"/>
          <w:szCs w:val="21"/>
        </w:rPr>
      </w:pPr>
      <w:r>
        <w:rPr>
          <w:rFonts w:hint="eastAsia" w:ascii="宋体" w:hAnsi="宋体" w:cs="宋体"/>
          <w:szCs w:val="21"/>
        </w:rPr>
        <w:t>4.2供应商应按照采购文件规定格式填写报价一览表(报价表)、分项报价表以及相关内容。</w:t>
      </w:r>
    </w:p>
    <w:p w14:paraId="12A0D5C6">
      <w:pPr>
        <w:spacing w:line="262" w:lineRule="auto"/>
        <w:ind w:firstLine="420" w:firstLineChars="200"/>
        <w:rPr>
          <w:rFonts w:ascii="宋体" w:hAnsi="宋体" w:cs="宋体"/>
          <w:szCs w:val="21"/>
        </w:rPr>
      </w:pPr>
      <w:r>
        <w:rPr>
          <w:rFonts w:hint="eastAsia" w:ascii="宋体" w:hAnsi="宋体" w:cs="宋体"/>
          <w:szCs w:val="21"/>
        </w:rPr>
        <w:t>如果报价一览表（报价表）内容与分项报价表内容不一致的，以报价一览表（报价表）内容为准。供应商报价大写金额和小写金额不一致的，以大写金额为准。</w:t>
      </w:r>
    </w:p>
    <w:p w14:paraId="52525857">
      <w:pPr>
        <w:spacing w:line="262" w:lineRule="auto"/>
        <w:ind w:firstLine="420" w:firstLineChars="200"/>
        <w:rPr>
          <w:rFonts w:ascii="宋体" w:hAnsi="宋体" w:cs="宋体"/>
          <w:szCs w:val="21"/>
        </w:rPr>
      </w:pPr>
      <w:r>
        <w:rPr>
          <w:rFonts w:hint="eastAsia" w:ascii="宋体" w:hAnsi="宋体" w:cs="宋体"/>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宋体" w:hAnsi="宋体" w:cs="宋体"/>
          <w:b/>
          <w:bCs/>
          <w:szCs w:val="21"/>
        </w:rPr>
        <w:t>投标无效</w:t>
      </w:r>
      <w:r>
        <w:rPr>
          <w:rFonts w:hint="eastAsia" w:ascii="宋体" w:hAnsi="宋体" w:cs="宋体"/>
          <w:szCs w:val="21"/>
        </w:rPr>
        <w:t>。</w:t>
      </w:r>
    </w:p>
    <w:p w14:paraId="7E47D947">
      <w:pPr>
        <w:spacing w:line="262" w:lineRule="auto"/>
        <w:ind w:firstLine="420" w:firstLineChars="200"/>
        <w:rPr>
          <w:rFonts w:ascii="宋体" w:hAnsi="宋体" w:cs="宋体"/>
          <w:szCs w:val="21"/>
        </w:rPr>
      </w:pPr>
      <w:r>
        <w:rPr>
          <w:rFonts w:hint="eastAsia" w:ascii="宋体" w:hAnsi="宋体" w:cs="宋体"/>
          <w:szCs w:val="21"/>
        </w:rPr>
        <w:t>每种产品只能有一个投标报价，任何有选择的报价将不予接受 (如有备选配件，备选配件的报价不属于有选择的报价)。采购人不接受具有附加条件的报价。</w:t>
      </w:r>
    </w:p>
    <w:p w14:paraId="0765ACC6">
      <w:pPr>
        <w:spacing w:line="262" w:lineRule="auto"/>
        <w:ind w:firstLine="422" w:firstLineChars="200"/>
        <w:rPr>
          <w:rFonts w:ascii="宋体" w:hAnsi="宋体" w:cs="宋体"/>
          <w:b/>
          <w:szCs w:val="21"/>
        </w:rPr>
      </w:pPr>
      <w:r>
        <w:rPr>
          <w:rFonts w:hint="eastAsia" w:ascii="宋体" w:hAnsi="宋体" w:cs="宋体"/>
          <w:b/>
          <w:szCs w:val="21"/>
        </w:rPr>
        <w:t>供应商分项报价表内容应当全面完整，充分体现其报价的组成。</w:t>
      </w:r>
    </w:p>
    <w:p w14:paraId="2B93FEB6">
      <w:pPr>
        <w:spacing w:line="262" w:lineRule="auto"/>
        <w:ind w:firstLine="420" w:firstLineChars="200"/>
        <w:rPr>
          <w:rFonts w:ascii="宋体" w:hAnsi="宋体" w:cs="宋体"/>
          <w:szCs w:val="21"/>
        </w:rPr>
      </w:pPr>
      <w:r>
        <w:rPr>
          <w:rFonts w:hint="eastAsia" w:ascii="宋体" w:hAnsi="宋体" w:cs="宋体"/>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14:paraId="6CB9755A">
      <w:pPr>
        <w:spacing w:line="262" w:lineRule="auto"/>
        <w:ind w:firstLine="420" w:firstLineChars="200"/>
        <w:rPr>
          <w:rFonts w:ascii="宋体" w:hAnsi="宋体" w:cs="宋体"/>
          <w:szCs w:val="21"/>
        </w:rPr>
      </w:pPr>
      <w:r>
        <w:rPr>
          <w:rFonts w:hint="eastAsia" w:ascii="宋体" w:hAnsi="宋体" w:cs="宋体"/>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14:paraId="56872DDA">
      <w:pPr>
        <w:spacing w:line="262" w:lineRule="auto"/>
        <w:ind w:firstLine="422"/>
        <w:rPr>
          <w:rFonts w:ascii="宋体" w:hAnsi="宋体" w:cs="宋体"/>
          <w:b/>
          <w:szCs w:val="21"/>
        </w:rPr>
      </w:pPr>
      <w:r>
        <w:rPr>
          <w:rFonts w:hint="eastAsia" w:ascii="宋体" w:hAnsi="宋体" w:cs="宋体"/>
          <w:b/>
          <w:szCs w:val="21"/>
        </w:rPr>
        <w:t>5.保证金（磋商保证金）及供应商过错赔偿（不予退还保证金的情形）</w:t>
      </w:r>
    </w:p>
    <w:p w14:paraId="5180D73E">
      <w:pPr>
        <w:spacing w:line="262" w:lineRule="auto"/>
        <w:ind w:firstLine="422" w:firstLineChars="200"/>
        <w:rPr>
          <w:rFonts w:ascii="宋体" w:hAnsi="宋体" w:cs="宋体"/>
          <w:b/>
          <w:szCs w:val="21"/>
        </w:rPr>
      </w:pPr>
      <w:r>
        <w:rPr>
          <w:rFonts w:hint="eastAsia" w:ascii="宋体" w:hAnsi="宋体" w:cs="宋体"/>
          <w:b/>
          <w:szCs w:val="21"/>
        </w:rPr>
        <w:t>5.1保证金交纳数额和形式</w:t>
      </w:r>
    </w:p>
    <w:p w14:paraId="661F8712">
      <w:pPr>
        <w:spacing w:line="262" w:lineRule="auto"/>
        <w:ind w:firstLine="422" w:firstLineChars="200"/>
        <w:rPr>
          <w:rFonts w:ascii="宋体" w:hAnsi="宋体" w:cs="宋体"/>
          <w:b/>
          <w:szCs w:val="21"/>
        </w:rPr>
      </w:pPr>
      <w:r>
        <w:rPr>
          <w:rFonts w:hint="eastAsia" w:ascii="宋体" w:hAnsi="宋体" w:cs="宋体"/>
          <w:b/>
          <w:szCs w:val="21"/>
        </w:rPr>
        <w:t>保证金交纳数额和形式见</w:t>
      </w:r>
      <w:r>
        <w:rPr>
          <w:rFonts w:hint="eastAsia" w:ascii="宋体" w:hAnsi="宋体" w:cs="宋体"/>
          <w:b/>
          <w:szCs w:val="21"/>
          <w:u w:val="single"/>
        </w:rPr>
        <w:t>采购公告</w:t>
      </w:r>
      <w:r>
        <w:rPr>
          <w:rFonts w:hint="eastAsia" w:ascii="宋体" w:hAnsi="宋体" w:cs="宋体"/>
          <w:b/>
          <w:szCs w:val="21"/>
        </w:rPr>
        <w:t>。供应商应当按照采购公告的要求提交（交纳。下同）保证金。供应商未按照采购公告要求提交保证金的，投标（响应）无效。</w:t>
      </w:r>
    </w:p>
    <w:p w14:paraId="12C45FFD">
      <w:pPr>
        <w:spacing w:line="262" w:lineRule="auto"/>
        <w:ind w:firstLine="420" w:firstLineChars="200"/>
        <w:rPr>
          <w:rFonts w:ascii="宋体" w:hAnsi="宋体" w:cs="宋体"/>
          <w:szCs w:val="21"/>
        </w:rPr>
      </w:pPr>
      <w:r>
        <w:rPr>
          <w:rFonts w:hint="eastAsia" w:ascii="宋体" w:hAnsi="宋体" w:cs="宋体"/>
          <w:szCs w:val="21"/>
        </w:rPr>
        <w:t xml:space="preserve">5.2成交公告发布后，供应商应及时到携手阳光公司办理退还手续（如：提供账户信息、收据等），否视为因供应商自身原因导致无法及时退还。 </w:t>
      </w:r>
    </w:p>
    <w:p w14:paraId="628F7F44">
      <w:pPr>
        <w:spacing w:line="262" w:lineRule="auto"/>
        <w:ind w:firstLine="422" w:firstLineChars="200"/>
        <w:rPr>
          <w:rFonts w:ascii="宋体" w:hAnsi="宋体" w:cs="宋体"/>
          <w:b/>
          <w:szCs w:val="21"/>
        </w:rPr>
      </w:pPr>
      <w:r>
        <w:rPr>
          <w:rFonts w:hint="eastAsia" w:ascii="宋体" w:hAnsi="宋体" w:cs="宋体"/>
          <w:b/>
          <w:szCs w:val="21"/>
        </w:rPr>
        <w:t>5.3供应商有下列情形之一的，视为</w:t>
      </w:r>
      <w:r>
        <w:rPr>
          <w:rFonts w:hint="eastAsia" w:ascii="宋体" w:hAnsi="宋体" w:cs="宋体"/>
          <w:b/>
          <w:szCs w:val="21"/>
          <w:shd w:val="clear" w:color="auto" w:fill="FFFFFF"/>
        </w:rPr>
        <w:t>因</w:t>
      </w:r>
      <w:r>
        <w:rPr>
          <w:rFonts w:hint="eastAsia" w:ascii="宋体" w:hAnsi="宋体" w:cs="宋体"/>
          <w:b/>
          <w:szCs w:val="21"/>
        </w:rPr>
        <w:t>供应商</w:t>
      </w:r>
      <w:r>
        <w:rPr>
          <w:rFonts w:hint="eastAsia" w:ascii="宋体" w:hAnsi="宋体" w:cs="宋体"/>
          <w:b/>
          <w:szCs w:val="21"/>
          <w:shd w:val="clear" w:color="auto" w:fill="FFFFFF"/>
        </w:rPr>
        <w:t>过错且造成</w:t>
      </w:r>
      <w:r>
        <w:rPr>
          <w:rFonts w:hint="eastAsia" w:ascii="宋体" w:hAnsi="宋体" w:cs="宋体"/>
          <w:b/>
          <w:szCs w:val="21"/>
        </w:rPr>
        <w:t>携手阳光公司</w:t>
      </w:r>
      <w:r>
        <w:rPr>
          <w:rFonts w:hint="eastAsia" w:ascii="宋体" w:hAnsi="宋体" w:cs="宋体"/>
          <w:b/>
          <w:szCs w:val="21"/>
          <w:shd w:val="clear" w:color="auto" w:fill="FFFFFF"/>
        </w:rPr>
        <w:t>相关权益的损害，</w:t>
      </w:r>
      <w:r>
        <w:rPr>
          <w:rFonts w:hint="eastAsia" w:ascii="宋体" w:hAnsi="宋体" w:cs="宋体"/>
          <w:b/>
          <w:szCs w:val="21"/>
        </w:rPr>
        <w:t>供应商</w:t>
      </w:r>
      <w:r>
        <w:rPr>
          <w:rFonts w:hint="eastAsia" w:ascii="宋体" w:hAnsi="宋体" w:cs="宋体"/>
          <w:b/>
          <w:szCs w:val="21"/>
          <w:shd w:val="clear" w:color="auto" w:fill="FFFFFF"/>
        </w:rPr>
        <w:t>应当承担侵权责任，</w:t>
      </w:r>
      <w:r>
        <w:rPr>
          <w:rFonts w:hint="eastAsia" w:ascii="宋体" w:hAnsi="宋体" w:cs="宋体"/>
          <w:b/>
          <w:szCs w:val="21"/>
        </w:rPr>
        <w:t>携手阳光公司有权要求供应商进行损害赔偿（赔偿给携手阳光公司。赔偿标准：预算金额的2%）或保证金不予退还（全额）。</w:t>
      </w:r>
    </w:p>
    <w:p w14:paraId="35C2B24F">
      <w:pPr>
        <w:spacing w:line="262" w:lineRule="auto"/>
        <w:ind w:firstLine="420" w:firstLineChars="200"/>
        <w:rPr>
          <w:rFonts w:ascii="宋体" w:hAnsi="宋体" w:cs="宋体"/>
          <w:b/>
          <w:szCs w:val="21"/>
        </w:rPr>
      </w:pPr>
      <w:r>
        <w:rPr>
          <w:rFonts w:hint="eastAsia" w:ascii="宋体" w:hAnsi="宋体" w:cs="宋体"/>
          <w:szCs w:val="21"/>
        </w:rPr>
        <w:t>（1）供应商报名后未参加投标（响应）（提前告知的除外）或在投标有效期内，撤销投标的；</w:t>
      </w:r>
    </w:p>
    <w:p w14:paraId="5F9ACDA4">
      <w:pPr>
        <w:spacing w:line="262" w:lineRule="auto"/>
        <w:ind w:firstLine="420" w:firstLineChars="200"/>
        <w:rPr>
          <w:rFonts w:ascii="宋体" w:hAnsi="宋体" w:cs="宋体"/>
          <w:b/>
          <w:szCs w:val="21"/>
        </w:rPr>
      </w:pPr>
      <w:r>
        <w:rPr>
          <w:rFonts w:hint="eastAsia" w:ascii="宋体" w:hAnsi="宋体" w:cs="宋体"/>
          <w:szCs w:val="21"/>
        </w:rPr>
        <w:t>（2）因供应商原因（如响应文件目录编写错误等）导致本项目重新评审或重新采购的；</w:t>
      </w:r>
    </w:p>
    <w:p w14:paraId="7A70F4D9">
      <w:pPr>
        <w:spacing w:line="262" w:lineRule="auto"/>
        <w:ind w:firstLine="420" w:firstLineChars="200"/>
        <w:rPr>
          <w:rFonts w:ascii="宋体" w:hAnsi="宋体" w:cs="宋体"/>
          <w:szCs w:val="21"/>
        </w:rPr>
      </w:pPr>
      <w:r>
        <w:rPr>
          <w:rFonts w:hint="eastAsia" w:ascii="宋体" w:hAnsi="宋体" w:cs="宋体"/>
          <w:szCs w:val="21"/>
        </w:rPr>
        <w:t>（3）供应商所提供的有关资料（含质疑材料）不真实或</w:t>
      </w:r>
      <w:r>
        <w:rPr>
          <w:rFonts w:hint="eastAsia" w:ascii="宋体" w:hAnsi="宋体" w:cs="宋体"/>
          <w:kern w:val="0"/>
          <w:szCs w:val="21"/>
        </w:rPr>
        <w:t>以非法手段取得的；</w:t>
      </w:r>
    </w:p>
    <w:p w14:paraId="5515AA91">
      <w:pPr>
        <w:spacing w:line="262" w:lineRule="auto"/>
        <w:ind w:firstLine="420" w:firstLineChars="200"/>
        <w:rPr>
          <w:rFonts w:ascii="宋体" w:hAnsi="宋体" w:cs="宋体"/>
          <w:szCs w:val="21"/>
        </w:rPr>
      </w:pPr>
      <w:r>
        <w:rPr>
          <w:rFonts w:hint="eastAsia" w:ascii="宋体" w:hAnsi="宋体" w:cs="宋体"/>
          <w:szCs w:val="21"/>
        </w:rPr>
        <w:t>（4）除因不可抗力或采购文件认可的情形以外，成交供应商不与采购人签订合同的；</w:t>
      </w:r>
    </w:p>
    <w:p w14:paraId="6B58770F">
      <w:pPr>
        <w:spacing w:line="262" w:lineRule="auto"/>
        <w:ind w:firstLine="420" w:firstLineChars="200"/>
        <w:rPr>
          <w:rFonts w:ascii="宋体" w:hAnsi="宋体" w:cs="宋体"/>
          <w:b/>
          <w:szCs w:val="21"/>
        </w:rPr>
      </w:pPr>
      <w:r>
        <w:rPr>
          <w:rFonts w:hint="eastAsia" w:ascii="宋体" w:hAnsi="宋体" w:cs="宋体"/>
          <w:szCs w:val="21"/>
        </w:rPr>
        <w:t>（5）不按本须知的规定缴纳代理服务费的；</w:t>
      </w:r>
    </w:p>
    <w:p w14:paraId="3686FB06">
      <w:pPr>
        <w:spacing w:line="262" w:lineRule="auto"/>
        <w:ind w:firstLine="420" w:firstLineChars="200"/>
        <w:rPr>
          <w:rFonts w:ascii="宋体" w:hAnsi="宋体" w:cs="宋体"/>
          <w:kern w:val="0"/>
          <w:szCs w:val="21"/>
        </w:rPr>
      </w:pPr>
      <w:r>
        <w:rPr>
          <w:rFonts w:hint="eastAsia" w:ascii="宋体" w:hAnsi="宋体" w:cs="宋体"/>
          <w:szCs w:val="21"/>
        </w:rPr>
        <w:t>（6）法律、法规及本采购文件规定的其他情况。</w:t>
      </w:r>
    </w:p>
    <w:p w14:paraId="129CAFAD">
      <w:pPr>
        <w:spacing w:line="262" w:lineRule="auto"/>
        <w:ind w:firstLine="422"/>
        <w:rPr>
          <w:rFonts w:ascii="宋体" w:hAnsi="宋体" w:cs="宋体"/>
          <w:b/>
          <w:szCs w:val="21"/>
        </w:rPr>
      </w:pPr>
      <w:bookmarkStart w:id="125" w:name="_Toc32569"/>
      <w:bookmarkStart w:id="126" w:name="_Toc22901"/>
      <w:bookmarkStart w:id="127" w:name="_Toc515647772"/>
      <w:bookmarkStart w:id="128" w:name="_Toc520356157"/>
      <w:r>
        <w:rPr>
          <w:rFonts w:hint="eastAsia" w:ascii="宋体" w:hAnsi="宋体" w:cs="宋体"/>
          <w:b/>
          <w:szCs w:val="21"/>
        </w:rPr>
        <w:t>6.投标有效期</w:t>
      </w:r>
      <w:bookmarkEnd w:id="125"/>
      <w:bookmarkEnd w:id="126"/>
      <w:bookmarkEnd w:id="127"/>
      <w:bookmarkEnd w:id="128"/>
    </w:p>
    <w:p w14:paraId="0404402B">
      <w:pPr>
        <w:spacing w:line="262" w:lineRule="auto"/>
        <w:ind w:firstLine="420" w:firstLineChars="200"/>
        <w:rPr>
          <w:rFonts w:ascii="宋体" w:hAnsi="宋体" w:cs="宋体"/>
          <w:b/>
          <w:szCs w:val="21"/>
        </w:rPr>
      </w:pPr>
      <w:r>
        <w:rPr>
          <w:rFonts w:hint="eastAsia" w:ascii="宋体" w:hAnsi="宋体" w:cs="宋体"/>
          <w:szCs w:val="21"/>
        </w:rPr>
        <w:t>6.1投标应在</w:t>
      </w:r>
      <w:r>
        <w:rPr>
          <w:rFonts w:hint="eastAsia" w:ascii="宋体" w:hAnsi="宋体" w:cs="宋体"/>
          <w:szCs w:val="21"/>
          <w:u w:val="single"/>
        </w:rPr>
        <w:t>供应商须知资料表</w:t>
      </w:r>
      <w:r>
        <w:rPr>
          <w:rFonts w:hint="eastAsia" w:ascii="宋体" w:hAnsi="宋体" w:cs="宋体"/>
          <w:szCs w:val="21"/>
        </w:rPr>
        <w:t>中规定时间内保持有效。投标有效期不满足要求的投标，其投标将被认定为</w:t>
      </w:r>
      <w:r>
        <w:rPr>
          <w:rFonts w:hint="eastAsia" w:ascii="宋体" w:hAnsi="宋体" w:cs="宋体"/>
          <w:b/>
          <w:bCs/>
          <w:szCs w:val="21"/>
        </w:rPr>
        <w:t>投标无效</w:t>
      </w:r>
      <w:r>
        <w:rPr>
          <w:rFonts w:hint="eastAsia" w:ascii="宋体" w:hAnsi="宋体" w:cs="宋体"/>
          <w:szCs w:val="21"/>
        </w:rPr>
        <w:t>。</w:t>
      </w:r>
    </w:p>
    <w:p w14:paraId="20B7BD3A">
      <w:pPr>
        <w:spacing w:line="262" w:lineRule="auto"/>
        <w:ind w:firstLine="420" w:firstLineChars="200"/>
        <w:rPr>
          <w:rFonts w:ascii="宋体" w:hAnsi="宋体" w:cs="宋体"/>
          <w:szCs w:val="21"/>
        </w:rPr>
      </w:pPr>
      <w:r>
        <w:rPr>
          <w:rFonts w:hint="eastAsia" w:ascii="宋体" w:hAnsi="宋体" w:cs="宋体"/>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29" w:name="_Toc520356158"/>
      <w:bookmarkStart w:id="130" w:name="_Toc17609"/>
      <w:bookmarkStart w:id="131" w:name="_Toc17074"/>
      <w:bookmarkStart w:id="132" w:name="_Toc515647773"/>
      <w:bookmarkStart w:id="133" w:name="_Toc493"/>
    </w:p>
    <w:bookmarkEnd w:id="129"/>
    <w:bookmarkEnd w:id="130"/>
    <w:bookmarkEnd w:id="131"/>
    <w:bookmarkEnd w:id="132"/>
    <w:bookmarkEnd w:id="133"/>
    <w:p w14:paraId="3502A69E">
      <w:pPr>
        <w:spacing w:line="262" w:lineRule="auto"/>
        <w:ind w:firstLine="422"/>
        <w:rPr>
          <w:rFonts w:ascii="宋体" w:hAnsi="宋体" w:cs="宋体"/>
          <w:b/>
          <w:szCs w:val="21"/>
        </w:rPr>
      </w:pPr>
      <w:r>
        <w:rPr>
          <w:rFonts w:hint="eastAsia" w:ascii="宋体" w:hAnsi="宋体" w:cs="宋体"/>
          <w:b/>
          <w:szCs w:val="21"/>
        </w:rPr>
        <w:t>7.响应文件的签署及规定</w:t>
      </w:r>
    </w:p>
    <w:p w14:paraId="65A7BBBF">
      <w:pPr>
        <w:pStyle w:val="12"/>
        <w:spacing w:line="262" w:lineRule="auto"/>
        <w:ind w:firstLine="420"/>
        <w:jc w:val="left"/>
        <w:rPr>
          <w:rFonts w:hAnsi="宋体" w:cs="宋体"/>
          <w:bCs/>
          <w:sz w:val="21"/>
          <w:szCs w:val="21"/>
        </w:rPr>
      </w:pPr>
      <w:r>
        <w:rPr>
          <w:rFonts w:hint="eastAsia" w:hAnsi="宋体" w:cs="宋体"/>
          <w:sz w:val="21"/>
          <w:szCs w:val="21"/>
        </w:rPr>
        <w:t>7.1供应商应按</w:t>
      </w:r>
      <w:r>
        <w:rPr>
          <w:rFonts w:hint="eastAsia" w:hAnsi="宋体" w:cs="宋体"/>
          <w:sz w:val="21"/>
          <w:szCs w:val="21"/>
          <w:u w:val="single"/>
        </w:rPr>
        <w:t>供应商须知资料表</w:t>
      </w:r>
      <w:r>
        <w:rPr>
          <w:rFonts w:hint="eastAsia" w:hAnsi="宋体" w:cs="宋体"/>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hAnsi="宋体" w:cs="宋体"/>
          <w:sz w:val="21"/>
          <w:szCs w:val="21"/>
          <w:shd w:val="clear" w:color="auto" w:fill="FFFFFF"/>
        </w:rPr>
        <w:t>过错赔偿）</w:t>
      </w:r>
      <w:r>
        <w:rPr>
          <w:rFonts w:hint="eastAsia" w:hAnsi="宋体" w:cs="宋体"/>
          <w:sz w:val="21"/>
          <w:szCs w:val="21"/>
        </w:rPr>
        <w:t>。</w:t>
      </w:r>
    </w:p>
    <w:p w14:paraId="1B97392C">
      <w:pPr>
        <w:spacing w:line="262" w:lineRule="auto"/>
        <w:ind w:firstLine="420" w:firstLineChars="200"/>
        <w:rPr>
          <w:rFonts w:ascii="宋体" w:hAnsi="宋体" w:cs="宋体"/>
          <w:b/>
          <w:szCs w:val="21"/>
        </w:rPr>
      </w:pPr>
      <w:r>
        <w:rPr>
          <w:rFonts w:hint="eastAsia" w:ascii="宋体" w:hAnsi="宋体" w:cs="宋体"/>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14:paraId="429F8BF7">
      <w:pPr>
        <w:spacing w:line="262" w:lineRule="auto"/>
        <w:ind w:firstLine="420" w:firstLineChars="200"/>
        <w:rPr>
          <w:rFonts w:ascii="宋体" w:hAnsi="宋体" w:cs="宋体"/>
          <w:szCs w:val="21"/>
        </w:rPr>
      </w:pPr>
      <w:r>
        <w:rPr>
          <w:rFonts w:hint="eastAsia" w:ascii="宋体" w:hAnsi="宋体" w:cs="宋体"/>
          <w:szCs w:val="21"/>
        </w:rPr>
        <w:t>7.3所有响应文件请采用不可拆装的胶订或订书机方式装订。响应文件因字迹潦草、表达不清或装订不当等原因所引起的后果由供应商负责。</w:t>
      </w:r>
    </w:p>
    <w:p w14:paraId="1E55BC79">
      <w:pPr>
        <w:pStyle w:val="9"/>
        <w:spacing w:line="240" w:lineRule="exact"/>
        <w:ind w:firstLine="420"/>
        <w:rPr>
          <w:rFonts w:ascii="宋体" w:hAnsi="宋体" w:eastAsia="宋体" w:cs="宋体"/>
          <w:sz w:val="21"/>
          <w:szCs w:val="21"/>
        </w:rPr>
      </w:pPr>
    </w:p>
    <w:p w14:paraId="03E4F859">
      <w:pPr>
        <w:spacing w:line="262" w:lineRule="auto"/>
        <w:ind w:firstLine="422" w:firstLineChars="200"/>
        <w:jc w:val="center"/>
        <w:outlineLvl w:val="1"/>
        <w:rPr>
          <w:rFonts w:ascii="宋体" w:hAnsi="宋体" w:cs="宋体"/>
          <w:b/>
          <w:bCs/>
          <w:szCs w:val="21"/>
        </w:rPr>
      </w:pPr>
      <w:bookmarkStart w:id="134" w:name="_Toc118275517"/>
      <w:bookmarkStart w:id="135" w:name="_Toc118275557"/>
      <w:bookmarkStart w:id="136" w:name="_Toc173404789"/>
      <w:bookmarkStart w:id="137" w:name="_Toc118235412"/>
      <w:bookmarkStart w:id="138" w:name="_Toc107916291"/>
      <w:bookmarkStart w:id="139" w:name="_Toc118275637"/>
      <w:r>
        <w:rPr>
          <w:rFonts w:hint="eastAsia" w:ascii="宋体" w:hAnsi="宋体" w:cs="宋体"/>
          <w:b/>
          <w:bCs/>
          <w:szCs w:val="21"/>
        </w:rPr>
        <w:t>四、响应文件的递交</w:t>
      </w:r>
      <w:r>
        <w:rPr>
          <w:rFonts w:hint="eastAsia" w:ascii="宋体" w:hAnsi="宋体" w:cs="宋体"/>
          <w:b/>
          <w:szCs w:val="21"/>
        </w:rPr>
        <w:t>及</w:t>
      </w:r>
      <w:r>
        <w:rPr>
          <w:rFonts w:hint="eastAsia" w:ascii="宋体" w:hAnsi="宋体" w:cs="宋体"/>
          <w:b/>
          <w:bCs/>
          <w:szCs w:val="21"/>
        </w:rPr>
        <w:t>接收</w:t>
      </w:r>
      <w:bookmarkEnd w:id="134"/>
      <w:bookmarkEnd w:id="135"/>
      <w:bookmarkEnd w:id="136"/>
      <w:bookmarkEnd w:id="137"/>
      <w:bookmarkEnd w:id="138"/>
      <w:bookmarkEnd w:id="139"/>
    </w:p>
    <w:p w14:paraId="335FFFF1">
      <w:pPr>
        <w:pStyle w:val="9"/>
        <w:spacing w:line="240" w:lineRule="exact"/>
        <w:ind w:firstLine="420"/>
        <w:rPr>
          <w:rFonts w:ascii="宋体" w:hAnsi="宋体" w:eastAsia="宋体" w:cs="宋体"/>
          <w:sz w:val="21"/>
          <w:szCs w:val="21"/>
        </w:rPr>
      </w:pPr>
    </w:p>
    <w:p w14:paraId="7354E945">
      <w:pPr>
        <w:spacing w:line="262" w:lineRule="auto"/>
        <w:ind w:firstLine="422"/>
        <w:rPr>
          <w:rFonts w:ascii="宋体" w:hAnsi="宋体" w:cs="宋体"/>
          <w:b/>
          <w:szCs w:val="21"/>
        </w:rPr>
      </w:pPr>
      <w:r>
        <w:rPr>
          <w:rFonts w:hint="eastAsia" w:ascii="宋体" w:hAnsi="宋体" w:cs="宋体"/>
          <w:b/>
          <w:szCs w:val="21"/>
        </w:rPr>
        <w:t>1.响应文件的密封及递交（</w:t>
      </w:r>
      <w:r>
        <w:rPr>
          <w:rFonts w:hint="eastAsia" w:ascii="宋体" w:hAnsi="宋体" w:cs="宋体"/>
          <w:b/>
          <w:bCs/>
          <w:szCs w:val="21"/>
        </w:rPr>
        <w:t>接收</w:t>
      </w:r>
      <w:r>
        <w:rPr>
          <w:rFonts w:hint="eastAsia" w:ascii="宋体" w:hAnsi="宋体" w:cs="宋体"/>
          <w:b/>
          <w:szCs w:val="21"/>
        </w:rPr>
        <w:t>）</w:t>
      </w:r>
    </w:p>
    <w:p w14:paraId="1C6D4AEA">
      <w:pPr>
        <w:spacing w:line="262" w:lineRule="auto"/>
        <w:ind w:firstLine="422" w:firstLineChars="200"/>
        <w:rPr>
          <w:rFonts w:ascii="宋体" w:hAnsi="宋体" w:cs="宋体"/>
          <w:szCs w:val="21"/>
        </w:rPr>
      </w:pPr>
      <w:r>
        <w:rPr>
          <w:rFonts w:hint="eastAsia" w:ascii="宋体" w:hAnsi="宋体" w:cs="宋体"/>
          <w:b/>
          <w:szCs w:val="21"/>
        </w:rPr>
        <w:t>1.1提交响应文件截止时间及地点：</w:t>
      </w:r>
      <w:r>
        <w:rPr>
          <w:rFonts w:hint="eastAsia" w:ascii="宋体" w:hAnsi="宋体" w:cs="宋体"/>
          <w:szCs w:val="21"/>
        </w:rPr>
        <w:t>提交响应文件截止时间及地点见</w:t>
      </w:r>
      <w:r>
        <w:rPr>
          <w:rFonts w:hint="eastAsia" w:ascii="宋体" w:hAnsi="宋体" w:cs="宋体"/>
          <w:szCs w:val="21"/>
          <w:u w:val="single"/>
        </w:rPr>
        <w:t>采购公告</w:t>
      </w:r>
      <w:r>
        <w:rPr>
          <w:rFonts w:hint="eastAsia" w:ascii="宋体" w:hAnsi="宋体" w:cs="宋体"/>
          <w:szCs w:val="21"/>
        </w:rPr>
        <w:t>。</w:t>
      </w:r>
    </w:p>
    <w:p w14:paraId="704C4F18">
      <w:pPr>
        <w:spacing w:line="262" w:lineRule="auto"/>
        <w:ind w:firstLine="420" w:firstLineChars="200"/>
        <w:rPr>
          <w:rFonts w:ascii="宋体" w:hAnsi="宋体" w:cs="宋体"/>
          <w:szCs w:val="21"/>
        </w:rPr>
      </w:pPr>
      <w:r>
        <w:rPr>
          <w:rFonts w:hint="eastAsia" w:ascii="宋体" w:hAnsi="宋体" w:cs="宋体"/>
          <w:szCs w:val="21"/>
        </w:rPr>
        <w:t>供应商应当在采购文件（</w:t>
      </w:r>
      <w:r>
        <w:rPr>
          <w:rFonts w:hint="eastAsia" w:ascii="宋体" w:hAnsi="宋体" w:cs="宋体"/>
          <w:szCs w:val="21"/>
          <w:u w:val="single"/>
        </w:rPr>
        <w:t>采购公告）</w:t>
      </w:r>
      <w:r>
        <w:rPr>
          <w:rFonts w:hint="eastAsia" w:ascii="宋体" w:hAnsi="宋体" w:cs="宋体"/>
          <w:szCs w:val="21"/>
        </w:rPr>
        <w:t>要求的截止时间前，将响应文件密封（</w:t>
      </w:r>
      <w:r>
        <w:rPr>
          <w:rFonts w:hint="eastAsia" w:ascii="宋体" w:hAnsi="宋体" w:cs="宋体"/>
          <w:b/>
          <w:szCs w:val="21"/>
        </w:rPr>
        <w:t>无法直接换取即可。但建议密封严实</w:t>
      </w:r>
      <w:r>
        <w:rPr>
          <w:rFonts w:hint="eastAsia" w:ascii="宋体" w:hAnsi="宋体" w:cs="宋体"/>
          <w:szCs w:val="21"/>
        </w:rPr>
        <w:t>）送达指定地点。在截止时间后送达的响应文件为无效文件，携手阳 光公司等予以拒收。请供应商在密封包装上注明供应商名称、项目名称（编号）等信息，以便携手阳光公司接受。</w:t>
      </w:r>
    </w:p>
    <w:p w14:paraId="4D7F189C">
      <w:pPr>
        <w:pStyle w:val="12"/>
        <w:spacing w:line="262" w:lineRule="auto"/>
        <w:ind w:firstLine="420" w:firstLineChars="200"/>
        <w:jc w:val="left"/>
        <w:rPr>
          <w:rFonts w:hAnsi="宋体" w:cs="宋体"/>
          <w:sz w:val="21"/>
          <w:szCs w:val="21"/>
        </w:rPr>
      </w:pPr>
      <w:bookmarkStart w:id="140" w:name="_Toc2421"/>
      <w:bookmarkStart w:id="141" w:name="_Toc518926877"/>
      <w:bookmarkStart w:id="142" w:name="_Toc8324"/>
      <w:r>
        <w:rPr>
          <w:rFonts w:hint="eastAsia" w:hAnsi="宋体" w:cs="宋体"/>
          <w:sz w:val="21"/>
          <w:szCs w:val="21"/>
        </w:rPr>
        <w:t>1.2采购人和采购代理机构有权按本须知的规定，延迟投标截止时间。在此情况下，采购人、携手阳光公司和供应商受投标截止时间制约的所有权利和义务均应延长至新的截止时间。</w:t>
      </w:r>
    </w:p>
    <w:p w14:paraId="146E619B">
      <w:pPr>
        <w:pStyle w:val="12"/>
        <w:spacing w:line="262" w:lineRule="auto"/>
        <w:ind w:firstLine="420" w:firstLineChars="200"/>
        <w:jc w:val="left"/>
        <w:rPr>
          <w:rFonts w:hAnsi="宋体" w:cs="宋体"/>
          <w:sz w:val="21"/>
          <w:szCs w:val="21"/>
        </w:rPr>
      </w:pPr>
      <w:r>
        <w:rPr>
          <w:rFonts w:hint="eastAsia" w:hAnsi="宋体" w:cs="宋体"/>
          <w:sz w:val="21"/>
          <w:szCs w:val="21"/>
        </w:rPr>
        <w:t>1.3采购方对供应商误投或过早启封概不负责。</w:t>
      </w:r>
      <w:r>
        <w:rPr>
          <w:rFonts w:hint="eastAsia" w:hAnsi="宋体" w:cs="宋体"/>
          <w:bCs/>
          <w:sz w:val="21"/>
          <w:szCs w:val="21"/>
        </w:rPr>
        <w:t>不论供应商是否成交，</w:t>
      </w:r>
      <w:r>
        <w:rPr>
          <w:rFonts w:hint="eastAsia" w:hAnsi="宋体" w:cs="宋体"/>
          <w:sz w:val="21"/>
          <w:szCs w:val="21"/>
        </w:rPr>
        <w:t>响应文件</w:t>
      </w:r>
      <w:r>
        <w:rPr>
          <w:rFonts w:hint="eastAsia" w:hAnsi="宋体" w:cs="宋体"/>
          <w:bCs/>
          <w:sz w:val="21"/>
          <w:szCs w:val="21"/>
        </w:rPr>
        <w:t>均不退回。</w:t>
      </w:r>
    </w:p>
    <w:p w14:paraId="66B955A7">
      <w:pPr>
        <w:pStyle w:val="12"/>
        <w:spacing w:line="262" w:lineRule="auto"/>
        <w:ind w:firstLine="422"/>
        <w:jc w:val="left"/>
        <w:rPr>
          <w:rFonts w:hAnsi="宋体" w:cs="宋体"/>
          <w:b/>
          <w:bCs/>
          <w:sz w:val="21"/>
          <w:szCs w:val="21"/>
        </w:rPr>
      </w:pPr>
      <w:r>
        <w:rPr>
          <w:rFonts w:hint="eastAsia" w:hAnsi="宋体" w:cs="宋体"/>
          <w:b/>
          <w:bCs/>
          <w:sz w:val="21"/>
          <w:szCs w:val="21"/>
        </w:rPr>
        <w:t>2.响应文件的修改与撤回</w:t>
      </w:r>
    </w:p>
    <w:p w14:paraId="0D14E967">
      <w:pPr>
        <w:pStyle w:val="12"/>
        <w:spacing w:line="262" w:lineRule="auto"/>
        <w:ind w:firstLine="420"/>
        <w:jc w:val="left"/>
        <w:rPr>
          <w:rFonts w:hAnsi="宋体" w:cs="宋体"/>
          <w:b/>
          <w:bCs/>
          <w:sz w:val="21"/>
          <w:szCs w:val="21"/>
        </w:rPr>
      </w:pPr>
      <w:r>
        <w:rPr>
          <w:rFonts w:hint="eastAsia" w:hAnsi="宋体" w:cs="宋体"/>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14:paraId="192A9112">
      <w:pPr>
        <w:pStyle w:val="12"/>
        <w:spacing w:line="262" w:lineRule="auto"/>
        <w:ind w:firstLine="420" w:firstLineChars="200"/>
        <w:jc w:val="left"/>
        <w:rPr>
          <w:rFonts w:hAnsi="宋体" w:cs="宋体"/>
          <w:sz w:val="21"/>
          <w:szCs w:val="21"/>
        </w:rPr>
      </w:pPr>
      <w:r>
        <w:rPr>
          <w:rFonts w:hint="eastAsia" w:hAnsi="宋体" w:cs="宋体"/>
          <w:sz w:val="21"/>
          <w:szCs w:val="21"/>
        </w:rPr>
        <w:t>2.2</w:t>
      </w:r>
      <w:bookmarkEnd w:id="140"/>
      <w:bookmarkEnd w:id="141"/>
      <w:bookmarkEnd w:id="142"/>
      <w:r>
        <w:rPr>
          <w:rFonts w:hint="eastAsia" w:hAnsi="宋体" w:cs="宋体"/>
          <w:sz w:val="21"/>
          <w:szCs w:val="21"/>
        </w:rPr>
        <w:t>供应商在提交响应文件截止时间后撤回响应文件的，</w:t>
      </w:r>
      <w:r>
        <w:rPr>
          <w:rFonts w:hint="eastAsia" w:hAnsi="宋体" w:cs="宋体"/>
          <w:b/>
          <w:sz w:val="21"/>
          <w:szCs w:val="21"/>
        </w:rPr>
        <w:t>供应商须承担</w:t>
      </w:r>
      <w:r>
        <w:rPr>
          <w:rFonts w:hint="eastAsia" w:hAnsi="宋体" w:cs="宋体"/>
          <w:b/>
          <w:sz w:val="21"/>
          <w:szCs w:val="21"/>
          <w:shd w:val="clear" w:color="auto" w:fill="FFFFFF"/>
        </w:rPr>
        <w:t>过错赔偿</w:t>
      </w:r>
      <w:r>
        <w:rPr>
          <w:rFonts w:hint="eastAsia" w:hAnsi="宋体" w:cs="宋体"/>
          <w:b/>
          <w:sz w:val="21"/>
          <w:szCs w:val="21"/>
        </w:rPr>
        <w:t>。</w:t>
      </w:r>
    </w:p>
    <w:p w14:paraId="4787B251">
      <w:pPr>
        <w:pStyle w:val="12"/>
        <w:spacing w:line="262" w:lineRule="auto"/>
        <w:ind w:firstLine="420"/>
        <w:jc w:val="left"/>
        <w:rPr>
          <w:rFonts w:hAnsi="宋体" w:cs="宋体"/>
          <w:b/>
          <w:sz w:val="21"/>
          <w:szCs w:val="21"/>
        </w:rPr>
      </w:pPr>
      <w:r>
        <w:rPr>
          <w:rFonts w:hint="eastAsia" w:hAnsi="宋体" w:cs="宋体"/>
          <w:sz w:val="21"/>
          <w:szCs w:val="21"/>
        </w:rPr>
        <w:t>2.3</w:t>
      </w:r>
      <w:bookmarkEnd w:id="119"/>
      <w:bookmarkEnd w:id="120"/>
      <w:bookmarkEnd w:id="121"/>
      <w:bookmarkEnd w:id="122"/>
      <w:bookmarkEnd w:id="123"/>
      <w:bookmarkEnd w:id="124"/>
      <w:bookmarkStart w:id="143" w:name="_Toc14577362"/>
      <w:bookmarkStart w:id="144" w:name="_Toc61149562"/>
      <w:bookmarkStart w:id="145" w:name="_Toc513029224"/>
      <w:r>
        <w:rPr>
          <w:rFonts w:hint="eastAsia" w:hAnsi="宋体" w:cs="宋体"/>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hAnsi="宋体" w:cs="宋体"/>
          <w:b/>
          <w:sz w:val="21"/>
          <w:szCs w:val="21"/>
        </w:rPr>
        <w:t>供应商须承担</w:t>
      </w:r>
      <w:r>
        <w:rPr>
          <w:rFonts w:hint="eastAsia" w:hAnsi="宋体" w:cs="宋体"/>
          <w:b/>
          <w:sz w:val="21"/>
          <w:szCs w:val="21"/>
          <w:shd w:val="clear" w:color="auto" w:fill="FFFFFF"/>
        </w:rPr>
        <w:t>过错赔偿</w:t>
      </w:r>
      <w:r>
        <w:rPr>
          <w:rFonts w:hint="eastAsia" w:hAnsi="宋体" w:cs="宋体"/>
          <w:b/>
          <w:sz w:val="21"/>
          <w:szCs w:val="21"/>
        </w:rPr>
        <w:t>。</w:t>
      </w:r>
    </w:p>
    <w:p w14:paraId="45325D08">
      <w:pPr>
        <w:pStyle w:val="9"/>
        <w:spacing w:line="240" w:lineRule="exact"/>
        <w:ind w:firstLine="420"/>
        <w:rPr>
          <w:rFonts w:ascii="宋体" w:hAnsi="宋体" w:eastAsia="宋体" w:cs="宋体"/>
          <w:sz w:val="21"/>
          <w:szCs w:val="21"/>
        </w:rPr>
      </w:pPr>
    </w:p>
    <w:bookmarkEnd w:id="143"/>
    <w:bookmarkEnd w:id="144"/>
    <w:bookmarkEnd w:id="145"/>
    <w:p w14:paraId="6C5356B5">
      <w:pPr>
        <w:spacing w:line="262" w:lineRule="auto"/>
        <w:ind w:firstLine="422"/>
        <w:jc w:val="center"/>
        <w:outlineLvl w:val="1"/>
        <w:rPr>
          <w:rFonts w:ascii="宋体" w:hAnsi="宋体" w:cs="宋体"/>
          <w:b/>
          <w:szCs w:val="21"/>
        </w:rPr>
      </w:pPr>
      <w:bookmarkStart w:id="146" w:name="_Hlt26954856"/>
      <w:bookmarkEnd w:id="146"/>
      <w:bookmarkStart w:id="147" w:name="_Hlt26670523"/>
      <w:bookmarkEnd w:id="147"/>
      <w:bookmarkStart w:id="148" w:name="_Hlt26954864"/>
      <w:bookmarkEnd w:id="148"/>
      <w:bookmarkStart w:id="149" w:name="_Toc118275518"/>
      <w:bookmarkStart w:id="150" w:name="_Toc107916292"/>
      <w:bookmarkStart w:id="151" w:name="_Toc118275638"/>
      <w:bookmarkStart w:id="152" w:name="_Toc173404790"/>
      <w:bookmarkStart w:id="153" w:name="_Toc118235413"/>
      <w:bookmarkStart w:id="154" w:name="_Toc118275558"/>
      <w:r>
        <w:rPr>
          <w:rFonts w:hint="eastAsia" w:ascii="宋体" w:hAnsi="宋体" w:cs="宋体"/>
          <w:b/>
          <w:szCs w:val="21"/>
        </w:rPr>
        <w:t>五、响应开启、评审程序与评审</w:t>
      </w:r>
      <w:bookmarkEnd w:id="149"/>
      <w:bookmarkEnd w:id="150"/>
      <w:bookmarkEnd w:id="151"/>
      <w:bookmarkEnd w:id="152"/>
      <w:bookmarkEnd w:id="153"/>
      <w:bookmarkEnd w:id="154"/>
      <w:bookmarkStart w:id="155" w:name="_Toc20823302"/>
      <w:bookmarkStart w:id="156" w:name="_Toc513029230"/>
      <w:bookmarkStart w:id="157" w:name="_Toc16938546"/>
    </w:p>
    <w:p w14:paraId="6C5EB813">
      <w:pPr>
        <w:pStyle w:val="9"/>
        <w:spacing w:line="240" w:lineRule="exact"/>
        <w:ind w:firstLine="420"/>
        <w:rPr>
          <w:rFonts w:ascii="宋体" w:hAnsi="宋体" w:eastAsia="宋体" w:cs="宋体"/>
          <w:sz w:val="21"/>
          <w:szCs w:val="21"/>
        </w:rPr>
      </w:pPr>
    </w:p>
    <w:p w14:paraId="34FEB498">
      <w:pPr>
        <w:spacing w:line="262" w:lineRule="auto"/>
        <w:ind w:firstLine="422"/>
        <w:rPr>
          <w:rFonts w:ascii="宋体" w:hAnsi="宋体" w:cs="宋体"/>
          <w:b/>
          <w:szCs w:val="21"/>
        </w:rPr>
      </w:pPr>
      <w:r>
        <w:rPr>
          <w:rFonts w:hint="eastAsia" w:ascii="宋体" w:hAnsi="宋体" w:cs="宋体"/>
          <w:b/>
          <w:szCs w:val="21"/>
        </w:rPr>
        <w:t>1</w:t>
      </w:r>
      <w:bookmarkEnd w:id="155"/>
      <w:bookmarkEnd w:id="156"/>
      <w:bookmarkEnd w:id="157"/>
      <w:r>
        <w:rPr>
          <w:rFonts w:hint="eastAsia" w:ascii="宋体" w:hAnsi="宋体" w:cs="宋体"/>
          <w:b/>
          <w:szCs w:val="21"/>
        </w:rPr>
        <w:t>.响应</w:t>
      </w:r>
      <w:bookmarkStart w:id="158" w:name="_Toc20823303"/>
      <w:bookmarkStart w:id="159" w:name="_Toc513029231"/>
      <w:bookmarkStart w:id="160" w:name="_Toc16938547"/>
      <w:r>
        <w:rPr>
          <w:rFonts w:hint="eastAsia" w:ascii="宋体" w:hAnsi="宋体" w:cs="宋体"/>
          <w:b/>
          <w:szCs w:val="21"/>
        </w:rPr>
        <w:t>开启时间及地点</w:t>
      </w:r>
    </w:p>
    <w:p w14:paraId="652EBFE4">
      <w:pPr>
        <w:spacing w:line="262" w:lineRule="auto"/>
        <w:ind w:firstLine="420" w:firstLineChars="200"/>
        <w:rPr>
          <w:rFonts w:ascii="宋体" w:hAnsi="宋体" w:cs="宋体"/>
          <w:b/>
          <w:szCs w:val="21"/>
        </w:rPr>
      </w:pPr>
      <w:r>
        <w:rPr>
          <w:rFonts w:hint="eastAsia" w:ascii="宋体" w:hAnsi="宋体" w:cs="宋体"/>
          <w:szCs w:val="21"/>
        </w:rPr>
        <w:t>本项目响应文件开启时间及地点见</w:t>
      </w:r>
      <w:r>
        <w:rPr>
          <w:rFonts w:hint="eastAsia" w:ascii="宋体" w:hAnsi="宋体" w:cs="宋体"/>
          <w:b/>
          <w:bCs/>
          <w:szCs w:val="21"/>
          <w:u w:val="single"/>
        </w:rPr>
        <w:t>采购公告</w:t>
      </w:r>
      <w:r>
        <w:rPr>
          <w:rFonts w:hint="eastAsia" w:ascii="宋体" w:hAnsi="宋体" w:cs="宋体"/>
          <w:szCs w:val="21"/>
        </w:rPr>
        <w:t>。</w:t>
      </w:r>
    </w:p>
    <w:p w14:paraId="12309A8B">
      <w:pPr>
        <w:spacing w:line="262" w:lineRule="auto"/>
        <w:ind w:firstLine="422"/>
        <w:rPr>
          <w:rFonts w:ascii="宋体" w:hAnsi="宋体" w:cs="宋体"/>
          <w:b/>
          <w:szCs w:val="21"/>
        </w:rPr>
      </w:pPr>
      <w:r>
        <w:rPr>
          <w:rFonts w:hint="eastAsia" w:ascii="宋体" w:hAnsi="宋体" w:cs="宋体"/>
          <w:b/>
          <w:szCs w:val="21"/>
        </w:rPr>
        <w:t>2.评审小组</w:t>
      </w:r>
    </w:p>
    <w:p w14:paraId="6F7C9F4F">
      <w:pPr>
        <w:spacing w:line="262" w:lineRule="auto"/>
        <w:ind w:firstLine="420" w:firstLineChars="200"/>
        <w:rPr>
          <w:rFonts w:ascii="宋体" w:hAnsi="宋体" w:cs="宋体"/>
          <w:szCs w:val="21"/>
        </w:rPr>
      </w:pPr>
      <w:r>
        <w:rPr>
          <w:rFonts w:hint="eastAsia" w:ascii="宋体" w:hAnsi="宋体" w:cs="宋体"/>
          <w:szCs w:val="21"/>
        </w:rPr>
        <w:t>2.1评审小组由采购人代表和评审专家共3人以上单数组成，其中评审专家人数不得少于评审小组成员总数的2/3。评审专家应当遵守评审工作纪律，不得泄露评审情况和评审中获悉的商业秘密。</w:t>
      </w:r>
    </w:p>
    <w:p w14:paraId="134893C5">
      <w:pPr>
        <w:spacing w:line="262" w:lineRule="auto"/>
        <w:ind w:firstLine="420" w:firstLineChars="200"/>
        <w:rPr>
          <w:rFonts w:ascii="宋体" w:hAnsi="宋体" w:cs="宋体"/>
          <w:szCs w:val="21"/>
        </w:rPr>
      </w:pPr>
      <w:r>
        <w:rPr>
          <w:rFonts w:hint="eastAsia" w:ascii="宋体" w:hAnsi="宋体" w:cs="宋体"/>
          <w:szCs w:val="21"/>
        </w:rPr>
        <w:t>2.2</w:t>
      </w:r>
      <w:bookmarkEnd w:id="158"/>
      <w:bookmarkEnd w:id="159"/>
      <w:bookmarkEnd w:id="160"/>
      <w:r>
        <w:rPr>
          <w:rFonts w:hint="eastAsia" w:ascii="宋体" w:hAnsi="宋体" w:cs="宋体"/>
          <w:szCs w:val="21"/>
        </w:rPr>
        <w:t>评审小组成员应当按照客观、公正、审慎的原则，根据采购文件规定的评审程序、评审方法和评审标准进行独立评审。未实质性响应采购文件的响应文件按无效响应处理。</w:t>
      </w:r>
    </w:p>
    <w:p w14:paraId="599E48D5">
      <w:pPr>
        <w:spacing w:line="262" w:lineRule="auto"/>
        <w:ind w:firstLine="420" w:firstLineChars="200"/>
        <w:rPr>
          <w:rFonts w:ascii="宋体" w:hAnsi="宋体" w:cs="宋体"/>
          <w:szCs w:val="21"/>
        </w:rPr>
      </w:pPr>
      <w:r>
        <w:rPr>
          <w:rFonts w:hint="eastAsia" w:ascii="宋体" w:hAnsi="宋体" w:cs="宋体"/>
          <w:szCs w:val="21"/>
        </w:rPr>
        <w:t>2.3在评审过程中，供应商不得以任何行为影响评审过程，否则其响应文件将被作为无效响应文件。</w:t>
      </w:r>
      <w:bookmarkStart w:id="161" w:name="_Toc16938549"/>
      <w:bookmarkStart w:id="162" w:name="_Toc20823305"/>
      <w:bookmarkStart w:id="163" w:name="_Toc513029233"/>
    </w:p>
    <w:p w14:paraId="4F001091">
      <w:pPr>
        <w:spacing w:line="247" w:lineRule="auto"/>
        <w:ind w:firstLine="422"/>
        <w:rPr>
          <w:rFonts w:ascii="宋体" w:hAnsi="宋体" w:cs="宋体"/>
          <w:b/>
          <w:szCs w:val="21"/>
        </w:rPr>
      </w:pPr>
      <w:r>
        <w:rPr>
          <w:rFonts w:hint="eastAsia" w:ascii="宋体" w:hAnsi="宋体" w:cs="宋体"/>
          <w:b/>
          <w:szCs w:val="21"/>
        </w:rPr>
        <w:t>3.有效的响应文件</w:t>
      </w:r>
    </w:p>
    <w:bookmarkEnd w:id="161"/>
    <w:bookmarkEnd w:id="162"/>
    <w:bookmarkEnd w:id="163"/>
    <w:p w14:paraId="7707132B">
      <w:pPr>
        <w:spacing w:line="262" w:lineRule="auto"/>
        <w:ind w:firstLine="420" w:firstLineChars="200"/>
        <w:rPr>
          <w:rFonts w:ascii="宋体" w:hAnsi="宋体" w:cs="宋体"/>
          <w:szCs w:val="21"/>
        </w:rPr>
      </w:pPr>
      <w:r>
        <w:rPr>
          <w:rFonts w:hint="eastAsia" w:ascii="宋体" w:hAnsi="宋体" w:cs="宋体"/>
          <w:szCs w:val="21"/>
        </w:rPr>
        <w:t>3.1评审小组在对响应文件的有效性、完整性和响应程度进行审查</w:t>
      </w:r>
      <w:r>
        <w:rPr>
          <w:rFonts w:hint="eastAsia" w:ascii="宋体" w:hAnsi="宋体" w:cs="宋体"/>
          <w:b/>
          <w:szCs w:val="21"/>
        </w:rPr>
        <w:t>。</w:t>
      </w:r>
    </w:p>
    <w:p w14:paraId="19CECF5F">
      <w:pPr>
        <w:spacing w:line="262" w:lineRule="auto"/>
        <w:ind w:firstLine="420" w:firstLineChars="200"/>
        <w:rPr>
          <w:rFonts w:ascii="宋体" w:hAnsi="宋体" w:cs="宋体"/>
          <w:szCs w:val="21"/>
        </w:rPr>
      </w:pPr>
      <w:bookmarkStart w:id="164" w:name="_Toc16938550"/>
      <w:bookmarkStart w:id="165" w:name="_Toc513029234"/>
      <w:bookmarkStart w:id="166" w:name="_Toc20823306"/>
      <w:r>
        <w:rPr>
          <w:rFonts w:hint="eastAsia" w:ascii="宋体" w:hAnsi="宋体" w:cs="宋体"/>
          <w:szCs w:val="21"/>
        </w:rPr>
        <w:t>3.2被认定为未实质性响应采购文件的响应文件的情形：</w:t>
      </w:r>
    </w:p>
    <w:p w14:paraId="589B74FD">
      <w:pPr>
        <w:spacing w:line="262" w:lineRule="auto"/>
        <w:ind w:firstLine="420" w:firstLineChars="200"/>
        <w:rPr>
          <w:rFonts w:ascii="宋体" w:hAnsi="宋体" w:cs="宋体"/>
          <w:szCs w:val="21"/>
        </w:rPr>
      </w:pPr>
      <w:bookmarkStart w:id="167" w:name="_Toc20823304"/>
      <w:bookmarkStart w:id="168" w:name="_Toc16938548"/>
      <w:bookmarkStart w:id="169" w:name="_Toc513029232"/>
      <w:r>
        <w:rPr>
          <w:rFonts w:hint="eastAsia" w:ascii="宋体" w:hAnsi="宋体" w:cs="宋体"/>
          <w:szCs w:val="21"/>
        </w:rPr>
        <w:t>（1）未按要求交纳保证金的（限要求提交保证金的项目）；</w:t>
      </w:r>
    </w:p>
    <w:p w14:paraId="54EAD9A2">
      <w:pPr>
        <w:spacing w:line="262" w:lineRule="auto"/>
        <w:ind w:firstLine="420" w:firstLineChars="200"/>
        <w:rPr>
          <w:rFonts w:ascii="宋体" w:hAnsi="宋体" w:cs="宋体"/>
          <w:szCs w:val="21"/>
        </w:rPr>
      </w:pPr>
      <w:r>
        <w:rPr>
          <w:rFonts w:hint="eastAsia" w:ascii="宋体" w:hAnsi="宋体" w:cs="宋体"/>
          <w:szCs w:val="21"/>
        </w:rPr>
        <w:t>（2）未按照采购文件规定要求签署、盖章的；</w:t>
      </w:r>
    </w:p>
    <w:p w14:paraId="195D743D">
      <w:pPr>
        <w:spacing w:line="262" w:lineRule="auto"/>
        <w:ind w:firstLine="420" w:firstLineChars="200"/>
        <w:rPr>
          <w:rFonts w:ascii="宋体" w:hAnsi="宋体" w:cs="宋体"/>
          <w:szCs w:val="21"/>
        </w:rPr>
      </w:pPr>
      <w:r>
        <w:rPr>
          <w:rFonts w:hint="eastAsia" w:ascii="宋体" w:hAnsi="宋体" w:cs="宋体"/>
          <w:szCs w:val="21"/>
        </w:rPr>
        <w:t>（3）提供的产品质量和服务没有满足采购文件规定的实质性要求的；</w:t>
      </w:r>
    </w:p>
    <w:p w14:paraId="4398E309">
      <w:pPr>
        <w:spacing w:line="262" w:lineRule="auto"/>
        <w:ind w:firstLine="420" w:firstLineChars="200"/>
        <w:rPr>
          <w:rFonts w:ascii="宋体" w:hAnsi="宋体" w:cs="宋体"/>
          <w:szCs w:val="21"/>
        </w:rPr>
      </w:pPr>
      <w:r>
        <w:rPr>
          <w:rFonts w:hint="eastAsia" w:ascii="宋体" w:hAnsi="宋体" w:cs="宋体"/>
          <w:szCs w:val="21"/>
        </w:rPr>
        <w:t>（4）评审小组认为供应商的报价明显低于其他通过符合性检查供应商的报价</w:t>
      </w:r>
      <w:r>
        <w:rPr>
          <w:rFonts w:hint="eastAsia" w:ascii="宋体" w:hAnsi="宋体" w:cs="宋体"/>
          <w:kern w:val="0"/>
          <w:szCs w:val="21"/>
        </w:rPr>
        <w:t>，有可能影响采购质量（例：所投产品品牌档次无可比性或非同一级别的等）或者不能诚信履约的；</w:t>
      </w:r>
    </w:p>
    <w:p w14:paraId="33DEA1D2">
      <w:pPr>
        <w:spacing w:line="262" w:lineRule="auto"/>
        <w:ind w:firstLine="420" w:firstLineChars="200"/>
        <w:rPr>
          <w:rFonts w:ascii="宋体" w:hAnsi="宋体" w:cs="宋体"/>
          <w:szCs w:val="21"/>
        </w:rPr>
      </w:pPr>
      <w:r>
        <w:rPr>
          <w:rFonts w:hint="eastAsia" w:ascii="宋体" w:hAnsi="宋体" w:cs="宋体"/>
          <w:szCs w:val="21"/>
        </w:rPr>
        <w:t>（5）不符合法规和采购文件中规定的其他实质性要求的（例：</w:t>
      </w:r>
      <w:r>
        <w:rPr>
          <w:rFonts w:hint="eastAsia" w:ascii="宋体" w:hAnsi="宋体" w:cs="宋体"/>
          <w:kern w:val="0"/>
          <w:szCs w:val="21"/>
        </w:rPr>
        <w:t>超过预算金额、</w:t>
      </w:r>
      <w:r>
        <w:rPr>
          <w:rFonts w:hint="eastAsia" w:ascii="宋体" w:hAnsi="宋体" w:cs="宋体"/>
          <w:szCs w:val="21"/>
        </w:rPr>
        <w:t>采用选择性报价等）。</w:t>
      </w:r>
    </w:p>
    <w:p w14:paraId="0A8443D0">
      <w:pPr>
        <w:spacing w:line="262" w:lineRule="auto"/>
        <w:ind w:firstLine="422"/>
        <w:rPr>
          <w:rFonts w:ascii="宋体" w:hAnsi="宋体" w:cs="宋体"/>
          <w:b/>
          <w:szCs w:val="21"/>
        </w:rPr>
      </w:pPr>
      <w:r>
        <w:rPr>
          <w:rFonts w:hint="eastAsia" w:ascii="宋体" w:hAnsi="宋体" w:cs="宋体"/>
          <w:b/>
          <w:szCs w:val="21"/>
        </w:rPr>
        <w:t>4.评审过程的澄清</w:t>
      </w:r>
      <w:bookmarkEnd w:id="167"/>
      <w:bookmarkEnd w:id="168"/>
      <w:bookmarkEnd w:id="169"/>
      <w:r>
        <w:rPr>
          <w:rFonts w:hint="eastAsia" w:ascii="宋体" w:hAnsi="宋体" w:cs="宋体"/>
          <w:b/>
          <w:szCs w:val="21"/>
        </w:rPr>
        <w:t>、说明和更正</w:t>
      </w:r>
    </w:p>
    <w:p w14:paraId="6F8D5C1D">
      <w:pPr>
        <w:spacing w:line="262" w:lineRule="auto"/>
        <w:ind w:firstLine="420" w:firstLineChars="200"/>
        <w:rPr>
          <w:rFonts w:ascii="宋体" w:hAnsi="宋体" w:cs="宋体"/>
          <w:b/>
          <w:szCs w:val="21"/>
        </w:rPr>
      </w:pPr>
      <w:r>
        <w:rPr>
          <w:rFonts w:hint="eastAsia" w:ascii="宋体" w:hAnsi="宋体" w:cs="宋体"/>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A869DA">
      <w:pPr>
        <w:spacing w:line="262" w:lineRule="auto"/>
        <w:ind w:firstLine="420" w:firstLineChars="200"/>
        <w:rPr>
          <w:rFonts w:ascii="宋体" w:hAnsi="宋体" w:cs="宋体"/>
          <w:szCs w:val="21"/>
        </w:rPr>
      </w:pPr>
      <w:r>
        <w:rPr>
          <w:rFonts w:hint="eastAsia" w:ascii="宋体" w:hAnsi="宋体" w:cs="宋体"/>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14:paraId="7CFBF71B">
      <w:pPr>
        <w:spacing w:line="262" w:lineRule="auto"/>
        <w:ind w:firstLine="420" w:firstLineChars="200"/>
        <w:rPr>
          <w:rFonts w:ascii="宋体" w:hAnsi="宋体" w:cs="宋体"/>
          <w:szCs w:val="21"/>
        </w:rPr>
      </w:pPr>
      <w:r>
        <w:rPr>
          <w:rFonts w:hint="eastAsia" w:ascii="宋体" w:hAnsi="宋体" w:cs="宋体"/>
          <w:szCs w:val="21"/>
        </w:rPr>
        <w:t>4.3 接到评审小组澄清要求的供应商如未按规定做出澄清，其风险由供应商自行承担。</w:t>
      </w:r>
      <w:bookmarkEnd w:id="164"/>
      <w:bookmarkEnd w:id="165"/>
      <w:bookmarkEnd w:id="166"/>
    </w:p>
    <w:p w14:paraId="7700F97A">
      <w:pPr>
        <w:ind w:firstLine="422"/>
        <w:rPr>
          <w:rFonts w:ascii="宋体" w:hAnsi="宋体" w:cs="宋体"/>
          <w:b/>
          <w:szCs w:val="21"/>
        </w:rPr>
      </w:pPr>
      <w:r>
        <w:rPr>
          <w:rFonts w:hint="eastAsia" w:ascii="宋体" w:hAnsi="宋体" w:cs="宋体"/>
          <w:b/>
          <w:szCs w:val="21"/>
        </w:rPr>
        <w:t>5.</w:t>
      </w:r>
      <w:bookmarkStart w:id="170" w:name="_Toc513029235"/>
      <w:bookmarkStart w:id="171" w:name="_Toc20823307"/>
      <w:bookmarkStart w:id="172" w:name="_Toc16938551"/>
      <w:r>
        <w:rPr>
          <w:rFonts w:hint="eastAsia" w:ascii="宋体" w:hAnsi="宋体" w:cs="宋体"/>
          <w:b/>
          <w:szCs w:val="21"/>
        </w:rPr>
        <w:t>评审方法、评审标准</w:t>
      </w:r>
    </w:p>
    <w:p w14:paraId="472BA8C6">
      <w:pPr>
        <w:spacing w:line="262" w:lineRule="auto"/>
        <w:ind w:firstLine="420" w:firstLineChars="200"/>
        <w:rPr>
          <w:rFonts w:ascii="宋体" w:hAnsi="宋体" w:cs="宋体"/>
          <w:szCs w:val="21"/>
        </w:rPr>
      </w:pPr>
      <w:r>
        <w:rPr>
          <w:rFonts w:hint="eastAsia" w:ascii="宋体" w:hAnsi="宋体" w:cs="宋体"/>
          <w:szCs w:val="21"/>
        </w:rPr>
        <w:t>5.1评审方法：综合评分法。</w:t>
      </w:r>
    </w:p>
    <w:p w14:paraId="2DA888A2">
      <w:pPr>
        <w:spacing w:line="262" w:lineRule="auto"/>
        <w:ind w:firstLine="420" w:firstLineChars="200"/>
        <w:rPr>
          <w:rFonts w:ascii="宋体" w:hAnsi="宋体" w:cs="宋体"/>
          <w:szCs w:val="21"/>
        </w:rPr>
      </w:pPr>
      <w:r>
        <w:rPr>
          <w:rFonts w:hint="eastAsia" w:ascii="宋体" w:hAnsi="宋体" w:cs="宋体"/>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14:paraId="4A3FE038">
      <w:pPr>
        <w:spacing w:line="262" w:lineRule="auto"/>
        <w:ind w:firstLine="420" w:firstLineChars="200"/>
        <w:rPr>
          <w:rFonts w:ascii="宋体" w:hAnsi="宋体" w:cs="宋体"/>
          <w:szCs w:val="21"/>
        </w:rPr>
      </w:pPr>
      <w:r>
        <w:rPr>
          <w:rFonts w:hint="eastAsia" w:ascii="宋体" w:hAnsi="宋体" w:cs="宋体"/>
          <w:szCs w:val="21"/>
        </w:rPr>
        <w:t>5.2评审标准：略，见本采购文件第4章规定。</w:t>
      </w:r>
    </w:p>
    <w:p w14:paraId="403F9899">
      <w:pPr>
        <w:spacing w:line="262" w:lineRule="auto"/>
        <w:ind w:firstLine="420"/>
        <w:jc w:val="left"/>
        <w:rPr>
          <w:rFonts w:ascii="宋体" w:hAnsi="宋体" w:cs="宋体"/>
          <w:szCs w:val="21"/>
        </w:rPr>
      </w:pPr>
      <w:r>
        <w:rPr>
          <w:rFonts w:hint="eastAsia" w:ascii="宋体" w:hAnsi="宋体" w:cs="宋体"/>
          <w:szCs w:val="21"/>
        </w:rPr>
        <w:t>5.3采购人视情执行政府采购政策。具体优先采购办法见采购文件第4章。</w:t>
      </w:r>
    </w:p>
    <w:p w14:paraId="47AD46AD">
      <w:pPr>
        <w:spacing w:line="262" w:lineRule="auto"/>
        <w:ind w:firstLine="420" w:firstLineChars="200"/>
        <w:rPr>
          <w:rFonts w:ascii="宋体" w:hAnsi="宋体" w:cs="宋体"/>
          <w:szCs w:val="21"/>
        </w:rPr>
      </w:pPr>
      <w:r>
        <w:rPr>
          <w:rFonts w:hint="eastAsia" w:ascii="宋体" w:hAnsi="宋体" w:cs="宋体"/>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p w14:paraId="22EA61F4">
      <w:pPr>
        <w:pStyle w:val="9"/>
        <w:spacing w:line="240" w:lineRule="exact"/>
        <w:ind w:firstLine="420"/>
        <w:rPr>
          <w:rFonts w:ascii="宋体" w:hAnsi="宋体" w:eastAsia="宋体" w:cs="宋体"/>
          <w:sz w:val="21"/>
          <w:szCs w:val="21"/>
        </w:rPr>
      </w:pPr>
    </w:p>
    <w:bookmarkEnd w:id="170"/>
    <w:bookmarkEnd w:id="171"/>
    <w:bookmarkEnd w:id="172"/>
    <w:p w14:paraId="4B2FDD6C">
      <w:pPr>
        <w:spacing w:line="262" w:lineRule="auto"/>
        <w:ind w:firstLine="422"/>
        <w:jc w:val="center"/>
        <w:outlineLvl w:val="1"/>
        <w:rPr>
          <w:rFonts w:ascii="宋体" w:hAnsi="宋体" w:cs="宋体"/>
          <w:b/>
          <w:szCs w:val="21"/>
        </w:rPr>
      </w:pPr>
      <w:bookmarkStart w:id="173" w:name="_Toc118235414"/>
      <w:bookmarkStart w:id="174" w:name="_Toc173404791"/>
      <w:bookmarkStart w:id="175" w:name="_Toc118275559"/>
      <w:bookmarkStart w:id="176" w:name="_Toc118275639"/>
      <w:bookmarkStart w:id="177" w:name="_Toc107916293"/>
      <w:bookmarkStart w:id="178" w:name="_Toc118275519"/>
      <w:r>
        <w:rPr>
          <w:rFonts w:hint="eastAsia" w:ascii="宋体" w:hAnsi="宋体" w:cs="宋体"/>
          <w:b/>
          <w:szCs w:val="21"/>
        </w:rPr>
        <w:t>六、合同签订相关事项</w:t>
      </w:r>
      <w:bookmarkEnd w:id="173"/>
      <w:bookmarkEnd w:id="174"/>
      <w:bookmarkEnd w:id="175"/>
      <w:bookmarkEnd w:id="176"/>
      <w:bookmarkEnd w:id="177"/>
      <w:bookmarkEnd w:id="178"/>
    </w:p>
    <w:p w14:paraId="1676E886">
      <w:pPr>
        <w:pStyle w:val="9"/>
        <w:spacing w:line="240" w:lineRule="exact"/>
        <w:ind w:firstLine="420"/>
        <w:rPr>
          <w:rFonts w:ascii="宋体" w:hAnsi="宋体" w:eastAsia="宋体" w:cs="宋体"/>
          <w:sz w:val="21"/>
          <w:szCs w:val="21"/>
        </w:rPr>
      </w:pPr>
    </w:p>
    <w:p w14:paraId="5E6C3462">
      <w:pPr>
        <w:spacing w:line="262" w:lineRule="auto"/>
        <w:ind w:firstLine="422"/>
        <w:rPr>
          <w:rFonts w:ascii="宋体" w:hAnsi="宋体" w:cs="宋体"/>
          <w:b/>
          <w:szCs w:val="21"/>
        </w:rPr>
      </w:pPr>
      <w:r>
        <w:rPr>
          <w:rFonts w:hint="eastAsia" w:ascii="宋体" w:hAnsi="宋体" w:cs="宋体"/>
          <w:b/>
          <w:szCs w:val="21"/>
        </w:rPr>
        <w:t>1. 合同草案条款及签订合同</w:t>
      </w:r>
    </w:p>
    <w:p w14:paraId="3BC95F0B">
      <w:pPr>
        <w:spacing w:line="262" w:lineRule="auto"/>
        <w:ind w:firstLine="420"/>
        <w:rPr>
          <w:rFonts w:ascii="宋体" w:hAnsi="宋体" w:cs="宋体"/>
          <w:szCs w:val="21"/>
        </w:rPr>
      </w:pPr>
      <w:r>
        <w:rPr>
          <w:rFonts w:hint="eastAsia" w:ascii="宋体" w:hAnsi="宋体" w:cs="宋体"/>
          <w:szCs w:val="21"/>
        </w:rPr>
        <w:t>1.l成交供应商确定后，携手阳光公司将向成交供应商发出成交通知书。成交供应商应当在成交通知书发出之日起7日内，按照采购文件确定的事项签订政府采购合同。</w:t>
      </w:r>
    </w:p>
    <w:p w14:paraId="40149034">
      <w:pPr>
        <w:spacing w:line="262" w:lineRule="auto"/>
        <w:ind w:firstLine="420"/>
        <w:rPr>
          <w:rFonts w:ascii="宋体" w:hAnsi="宋体" w:cs="宋体"/>
          <w:szCs w:val="21"/>
        </w:rPr>
      </w:pPr>
      <w:r>
        <w:rPr>
          <w:rFonts w:hint="eastAsia" w:ascii="宋体" w:hAnsi="宋体" w:cs="宋体"/>
          <w:szCs w:val="21"/>
        </w:rPr>
        <w:t>1.2合同草案条款（拟签订的合同文本）见采购文件第3章。采购文件、成交供应商的响应文件及采购过程中有关澄清、承诺文件均应为合同的组成部分。</w:t>
      </w:r>
    </w:p>
    <w:p w14:paraId="37531147">
      <w:pPr>
        <w:spacing w:line="262" w:lineRule="auto"/>
        <w:ind w:firstLine="420"/>
        <w:rPr>
          <w:rFonts w:ascii="宋体" w:hAnsi="宋体" w:cs="宋体"/>
          <w:szCs w:val="21"/>
        </w:rPr>
      </w:pPr>
      <w:r>
        <w:rPr>
          <w:rFonts w:hint="eastAsia" w:ascii="宋体" w:hAnsi="宋体" w:cs="宋体"/>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14:paraId="20FDA65F">
      <w:pPr>
        <w:spacing w:line="262" w:lineRule="auto"/>
        <w:ind w:firstLine="422"/>
        <w:rPr>
          <w:rFonts w:ascii="宋体" w:hAnsi="宋体" w:cs="宋体"/>
          <w:b/>
          <w:szCs w:val="21"/>
        </w:rPr>
      </w:pPr>
      <w:r>
        <w:rPr>
          <w:rFonts w:ascii="宋体" w:hAnsi="宋体" w:cs="宋体"/>
          <w:b/>
          <w:szCs w:val="21"/>
        </w:rPr>
        <w:t>2.</w:t>
      </w:r>
      <w:r>
        <w:rPr>
          <w:rFonts w:hint="eastAsia" w:ascii="宋体" w:hAnsi="宋体" w:cs="宋体"/>
          <w:b/>
          <w:szCs w:val="21"/>
        </w:rPr>
        <w:t>履约保证金</w:t>
      </w:r>
    </w:p>
    <w:p w14:paraId="776EAA86">
      <w:pPr>
        <w:spacing w:line="262" w:lineRule="auto"/>
        <w:ind w:firstLine="422" w:firstLineChars="200"/>
        <w:jc w:val="left"/>
        <w:rPr>
          <w:rFonts w:ascii="宋体" w:hAnsi="宋体" w:cs="宋体"/>
          <w:b/>
          <w:bCs/>
          <w:szCs w:val="21"/>
        </w:rPr>
      </w:pPr>
      <w:r>
        <w:rPr>
          <w:rFonts w:hint="eastAsia" w:ascii="宋体" w:hAnsi="宋体" w:cs="宋体"/>
          <w:b/>
          <w:bCs/>
          <w:szCs w:val="21"/>
        </w:rPr>
        <w:t>2.1在签订合同前，中标人需向招标人交纳履约保证金（以支票、汇票、本票或者金融机构、担保机构出具的保函等非现金形式提交履约保证金。请将履约保证金相关凭证发送至QQ邮箱：532223373@qq.com）</w:t>
      </w:r>
      <w:r>
        <w:rPr>
          <w:rFonts w:hint="eastAsia" w:ascii="宋体" w:hAnsi="宋体" w:cs="宋体"/>
          <w:b/>
          <w:bCs/>
          <w:szCs w:val="21"/>
          <w:u w:val="single"/>
        </w:rPr>
        <w:t>，具体金额为中标价的5%。拟中标</w:t>
      </w:r>
      <w:r>
        <w:rPr>
          <w:rFonts w:hint="eastAsia" w:ascii="宋体" w:hAnsi="宋体" w:cs="宋体"/>
          <w:b/>
          <w:bCs/>
          <w:szCs w:val="21"/>
        </w:rPr>
        <w:t>人应当按照招标人的要求及时、足额缴纳履约保证金，履约保证金待项目验收结束后一次性无息退还。</w:t>
      </w:r>
    </w:p>
    <w:p w14:paraId="31066FAC">
      <w:pPr>
        <w:spacing w:line="262" w:lineRule="auto"/>
        <w:ind w:firstLine="422" w:firstLineChars="200"/>
        <w:rPr>
          <w:rFonts w:ascii="宋体" w:hAnsi="宋体" w:cs="宋体"/>
          <w:b/>
          <w:bCs/>
          <w:szCs w:val="21"/>
        </w:rPr>
      </w:pPr>
      <w:r>
        <w:rPr>
          <w:rFonts w:hint="eastAsia" w:ascii="宋体" w:hAnsi="宋体" w:cs="宋体"/>
          <w:b/>
          <w:bCs/>
          <w:szCs w:val="21"/>
        </w:rPr>
        <w:t>2.2履约保证金专户帐户信息</w:t>
      </w:r>
    </w:p>
    <w:p w14:paraId="7012A100">
      <w:pPr>
        <w:spacing w:line="262" w:lineRule="auto"/>
        <w:ind w:firstLine="422" w:firstLineChars="200"/>
        <w:rPr>
          <w:rFonts w:ascii="宋体" w:hAnsi="宋体" w:cs="宋体"/>
          <w:b/>
          <w:bCs/>
          <w:szCs w:val="21"/>
        </w:rPr>
      </w:pPr>
      <w:r>
        <w:rPr>
          <w:rFonts w:hint="eastAsia" w:ascii="宋体" w:hAnsi="宋体" w:cs="宋体"/>
          <w:b/>
          <w:bCs/>
          <w:szCs w:val="21"/>
        </w:rPr>
        <w:t>单位名称：江苏医药职业学院</w:t>
      </w:r>
    </w:p>
    <w:p w14:paraId="35C3B2EC">
      <w:pPr>
        <w:spacing w:line="262" w:lineRule="auto"/>
        <w:ind w:firstLine="422" w:firstLineChars="200"/>
        <w:rPr>
          <w:rFonts w:ascii="宋体" w:hAnsi="宋体" w:cs="宋体"/>
          <w:b/>
          <w:bCs/>
          <w:szCs w:val="21"/>
        </w:rPr>
      </w:pPr>
      <w:r>
        <w:rPr>
          <w:rFonts w:hint="eastAsia" w:ascii="宋体" w:hAnsi="宋体" w:cs="宋体"/>
          <w:b/>
          <w:bCs/>
          <w:szCs w:val="21"/>
        </w:rPr>
        <w:t>开户行名称：建行盐城市城南支行</w:t>
      </w:r>
    </w:p>
    <w:p w14:paraId="4468533C">
      <w:pPr>
        <w:spacing w:line="262" w:lineRule="auto"/>
        <w:ind w:firstLine="422" w:firstLineChars="200"/>
        <w:rPr>
          <w:rFonts w:ascii="宋体" w:hAnsi="宋体" w:cs="宋体"/>
          <w:b/>
          <w:bCs/>
          <w:szCs w:val="21"/>
        </w:rPr>
      </w:pPr>
      <w:r>
        <w:rPr>
          <w:rFonts w:hint="eastAsia" w:ascii="宋体" w:hAnsi="宋体" w:cs="宋体"/>
          <w:b/>
          <w:bCs/>
          <w:szCs w:val="21"/>
        </w:rPr>
        <w:t>银行帐号：32001735038052500575</w:t>
      </w:r>
    </w:p>
    <w:p w14:paraId="03C8A6AF">
      <w:pPr>
        <w:spacing w:line="262" w:lineRule="auto"/>
        <w:ind w:firstLine="422" w:firstLineChars="200"/>
        <w:rPr>
          <w:rFonts w:ascii="宋体" w:hAnsi="宋体" w:cs="宋体"/>
          <w:b/>
          <w:bCs/>
          <w:szCs w:val="21"/>
        </w:rPr>
      </w:pPr>
      <w:r>
        <w:rPr>
          <w:rFonts w:hint="eastAsia" w:ascii="宋体" w:hAnsi="宋体" w:cs="宋体"/>
          <w:b/>
          <w:bCs/>
          <w:szCs w:val="21"/>
        </w:rPr>
        <w:t>地    址：江苏省盐城市解放南路283号</w:t>
      </w:r>
    </w:p>
    <w:p w14:paraId="07468AD8">
      <w:pPr>
        <w:spacing w:line="262" w:lineRule="auto"/>
        <w:ind w:firstLine="422" w:firstLineChars="200"/>
        <w:rPr>
          <w:rFonts w:ascii="宋体" w:hAnsi="宋体" w:cs="宋体"/>
          <w:b/>
          <w:bCs/>
          <w:szCs w:val="21"/>
        </w:rPr>
      </w:pPr>
      <w:r>
        <w:rPr>
          <w:rFonts w:hint="eastAsia" w:ascii="宋体" w:hAnsi="宋体" w:cs="宋体"/>
          <w:b/>
          <w:bCs/>
          <w:szCs w:val="21"/>
        </w:rPr>
        <w:t>电    话：0515-88550311</w:t>
      </w:r>
    </w:p>
    <w:p w14:paraId="0958D6A1">
      <w:pPr>
        <w:spacing w:line="262" w:lineRule="auto"/>
        <w:ind w:firstLine="422" w:firstLineChars="200"/>
        <w:rPr>
          <w:rFonts w:ascii="宋体" w:hAnsi="宋体" w:cs="宋体"/>
          <w:b/>
          <w:bCs/>
          <w:szCs w:val="21"/>
        </w:rPr>
      </w:pPr>
      <w:r>
        <w:rPr>
          <w:rFonts w:hint="eastAsia" w:ascii="宋体" w:hAnsi="宋体" w:cs="宋体"/>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14:paraId="3200CD52">
      <w:pPr>
        <w:spacing w:line="262" w:lineRule="auto"/>
        <w:ind w:firstLine="422" w:firstLineChars="200"/>
        <w:rPr>
          <w:rFonts w:ascii="宋体" w:hAnsi="宋体" w:cs="宋体"/>
          <w:b/>
          <w:bCs/>
          <w:szCs w:val="21"/>
        </w:rPr>
      </w:pPr>
      <w:r>
        <w:rPr>
          <w:rFonts w:hint="eastAsia" w:ascii="宋体" w:hAnsi="宋体" w:cs="宋体"/>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14:paraId="5E835D3C">
      <w:pPr>
        <w:spacing w:line="262" w:lineRule="auto"/>
        <w:ind w:firstLine="422" w:firstLineChars="200"/>
        <w:rPr>
          <w:rFonts w:ascii="宋体" w:hAnsi="宋体" w:cs="宋体"/>
          <w:b/>
          <w:bCs/>
          <w:szCs w:val="21"/>
        </w:rPr>
      </w:pPr>
      <w:r>
        <w:rPr>
          <w:rFonts w:hint="eastAsia" w:ascii="宋体" w:hAnsi="宋体" w:cs="宋体"/>
          <w:b/>
          <w:bCs/>
          <w:szCs w:val="21"/>
        </w:rPr>
        <w:t>2.5履约保证金用以约束成交供应商在合同履行中的行为，弥补合同执行中由于自身行为可能给采购人带来的各种损失（履约保证金将不予退还）。</w:t>
      </w:r>
    </w:p>
    <w:p w14:paraId="1DDCC1E6">
      <w:pPr>
        <w:spacing w:line="262" w:lineRule="auto"/>
        <w:ind w:firstLine="422" w:firstLineChars="200"/>
        <w:rPr>
          <w:rFonts w:ascii="宋体" w:hAnsi="宋体" w:cs="宋体"/>
          <w:b/>
          <w:bCs/>
          <w:szCs w:val="21"/>
        </w:rPr>
      </w:pPr>
      <w:r>
        <w:rPr>
          <w:rFonts w:hint="eastAsia" w:ascii="宋体" w:hAnsi="宋体" w:cs="宋体"/>
          <w:b/>
          <w:bCs/>
          <w:szCs w:val="21"/>
        </w:rPr>
        <w:t>2.6如中标人信用报告为AA评级及以上的，减半或免收履约保证金（需提供信用管理部门备案的第三方信用报告）；中标人的信用报告应满足盐城市信用办《关于执行&lt;江苏省企业信用评价指引（试行）落实信用报告互认互用的通知》（盐信用办〔2021〕16号）规定，且信用报告概述页等内容通过“信用盐城”网站可查实。</w:t>
      </w:r>
    </w:p>
    <w:p w14:paraId="4E6929EF">
      <w:pPr>
        <w:spacing w:line="262" w:lineRule="auto"/>
        <w:ind w:firstLine="422"/>
        <w:rPr>
          <w:rFonts w:ascii="宋体" w:hAnsi="宋体" w:cs="宋体"/>
          <w:b/>
          <w:szCs w:val="21"/>
        </w:rPr>
      </w:pPr>
      <w:r>
        <w:rPr>
          <w:rFonts w:hint="eastAsia" w:ascii="宋体" w:hAnsi="宋体" w:cs="宋体"/>
          <w:b/>
          <w:szCs w:val="21"/>
        </w:rPr>
        <w:t>3.代理服务费</w:t>
      </w:r>
    </w:p>
    <w:p w14:paraId="54A9052F">
      <w:pPr>
        <w:spacing w:line="262" w:lineRule="auto"/>
        <w:ind w:firstLine="420"/>
        <w:jc w:val="left"/>
        <w:rPr>
          <w:rFonts w:ascii="宋体" w:hAnsi="宋体" w:cs="宋体"/>
          <w:bCs/>
          <w:szCs w:val="21"/>
        </w:rPr>
      </w:pPr>
      <w:r>
        <w:rPr>
          <w:rFonts w:hint="eastAsia" w:ascii="宋体" w:hAnsi="宋体" w:cs="宋体"/>
          <w:szCs w:val="21"/>
        </w:rPr>
        <w:t>3.1</w:t>
      </w:r>
      <w:r>
        <w:rPr>
          <w:rFonts w:hint="eastAsia" w:ascii="宋体" w:hAnsi="宋体" w:cs="宋体"/>
          <w:bCs/>
          <w:szCs w:val="21"/>
        </w:rPr>
        <w:t>代理服务费收费标准：见</w:t>
      </w:r>
      <w:r>
        <w:rPr>
          <w:rFonts w:hint="eastAsia" w:ascii="宋体" w:hAnsi="宋体" w:cs="宋体"/>
          <w:bCs/>
          <w:szCs w:val="21"/>
          <w:u w:val="single"/>
        </w:rPr>
        <w:t>供应商须知资料表</w:t>
      </w:r>
      <w:r>
        <w:rPr>
          <w:rFonts w:hint="eastAsia" w:ascii="宋体" w:hAnsi="宋体" w:cs="宋体"/>
          <w:szCs w:val="21"/>
        </w:rPr>
        <w:t>。</w:t>
      </w:r>
    </w:p>
    <w:p w14:paraId="777726F9">
      <w:pPr>
        <w:spacing w:line="262" w:lineRule="auto"/>
        <w:ind w:firstLine="420"/>
        <w:jc w:val="left"/>
        <w:rPr>
          <w:rFonts w:ascii="宋体" w:hAnsi="宋体" w:cs="宋体"/>
          <w:szCs w:val="21"/>
        </w:rPr>
      </w:pPr>
      <w:r>
        <w:rPr>
          <w:rFonts w:hint="eastAsia" w:ascii="宋体" w:hAnsi="宋体" w:cs="宋体"/>
          <w:bCs/>
          <w:szCs w:val="21"/>
        </w:rPr>
        <w:t>3.2如</w:t>
      </w:r>
      <w:r>
        <w:rPr>
          <w:rFonts w:hint="eastAsia" w:ascii="宋体" w:hAnsi="宋体" w:cs="宋体"/>
          <w:bCs/>
          <w:szCs w:val="21"/>
          <w:u w:val="single"/>
        </w:rPr>
        <w:t>供应商须知资料表</w:t>
      </w:r>
      <w:r>
        <w:rPr>
          <w:rFonts w:hint="eastAsia" w:ascii="宋体" w:hAnsi="宋体" w:cs="宋体"/>
          <w:bCs/>
          <w:szCs w:val="21"/>
        </w:rPr>
        <w:t>规定代理服务费由成交供应商承担的。成交供应商须在领取成交通知书时，按照</w:t>
      </w:r>
      <w:r>
        <w:rPr>
          <w:rFonts w:hint="eastAsia" w:ascii="宋体" w:hAnsi="宋体" w:cs="宋体"/>
          <w:bCs/>
          <w:szCs w:val="21"/>
          <w:u w:val="single"/>
        </w:rPr>
        <w:t>供应商须知资料表</w:t>
      </w:r>
      <w:r>
        <w:rPr>
          <w:rFonts w:hint="eastAsia" w:ascii="宋体" w:hAnsi="宋体" w:cs="宋体"/>
          <w:bCs/>
          <w:szCs w:val="21"/>
        </w:rPr>
        <w:t>规定的收费标准向携手阳光公司支付代理服务费（一次性付清）。</w:t>
      </w:r>
      <w:r>
        <w:rPr>
          <w:rFonts w:hint="eastAsia" w:ascii="宋体" w:hAnsi="宋体" w:cs="宋体"/>
          <w:szCs w:val="21"/>
        </w:rPr>
        <w:t>该费用折算在供应商报价中，不在响应文件中单独列出。</w:t>
      </w:r>
    </w:p>
    <w:p w14:paraId="5B407C23">
      <w:pPr>
        <w:spacing w:line="262" w:lineRule="auto"/>
        <w:ind w:firstLine="420" w:firstLineChars="200"/>
        <w:jc w:val="left"/>
        <w:rPr>
          <w:rFonts w:ascii="宋体" w:hAnsi="宋体" w:cs="宋体"/>
          <w:szCs w:val="21"/>
        </w:rPr>
      </w:pPr>
      <w:r>
        <w:rPr>
          <w:rFonts w:hint="eastAsia" w:ascii="宋体" w:hAnsi="宋体" w:cs="宋体"/>
          <w:bCs/>
          <w:szCs w:val="21"/>
        </w:rPr>
        <w:t>3.3代理服务费支付形式为：电款、转账等；发票为</w:t>
      </w:r>
      <w:r>
        <w:rPr>
          <w:rFonts w:hint="eastAsia" w:ascii="宋体" w:hAnsi="宋体" w:cs="宋体"/>
          <w:szCs w:val="21"/>
        </w:rPr>
        <w:t>普通发票。账户信息：开户名：盐城市携手阳光集中采购代理有限公司；开户行：兴业银行盐城分行；账号：402010100100119375）。</w:t>
      </w:r>
    </w:p>
    <w:p w14:paraId="20B4B359">
      <w:pPr>
        <w:spacing w:line="262" w:lineRule="auto"/>
        <w:ind w:firstLine="422"/>
        <w:rPr>
          <w:rFonts w:ascii="宋体" w:hAnsi="宋体" w:cs="宋体"/>
          <w:b/>
          <w:szCs w:val="21"/>
        </w:rPr>
      </w:pPr>
      <w:r>
        <w:rPr>
          <w:rFonts w:hint="eastAsia" w:ascii="宋体" w:hAnsi="宋体" w:cs="宋体"/>
          <w:b/>
          <w:szCs w:val="21"/>
        </w:rPr>
        <w:t>4.成交供应商违约、违规责任</w:t>
      </w:r>
    </w:p>
    <w:p w14:paraId="0CC331A4">
      <w:pPr>
        <w:spacing w:line="262" w:lineRule="auto"/>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政府采购遵循诚实信用原则。为保证政府采购效率及采购人的合法权益，</w:t>
      </w:r>
      <w:r>
        <w:rPr>
          <w:rFonts w:hint="eastAsia" w:ascii="宋体" w:hAnsi="宋体" w:cs="宋体"/>
          <w:szCs w:val="21"/>
        </w:rPr>
        <w:t>成交供应商出现违约、违规的，按照有利于采购人的原则处理。即：如采购文件、投标（响应）文件及合同条款约定中对成交供应商有不同违约、违规规定的，按照处罚最高的规定处理（供应商承担）。</w:t>
      </w:r>
    </w:p>
    <w:p w14:paraId="3FF3E9BF">
      <w:pPr>
        <w:spacing w:line="262" w:lineRule="auto"/>
        <w:ind w:firstLine="420" w:firstLineChars="200"/>
        <w:rPr>
          <w:rFonts w:ascii="宋体" w:hAnsi="宋体" w:cs="宋体"/>
          <w:szCs w:val="21"/>
        </w:rPr>
      </w:pPr>
      <w:r>
        <w:rPr>
          <w:rFonts w:hint="eastAsia" w:ascii="宋体" w:hAnsi="宋体" w:cs="宋体"/>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宋体" w:hAnsi="宋体" w:cs="宋体"/>
          <w:spacing w:val="15"/>
          <w:kern w:val="0"/>
          <w:szCs w:val="21"/>
        </w:rPr>
        <w:t> </w:t>
      </w:r>
    </w:p>
    <w:p w14:paraId="7C86DF20">
      <w:pPr>
        <w:spacing w:line="262" w:lineRule="auto"/>
        <w:ind w:firstLine="420" w:firstLineChars="200"/>
        <w:rPr>
          <w:rFonts w:ascii="宋体" w:hAnsi="宋体" w:cs="宋体"/>
          <w:szCs w:val="21"/>
        </w:rPr>
      </w:pPr>
      <w:r>
        <w:rPr>
          <w:rFonts w:hint="eastAsia" w:ascii="宋体" w:hAnsi="宋体" w:cs="宋体"/>
          <w:szCs w:val="21"/>
        </w:rPr>
        <w:t>4.3法律法规规定的其它违约、违规责任。</w:t>
      </w:r>
    </w:p>
    <w:p w14:paraId="339AA7E0">
      <w:pPr>
        <w:pStyle w:val="9"/>
        <w:spacing w:line="240" w:lineRule="exact"/>
        <w:ind w:firstLine="420"/>
        <w:rPr>
          <w:rFonts w:ascii="宋体" w:hAnsi="宋体" w:eastAsia="宋体" w:cs="宋体"/>
          <w:sz w:val="21"/>
          <w:szCs w:val="21"/>
        </w:rPr>
      </w:pPr>
    </w:p>
    <w:p w14:paraId="7F9EC0C1">
      <w:pPr>
        <w:spacing w:line="262" w:lineRule="auto"/>
        <w:ind w:firstLine="422" w:firstLineChars="200"/>
        <w:jc w:val="center"/>
        <w:outlineLvl w:val="1"/>
        <w:rPr>
          <w:rFonts w:ascii="宋体" w:hAnsi="宋体" w:cs="宋体"/>
          <w:b/>
          <w:szCs w:val="21"/>
        </w:rPr>
      </w:pPr>
      <w:bookmarkStart w:id="179" w:name="_Toc118235415"/>
      <w:bookmarkStart w:id="180" w:name="_Toc107916294"/>
      <w:bookmarkStart w:id="181" w:name="_Toc118275640"/>
      <w:bookmarkStart w:id="182" w:name="_Toc173404792"/>
      <w:bookmarkStart w:id="183" w:name="_Toc118275520"/>
      <w:bookmarkStart w:id="184" w:name="_Toc118275560"/>
      <w:r>
        <w:rPr>
          <w:rFonts w:hint="eastAsia" w:ascii="宋体" w:hAnsi="宋体" w:cs="宋体"/>
          <w:b/>
          <w:szCs w:val="21"/>
        </w:rPr>
        <w:t>七、质疑受理</w:t>
      </w:r>
      <w:bookmarkEnd w:id="179"/>
      <w:bookmarkEnd w:id="180"/>
      <w:bookmarkEnd w:id="181"/>
      <w:bookmarkEnd w:id="182"/>
      <w:bookmarkEnd w:id="183"/>
      <w:bookmarkEnd w:id="184"/>
    </w:p>
    <w:p w14:paraId="58824FBA">
      <w:pPr>
        <w:pStyle w:val="9"/>
        <w:spacing w:line="240" w:lineRule="exact"/>
        <w:ind w:firstLine="420"/>
        <w:rPr>
          <w:rFonts w:ascii="宋体" w:hAnsi="宋体" w:eastAsia="宋体" w:cs="宋体"/>
          <w:sz w:val="21"/>
          <w:szCs w:val="21"/>
        </w:rPr>
      </w:pPr>
    </w:p>
    <w:p w14:paraId="5B1E8693">
      <w:pPr>
        <w:spacing w:line="262" w:lineRule="auto"/>
        <w:ind w:firstLine="422"/>
        <w:rPr>
          <w:rFonts w:ascii="宋体" w:hAnsi="宋体" w:cs="宋体"/>
          <w:szCs w:val="21"/>
        </w:rPr>
      </w:pPr>
      <w:bookmarkStart w:id="185" w:name="_Toc513029237"/>
      <w:bookmarkStart w:id="186" w:name="_Toc16938553"/>
      <w:bookmarkStart w:id="187" w:name="_Toc20823309"/>
      <w:r>
        <w:rPr>
          <w:rFonts w:hint="eastAsia" w:ascii="宋体" w:hAnsi="宋体" w:cs="宋体"/>
          <w:b/>
          <w:szCs w:val="21"/>
        </w:rPr>
        <w:t>1.质疑受理</w:t>
      </w:r>
    </w:p>
    <w:p w14:paraId="72A1C4CC">
      <w:pPr>
        <w:spacing w:line="262" w:lineRule="auto"/>
        <w:ind w:firstLine="422" w:firstLineChars="200"/>
        <w:rPr>
          <w:rFonts w:ascii="宋体" w:hAnsi="宋体" w:cs="宋体"/>
          <w:szCs w:val="21"/>
        </w:rPr>
      </w:pPr>
      <w:r>
        <w:rPr>
          <w:rFonts w:hint="eastAsia" w:ascii="宋体" w:hAnsi="宋体" w:cs="宋体"/>
          <w:b/>
          <w:szCs w:val="21"/>
        </w:rPr>
        <w:t>1.1供应商认为采购文件采购过程和成交结果使自己的权益受到损害的，可以在3日内向</w:t>
      </w:r>
      <w:r>
        <w:rPr>
          <w:rFonts w:hint="eastAsia" w:ascii="宋体" w:hAnsi="宋体" w:cs="宋体"/>
          <w:b/>
          <w:bCs/>
          <w:szCs w:val="21"/>
        </w:rPr>
        <w:t>携手阳光公司（采购人受权接受）</w:t>
      </w:r>
      <w:r>
        <w:rPr>
          <w:rFonts w:hint="eastAsia" w:ascii="宋体" w:hAnsi="宋体" w:cs="宋体"/>
          <w:b/>
          <w:szCs w:val="21"/>
        </w:rPr>
        <w:t>提出质疑。</w:t>
      </w:r>
    </w:p>
    <w:p w14:paraId="206E4F0C">
      <w:pPr>
        <w:spacing w:line="262" w:lineRule="auto"/>
        <w:ind w:firstLine="422" w:firstLineChars="200"/>
        <w:rPr>
          <w:rFonts w:ascii="宋体" w:hAnsi="宋体" w:cs="宋体"/>
          <w:szCs w:val="21"/>
        </w:rPr>
      </w:pPr>
      <w:r>
        <w:rPr>
          <w:rFonts w:hint="eastAsia" w:ascii="宋体" w:hAnsi="宋体" w:cs="宋体"/>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14:paraId="52DFF673">
      <w:pPr>
        <w:spacing w:line="262" w:lineRule="auto"/>
        <w:ind w:firstLine="422" w:firstLineChars="200"/>
        <w:jc w:val="left"/>
        <w:rPr>
          <w:rFonts w:ascii="宋体" w:hAnsi="宋体" w:cs="宋体"/>
          <w:b/>
          <w:szCs w:val="21"/>
        </w:rPr>
      </w:pPr>
      <w:r>
        <w:rPr>
          <w:rFonts w:hint="eastAsia" w:ascii="宋体" w:hAnsi="宋体" w:cs="宋体"/>
          <w:b/>
          <w:szCs w:val="21"/>
        </w:rPr>
        <w:t>超出约定质疑期的、重复提出的、分次提出的或内容、形式不符合《政府采购质疑和投诉办法》的，质疑供应商将依法承担不利后果。</w:t>
      </w:r>
    </w:p>
    <w:p w14:paraId="557BEE10">
      <w:pPr>
        <w:spacing w:line="262" w:lineRule="auto"/>
        <w:ind w:firstLine="422" w:firstLineChars="200"/>
        <w:jc w:val="left"/>
        <w:rPr>
          <w:rFonts w:ascii="宋体" w:hAnsi="宋体" w:cs="宋体"/>
          <w:szCs w:val="21"/>
          <w:shd w:val="clear" w:color="auto" w:fill="FFFFFF"/>
        </w:rPr>
      </w:pPr>
      <w:r>
        <w:rPr>
          <w:rFonts w:hint="eastAsia" w:ascii="宋体" w:hAnsi="宋体" w:cs="宋体"/>
          <w:b/>
          <w:szCs w:val="21"/>
        </w:rPr>
        <w:t>1.3质疑供应商对采购人、携手阳光公司的答复不满意或者采购人、采购代理机构未在规定的时间内作出答复的，可以在答复期满后3日内向采购人内控管理部门反映</w:t>
      </w:r>
      <w:r>
        <w:rPr>
          <w:rFonts w:hint="eastAsia" w:ascii="宋体" w:hAnsi="宋体" w:cs="宋体"/>
          <w:szCs w:val="21"/>
          <w:shd w:val="clear" w:color="auto" w:fill="FFFFFF"/>
        </w:rPr>
        <w:t>。</w:t>
      </w:r>
    </w:p>
    <w:p w14:paraId="79EFD7E2">
      <w:pPr>
        <w:pStyle w:val="9"/>
        <w:spacing w:line="240" w:lineRule="exact"/>
        <w:ind w:firstLine="420"/>
        <w:rPr>
          <w:rFonts w:ascii="宋体" w:hAnsi="宋体" w:eastAsia="宋体" w:cs="宋体"/>
          <w:sz w:val="21"/>
          <w:szCs w:val="21"/>
        </w:rPr>
      </w:pPr>
    </w:p>
    <w:p w14:paraId="6B1DA336">
      <w:pPr>
        <w:spacing w:line="262" w:lineRule="auto"/>
        <w:ind w:firstLine="422" w:firstLineChars="200"/>
        <w:jc w:val="center"/>
        <w:outlineLvl w:val="1"/>
        <w:rPr>
          <w:rFonts w:ascii="宋体" w:hAnsi="宋体" w:cs="宋体"/>
          <w:b/>
          <w:szCs w:val="21"/>
        </w:rPr>
      </w:pPr>
      <w:bookmarkStart w:id="188" w:name="_Toc118275561"/>
      <w:bookmarkStart w:id="189" w:name="_Toc173404793"/>
      <w:bookmarkStart w:id="190" w:name="_Toc118235416"/>
      <w:bookmarkStart w:id="191" w:name="_Toc118275641"/>
      <w:bookmarkStart w:id="192" w:name="_Toc107916295"/>
      <w:bookmarkStart w:id="193" w:name="_Toc118275521"/>
      <w:r>
        <w:rPr>
          <w:rFonts w:hint="eastAsia" w:ascii="宋体" w:hAnsi="宋体" w:cs="宋体"/>
          <w:b/>
          <w:szCs w:val="21"/>
        </w:rPr>
        <w:t>八、终止磋商采购活动</w:t>
      </w:r>
      <w:bookmarkEnd w:id="188"/>
      <w:bookmarkEnd w:id="189"/>
      <w:bookmarkEnd w:id="190"/>
      <w:bookmarkEnd w:id="191"/>
      <w:bookmarkEnd w:id="192"/>
      <w:bookmarkEnd w:id="193"/>
    </w:p>
    <w:p w14:paraId="417EAD1C">
      <w:pPr>
        <w:pStyle w:val="9"/>
        <w:spacing w:line="240" w:lineRule="exact"/>
        <w:ind w:firstLine="420"/>
        <w:rPr>
          <w:rFonts w:ascii="宋体" w:hAnsi="宋体" w:eastAsia="宋体" w:cs="宋体"/>
          <w:sz w:val="21"/>
          <w:szCs w:val="21"/>
        </w:rPr>
      </w:pPr>
    </w:p>
    <w:p w14:paraId="194D7535">
      <w:pPr>
        <w:spacing w:line="262" w:lineRule="auto"/>
        <w:ind w:firstLine="422"/>
        <w:rPr>
          <w:rFonts w:ascii="宋体" w:hAnsi="宋体" w:cs="宋体"/>
          <w:b/>
          <w:szCs w:val="21"/>
        </w:rPr>
      </w:pPr>
      <w:r>
        <w:rPr>
          <w:rFonts w:hint="eastAsia" w:ascii="宋体" w:hAnsi="宋体" w:cs="宋体"/>
          <w:b/>
          <w:szCs w:val="21"/>
        </w:rPr>
        <w:t>终止磋商采购活动</w:t>
      </w:r>
    </w:p>
    <w:p w14:paraId="32965D4B">
      <w:pPr>
        <w:spacing w:line="262" w:lineRule="auto"/>
        <w:ind w:firstLine="420" w:firstLineChars="200"/>
        <w:jc w:val="left"/>
        <w:rPr>
          <w:rFonts w:ascii="宋体" w:hAnsi="宋体" w:cs="宋体"/>
          <w:szCs w:val="21"/>
        </w:rPr>
      </w:pPr>
      <w:r>
        <w:rPr>
          <w:rFonts w:hint="eastAsia" w:ascii="宋体" w:hAnsi="宋体" w:cs="宋体"/>
          <w:szCs w:val="21"/>
        </w:rPr>
        <w:t>出现下列情形之一的，采购人或者采购代理机构应当终止磋商采购活动，发布项目终止公告并说明原因，重新开展采购活动：</w:t>
      </w:r>
    </w:p>
    <w:p w14:paraId="60021859">
      <w:pPr>
        <w:spacing w:line="262" w:lineRule="auto"/>
        <w:ind w:firstLine="420" w:firstLineChars="200"/>
        <w:jc w:val="left"/>
        <w:rPr>
          <w:rFonts w:ascii="宋体" w:hAnsi="宋体" w:cs="宋体"/>
          <w:szCs w:val="21"/>
        </w:rPr>
      </w:pPr>
      <w:r>
        <w:rPr>
          <w:rFonts w:hint="eastAsia" w:ascii="宋体" w:hAnsi="宋体" w:cs="宋体"/>
          <w:szCs w:val="21"/>
        </w:rPr>
        <w:t>（1）因情况变化，不再符合规定的磋商采购方式适用情形的；</w:t>
      </w:r>
    </w:p>
    <w:p w14:paraId="05098F59">
      <w:pPr>
        <w:spacing w:line="262" w:lineRule="auto"/>
        <w:ind w:firstLine="420" w:firstLineChars="200"/>
        <w:jc w:val="left"/>
        <w:rPr>
          <w:rFonts w:ascii="宋体" w:hAnsi="宋体" w:cs="宋体"/>
          <w:szCs w:val="21"/>
        </w:rPr>
      </w:pPr>
      <w:r>
        <w:rPr>
          <w:rFonts w:hint="eastAsia" w:ascii="宋体" w:hAnsi="宋体" w:cs="宋体"/>
          <w:szCs w:val="21"/>
        </w:rPr>
        <w:t>（2）出现影响采购公正的违法、违规行为的；</w:t>
      </w:r>
    </w:p>
    <w:bookmarkEnd w:id="185"/>
    <w:bookmarkEnd w:id="186"/>
    <w:bookmarkEnd w:id="187"/>
    <w:p w14:paraId="07756E7E">
      <w:pPr>
        <w:spacing w:line="386" w:lineRule="exact"/>
        <w:ind w:firstLine="420" w:firstLineChars="200"/>
        <w:rPr>
          <w:rFonts w:ascii="宋体" w:hAnsi="宋体" w:cs="宋体"/>
          <w:szCs w:val="21"/>
        </w:rPr>
      </w:pPr>
      <w:r>
        <w:rPr>
          <w:rFonts w:hint="eastAsia" w:ascii="宋体" w:hAnsi="宋体" w:cs="宋体"/>
          <w:szCs w:val="21"/>
        </w:rPr>
        <w:t>在采购过程中符合竞争要求的供应商或者报价未超过采购预算的供应商不足3家的，采购人可以终止采购活动，也可以按照“以合理的价格购买数量、质量合适的产品”的原则继续评审。</w:t>
      </w:r>
    </w:p>
    <w:p w14:paraId="676FDDEA">
      <w:pPr>
        <w:pStyle w:val="9"/>
        <w:spacing w:line="240" w:lineRule="exact"/>
        <w:ind w:firstLine="420"/>
        <w:rPr>
          <w:rFonts w:ascii="宋体" w:hAnsi="宋体" w:eastAsia="宋体" w:cs="宋体"/>
          <w:sz w:val="21"/>
          <w:szCs w:val="21"/>
        </w:rPr>
      </w:pPr>
    </w:p>
    <w:p w14:paraId="15C8F35F">
      <w:pPr>
        <w:spacing w:line="262" w:lineRule="auto"/>
        <w:ind w:firstLine="422"/>
        <w:jc w:val="center"/>
        <w:outlineLvl w:val="1"/>
        <w:rPr>
          <w:rFonts w:ascii="宋体" w:hAnsi="宋体" w:cs="宋体"/>
          <w:b/>
          <w:szCs w:val="21"/>
        </w:rPr>
      </w:pPr>
      <w:bookmarkStart w:id="194" w:name="_Toc107916296"/>
      <w:bookmarkStart w:id="195" w:name="_Toc173404794"/>
      <w:bookmarkStart w:id="196" w:name="_Toc118275522"/>
      <w:bookmarkStart w:id="197" w:name="_Toc118275642"/>
      <w:bookmarkStart w:id="198" w:name="_Toc118275562"/>
      <w:bookmarkStart w:id="199" w:name="_Toc118235417"/>
      <w:r>
        <w:rPr>
          <w:rFonts w:hint="eastAsia" w:ascii="宋体" w:hAnsi="宋体" w:cs="宋体"/>
          <w:b/>
          <w:szCs w:val="21"/>
        </w:rPr>
        <w:t>九、其他</w:t>
      </w:r>
      <w:bookmarkEnd w:id="194"/>
      <w:bookmarkEnd w:id="195"/>
      <w:bookmarkEnd w:id="196"/>
      <w:bookmarkEnd w:id="197"/>
      <w:bookmarkEnd w:id="198"/>
      <w:bookmarkEnd w:id="199"/>
    </w:p>
    <w:p w14:paraId="1C02622F">
      <w:pPr>
        <w:pStyle w:val="9"/>
        <w:spacing w:line="240" w:lineRule="exact"/>
        <w:ind w:firstLine="420"/>
        <w:rPr>
          <w:rFonts w:ascii="宋体" w:hAnsi="宋体" w:eastAsia="宋体" w:cs="宋体"/>
          <w:sz w:val="21"/>
          <w:szCs w:val="21"/>
        </w:rPr>
      </w:pPr>
    </w:p>
    <w:p w14:paraId="306A4049">
      <w:pPr>
        <w:spacing w:line="262" w:lineRule="auto"/>
        <w:ind w:firstLine="422"/>
        <w:rPr>
          <w:rFonts w:ascii="宋体" w:hAnsi="宋体" w:cs="宋体"/>
          <w:b/>
          <w:szCs w:val="21"/>
        </w:rPr>
      </w:pPr>
      <w:r>
        <w:rPr>
          <w:rFonts w:hint="eastAsia" w:ascii="宋体" w:hAnsi="宋体" w:cs="宋体"/>
          <w:b/>
          <w:szCs w:val="21"/>
        </w:rPr>
        <w:t>1.政府采购履约资金扶持政策</w:t>
      </w:r>
    </w:p>
    <w:p w14:paraId="27116424">
      <w:pPr>
        <w:spacing w:line="262" w:lineRule="auto"/>
        <w:ind w:firstLine="420" w:firstLineChars="200"/>
        <w:rPr>
          <w:rFonts w:ascii="宋体" w:hAnsi="宋体" w:cs="宋体"/>
          <w:szCs w:val="21"/>
        </w:rPr>
      </w:pPr>
      <w:r>
        <w:rPr>
          <w:rFonts w:hint="eastAsia" w:ascii="宋体" w:hAnsi="宋体" w:cs="宋体"/>
          <w:szCs w:val="21"/>
        </w:rPr>
        <w:t>根据国家扶持中小企业的有关政策，政府采购成交供应商在履约过程中如遇到资金困难，凭成交通知书在相关金融机构办理授信申请。相关事宜向采购代理机构咨询。</w:t>
      </w:r>
    </w:p>
    <w:p w14:paraId="2A811446">
      <w:pPr>
        <w:spacing w:line="262" w:lineRule="auto"/>
        <w:ind w:firstLine="422"/>
        <w:rPr>
          <w:rFonts w:ascii="宋体" w:hAnsi="宋体" w:cs="宋体"/>
          <w:b/>
          <w:szCs w:val="21"/>
        </w:rPr>
      </w:pPr>
      <w:r>
        <w:rPr>
          <w:rFonts w:hint="eastAsia" w:ascii="宋体" w:hAnsi="宋体" w:cs="宋体"/>
          <w:b/>
          <w:szCs w:val="21"/>
        </w:rPr>
        <w:t>2.解释（定义）及其它：</w:t>
      </w:r>
    </w:p>
    <w:p w14:paraId="01045409">
      <w:pPr>
        <w:spacing w:line="262" w:lineRule="auto"/>
        <w:ind w:firstLine="420" w:firstLineChars="200"/>
        <w:jc w:val="left"/>
        <w:rPr>
          <w:rFonts w:ascii="宋体" w:hAnsi="宋体" w:cs="宋体"/>
          <w:szCs w:val="21"/>
        </w:rPr>
      </w:pPr>
      <w:r>
        <w:rPr>
          <w:rFonts w:hint="eastAsia" w:ascii="宋体" w:hAnsi="宋体" w:cs="宋体"/>
          <w:szCs w:val="21"/>
        </w:rPr>
        <w:t>本采购文件当中“投标”、“投标人”、“投标文件”、“中标”、“中标人”，分别是指 “参加磋商响应”、“供应商”、“响应文件”、“成交”、“成交供应商”。</w:t>
      </w:r>
    </w:p>
    <w:p w14:paraId="77E7B338">
      <w:pPr>
        <w:spacing w:line="262" w:lineRule="auto"/>
        <w:ind w:firstLine="420" w:firstLineChars="200"/>
        <w:jc w:val="left"/>
        <w:rPr>
          <w:rFonts w:ascii="宋体" w:hAnsi="宋体" w:cs="宋体"/>
          <w:szCs w:val="21"/>
        </w:rPr>
      </w:pPr>
      <w:r>
        <w:rPr>
          <w:rFonts w:hint="eastAsia" w:ascii="宋体" w:hAnsi="宋体" w:cs="宋体"/>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14:paraId="2E8092AE">
      <w:pPr>
        <w:spacing w:line="262" w:lineRule="auto"/>
        <w:ind w:firstLine="422" w:firstLineChars="200"/>
        <w:jc w:val="left"/>
        <w:rPr>
          <w:rFonts w:ascii="宋体" w:hAnsi="宋体" w:cs="宋体"/>
          <w:b/>
          <w:szCs w:val="21"/>
        </w:rPr>
      </w:pPr>
      <w:r>
        <w:rPr>
          <w:rFonts w:hint="eastAsia" w:ascii="宋体" w:hAnsi="宋体" w:cs="宋体"/>
          <w:b/>
          <w:szCs w:val="21"/>
        </w:rPr>
        <w:t>本采购文件仅限于政府采购参加人参加本次政府采购活动使用。版权所有（2021.4版），未经携手阳光公司书面授权，本采购文件内容严禁摘录、引用、传播或用于它处。</w:t>
      </w:r>
    </w:p>
    <w:p w14:paraId="26520311">
      <w:pPr>
        <w:spacing w:line="390" w:lineRule="exact"/>
        <w:ind w:firstLine="643" w:firstLineChars="200"/>
        <w:rPr>
          <w:rFonts w:ascii="宋体" w:hAnsi="宋体" w:cs="宋体"/>
          <w:b/>
          <w:color w:val="000000"/>
          <w:sz w:val="32"/>
          <w:szCs w:val="21"/>
        </w:rPr>
      </w:pPr>
    </w:p>
    <w:p w14:paraId="3F4E97EF">
      <w:pPr>
        <w:spacing w:line="480" w:lineRule="auto"/>
        <w:jc w:val="center"/>
        <w:rPr>
          <w:rFonts w:ascii="宋体" w:hAnsi="宋体" w:cs="宋体"/>
          <w:b/>
          <w:color w:val="000000"/>
          <w:sz w:val="32"/>
          <w:szCs w:val="21"/>
        </w:rPr>
      </w:pPr>
      <w:bookmarkStart w:id="200" w:name="_Toc20027"/>
      <w:bookmarkStart w:id="201" w:name="_Toc7001"/>
    </w:p>
    <w:p w14:paraId="5066FF4A">
      <w:pPr>
        <w:spacing w:line="480" w:lineRule="auto"/>
        <w:jc w:val="center"/>
        <w:rPr>
          <w:rFonts w:ascii="宋体" w:hAnsi="宋体" w:cs="宋体"/>
          <w:b/>
          <w:color w:val="000000"/>
          <w:sz w:val="32"/>
          <w:szCs w:val="21"/>
        </w:rPr>
      </w:pPr>
    </w:p>
    <w:p w14:paraId="4CE671BB">
      <w:pPr>
        <w:spacing w:line="480" w:lineRule="auto"/>
        <w:jc w:val="center"/>
        <w:rPr>
          <w:rFonts w:ascii="宋体" w:hAnsi="宋体" w:cs="宋体"/>
          <w:b/>
          <w:color w:val="000000"/>
          <w:sz w:val="32"/>
          <w:szCs w:val="21"/>
        </w:rPr>
      </w:pPr>
    </w:p>
    <w:p w14:paraId="5AAE86FC">
      <w:pPr>
        <w:spacing w:line="480" w:lineRule="auto"/>
        <w:jc w:val="center"/>
        <w:rPr>
          <w:rFonts w:ascii="宋体" w:hAnsi="宋体" w:cs="宋体"/>
          <w:b/>
          <w:color w:val="000000"/>
          <w:sz w:val="32"/>
          <w:szCs w:val="21"/>
        </w:rPr>
      </w:pPr>
    </w:p>
    <w:p w14:paraId="0821D8B1">
      <w:pPr>
        <w:spacing w:line="480" w:lineRule="auto"/>
        <w:jc w:val="center"/>
        <w:rPr>
          <w:rFonts w:ascii="宋体" w:hAnsi="宋体" w:cs="宋体"/>
          <w:b/>
          <w:color w:val="000000"/>
          <w:sz w:val="32"/>
          <w:szCs w:val="21"/>
        </w:rPr>
      </w:pPr>
    </w:p>
    <w:p w14:paraId="22C7DD2D">
      <w:pPr>
        <w:spacing w:line="480" w:lineRule="auto"/>
        <w:jc w:val="center"/>
        <w:rPr>
          <w:rFonts w:ascii="宋体" w:hAnsi="宋体" w:cs="宋体"/>
          <w:b/>
          <w:color w:val="000000"/>
          <w:sz w:val="32"/>
          <w:szCs w:val="21"/>
        </w:rPr>
      </w:pPr>
    </w:p>
    <w:p w14:paraId="052622F7">
      <w:pPr>
        <w:spacing w:line="480" w:lineRule="auto"/>
        <w:jc w:val="center"/>
        <w:rPr>
          <w:rFonts w:ascii="宋体" w:hAnsi="宋体" w:cs="宋体"/>
          <w:b/>
          <w:color w:val="000000"/>
          <w:sz w:val="32"/>
          <w:szCs w:val="21"/>
        </w:rPr>
      </w:pPr>
    </w:p>
    <w:p w14:paraId="404105FC">
      <w:pPr>
        <w:spacing w:line="480" w:lineRule="auto"/>
        <w:jc w:val="center"/>
        <w:rPr>
          <w:rFonts w:ascii="宋体" w:hAnsi="宋体" w:cs="宋体"/>
          <w:b/>
          <w:color w:val="000000"/>
          <w:sz w:val="32"/>
          <w:szCs w:val="21"/>
        </w:rPr>
      </w:pPr>
    </w:p>
    <w:p w14:paraId="057ABEB3">
      <w:pPr>
        <w:spacing w:line="480" w:lineRule="auto"/>
        <w:jc w:val="center"/>
        <w:rPr>
          <w:rFonts w:ascii="宋体" w:hAnsi="宋体" w:cs="宋体"/>
          <w:b/>
          <w:color w:val="000000"/>
          <w:sz w:val="32"/>
          <w:szCs w:val="21"/>
        </w:rPr>
      </w:pPr>
    </w:p>
    <w:p w14:paraId="31D1C112">
      <w:pPr>
        <w:spacing w:line="480" w:lineRule="auto"/>
        <w:jc w:val="center"/>
        <w:rPr>
          <w:rFonts w:ascii="宋体" w:hAnsi="宋体" w:cs="宋体"/>
          <w:b/>
          <w:color w:val="000000"/>
          <w:sz w:val="32"/>
          <w:szCs w:val="21"/>
        </w:rPr>
      </w:pPr>
    </w:p>
    <w:p w14:paraId="5A836B1B">
      <w:pPr>
        <w:spacing w:line="480" w:lineRule="auto"/>
        <w:jc w:val="center"/>
        <w:rPr>
          <w:rFonts w:ascii="宋体" w:hAnsi="宋体" w:cs="宋体"/>
          <w:b/>
          <w:color w:val="000000"/>
          <w:sz w:val="32"/>
          <w:szCs w:val="21"/>
        </w:rPr>
      </w:pPr>
    </w:p>
    <w:p w14:paraId="2EBBDCC6">
      <w:pPr>
        <w:spacing w:line="480" w:lineRule="auto"/>
        <w:jc w:val="center"/>
        <w:rPr>
          <w:rFonts w:ascii="宋体" w:hAnsi="宋体" w:cs="宋体"/>
          <w:b/>
          <w:color w:val="000000"/>
          <w:sz w:val="32"/>
          <w:szCs w:val="21"/>
        </w:rPr>
      </w:pPr>
    </w:p>
    <w:p w14:paraId="53D9FA5B">
      <w:pPr>
        <w:spacing w:line="480" w:lineRule="auto"/>
        <w:jc w:val="center"/>
        <w:rPr>
          <w:rFonts w:ascii="宋体" w:hAnsi="宋体" w:cs="宋体"/>
          <w:b/>
          <w:color w:val="000000"/>
          <w:sz w:val="32"/>
          <w:szCs w:val="21"/>
        </w:rPr>
      </w:pPr>
    </w:p>
    <w:p w14:paraId="5A5AF8D4">
      <w:pPr>
        <w:spacing w:line="480" w:lineRule="auto"/>
        <w:jc w:val="center"/>
        <w:rPr>
          <w:rFonts w:ascii="宋体" w:hAnsi="宋体" w:cs="宋体"/>
          <w:b/>
          <w:color w:val="000000"/>
          <w:sz w:val="32"/>
          <w:szCs w:val="21"/>
        </w:rPr>
      </w:pPr>
    </w:p>
    <w:p w14:paraId="57D3ADDE">
      <w:pPr>
        <w:spacing w:line="480" w:lineRule="auto"/>
        <w:jc w:val="center"/>
        <w:rPr>
          <w:rFonts w:ascii="宋体" w:hAnsi="宋体" w:cs="宋体"/>
          <w:b/>
          <w:color w:val="000000"/>
          <w:sz w:val="32"/>
          <w:szCs w:val="21"/>
        </w:rPr>
      </w:pPr>
    </w:p>
    <w:p w14:paraId="20025D1C">
      <w:pPr>
        <w:spacing w:line="480" w:lineRule="auto"/>
        <w:jc w:val="center"/>
        <w:rPr>
          <w:rFonts w:ascii="宋体" w:hAnsi="宋体" w:cs="宋体"/>
          <w:b/>
          <w:color w:val="000000"/>
          <w:sz w:val="32"/>
          <w:szCs w:val="21"/>
        </w:rPr>
      </w:pPr>
    </w:p>
    <w:p w14:paraId="2079B40E">
      <w:pPr>
        <w:spacing w:line="480" w:lineRule="auto"/>
        <w:jc w:val="center"/>
        <w:rPr>
          <w:rFonts w:ascii="宋体" w:hAnsi="宋体" w:cs="宋体"/>
          <w:b/>
          <w:color w:val="000000"/>
          <w:sz w:val="32"/>
          <w:szCs w:val="21"/>
        </w:rPr>
      </w:pPr>
    </w:p>
    <w:p w14:paraId="6D37A554">
      <w:pPr>
        <w:spacing w:line="480" w:lineRule="auto"/>
        <w:jc w:val="center"/>
        <w:outlineLvl w:val="0"/>
        <w:rPr>
          <w:rFonts w:ascii="宋体" w:hAnsi="宋体" w:cs="宋体"/>
          <w:b/>
          <w:color w:val="000000"/>
          <w:sz w:val="32"/>
          <w:szCs w:val="21"/>
        </w:rPr>
      </w:pPr>
      <w:r>
        <w:rPr>
          <w:rFonts w:hint="eastAsia" w:ascii="宋体" w:hAnsi="宋体" w:cs="宋体"/>
          <w:b/>
          <w:color w:val="000000"/>
          <w:sz w:val="32"/>
          <w:szCs w:val="21"/>
        </w:rPr>
        <w:t>第三章  采购需求及政府采购合同（拟签订的合同文本）</w:t>
      </w:r>
      <w:bookmarkEnd w:id="200"/>
      <w:bookmarkEnd w:id="201"/>
    </w:p>
    <w:p w14:paraId="04E0CAC4">
      <w:pPr>
        <w:spacing w:line="360" w:lineRule="auto"/>
        <w:ind w:left="420"/>
        <w:jc w:val="center"/>
        <w:rPr>
          <w:rFonts w:ascii="宋体" w:hAnsi="宋体"/>
          <w:szCs w:val="21"/>
        </w:rPr>
      </w:pPr>
      <w:bookmarkStart w:id="202" w:name="_Toc107916298"/>
      <w:bookmarkStart w:id="203" w:name="_Toc29192"/>
      <w:bookmarkStart w:id="204" w:name="_Toc13280"/>
      <w:r>
        <w:rPr>
          <w:rFonts w:hint="eastAsia" w:ascii="宋体" w:hAnsi="宋体"/>
          <w:b/>
          <w:szCs w:val="21"/>
        </w:rPr>
        <w:t>采购需求</w:t>
      </w:r>
      <w:bookmarkEnd w:id="202"/>
      <w:r>
        <w:rPr>
          <w:rFonts w:hint="eastAsia" w:ascii="宋体" w:hAnsi="宋体" w:cs="宋体"/>
          <w:b/>
          <w:bCs/>
          <w:szCs w:val="21"/>
        </w:rPr>
        <w:t>采购需求及</w:t>
      </w:r>
      <w:r>
        <w:rPr>
          <w:rFonts w:hint="eastAsia" w:ascii="宋体" w:hAnsi="宋体"/>
          <w:b/>
          <w:szCs w:val="21"/>
        </w:rPr>
        <w:t>政府采购合同</w:t>
      </w:r>
      <w:r>
        <w:rPr>
          <w:rFonts w:hint="eastAsia" w:ascii="宋体" w:hAnsi="宋体" w:cs="宋体"/>
          <w:b/>
          <w:bCs/>
          <w:szCs w:val="21"/>
        </w:rPr>
        <w:t>前附表</w:t>
      </w:r>
      <w:bookmarkEnd w:id="203"/>
      <w:bookmarkEnd w:id="204"/>
    </w:p>
    <w:p w14:paraId="7A32EEB6">
      <w:pPr>
        <w:spacing w:line="480" w:lineRule="auto"/>
        <w:ind w:left="420"/>
        <w:jc w:val="center"/>
        <w:rPr>
          <w:rFonts w:ascii="宋体" w:hAnsi="宋体"/>
          <w:b/>
        </w:rPr>
      </w:pPr>
      <w:r>
        <w:rPr>
          <w:rFonts w:hint="eastAsia" w:ascii="宋体" w:hAnsi="宋体"/>
          <w:b/>
        </w:rPr>
        <w:t>★本表是</w:t>
      </w:r>
      <w:r>
        <w:rPr>
          <w:rFonts w:hint="eastAsia" w:ascii="宋体" w:hAnsi="宋体" w:cs="宋体"/>
          <w:b/>
          <w:bCs/>
          <w:szCs w:val="21"/>
        </w:rPr>
        <w:t>采购需求及</w:t>
      </w:r>
      <w:r>
        <w:rPr>
          <w:rFonts w:hint="eastAsia" w:ascii="宋体" w:hAnsi="宋体"/>
          <w:b/>
          <w:szCs w:val="21"/>
        </w:rPr>
        <w:t>政府采购合同</w:t>
      </w:r>
      <w:r>
        <w:rPr>
          <w:rFonts w:hint="eastAsia" w:ascii="宋体" w:hAnsi="宋体"/>
          <w:b/>
        </w:rPr>
        <w:t>相关内容的</w:t>
      </w:r>
      <w:r>
        <w:rPr>
          <w:rFonts w:ascii="宋体" w:hAnsi="宋体"/>
          <w:b/>
        </w:rPr>
        <w:t>说明和补充</w:t>
      </w:r>
      <w:r>
        <w:rPr>
          <w:rFonts w:hint="eastAsia" w:ascii="宋体" w:hAnsi="宋体"/>
          <w:b/>
        </w:rPr>
        <w:t>，如有矛盾，应以本表为准。</w:t>
      </w:r>
    </w:p>
    <w:tbl>
      <w:tblPr>
        <w:tblStyle w:val="27"/>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14:paraId="26A70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2902" w:type="dxa"/>
            <w:noWrap/>
            <w:vAlign w:val="center"/>
          </w:tcPr>
          <w:p w14:paraId="25DD8B6C">
            <w:pPr>
              <w:spacing w:line="276" w:lineRule="auto"/>
              <w:jc w:val="center"/>
              <w:rPr>
                <w:rFonts w:ascii="宋体" w:hAnsi="宋体"/>
                <w:b/>
              </w:rPr>
            </w:pPr>
            <w:r>
              <w:rPr>
                <w:rFonts w:hint="eastAsia" w:ascii="宋体" w:hAnsi="宋体"/>
                <w:b/>
              </w:rPr>
              <w:t>内容</w:t>
            </w:r>
          </w:p>
        </w:tc>
        <w:tc>
          <w:tcPr>
            <w:tcW w:w="7170" w:type="dxa"/>
            <w:noWrap/>
            <w:vAlign w:val="center"/>
          </w:tcPr>
          <w:p w14:paraId="45893FEE">
            <w:pPr>
              <w:spacing w:line="276" w:lineRule="auto"/>
              <w:jc w:val="center"/>
              <w:rPr>
                <w:rFonts w:ascii="宋体" w:hAnsi="宋体"/>
                <w:b/>
              </w:rPr>
            </w:pPr>
            <w:r>
              <w:rPr>
                <w:rFonts w:hint="eastAsia" w:ascii="宋体" w:hAnsi="宋体"/>
                <w:b/>
              </w:rPr>
              <w:t>相关要求（说明）</w:t>
            </w:r>
          </w:p>
        </w:tc>
      </w:tr>
      <w:tr w14:paraId="2EE37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02" w:type="dxa"/>
            <w:noWrap/>
            <w:vAlign w:val="center"/>
          </w:tcPr>
          <w:p w14:paraId="3F240902">
            <w:pPr>
              <w:jc w:val="center"/>
              <w:rPr>
                <w:b/>
              </w:rPr>
            </w:pPr>
            <w:r>
              <w:rPr>
                <w:rFonts w:hint="eastAsia"/>
                <w:b/>
              </w:rPr>
              <w:t>采购标的需实现的功能或者目标，采购标的的数量，</w:t>
            </w:r>
            <w:r>
              <w:rPr>
                <w:b/>
              </w:rPr>
              <w:t>所有技术、服务、安全等要求</w:t>
            </w:r>
          </w:p>
        </w:tc>
        <w:tc>
          <w:tcPr>
            <w:tcW w:w="7170" w:type="dxa"/>
            <w:noWrap/>
            <w:vAlign w:val="center"/>
          </w:tcPr>
          <w:p w14:paraId="5B8E7CD0">
            <w:pPr>
              <w:spacing w:line="276" w:lineRule="auto"/>
              <w:jc w:val="center"/>
            </w:pPr>
            <w:r>
              <w:rPr>
                <w:rFonts w:hint="eastAsia"/>
              </w:rPr>
              <w:t>略，详见“采购需求”部分</w:t>
            </w:r>
          </w:p>
        </w:tc>
      </w:tr>
      <w:tr w14:paraId="7CD46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902" w:type="dxa"/>
            <w:noWrap/>
            <w:vAlign w:val="center"/>
          </w:tcPr>
          <w:p w14:paraId="4EE709FD">
            <w:pPr>
              <w:jc w:val="center"/>
              <w:rPr>
                <w:b/>
              </w:rPr>
            </w:pPr>
            <w:r>
              <w:rPr>
                <w:rFonts w:hint="eastAsia" w:ascii="宋体" w:hAnsi="宋体"/>
                <w:b/>
              </w:rPr>
              <w:t>★</w:t>
            </w:r>
            <w:r>
              <w:rPr>
                <w:rFonts w:hint="eastAsia" w:ascii="宋体" w:hAnsi="宋体" w:cs="宋体"/>
                <w:b/>
                <w:szCs w:val="21"/>
              </w:rPr>
              <w:t>工程保修期</w:t>
            </w:r>
          </w:p>
        </w:tc>
        <w:tc>
          <w:tcPr>
            <w:tcW w:w="7170" w:type="dxa"/>
            <w:noWrap/>
            <w:vAlign w:val="center"/>
          </w:tcPr>
          <w:p w14:paraId="428B176C">
            <w:pPr>
              <w:spacing w:line="400" w:lineRule="exact"/>
              <w:ind w:firstLine="422" w:firstLineChars="200"/>
              <w:rPr>
                <w:color w:val="auto"/>
              </w:rPr>
            </w:pPr>
            <w:r>
              <w:rPr>
                <w:rFonts w:hint="eastAsia" w:ascii="宋体" w:hAnsi="宋体" w:cs="宋体"/>
                <w:b/>
                <w:color w:val="auto"/>
                <w:szCs w:val="21"/>
                <w:u w:val="single"/>
              </w:rPr>
              <w:t>叁年</w:t>
            </w:r>
            <w:r>
              <w:rPr>
                <w:rFonts w:hint="eastAsia" w:ascii="宋体" w:hAnsi="宋体"/>
                <w:b/>
                <w:color w:val="auto"/>
                <w:szCs w:val="21"/>
              </w:rPr>
              <w:t>（质保期自验收合格之日起算，质保要求：工程因自然力等主客观因素出现松动、脱落等现象，供应商需在3日内到场免费维修）</w:t>
            </w:r>
          </w:p>
        </w:tc>
      </w:tr>
      <w:tr w14:paraId="7763D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jc w:val="center"/>
        </w:trPr>
        <w:tc>
          <w:tcPr>
            <w:tcW w:w="2902" w:type="dxa"/>
            <w:noWrap/>
            <w:vAlign w:val="center"/>
          </w:tcPr>
          <w:p w14:paraId="5DEF3048">
            <w:pPr>
              <w:spacing w:line="276" w:lineRule="auto"/>
              <w:jc w:val="center"/>
              <w:rPr>
                <w:b/>
              </w:rPr>
            </w:pPr>
            <w:r>
              <w:rPr>
                <w:rFonts w:hint="eastAsia" w:ascii="宋体" w:hAnsi="宋体"/>
                <w:b/>
              </w:rPr>
              <w:t>★工期</w:t>
            </w:r>
          </w:p>
        </w:tc>
        <w:tc>
          <w:tcPr>
            <w:tcW w:w="7170" w:type="dxa"/>
            <w:noWrap/>
            <w:vAlign w:val="center"/>
          </w:tcPr>
          <w:p w14:paraId="3AFCF223">
            <w:pPr>
              <w:spacing w:line="276" w:lineRule="auto"/>
              <w:ind w:firstLine="630" w:firstLineChars="300"/>
              <w:jc w:val="left"/>
              <w:rPr>
                <w:rFonts w:ascii="宋体" w:hAnsi="宋体"/>
                <w:bCs/>
                <w:color w:val="auto"/>
                <w:szCs w:val="21"/>
              </w:rPr>
            </w:pPr>
            <w:r>
              <w:rPr>
                <w:rFonts w:hint="eastAsia" w:ascii="宋体" w:hAnsi="宋体"/>
                <w:bCs/>
                <w:color w:val="auto"/>
                <w:szCs w:val="21"/>
                <w:u w:val="single"/>
              </w:rPr>
              <w:t>60</w:t>
            </w:r>
            <w:r>
              <w:rPr>
                <w:rFonts w:hint="eastAsia" w:ascii="宋体" w:hAnsi="宋体"/>
                <w:bCs/>
                <w:color w:val="auto"/>
                <w:szCs w:val="21"/>
              </w:rPr>
              <w:t>日历天（具体开工日期以采购人的通知为准）。</w:t>
            </w:r>
          </w:p>
          <w:p w14:paraId="3E06FC80">
            <w:pPr>
              <w:widowControl/>
              <w:shd w:val="clear" w:color="auto" w:fill="FFFFFF"/>
              <w:spacing w:line="435" w:lineRule="atLeast"/>
              <w:ind w:firstLine="570"/>
              <w:jc w:val="left"/>
              <w:rPr>
                <w:rFonts w:ascii="宋体" w:hAnsi="宋体" w:cs="宋体"/>
                <w:bCs/>
                <w:color w:val="auto"/>
                <w:szCs w:val="21"/>
              </w:rPr>
            </w:pPr>
            <w:r>
              <w:rPr>
                <w:rFonts w:hint="eastAsia" w:ascii="宋体" w:hAnsi="宋体" w:cs="宋体"/>
                <w:bCs/>
                <w:color w:val="auto"/>
                <w:szCs w:val="21"/>
              </w:rPr>
              <w:t>供应商须按时施工结束（交付）并达到采购人的验收标准。如验收不合格以及发现伪劣产品等，采购人将视其情形采取退货、返工、拒付款、终止合同、索赔等措施。直至报有关部门，依法处理。【如因施工单位自身施工组织问题造成工期延误的，延误时间如超过3天，每延误一天，处罚1000元，如因工期延误，造成学校重大影响的，学校有权追究责任。（工程延误处罚款项在审计时直接扣除）】</w:t>
            </w:r>
          </w:p>
        </w:tc>
      </w:tr>
      <w:tr w14:paraId="765C3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902" w:type="dxa"/>
            <w:noWrap/>
            <w:vAlign w:val="center"/>
          </w:tcPr>
          <w:p w14:paraId="7FE5F51E">
            <w:pPr>
              <w:spacing w:line="276" w:lineRule="auto"/>
              <w:jc w:val="center"/>
              <w:rPr>
                <w:b/>
              </w:rPr>
            </w:pPr>
            <w:r>
              <w:rPr>
                <w:rFonts w:hint="eastAsia" w:ascii="宋体" w:hAnsi="宋体"/>
                <w:b/>
              </w:rPr>
              <w:t>★</w:t>
            </w:r>
            <w:r>
              <w:rPr>
                <w:rFonts w:hint="eastAsia"/>
                <w:b/>
              </w:rPr>
              <w:t>交付或者实施的地点</w:t>
            </w:r>
          </w:p>
          <w:p w14:paraId="582E4E5F">
            <w:pPr>
              <w:spacing w:line="276" w:lineRule="auto"/>
              <w:jc w:val="center"/>
              <w:rPr>
                <w:b/>
              </w:rPr>
            </w:pPr>
            <w:r>
              <w:rPr>
                <w:rFonts w:hint="eastAsia"/>
                <w:b/>
              </w:rPr>
              <w:t>（</w:t>
            </w:r>
            <w:r>
              <w:rPr>
                <w:b/>
              </w:rPr>
              <w:t>交付</w:t>
            </w:r>
            <w:r>
              <w:rPr>
                <w:rFonts w:hint="eastAsia"/>
                <w:b/>
              </w:rPr>
              <w:t>地点或施工地点）</w:t>
            </w:r>
          </w:p>
        </w:tc>
        <w:tc>
          <w:tcPr>
            <w:tcW w:w="7170" w:type="dxa"/>
            <w:noWrap/>
            <w:vAlign w:val="center"/>
          </w:tcPr>
          <w:p w14:paraId="4D6586E2">
            <w:pPr>
              <w:spacing w:line="276" w:lineRule="auto"/>
              <w:jc w:val="center"/>
              <w:rPr>
                <w:color w:val="auto"/>
              </w:rPr>
            </w:pPr>
            <w:r>
              <w:rPr>
                <w:rFonts w:hint="eastAsia"/>
                <w:color w:val="auto"/>
              </w:rPr>
              <w:t>江苏医药职业学院指定地点（具体地点以采购人另行通知的为准）</w:t>
            </w:r>
          </w:p>
        </w:tc>
      </w:tr>
      <w:tr w14:paraId="60E79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14:paraId="342C3143">
            <w:pPr>
              <w:spacing w:line="276" w:lineRule="auto"/>
              <w:jc w:val="center"/>
              <w:rPr>
                <w:b/>
              </w:rPr>
            </w:pPr>
            <w:r>
              <w:rPr>
                <w:rFonts w:hint="eastAsia"/>
                <w:b/>
              </w:rPr>
              <w:t>现场踏勘</w:t>
            </w:r>
          </w:p>
        </w:tc>
        <w:tc>
          <w:tcPr>
            <w:tcW w:w="7170" w:type="dxa"/>
            <w:noWrap/>
            <w:vAlign w:val="center"/>
          </w:tcPr>
          <w:p w14:paraId="6FEE775C">
            <w:pPr>
              <w:pStyle w:val="4"/>
              <w:topLinePunct/>
              <w:spacing w:before="0" w:after="0" w:line="276" w:lineRule="auto"/>
              <w:ind w:firstLine="420" w:firstLineChars="200"/>
              <w:jc w:val="both"/>
              <w:rPr>
                <w:rFonts w:ascii="Times New Roman" w:hAnsi="Times New Roman" w:eastAsia="宋体"/>
                <w:b w:val="0"/>
                <w:color w:val="auto"/>
                <w:kern w:val="2"/>
                <w:sz w:val="21"/>
                <w:szCs w:val="24"/>
                <w:lang w:val="zh-TW" w:eastAsia="zh-TW"/>
              </w:rPr>
            </w:pPr>
            <w:bookmarkStart w:id="205" w:name="_Toc24774"/>
            <w:bookmarkStart w:id="206" w:name="_Toc8514"/>
            <w:bookmarkStart w:id="207" w:name="_Toc19189"/>
            <w:r>
              <w:rPr>
                <w:rFonts w:hint="eastAsia" w:ascii="Times New Roman" w:hAnsi="Times New Roman" w:eastAsia="宋体"/>
                <w:b w:val="0"/>
                <w:color w:val="auto"/>
                <w:kern w:val="2"/>
                <w:sz w:val="21"/>
                <w:szCs w:val="24"/>
                <w:lang w:val="zh-TW" w:eastAsia="zh-TW"/>
              </w:rPr>
              <w:t>自行进行现场勘查</w:t>
            </w:r>
            <w:bookmarkEnd w:id="205"/>
            <w:bookmarkEnd w:id="206"/>
            <w:bookmarkEnd w:id="207"/>
          </w:p>
          <w:p w14:paraId="2035B3CA">
            <w:pPr>
              <w:spacing w:line="276" w:lineRule="auto"/>
              <w:ind w:firstLine="411" w:firstLineChars="196"/>
              <w:jc w:val="left"/>
              <w:rPr>
                <w:color w:val="auto"/>
              </w:rPr>
            </w:pPr>
            <w:r>
              <w:rPr>
                <w:rFonts w:hint="eastAsia"/>
                <w:color w:val="auto"/>
                <w:lang w:val="zh-TW"/>
              </w:rPr>
              <w:t>踏勘现场</w:t>
            </w:r>
            <w:r>
              <w:rPr>
                <w:rFonts w:hint="eastAsia"/>
                <w:color w:val="auto"/>
                <w:lang w:val="zh-TW" w:eastAsia="zh-TW"/>
              </w:rPr>
              <w:t>人</w:t>
            </w:r>
            <w:r>
              <w:rPr>
                <w:rFonts w:hint="eastAsia"/>
                <w:color w:val="auto"/>
                <w:lang w:val="zh-TW"/>
              </w:rPr>
              <w:t>员</w:t>
            </w:r>
            <w:r>
              <w:rPr>
                <w:rFonts w:hint="eastAsia"/>
                <w:color w:val="auto"/>
                <w:lang w:val="zh-TW" w:eastAsia="zh-TW"/>
              </w:rPr>
              <w:t>（仅限1人）</w:t>
            </w:r>
            <w:r>
              <w:rPr>
                <w:rFonts w:hint="eastAsia"/>
                <w:color w:val="auto"/>
                <w:lang w:val="zh-TW"/>
              </w:rPr>
              <w:t>须</w:t>
            </w:r>
            <w:r>
              <w:rPr>
                <w:rFonts w:hint="eastAsia"/>
                <w:color w:val="auto"/>
                <w:lang w:val="zh-TW" w:eastAsia="zh-TW"/>
              </w:rPr>
              <w:t>从位于盐城市解放南路283号，江苏医药职业学院南门进入，请联系：</w:t>
            </w:r>
            <w:r>
              <w:rPr>
                <w:rFonts w:hint="eastAsia"/>
                <w:color w:val="auto"/>
                <w:lang w:val="zh-TW"/>
              </w:rPr>
              <w:t>贾老师</w:t>
            </w:r>
            <w:r>
              <w:rPr>
                <w:rFonts w:hint="eastAsia"/>
                <w:color w:val="auto"/>
                <w:lang w:val="zh-TW" w:eastAsia="zh-TW"/>
              </w:rPr>
              <w:t>；电话：</w:t>
            </w:r>
            <w:r>
              <w:rPr>
                <w:rFonts w:hint="eastAsia"/>
                <w:color w:val="auto"/>
                <w:lang w:val="zh-TW"/>
              </w:rPr>
              <w:t>18262395908。</w:t>
            </w:r>
          </w:p>
        </w:tc>
      </w:tr>
      <w:tr w14:paraId="6AF61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14:paraId="19845809">
            <w:pPr>
              <w:spacing w:line="276" w:lineRule="auto"/>
              <w:jc w:val="center"/>
              <w:rPr>
                <w:b/>
              </w:rPr>
            </w:pPr>
            <w:r>
              <w:rPr>
                <w:rFonts w:hint="eastAsia"/>
                <w:b/>
              </w:rPr>
              <w:t>工程结算</w:t>
            </w:r>
          </w:p>
        </w:tc>
        <w:tc>
          <w:tcPr>
            <w:tcW w:w="7170" w:type="dxa"/>
            <w:noWrap/>
            <w:vAlign w:val="center"/>
          </w:tcPr>
          <w:p w14:paraId="398B660B">
            <w:pPr>
              <w:spacing w:line="276" w:lineRule="auto"/>
              <w:ind w:firstLine="420" w:firstLineChars="200"/>
              <w:rPr>
                <w:rFonts w:ascii="宋体" w:hAnsi="宋体" w:cs="宋体"/>
                <w:bCs/>
                <w:color w:val="auto"/>
                <w:szCs w:val="21"/>
              </w:rPr>
            </w:pPr>
            <w:r>
              <w:rPr>
                <w:rFonts w:hint="eastAsia" w:ascii="宋体" w:hAnsi="宋体" w:cs="宋体"/>
                <w:bCs/>
                <w:color w:val="auto"/>
                <w:szCs w:val="21"/>
              </w:rPr>
              <w:t>1.本工程采用限定总价审计结算方法，按合同以中标单价和实际工作量计算总价，经审计后确认合同审计总价，但合同审计总价不得高于中标总价（不包含签证变更部分）。</w:t>
            </w:r>
          </w:p>
          <w:p w14:paraId="03BA16C8">
            <w:pPr>
              <w:spacing w:line="276" w:lineRule="auto"/>
              <w:ind w:firstLine="420" w:firstLineChars="200"/>
              <w:rPr>
                <w:rFonts w:ascii="宋体" w:hAnsi="宋体" w:cs="宋体"/>
                <w:bCs/>
                <w:color w:val="auto"/>
                <w:szCs w:val="21"/>
              </w:rPr>
            </w:pPr>
            <w:r>
              <w:rPr>
                <w:rFonts w:hint="eastAsia" w:ascii="宋体" w:hAnsi="宋体" w:cs="宋体"/>
                <w:bCs/>
                <w:color w:val="auto"/>
                <w:szCs w:val="21"/>
              </w:rPr>
              <w:t>2.结算总价=合同审计总价+签证变更的审计总价。</w:t>
            </w:r>
          </w:p>
          <w:p w14:paraId="51DF3773">
            <w:pPr>
              <w:spacing w:line="276" w:lineRule="auto"/>
              <w:ind w:firstLine="420" w:firstLineChars="200"/>
              <w:rPr>
                <w:color w:val="auto"/>
              </w:rPr>
            </w:pPr>
            <w:r>
              <w:rPr>
                <w:rFonts w:hint="eastAsia" w:ascii="宋体" w:hAnsi="宋体" w:cs="宋体"/>
                <w:bCs/>
                <w:color w:val="auto"/>
                <w:szCs w:val="21"/>
              </w:rPr>
              <w:t>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tc>
      </w:tr>
      <w:tr w14:paraId="31BDF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8" w:hRule="atLeast"/>
          <w:jc w:val="center"/>
        </w:trPr>
        <w:tc>
          <w:tcPr>
            <w:tcW w:w="2902" w:type="dxa"/>
            <w:noWrap/>
            <w:vAlign w:val="center"/>
          </w:tcPr>
          <w:p w14:paraId="0B1DA9A7">
            <w:pPr>
              <w:spacing w:line="276" w:lineRule="auto"/>
              <w:jc w:val="center"/>
              <w:rPr>
                <w:rFonts w:ascii="宋体" w:hAnsi="宋体"/>
                <w:b/>
              </w:rPr>
            </w:pPr>
            <w:r>
              <w:rPr>
                <w:rFonts w:hint="eastAsia" w:ascii="宋体" w:hAnsi="宋体"/>
                <w:b/>
              </w:rPr>
              <w:t>★采购资金的支付方式、时间、条件（付款方式）</w:t>
            </w:r>
          </w:p>
        </w:tc>
        <w:tc>
          <w:tcPr>
            <w:tcW w:w="7170" w:type="dxa"/>
            <w:noWrap/>
            <w:vAlign w:val="center"/>
          </w:tcPr>
          <w:p w14:paraId="1961E3DE">
            <w:pPr>
              <w:spacing w:line="276" w:lineRule="auto"/>
              <w:ind w:firstLine="420" w:firstLineChars="200"/>
              <w:rPr>
                <w:rFonts w:ascii="宋体" w:hAnsi="宋体"/>
                <w:color w:val="auto"/>
              </w:rPr>
            </w:pPr>
            <w:r>
              <w:rPr>
                <w:rFonts w:hint="eastAsia" w:ascii="宋体" w:hAnsi="宋体"/>
                <w:color w:val="auto"/>
              </w:rPr>
              <w:t xml:space="preserve">1.支付方式：电汇或转账等非现金方式  </w:t>
            </w:r>
          </w:p>
          <w:p w14:paraId="19262169">
            <w:pPr>
              <w:spacing w:line="276" w:lineRule="auto"/>
              <w:ind w:firstLine="420" w:firstLineChars="200"/>
              <w:rPr>
                <w:rFonts w:ascii="宋体" w:hAnsi="宋体"/>
                <w:bCs/>
                <w:color w:val="auto"/>
                <w:szCs w:val="21"/>
              </w:rPr>
            </w:pPr>
            <w:r>
              <w:rPr>
                <w:rFonts w:hint="eastAsia" w:ascii="宋体" w:hAnsi="宋体"/>
                <w:bCs/>
                <w:color w:val="auto"/>
                <w:szCs w:val="21"/>
              </w:rPr>
              <w:t>2.支付时间、条件付款方式：</w:t>
            </w:r>
          </w:p>
          <w:p w14:paraId="27686E19">
            <w:pPr>
              <w:pStyle w:val="10"/>
              <w:spacing w:line="276" w:lineRule="auto"/>
              <w:rPr>
                <w:color w:val="auto"/>
              </w:rPr>
            </w:pPr>
            <w:r>
              <w:rPr>
                <w:rFonts w:hint="eastAsia" w:cs="宋体"/>
                <w:bCs/>
                <w:color w:val="auto"/>
              </w:rPr>
              <w:t>合同签订后，项目验收合格后无质量问题支付合同价的60%款项；审计合格后付至审计价的80%，一年后无质量问题付至审计价的90%，余款待验收合格质保结束后无质量问题一次性无息付清。</w:t>
            </w:r>
          </w:p>
        </w:tc>
      </w:tr>
      <w:tr w14:paraId="5BC86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0072" w:type="dxa"/>
            <w:gridSpan w:val="2"/>
            <w:noWrap/>
            <w:vAlign w:val="center"/>
          </w:tcPr>
          <w:p w14:paraId="398696A1">
            <w:pPr>
              <w:spacing w:line="276" w:lineRule="auto"/>
              <w:jc w:val="center"/>
              <w:rPr>
                <w:rFonts w:ascii="宋体" w:hAnsi="宋体"/>
                <w:b/>
              </w:rPr>
            </w:pPr>
            <w:r>
              <w:rPr>
                <w:rFonts w:hint="eastAsia" w:ascii="宋体" w:hAnsi="宋体"/>
                <w:b/>
              </w:rPr>
              <w:t>本表当中，加★部分为实质性要求，不接受负偏离。</w:t>
            </w:r>
          </w:p>
        </w:tc>
      </w:tr>
      <w:tr w14:paraId="64D47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1" w:hRule="atLeast"/>
          <w:jc w:val="center"/>
        </w:trPr>
        <w:tc>
          <w:tcPr>
            <w:tcW w:w="10072" w:type="dxa"/>
            <w:gridSpan w:val="2"/>
            <w:noWrap/>
            <w:vAlign w:val="center"/>
          </w:tcPr>
          <w:p w14:paraId="254E333E">
            <w:pPr>
              <w:spacing w:line="276" w:lineRule="auto"/>
              <w:jc w:val="center"/>
              <w:rPr>
                <w:rFonts w:ascii="宋体" w:hAnsi="宋体"/>
                <w:b/>
              </w:rPr>
            </w:pPr>
            <w:r>
              <w:rPr>
                <w:rFonts w:hint="eastAsia" w:ascii="宋体" w:hAnsi="宋体"/>
                <w:b/>
              </w:rPr>
              <w:t>注：本项目为竞争性磋商采购，成交供应商须在成交公告发布3个工作日内（签订合同前）将最终报价的工程量清单加盖单位公章并提交至采购人。</w:t>
            </w:r>
          </w:p>
        </w:tc>
      </w:tr>
    </w:tbl>
    <w:p w14:paraId="1C29C919">
      <w:pPr>
        <w:spacing w:line="500" w:lineRule="exact"/>
        <w:jc w:val="center"/>
        <w:outlineLvl w:val="1"/>
        <w:rPr>
          <w:rFonts w:ascii="宋体" w:hAnsi="宋体" w:cs="宋体"/>
          <w:b/>
          <w:szCs w:val="21"/>
        </w:rPr>
      </w:pPr>
      <w:r>
        <w:rPr>
          <w:rFonts w:hint="eastAsia" w:ascii="宋体" w:hAnsi="宋体" w:cs="宋体"/>
          <w:b/>
          <w:szCs w:val="21"/>
        </w:rPr>
        <w:t>第一项：采购需求</w:t>
      </w:r>
    </w:p>
    <w:p w14:paraId="1018DF63">
      <w:pPr>
        <w:spacing w:line="276" w:lineRule="auto"/>
        <w:ind w:firstLine="422" w:firstLineChars="200"/>
        <w:rPr>
          <w:rFonts w:ascii="宋体" w:hAnsi="宋体" w:cs="宋体"/>
          <w:b/>
          <w:szCs w:val="21"/>
        </w:rPr>
      </w:pPr>
      <w:bookmarkStart w:id="208" w:name="_Toc24551"/>
      <w:r>
        <w:rPr>
          <w:rFonts w:hint="eastAsia" w:ascii="宋体" w:hAnsi="宋体" w:cs="宋体"/>
          <w:b/>
          <w:szCs w:val="21"/>
        </w:rPr>
        <w:t>一、</w:t>
      </w:r>
      <w:bookmarkEnd w:id="208"/>
      <w:r>
        <w:rPr>
          <w:rFonts w:hint="eastAsia" w:ascii="宋体" w:hAnsi="宋体" w:cs="宋体"/>
          <w:b/>
          <w:szCs w:val="21"/>
        </w:rPr>
        <w:t>改造范围</w:t>
      </w:r>
    </w:p>
    <w:p w14:paraId="7352DD81">
      <w:pPr>
        <w:spacing w:line="276" w:lineRule="auto"/>
        <w:ind w:firstLine="420" w:firstLineChars="200"/>
        <w:rPr>
          <w:rFonts w:ascii="宋体" w:hAnsi="宋体" w:cs="宋体"/>
          <w:bCs/>
          <w:szCs w:val="21"/>
        </w:rPr>
      </w:pPr>
      <w:r>
        <w:rPr>
          <w:rFonts w:hint="eastAsia" w:ascii="宋体" w:hAnsi="宋体" w:cs="宋体"/>
          <w:bCs/>
          <w:szCs w:val="21"/>
        </w:rPr>
        <w:t>本项目位于江苏医药职业学院实训中心3F整层楼，面积约1200平方米。</w:t>
      </w:r>
    </w:p>
    <w:p w14:paraId="4DD5D894">
      <w:pPr>
        <w:spacing w:line="276" w:lineRule="auto"/>
        <w:ind w:firstLine="422" w:firstLineChars="200"/>
        <w:rPr>
          <w:rFonts w:ascii="宋体" w:hAnsi="宋体" w:cs="宋体"/>
          <w:b/>
          <w:szCs w:val="21"/>
        </w:rPr>
      </w:pPr>
      <w:bookmarkStart w:id="209" w:name="_Toc19593"/>
      <w:r>
        <w:rPr>
          <w:rFonts w:hint="eastAsia" w:ascii="宋体" w:hAnsi="宋体" w:cs="宋体"/>
          <w:b/>
          <w:szCs w:val="21"/>
        </w:rPr>
        <w:t>二、</w:t>
      </w:r>
      <w:bookmarkEnd w:id="209"/>
      <w:r>
        <w:rPr>
          <w:rFonts w:hint="eastAsia" w:ascii="宋体" w:hAnsi="宋体" w:cs="宋体"/>
          <w:b/>
          <w:szCs w:val="21"/>
        </w:rPr>
        <w:t>改造实施方案</w:t>
      </w:r>
    </w:p>
    <w:p w14:paraId="3C1E5C4C">
      <w:pPr>
        <w:spacing w:line="276" w:lineRule="auto"/>
        <w:ind w:firstLine="420" w:firstLineChars="200"/>
        <w:rPr>
          <w:rFonts w:ascii="宋体" w:hAnsi="宋体" w:cs="宋体"/>
          <w:bCs/>
          <w:szCs w:val="21"/>
        </w:rPr>
      </w:pPr>
      <w:bookmarkStart w:id="210" w:name="_Toc6372"/>
      <w:bookmarkStart w:id="211" w:name="_Toc51321918"/>
      <w:r>
        <w:rPr>
          <w:rFonts w:hint="eastAsia" w:ascii="宋体" w:hAnsi="宋体" w:cs="宋体"/>
          <w:bCs/>
          <w:szCs w:val="21"/>
        </w:rPr>
        <w:t>本项目位于江苏医药职业学院实训中心三楼，现因发展需要设立康养产业学院，针对实训中心三楼部分区域进行改造。改造将室内划分为康复实训室（203m²）、准备间（35㎡）、评估实训室(160㎡)、乐龄实训室(78㎡)、照护实训室(155㎡)、数字中心(76㎡)及服务中心（大厅走道）等。</w:t>
      </w:r>
    </w:p>
    <w:p w14:paraId="43DB6662">
      <w:pPr>
        <w:spacing w:line="276" w:lineRule="auto"/>
        <w:ind w:firstLine="422" w:firstLineChars="200"/>
        <w:rPr>
          <w:rFonts w:ascii="宋体" w:hAnsi="宋体" w:cs="宋体"/>
          <w:b/>
          <w:szCs w:val="21"/>
        </w:rPr>
      </w:pPr>
      <w:r>
        <w:rPr>
          <w:rFonts w:hint="eastAsia" w:ascii="宋体" w:hAnsi="宋体" w:cs="宋体"/>
          <w:b/>
          <w:szCs w:val="21"/>
        </w:rPr>
        <w:t>改造说明：</w:t>
      </w:r>
    </w:p>
    <w:p w14:paraId="4F0D7666">
      <w:pPr>
        <w:spacing w:line="276" w:lineRule="auto"/>
        <w:ind w:firstLine="420" w:firstLineChars="200"/>
        <w:rPr>
          <w:rFonts w:ascii="宋体" w:hAnsi="宋体" w:cs="宋体"/>
          <w:bCs/>
          <w:szCs w:val="21"/>
        </w:rPr>
      </w:pPr>
      <w:r>
        <w:rPr>
          <w:rFonts w:hint="eastAsia" w:ascii="宋体" w:hAnsi="宋体" w:cs="宋体"/>
          <w:bCs/>
          <w:szCs w:val="21"/>
        </w:rPr>
        <w:t>1.依据图纸所示将室内原有杂物、家具、电器、洁具、灯具、开关插座、墙面张贴物品、地面抗静电地板、PVC及窗帘等进行拆除，需保留物资搬运至甲方指定位置；</w:t>
      </w:r>
    </w:p>
    <w:p w14:paraId="065AA277">
      <w:pPr>
        <w:spacing w:line="276" w:lineRule="auto"/>
        <w:ind w:firstLine="420" w:firstLineChars="200"/>
        <w:rPr>
          <w:rFonts w:ascii="宋体" w:hAnsi="宋体" w:cs="宋体"/>
          <w:bCs/>
          <w:szCs w:val="21"/>
        </w:rPr>
      </w:pPr>
      <w:r>
        <w:rPr>
          <w:rFonts w:hint="eastAsia" w:ascii="宋体" w:hAnsi="宋体" w:cs="宋体"/>
          <w:bCs/>
          <w:szCs w:val="21"/>
        </w:rPr>
        <w:t>2.拆除时保留空调暖通消防等设施；</w:t>
      </w:r>
    </w:p>
    <w:p w14:paraId="17C38B18">
      <w:pPr>
        <w:spacing w:line="276" w:lineRule="auto"/>
        <w:ind w:firstLine="420" w:firstLineChars="200"/>
        <w:rPr>
          <w:rFonts w:ascii="宋体" w:hAnsi="宋体" w:cs="宋体"/>
          <w:bCs/>
          <w:szCs w:val="21"/>
        </w:rPr>
      </w:pPr>
      <w:r>
        <w:rPr>
          <w:rFonts w:hint="eastAsia" w:ascii="宋体" w:hAnsi="宋体" w:cs="宋体"/>
          <w:bCs/>
          <w:szCs w:val="21"/>
        </w:rPr>
        <w:t>3.依据图纸拆除隔墙，新开门洞等；门及门框拆除，拆除门头上方墙体（490mm高）。拆除后使用两根50×50×5过门梁角钢加固，门框使用四根50×50×5角钢加固。</w:t>
      </w:r>
    </w:p>
    <w:p w14:paraId="03C318AF">
      <w:pPr>
        <w:spacing w:line="276" w:lineRule="auto"/>
        <w:ind w:firstLine="420" w:firstLineChars="200"/>
        <w:rPr>
          <w:rFonts w:ascii="宋体" w:hAnsi="宋体" w:cs="宋体"/>
          <w:bCs/>
          <w:szCs w:val="21"/>
        </w:rPr>
      </w:pPr>
      <w:r>
        <w:rPr>
          <w:rFonts w:hint="eastAsia" w:ascii="宋体" w:hAnsi="宋体" w:cs="宋体"/>
          <w:bCs/>
          <w:szCs w:val="21"/>
        </w:rPr>
        <w:t>4.依据图纸新建隔墙，使用轻钢龙骨石膏板制作走道装饰板；</w:t>
      </w:r>
    </w:p>
    <w:p w14:paraId="6235F6E0">
      <w:pPr>
        <w:spacing w:line="276" w:lineRule="auto"/>
        <w:ind w:firstLine="420" w:firstLineChars="200"/>
        <w:rPr>
          <w:rFonts w:ascii="宋体" w:hAnsi="宋体" w:cs="宋体"/>
          <w:bCs/>
          <w:szCs w:val="21"/>
        </w:rPr>
      </w:pPr>
      <w:r>
        <w:rPr>
          <w:rFonts w:hint="eastAsia" w:ascii="宋体" w:hAnsi="宋体" w:cs="宋体"/>
          <w:bCs/>
          <w:szCs w:val="21"/>
        </w:rPr>
        <w:t>5.依据图纸进行强弱电等的改造。部分空调或风口需移位，部分空调开关需移位；</w:t>
      </w:r>
    </w:p>
    <w:p w14:paraId="01F71E86">
      <w:pPr>
        <w:spacing w:line="276" w:lineRule="auto"/>
        <w:ind w:firstLine="420" w:firstLineChars="200"/>
        <w:rPr>
          <w:rFonts w:ascii="宋体" w:hAnsi="宋体" w:cs="宋体"/>
          <w:bCs/>
          <w:szCs w:val="21"/>
        </w:rPr>
      </w:pPr>
      <w:r>
        <w:rPr>
          <w:rFonts w:hint="eastAsia" w:ascii="宋体" w:hAnsi="宋体" w:cs="宋体"/>
          <w:bCs/>
          <w:szCs w:val="21"/>
        </w:rPr>
        <w:t>6.改造区域内瓷砖地面拉毛处理+自流平找平，上铺同质透心PVC地胶；</w:t>
      </w:r>
    </w:p>
    <w:p w14:paraId="020DE0F3">
      <w:pPr>
        <w:spacing w:line="276" w:lineRule="auto"/>
        <w:ind w:firstLine="420" w:firstLineChars="200"/>
        <w:rPr>
          <w:rFonts w:ascii="宋体" w:hAnsi="宋体" w:cs="宋体"/>
          <w:bCs/>
          <w:szCs w:val="21"/>
        </w:rPr>
      </w:pPr>
      <w:r>
        <w:rPr>
          <w:rFonts w:hint="eastAsia" w:ascii="宋体" w:hAnsi="宋体" w:cs="宋体"/>
          <w:bCs/>
          <w:szCs w:val="21"/>
        </w:rPr>
        <w:t>7.改造区域内抗静电地板拆除后的原楼地面用水泥砂浆+钢丝网找平，然后铺同质透心PVC地胶；</w:t>
      </w:r>
    </w:p>
    <w:p w14:paraId="039C704B">
      <w:pPr>
        <w:spacing w:line="276" w:lineRule="auto"/>
        <w:ind w:firstLine="420" w:firstLineChars="200"/>
        <w:rPr>
          <w:rFonts w:ascii="宋体" w:hAnsi="宋体" w:cs="宋体"/>
          <w:bCs/>
          <w:szCs w:val="21"/>
        </w:rPr>
      </w:pPr>
      <w:r>
        <w:rPr>
          <w:rFonts w:hint="eastAsia" w:ascii="宋体" w:hAnsi="宋体" w:cs="宋体"/>
          <w:bCs/>
          <w:szCs w:val="21"/>
        </w:rPr>
        <w:t>8.部分教室因为拆改隔墙导致原有吊顶破坏不可用，需重做吊顶。吊顶为石膏板+铝格栅造型吊顶，其中铝格栅上封一层石膏板吊顶对铝格栅上的镂空部分进行覆盖。康复实训室在此吊顶的基础上再依据图纸制作软膜天花；</w:t>
      </w:r>
    </w:p>
    <w:p w14:paraId="55C258EA">
      <w:pPr>
        <w:spacing w:line="276" w:lineRule="auto"/>
        <w:ind w:firstLine="420" w:firstLineChars="200"/>
        <w:rPr>
          <w:rFonts w:ascii="宋体" w:hAnsi="宋体" w:cs="宋体"/>
          <w:bCs/>
          <w:szCs w:val="21"/>
        </w:rPr>
      </w:pPr>
      <w:r>
        <w:rPr>
          <w:rFonts w:hint="eastAsia" w:ascii="宋体" w:hAnsi="宋体" w:cs="宋体"/>
          <w:bCs/>
          <w:szCs w:val="21"/>
        </w:rPr>
        <w:t>9.部分教室拆改隔墙造成的吊顶破坏较小，隔墙建造完毕后进行修补；</w:t>
      </w:r>
    </w:p>
    <w:p w14:paraId="4B1244C8">
      <w:pPr>
        <w:spacing w:line="276" w:lineRule="auto"/>
        <w:ind w:firstLine="420" w:firstLineChars="200"/>
        <w:rPr>
          <w:rFonts w:ascii="宋体" w:hAnsi="宋体" w:cs="宋体"/>
          <w:bCs/>
          <w:szCs w:val="21"/>
        </w:rPr>
      </w:pPr>
      <w:r>
        <w:rPr>
          <w:rFonts w:hint="eastAsia" w:ascii="宋体" w:hAnsi="宋体" w:cs="宋体"/>
          <w:bCs/>
          <w:szCs w:val="21"/>
        </w:rPr>
        <w:t>10.改造范围内未说明进行改造的吊顶上的灯具等设备进行检查维修；其他拆改的吊顶依据图纸安装灯具；</w:t>
      </w:r>
    </w:p>
    <w:p w14:paraId="3159ED67">
      <w:pPr>
        <w:spacing w:line="276" w:lineRule="auto"/>
        <w:ind w:firstLine="420" w:firstLineChars="200"/>
        <w:rPr>
          <w:rFonts w:ascii="宋体" w:hAnsi="宋体" w:cs="宋体"/>
          <w:bCs/>
          <w:szCs w:val="21"/>
        </w:rPr>
      </w:pPr>
      <w:r>
        <w:rPr>
          <w:rFonts w:hint="eastAsia" w:ascii="宋体" w:hAnsi="宋体" w:cs="宋体"/>
          <w:bCs/>
          <w:szCs w:val="21"/>
        </w:rPr>
        <w:t>11.走道依据图纸在原吊顶结构的基础上涂刷水性彩色漆；</w:t>
      </w:r>
    </w:p>
    <w:p w14:paraId="34811E61">
      <w:pPr>
        <w:spacing w:line="276" w:lineRule="auto"/>
        <w:ind w:firstLine="420" w:firstLineChars="200"/>
        <w:rPr>
          <w:rFonts w:ascii="宋体" w:hAnsi="宋体" w:cs="宋体"/>
          <w:bCs/>
          <w:szCs w:val="21"/>
        </w:rPr>
      </w:pPr>
      <w:r>
        <w:rPr>
          <w:rFonts w:hint="eastAsia" w:ascii="宋体" w:hAnsi="宋体" w:cs="宋体"/>
          <w:bCs/>
          <w:szCs w:val="21"/>
        </w:rPr>
        <w:t>12.大厅划分出党建区、形体礼仪区和洽谈区三个区域，党建区依据图纸制作安装装饰柜，形体礼仪区依据图纸对原有电视墙进行改造。</w:t>
      </w:r>
    </w:p>
    <w:p w14:paraId="3433F38B">
      <w:pPr>
        <w:spacing w:line="276" w:lineRule="auto"/>
        <w:ind w:firstLine="420" w:firstLineChars="200"/>
        <w:rPr>
          <w:rFonts w:ascii="宋体" w:hAnsi="宋体" w:cs="宋体"/>
          <w:bCs/>
          <w:szCs w:val="21"/>
        </w:rPr>
      </w:pPr>
      <w:r>
        <w:rPr>
          <w:rFonts w:hint="eastAsia" w:ascii="宋体" w:hAnsi="宋体" w:cs="宋体"/>
          <w:bCs/>
          <w:szCs w:val="21"/>
        </w:rPr>
        <w:t>13.大厅原有背景墙拆除，依据图纸制作两个2.6高1.6宽×0.45深的木头柜子中间加香槟色40×80×2热镀锌钢方管，间距40造型。造型上方新增三个射灯；</w:t>
      </w:r>
    </w:p>
    <w:p w14:paraId="0319D149">
      <w:pPr>
        <w:spacing w:line="276" w:lineRule="auto"/>
        <w:ind w:firstLine="420" w:firstLineChars="200"/>
        <w:rPr>
          <w:rFonts w:ascii="宋体" w:hAnsi="宋体" w:cs="宋体"/>
          <w:bCs/>
          <w:szCs w:val="21"/>
        </w:rPr>
      </w:pPr>
      <w:r>
        <w:rPr>
          <w:rFonts w:hint="eastAsia" w:ascii="宋体" w:hAnsi="宋体" w:cs="宋体"/>
          <w:bCs/>
          <w:szCs w:val="21"/>
        </w:rPr>
        <w:t>14.大厅原有电视墙上两台电视移位，一台移至党建活动区，一台移至评估实训室，电视墙依据图纸进行改造。</w:t>
      </w:r>
    </w:p>
    <w:p w14:paraId="7A5A1F0E">
      <w:pPr>
        <w:spacing w:line="276" w:lineRule="auto"/>
        <w:ind w:firstLine="420" w:firstLineChars="200"/>
        <w:rPr>
          <w:rFonts w:ascii="宋体" w:hAnsi="宋体" w:cs="宋体"/>
          <w:bCs/>
          <w:szCs w:val="21"/>
        </w:rPr>
      </w:pPr>
      <w:r>
        <w:rPr>
          <w:rFonts w:hint="eastAsia" w:ascii="宋体" w:hAnsi="宋体" w:cs="宋体"/>
          <w:bCs/>
          <w:szCs w:val="21"/>
        </w:rPr>
        <w:t>15.走道在原有墙面材料的基础上安装碳晶板+玫瑰金色不锈钢踢脚线，安装医疗扶手，安装装饰板；</w:t>
      </w:r>
    </w:p>
    <w:p w14:paraId="62E77AE6">
      <w:pPr>
        <w:spacing w:line="276" w:lineRule="auto"/>
        <w:ind w:firstLine="420" w:firstLineChars="200"/>
        <w:rPr>
          <w:rFonts w:ascii="宋体" w:hAnsi="宋体" w:cs="宋体"/>
          <w:bCs/>
          <w:szCs w:val="21"/>
        </w:rPr>
      </w:pPr>
      <w:r>
        <w:rPr>
          <w:rFonts w:hint="eastAsia" w:ascii="宋体" w:hAnsi="宋体" w:cs="宋体"/>
          <w:bCs/>
          <w:szCs w:val="21"/>
        </w:rPr>
        <w:t>16.康复实训室地面PVC。墙面材料主要为软包+玫瑰金色不锈钢踢脚线，安装医疗扶手。吊顶为石膏板+铝格栅造型吊顶+软膜天花；</w:t>
      </w:r>
    </w:p>
    <w:p w14:paraId="7E043E8D">
      <w:pPr>
        <w:spacing w:line="276" w:lineRule="auto"/>
        <w:ind w:firstLine="420" w:firstLineChars="200"/>
        <w:rPr>
          <w:rFonts w:ascii="宋体" w:hAnsi="宋体" w:cs="宋体"/>
          <w:bCs/>
          <w:szCs w:val="21"/>
        </w:rPr>
      </w:pPr>
      <w:r>
        <w:rPr>
          <w:rFonts w:hint="eastAsia" w:ascii="宋体" w:hAnsi="宋体" w:cs="宋体"/>
          <w:bCs/>
          <w:szCs w:val="21"/>
        </w:rPr>
        <w:t>17.准备间地面PVC。墙面材料主要为碳晶板+玫瑰金色不锈钢踢脚线。吊顶为石膏板+铝格栅造型吊顶；</w:t>
      </w:r>
    </w:p>
    <w:p w14:paraId="758CA152">
      <w:pPr>
        <w:spacing w:line="276" w:lineRule="auto"/>
        <w:ind w:firstLine="420" w:firstLineChars="200"/>
        <w:rPr>
          <w:rFonts w:ascii="宋体" w:hAnsi="宋体" w:cs="宋体"/>
          <w:bCs/>
          <w:szCs w:val="21"/>
        </w:rPr>
      </w:pPr>
      <w:r>
        <w:rPr>
          <w:rFonts w:hint="eastAsia" w:ascii="宋体" w:hAnsi="宋体" w:cs="宋体"/>
          <w:bCs/>
          <w:szCs w:val="21"/>
        </w:rPr>
        <w:t>18.评估实训室地面PVC。墙面材料主要为软包+玫瑰金色不锈钢踢脚线，安装医疗扶手和医疗床头治疗带。吊顶利旧；</w:t>
      </w:r>
    </w:p>
    <w:p w14:paraId="10942A79">
      <w:pPr>
        <w:spacing w:line="276" w:lineRule="auto"/>
        <w:ind w:firstLine="420" w:firstLineChars="200"/>
        <w:rPr>
          <w:rFonts w:ascii="宋体" w:hAnsi="宋体" w:cs="宋体"/>
          <w:bCs/>
          <w:szCs w:val="21"/>
        </w:rPr>
      </w:pPr>
      <w:r>
        <w:rPr>
          <w:rFonts w:hint="eastAsia" w:ascii="宋体" w:hAnsi="宋体" w:cs="宋体"/>
          <w:bCs/>
          <w:szCs w:val="21"/>
        </w:rPr>
        <w:t>19.乐龄实训室地面PVC。墙面材料主要为碳晶板+玫瑰金色不锈钢踢脚线，安装镜子。吊顶为石膏板+铝格栅造型吊顶；</w:t>
      </w:r>
    </w:p>
    <w:p w14:paraId="39B12B81">
      <w:pPr>
        <w:spacing w:line="276" w:lineRule="auto"/>
        <w:ind w:firstLine="420" w:firstLineChars="200"/>
        <w:rPr>
          <w:rFonts w:ascii="宋体" w:hAnsi="宋体" w:cs="宋体"/>
          <w:bCs/>
          <w:szCs w:val="21"/>
        </w:rPr>
      </w:pPr>
      <w:r>
        <w:rPr>
          <w:rFonts w:hint="eastAsia" w:ascii="宋体" w:hAnsi="宋体" w:cs="宋体"/>
          <w:bCs/>
          <w:szCs w:val="21"/>
        </w:rPr>
        <w:t>20.照护实训室地面PVC。新建的隔墙为2米高，墙面材料主要为碳晶板+玫瑰金色不锈钢踢脚线，安装医疗床头治疗带。吊顶部分利旧，部分为石膏板+铝格栅造型吊顶；</w:t>
      </w:r>
    </w:p>
    <w:p w14:paraId="5D4A41C6">
      <w:pPr>
        <w:spacing w:line="276" w:lineRule="auto"/>
        <w:ind w:firstLine="420" w:firstLineChars="200"/>
        <w:rPr>
          <w:rFonts w:ascii="宋体" w:hAnsi="宋体" w:cs="宋体"/>
          <w:bCs/>
          <w:szCs w:val="21"/>
        </w:rPr>
      </w:pPr>
      <w:r>
        <w:rPr>
          <w:rFonts w:hint="eastAsia" w:ascii="宋体" w:hAnsi="宋体" w:cs="宋体"/>
          <w:bCs/>
          <w:szCs w:val="21"/>
        </w:rPr>
        <w:t>21.数字中心地面PVC墙面材料主要为碳晶板+玫瑰金色不锈钢踢脚线。吊顶利旧；</w:t>
      </w:r>
    </w:p>
    <w:p w14:paraId="6ED52548">
      <w:pPr>
        <w:spacing w:line="276" w:lineRule="auto"/>
        <w:ind w:firstLine="420" w:firstLineChars="200"/>
        <w:rPr>
          <w:rFonts w:ascii="宋体" w:hAnsi="宋体" w:cs="宋体"/>
          <w:bCs/>
          <w:szCs w:val="21"/>
        </w:rPr>
      </w:pPr>
      <w:r>
        <w:rPr>
          <w:rFonts w:hint="eastAsia" w:ascii="宋体" w:hAnsi="宋体" w:cs="宋体"/>
          <w:bCs/>
          <w:szCs w:val="21"/>
        </w:rPr>
        <w:t>22.照护实训室的橱柜、厨具、马桶、水池、淋浴设备及残疾人扶手等从本项目所在地的5层拆除搬运下来原样安装；</w:t>
      </w:r>
    </w:p>
    <w:p w14:paraId="759CD614">
      <w:pPr>
        <w:spacing w:line="276" w:lineRule="auto"/>
        <w:ind w:firstLine="420" w:firstLineChars="200"/>
        <w:rPr>
          <w:rFonts w:ascii="宋体" w:hAnsi="宋体" w:cs="宋体"/>
          <w:bCs/>
          <w:szCs w:val="21"/>
        </w:rPr>
      </w:pPr>
      <w:r>
        <w:rPr>
          <w:rFonts w:hint="eastAsia" w:ascii="宋体" w:hAnsi="宋体" w:cs="宋体"/>
          <w:bCs/>
          <w:szCs w:val="21"/>
        </w:rPr>
        <w:t>23.制作或安装其他电器、家具、办公用品及教学设备等。</w:t>
      </w:r>
    </w:p>
    <w:p w14:paraId="3BEBF876">
      <w:pPr>
        <w:spacing w:line="276" w:lineRule="auto"/>
        <w:ind w:firstLine="420" w:firstLineChars="200"/>
        <w:rPr>
          <w:rFonts w:ascii="宋体" w:hAnsi="宋体" w:cs="宋体"/>
          <w:bCs/>
          <w:szCs w:val="21"/>
        </w:rPr>
      </w:pPr>
      <w:r>
        <w:rPr>
          <w:rFonts w:hint="eastAsia" w:ascii="宋体" w:hAnsi="宋体" w:cs="宋体"/>
          <w:bCs/>
          <w:szCs w:val="21"/>
        </w:rPr>
        <w:t>24.安装新窗帘；</w:t>
      </w:r>
    </w:p>
    <w:p w14:paraId="56A9DE2B">
      <w:pPr>
        <w:spacing w:line="276" w:lineRule="auto"/>
        <w:ind w:firstLine="422" w:firstLineChars="200"/>
        <w:rPr>
          <w:rFonts w:ascii="宋体" w:hAnsi="宋体" w:eastAsia="宋体" w:cs="宋体"/>
          <w:b/>
          <w:bCs/>
          <w:kern w:val="2"/>
          <w:sz w:val="21"/>
          <w:szCs w:val="21"/>
          <w:highlight w:val="green"/>
        </w:rPr>
      </w:pPr>
      <w:r>
        <w:rPr>
          <w:rFonts w:hint="eastAsia"/>
          <w:b/>
        </w:rPr>
        <w:t>具体清单及图纸详见附件</w:t>
      </w:r>
    </w:p>
    <w:p w14:paraId="76D6BE1F">
      <w:pPr>
        <w:pStyle w:val="2"/>
        <w:ind w:firstLine="422" w:firstLineChars="200"/>
        <w:rPr>
          <w:rFonts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特别说明：</w:t>
      </w:r>
    </w:p>
    <w:p w14:paraId="4E474487">
      <w:pPr>
        <w:pStyle w:val="2"/>
        <w:ind w:firstLine="422" w:firstLineChars="200"/>
        <w:rPr>
          <w:rFonts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1.项目报价包含设计费4.6万元，由施工单位承担，于项目竣工验收合格后一次性支付给设计单位。</w:t>
      </w:r>
    </w:p>
    <w:p w14:paraId="7C65FE84">
      <w:pPr>
        <w:pStyle w:val="2"/>
        <w:ind w:firstLine="422" w:firstLineChars="200"/>
        <w:rPr>
          <w:rFonts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2.项目施工过程中的主要材料检测及竣工后环境质量检测等检测服务费用由施工单位承担（检测项目由校方核定，数量参照国家有关标准）。</w:t>
      </w:r>
    </w:p>
    <w:bookmarkEnd w:id="210"/>
    <w:p w14:paraId="509C8A57">
      <w:pPr>
        <w:spacing w:line="276" w:lineRule="auto"/>
        <w:ind w:firstLine="422" w:firstLineChars="200"/>
        <w:outlineLvl w:val="1"/>
        <w:rPr>
          <w:b/>
        </w:rPr>
      </w:pPr>
      <w:bookmarkStart w:id="212" w:name="_Toc1233"/>
      <w:r>
        <w:rPr>
          <w:rFonts w:hint="eastAsia"/>
          <w:b/>
        </w:rPr>
        <w:t>三、</w:t>
      </w:r>
      <w:bookmarkEnd w:id="212"/>
      <w:r>
        <w:rPr>
          <w:rFonts w:hint="eastAsia"/>
          <w:b/>
        </w:rPr>
        <w:t>主要设备材料推荐品牌一览表</w:t>
      </w:r>
    </w:p>
    <w:tbl>
      <w:tblPr>
        <w:tblStyle w:val="27"/>
        <w:tblW w:w="99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957"/>
        <w:gridCol w:w="4036"/>
        <w:gridCol w:w="3283"/>
      </w:tblGrid>
      <w:tr w14:paraId="3C77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61" w:type="dxa"/>
            <w:tcBorders>
              <w:top w:val="single" w:color="000000" w:sz="4" w:space="0"/>
              <w:left w:val="single" w:color="000000" w:sz="4" w:space="0"/>
              <w:bottom w:val="single" w:color="auto" w:sz="4" w:space="0"/>
              <w:right w:val="single" w:color="auto" w:sz="4" w:space="0"/>
            </w:tcBorders>
            <w:vAlign w:val="center"/>
          </w:tcPr>
          <w:p w14:paraId="60E7783E">
            <w:pPr>
              <w:jc w:val="center"/>
              <w:rPr>
                <w:rFonts w:ascii="宋体" w:hAnsi="宋体" w:cs="宋体"/>
                <w:b/>
                <w:bCs/>
                <w:szCs w:val="21"/>
              </w:rPr>
            </w:pPr>
            <w:r>
              <w:rPr>
                <w:rFonts w:hint="eastAsia" w:ascii="宋体" w:hAnsi="宋体" w:cs="宋体"/>
                <w:b/>
                <w:bCs/>
                <w:szCs w:val="21"/>
              </w:rPr>
              <w:t>序号</w:t>
            </w:r>
          </w:p>
        </w:tc>
        <w:tc>
          <w:tcPr>
            <w:tcW w:w="1957" w:type="dxa"/>
            <w:tcBorders>
              <w:top w:val="single" w:color="000000" w:sz="4" w:space="0"/>
              <w:left w:val="single" w:color="auto" w:sz="4" w:space="0"/>
              <w:bottom w:val="single" w:color="auto" w:sz="4" w:space="0"/>
              <w:right w:val="single" w:color="000000" w:sz="4" w:space="0"/>
            </w:tcBorders>
            <w:vAlign w:val="center"/>
          </w:tcPr>
          <w:p w14:paraId="78566407">
            <w:pPr>
              <w:jc w:val="center"/>
              <w:rPr>
                <w:rFonts w:ascii="宋体" w:hAnsi="宋体" w:cs="宋体"/>
                <w:b/>
                <w:bCs/>
                <w:szCs w:val="21"/>
              </w:rPr>
            </w:pPr>
            <w:r>
              <w:rPr>
                <w:rFonts w:hint="eastAsia" w:ascii="宋体" w:hAnsi="宋体" w:cs="宋体"/>
                <w:b/>
                <w:bCs/>
                <w:szCs w:val="21"/>
              </w:rPr>
              <w:t>材料设备名称</w:t>
            </w:r>
          </w:p>
        </w:tc>
        <w:tc>
          <w:tcPr>
            <w:tcW w:w="4036" w:type="dxa"/>
            <w:tcBorders>
              <w:top w:val="single" w:color="000000" w:sz="4" w:space="0"/>
              <w:left w:val="single" w:color="000000" w:sz="4" w:space="0"/>
              <w:bottom w:val="single" w:color="auto" w:sz="4" w:space="0"/>
              <w:right w:val="single" w:color="000000" w:sz="4" w:space="0"/>
            </w:tcBorders>
            <w:vAlign w:val="center"/>
          </w:tcPr>
          <w:p w14:paraId="6D91FA80">
            <w:pPr>
              <w:jc w:val="center"/>
              <w:rPr>
                <w:rFonts w:ascii="宋体" w:hAnsi="宋体" w:cs="宋体"/>
                <w:b/>
                <w:bCs/>
                <w:szCs w:val="21"/>
              </w:rPr>
            </w:pPr>
            <w:r>
              <w:rPr>
                <w:rFonts w:hint="eastAsia" w:ascii="宋体" w:hAnsi="宋体" w:cs="宋体"/>
                <w:b/>
                <w:bCs/>
                <w:szCs w:val="21"/>
              </w:rPr>
              <w:t>材料主要性能要求</w:t>
            </w:r>
          </w:p>
        </w:tc>
        <w:tc>
          <w:tcPr>
            <w:tcW w:w="3283" w:type="dxa"/>
            <w:tcBorders>
              <w:top w:val="single" w:color="000000" w:sz="4" w:space="0"/>
              <w:left w:val="single" w:color="000000" w:sz="4" w:space="0"/>
              <w:bottom w:val="single" w:color="auto" w:sz="4" w:space="0"/>
              <w:right w:val="single" w:color="000000" w:sz="4" w:space="0"/>
            </w:tcBorders>
            <w:vAlign w:val="center"/>
          </w:tcPr>
          <w:p w14:paraId="573B3EC6">
            <w:pPr>
              <w:jc w:val="center"/>
              <w:rPr>
                <w:rFonts w:ascii="宋体" w:hAnsi="宋体" w:cs="宋体"/>
                <w:b/>
                <w:bCs/>
                <w:szCs w:val="21"/>
              </w:rPr>
            </w:pPr>
            <w:r>
              <w:rPr>
                <w:rFonts w:hint="eastAsia" w:ascii="宋体" w:hAnsi="宋体" w:cs="宋体"/>
                <w:b/>
                <w:bCs/>
                <w:szCs w:val="21"/>
              </w:rPr>
              <w:t>参照或相当于</w:t>
            </w:r>
          </w:p>
        </w:tc>
      </w:tr>
      <w:tr w14:paraId="1347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661" w:type="dxa"/>
            <w:tcBorders>
              <w:top w:val="single" w:color="auto" w:sz="4" w:space="0"/>
              <w:left w:val="single" w:color="000000" w:sz="4" w:space="0"/>
              <w:bottom w:val="single" w:color="000000" w:sz="4" w:space="0"/>
              <w:right w:val="single" w:color="auto" w:sz="4" w:space="0"/>
            </w:tcBorders>
            <w:vAlign w:val="center"/>
          </w:tcPr>
          <w:p w14:paraId="33332F4F">
            <w:pPr>
              <w:jc w:val="center"/>
              <w:rPr>
                <w:rFonts w:ascii="宋体" w:hAnsi="宋体" w:cs="宋体"/>
                <w:szCs w:val="21"/>
              </w:rPr>
            </w:pPr>
            <w:r>
              <w:rPr>
                <w:rFonts w:hint="eastAsia" w:ascii="宋体" w:hAnsi="宋体" w:cs="宋体"/>
                <w:szCs w:val="21"/>
              </w:rPr>
              <w:t>1</w:t>
            </w:r>
          </w:p>
        </w:tc>
        <w:tc>
          <w:tcPr>
            <w:tcW w:w="1957" w:type="dxa"/>
            <w:tcBorders>
              <w:top w:val="single" w:color="auto" w:sz="4" w:space="0"/>
              <w:left w:val="single" w:color="auto" w:sz="4" w:space="0"/>
              <w:bottom w:val="single" w:color="000000" w:sz="4" w:space="0"/>
              <w:right w:val="single" w:color="000000" w:sz="4" w:space="0"/>
            </w:tcBorders>
            <w:vAlign w:val="center"/>
          </w:tcPr>
          <w:p w14:paraId="493A85CD">
            <w:pPr>
              <w:widowControl/>
              <w:jc w:val="center"/>
              <w:rPr>
                <w:rFonts w:ascii="宋体" w:hAnsi="宋体" w:cs="宋体"/>
                <w:szCs w:val="21"/>
              </w:rPr>
            </w:pPr>
            <w:r>
              <w:rPr>
                <w:rFonts w:hint="eastAsia" w:cs="宋体"/>
                <w:kern w:val="0"/>
                <w:szCs w:val="21"/>
              </w:rPr>
              <w:t>乳胶漆</w:t>
            </w:r>
          </w:p>
        </w:tc>
        <w:tc>
          <w:tcPr>
            <w:tcW w:w="4036" w:type="dxa"/>
            <w:tcBorders>
              <w:top w:val="single" w:color="auto" w:sz="4" w:space="0"/>
              <w:left w:val="single" w:color="000000" w:sz="4" w:space="0"/>
              <w:bottom w:val="single" w:color="000000" w:sz="4" w:space="0"/>
              <w:right w:val="single" w:color="000000" w:sz="4" w:space="0"/>
            </w:tcBorders>
            <w:vAlign w:val="center"/>
          </w:tcPr>
          <w:p w14:paraId="11C3A5C5">
            <w:pPr>
              <w:widowControl/>
              <w:jc w:val="center"/>
              <w:rPr>
                <w:rFonts w:ascii="宋体" w:hAnsi="宋体" w:cs="宋体"/>
                <w:szCs w:val="21"/>
              </w:rPr>
            </w:pPr>
            <w:r>
              <w:rPr>
                <w:rFonts w:hint="eastAsia" w:cs="宋体"/>
                <w:szCs w:val="21"/>
              </w:rPr>
              <w:t>合格品及其以上等级，环保等级达E1级</w:t>
            </w:r>
          </w:p>
        </w:tc>
        <w:tc>
          <w:tcPr>
            <w:tcW w:w="3283" w:type="dxa"/>
            <w:tcBorders>
              <w:top w:val="single" w:color="auto" w:sz="4" w:space="0"/>
              <w:left w:val="single" w:color="000000" w:sz="4" w:space="0"/>
              <w:bottom w:val="single" w:color="000000" w:sz="4" w:space="0"/>
              <w:right w:val="single" w:color="000000" w:sz="4" w:space="0"/>
            </w:tcBorders>
            <w:vAlign w:val="center"/>
          </w:tcPr>
          <w:p w14:paraId="27F451F7">
            <w:pPr>
              <w:widowControl/>
              <w:jc w:val="center"/>
              <w:rPr>
                <w:rFonts w:ascii="宋体" w:hAnsi="宋体" w:cs="宋体"/>
                <w:szCs w:val="21"/>
              </w:rPr>
            </w:pPr>
            <w:r>
              <w:rPr>
                <w:rFonts w:hint="eastAsia" w:cs="宋体"/>
                <w:szCs w:val="21"/>
              </w:rPr>
              <w:t>立邦、多乐士、华润、三棵树</w:t>
            </w:r>
          </w:p>
        </w:tc>
      </w:tr>
      <w:tr w14:paraId="5C16C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2D6883C8">
            <w:pPr>
              <w:jc w:val="center"/>
              <w:rPr>
                <w:rFonts w:ascii="宋体" w:hAnsi="宋体" w:cs="宋体"/>
                <w:szCs w:val="21"/>
              </w:rPr>
            </w:pPr>
            <w:r>
              <w:rPr>
                <w:rFonts w:hint="eastAsia" w:ascii="宋体" w:hAnsi="宋体" w:cs="宋体"/>
                <w:szCs w:val="21"/>
              </w:rPr>
              <w:t>2</w:t>
            </w:r>
          </w:p>
        </w:tc>
        <w:tc>
          <w:tcPr>
            <w:tcW w:w="1957" w:type="dxa"/>
            <w:tcBorders>
              <w:top w:val="single" w:color="000000" w:sz="4" w:space="0"/>
              <w:left w:val="single" w:color="auto" w:sz="4" w:space="0"/>
              <w:bottom w:val="single" w:color="000000" w:sz="4" w:space="0"/>
              <w:right w:val="single" w:color="000000" w:sz="4" w:space="0"/>
            </w:tcBorders>
            <w:vAlign w:val="center"/>
          </w:tcPr>
          <w:p w14:paraId="62035A5D">
            <w:pPr>
              <w:jc w:val="center"/>
              <w:rPr>
                <w:rFonts w:ascii="宋体" w:hAnsi="宋体" w:cs="宋体"/>
                <w:szCs w:val="21"/>
              </w:rPr>
            </w:pPr>
            <w:r>
              <w:rPr>
                <w:rFonts w:hint="eastAsia"/>
                <w:szCs w:val="21"/>
              </w:rPr>
              <w:t>PVC</w:t>
            </w:r>
          </w:p>
        </w:tc>
        <w:tc>
          <w:tcPr>
            <w:tcW w:w="4036" w:type="dxa"/>
            <w:tcBorders>
              <w:top w:val="single" w:color="000000" w:sz="4" w:space="0"/>
              <w:left w:val="single" w:color="000000" w:sz="4" w:space="0"/>
              <w:bottom w:val="single" w:color="000000" w:sz="4" w:space="0"/>
              <w:right w:val="single" w:color="000000" w:sz="4" w:space="0"/>
            </w:tcBorders>
            <w:vAlign w:val="center"/>
          </w:tcPr>
          <w:p w14:paraId="236340A1">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71BF108B">
            <w:pPr>
              <w:jc w:val="center"/>
              <w:rPr>
                <w:rFonts w:ascii="宋体" w:hAnsi="宋体" w:cs="宋体"/>
                <w:szCs w:val="21"/>
              </w:rPr>
            </w:pPr>
            <w:r>
              <w:fldChar w:fldCharType="begin"/>
            </w:r>
            <w:r>
              <w:instrText xml:space="preserve"> HYPERLINK "https://www.chinapp.com/brand/6513" \t "https://cn.bing.com/_blank" </w:instrText>
            </w:r>
            <w:r>
              <w:fldChar w:fldCharType="separate"/>
            </w:r>
            <w:r>
              <w:rPr>
                <w:szCs w:val="21"/>
              </w:rPr>
              <w:t>洁福、得嘉、博尔福</w:t>
            </w:r>
            <w:r>
              <w:rPr>
                <w:szCs w:val="21"/>
              </w:rPr>
              <w:fldChar w:fldCharType="end"/>
            </w:r>
          </w:p>
        </w:tc>
      </w:tr>
      <w:tr w14:paraId="5617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50B8218C">
            <w:pPr>
              <w:jc w:val="center"/>
              <w:rPr>
                <w:rFonts w:ascii="宋体" w:hAnsi="宋体" w:cs="宋体"/>
                <w:szCs w:val="21"/>
              </w:rPr>
            </w:pPr>
            <w:r>
              <w:rPr>
                <w:rFonts w:hint="eastAsia" w:ascii="宋体" w:hAnsi="宋体" w:cs="宋体"/>
                <w:szCs w:val="21"/>
              </w:rPr>
              <w:t>3</w:t>
            </w:r>
          </w:p>
        </w:tc>
        <w:tc>
          <w:tcPr>
            <w:tcW w:w="1957" w:type="dxa"/>
            <w:tcBorders>
              <w:top w:val="single" w:color="000000" w:sz="4" w:space="0"/>
              <w:left w:val="single" w:color="auto" w:sz="4" w:space="0"/>
              <w:bottom w:val="single" w:color="000000" w:sz="4" w:space="0"/>
              <w:right w:val="single" w:color="000000" w:sz="4" w:space="0"/>
            </w:tcBorders>
            <w:vAlign w:val="center"/>
          </w:tcPr>
          <w:p w14:paraId="2FF88082">
            <w:pPr>
              <w:jc w:val="center"/>
              <w:rPr>
                <w:rFonts w:ascii="宋体" w:hAnsi="宋体" w:cs="宋体"/>
                <w:szCs w:val="21"/>
              </w:rPr>
            </w:pPr>
            <w:r>
              <w:rPr>
                <w:rFonts w:hint="eastAsia"/>
                <w:szCs w:val="21"/>
              </w:rPr>
              <w:t>铝合金格栅</w:t>
            </w:r>
          </w:p>
        </w:tc>
        <w:tc>
          <w:tcPr>
            <w:tcW w:w="4036" w:type="dxa"/>
            <w:tcBorders>
              <w:top w:val="single" w:color="000000" w:sz="4" w:space="0"/>
              <w:left w:val="single" w:color="000000" w:sz="4" w:space="0"/>
              <w:bottom w:val="single" w:color="000000" w:sz="4" w:space="0"/>
              <w:right w:val="single" w:color="000000" w:sz="4" w:space="0"/>
            </w:tcBorders>
            <w:vAlign w:val="center"/>
          </w:tcPr>
          <w:p w14:paraId="2CBB4EF5">
            <w:pPr>
              <w:widowControl/>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74A4EA54">
            <w:pPr>
              <w:widowControl/>
              <w:jc w:val="center"/>
              <w:rPr>
                <w:rFonts w:ascii="宋体" w:hAnsi="宋体" w:cs="宋体"/>
                <w:szCs w:val="21"/>
              </w:rPr>
            </w:pPr>
            <w:r>
              <w:rPr>
                <w:rFonts w:hint="eastAsia"/>
                <w:szCs w:val="21"/>
              </w:rPr>
              <w:t>顶上、奇力、奥普</w:t>
            </w:r>
          </w:p>
        </w:tc>
      </w:tr>
      <w:tr w14:paraId="62EB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3745FD84">
            <w:pPr>
              <w:jc w:val="center"/>
              <w:rPr>
                <w:rFonts w:ascii="宋体" w:hAnsi="宋体" w:cs="宋体"/>
                <w:szCs w:val="21"/>
              </w:rPr>
            </w:pPr>
            <w:r>
              <w:rPr>
                <w:rFonts w:hint="eastAsia" w:ascii="宋体" w:hAnsi="宋体" w:cs="宋体"/>
                <w:szCs w:val="21"/>
              </w:rPr>
              <w:t>4</w:t>
            </w:r>
          </w:p>
        </w:tc>
        <w:tc>
          <w:tcPr>
            <w:tcW w:w="1957" w:type="dxa"/>
            <w:tcBorders>
              <w:top w:val="single" w:color="000000" w:sz="4" w:space="0"/>
              <w:left w:val="single" w:color="auto" w:sz="4" w:space="0"/>
              <w:bottom w:val="single" w:color="000000" w:sz="4" w:space="0"/>
              <w:right w:val="single" w:color="000000" w:sz="4" w:space="0"/>
            </w:tcBorders>
            <w:vAlign w:val="center"/>
          </w:tcPr>
          <w:p w14:paraId="1C272988">
            <w:pPr>
              <w:jc w:val="center"/>
              <w:rPr>
                <w:rFonts w:ascii="宋体" w:hAnsi="宋体" w:cs="宋体"/>
                <w:szCs w:val="21"/>
              </w:rPr>
            </w:pPr>
            <w:r>
              <w:rPr>
                <w:rFonts w:hint="eastAsia" w:cs="宋体"/>
                <w:szCs w:val="21"/>
              </w:rPr>
              <w:t>木质门</w:t>
            </w:r>
          </w:p>
        </w:tc>
        <w:tc>
          <w:tcPr>
            <w:tcW w:w="4036" w:type="dxa"/>
            <w:tcBorders>
              <w:top w:val="single" w:color="000000" w:sz="4" w:space="0"/>
              <w:left w:val="single" w:color="000000" w:sz="4" w:space="0"/>
              <w:bottom w:val="single" w:color="000000" w:sz="4" w:space="0"/>
              <w:right w:val="single" w:color="000000" w:sz="4" w:space="0"/>
            </w:tcBorders>
            <w:vAlign w:val="center"/>
          </w:tcPr>
          <w:p w14:paraId="51719473">
            <w:pPr>
              <w:widowControl/>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75FA767C">
            <w:pPr>
              <w:jc w:val="center"/>
              <w:rPr>
                <w:rFonts w:ascii="宋体" w:hAnsi="宋体" w:cs="宋体"/>
                <w:szCs w:val="21"/>
              </w:rPr>
            </w:pPr>
            <w:r>
              <w:rPr>
                <w:rFonts w:hint="eastAsia" w:cs="宋体"/>
                <w:szCs w:val="21"/>
              </w:rPr>
              <w:t>欧铂尼、TATA、美心</w:t>
            </w:r>
          </w:p>
        </w:tc>
      </w:tr>
      <w:tr w14:paraId="4475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21689B6C">
            <w:pPr>
              <w:jc w:val="center"/>
              <w:rPr>
                <w:rFonts w:ascii="宋体" w:hAnsi="宋体" w:cs="宋体"/>
                <w:szCs w:val="21"/>
              </w:rPr>
            </w:pPr>
            <w:r>
              <w:rPr>
                <w:rFonts w:hint="eastAsia" w:ascii="宋体" w:hAnsi="宋体" w:cs="宋体"/>
                <w:szCs w:val="21"/>
              </w:rPr>
              <w:t>5</w:t>
            </w:r>
          </w:p>
        </w:tc>
        <w:tc>
          <w:tcPr>
            <w:tcW w:w="1957" w:type="dxa"/>
            <w:tcBorders>
              <w:top w:val="single" w:color="000000" w:sz="4" w:space="0"/>
              <w:left w:val="single" w:color="auto" w:sz="4" w:space="0"/>
              <w:bottom w:val="single" w:color="000000" w:sz="4" w:space="0"/>
              <w:right w:val="single" w:color="000000" w:sz="4" w:space="0"/>
            </w:tcBorders>
            <w:vAlign w:val="center"/>
          </w:tcPr>
          <w:p w14:paraId="20F207F7">
            <w:pPr>
              <w:jc w:val="center"/>
              <w:rPr>
                <w:rFonts w:ascii="宋体" w:hAnsi="宋体" w:cs="宋体"/>
                <w:szCs w:val="21"/>
              </w:rPr>
            </w:pPr>
            <w:r>
              <w:rPr>
                <w:rFonts w:hint="eastAsia"/>
                <w:szCs w:val="21"/>
              </w:rPr>
              <w:t>纸面石膏板</w:t>
            </w:r>
          </w:p>
        </w:tc>
        <w:tc>
          <w:tcPr>
            <w:tcW w:w="4036" w:type="dxa"/>
            <w:tcBorders>
              <w:top w:val="single" w:color="000000" w:sz="4" w:space="0"/>
              <w:left w:val="single" w:color="000000" w:sz="4" w:space="0"/>
              <w:bottom w:val="single" w:color="000000" w:sz="4" w:space="0"/>
              <w:right w:val="single" w:color="000000" w:sz="4" w:space="0"/>
            </w:tcBorders>
            <w:vAlign w:val="center"/>
          </w:tcPr>
          <w:p w14:paraId="4DD3544C">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21DD7125">
            <w:pPr>
              <w:jc w:val="center"/>
              <w:rPr>
                <w:rFonts w:ascii="宋体" w:hAnsi="宋体" w:cs="宋体"/>
                <w:szCs w:val="21"/>
              </w:rPr>
            </w:pPr>
            <w:r>
              <w:rPr>
                <w:rFonts w:hint="eastAsia"/>
                <w:szCs w:val="21"/>
              </w:rPr>
              <w:t>优时吉博罗、龙牌、可耐福、圣戈班</w:t>
            </w:r>
          </w:p>
        </w:tc>
      </w:tr>
      <w:tr w14:paraId="7A83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55987403">
            <w:pPr>
              <w:jc w:val="center"/>
              <w:rPr>
                <w:rFonts w:ascii="宋体" w:hAnsi="宋体" w:cs="宋体"/>
                <w:szCs w:val="21"/>
              </w:rPr>
            </w:pPr>
            <w:r>
              <w:rPr>
                <w:rFonts w:hint="eastAsia" w:ascii="宋体" w:hAnsi="宋体" w:cs="宋体"/>
                <w:szCs w:val="21"/>
              </w:rPr>
              <w:t>6</w:t>
            </w:r>
          </w:p>
        </w:tc>
        <w:tc>
          <w:tcPr>
            <w:tcW w:w="1957" w:type="dxa"/>
            <w:tcBorders>
              <w:top w:val="single" w:color="000000" w:sz="4" w:space="0"/>
              <w:left w:val="single" w:color="auto" w:sz="4" w:space="0"/>
              <w:bottom w:val="single" w:color="000000" w:sz="4" w:space="0"/>
              <w:right w:val="single" w:color="000000" w:sz="4" w:space="0"/>
            </w:tcBorders>
            <w:vAlign w:val="center"/>
          </w:tcPr>
          <w:p w14:paraId="513C939A">
            <w:pPr>
              <w:jc w:val="center"/>
              <w:rPr>
                <w:rFonts w:ascii="宋体" w:hAnsi="宋体" w:cs="宋体"/>
                <w:szCs w:val="21"/>
              </w:rPr>
            </w:pPr>
            <w:r>
              <w:rPr>
                <w:szCs w:val="21"/>
              </w:rPr>
              <w:t>轻钢龙骨</w:t>
            </w:r>
          </w:p>
        </w:tc>
        <w:tc>
          <w:tcPr>
            <w:tcW w:w="4036" w:type="dxa"/>
            <w:tcBorders>
              <w:top w:val="single" w:color="000000" w:sz="4" w:space="0"/>
              <w:left w:val="single" w:color="000000" w:sz="4" w:space="0"/>
              <w:bottom w:val="single" w:color="000000" w:sz="4" w:space="0"/>
              <w:right w:val="single" w:color="000000" w:sz="4" w:space="0"/>
            </w:tcBorders>
            <w:vAlign w:val="center"/>
          </w:tcPr>
          <w:p w14:paraId="007551B6">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3C34A2F9">
            <w:pPr>
              <w:jc w:val="center"/>
              <w:rPr>
                <w:rFonts w:ascii="宋体" w:hAnsi="宋体" w:cs="宋体"/>
                <w:szCs w:val="21"/>
              </w:rPr>
            </w:pPr>
            <w:r>
              <w:rPr>
                <w:rFonts w:hint="eastAsia"/>
                <w:szCs w:val="21"/>
              </w:rPr>
              <w:t>博罗拉法基、龙牌、可耐福、圣戈班</w:t>
            </w:r>
          </w:p>
        </w:tc>
      </w:tr>
      <w:tr w14:paraId="00AC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16525FDA">
            <w:pPr>
              <w:jc w:val="center"/>
              <w:rPr>
                <w:rFonts w:ascii="宋体" w:hAnsi="宋体" w:cs="宋体"/>
                <w:szCs w:val="21"/>
              </w:rPr>
            </w:pPr>
            <w:r>
              <w:rPr>
                <w:rFonts w:hint="eastAsia" w:ascii="宋体" w:hAnsi="宋体" w:cs="宋体"/>
                <w:szCs w:val="21"/>
              </w:rPr>
              <w:t>7</w:t>
            </w:r>
          </w:p>
        </w:tc>
        <w:tc>
          <w:tcPr>
            <w:tcW w:w="1957" w:type="dxa"/>
            <w:tcBorders>
              <w:top w:val="single" w:color="000000" w:sz="4" w:space="0"/>
              <w:left w:val="single" w:color="auto" w:sz="4" w:space="0"/>
              <w:bottom w:val="single" w:color="000000" w:sz="4" w:space="0"/>
              <w:right w:val="single" w:color="000000" w:sz="4" w:space="0"/>
            </w:tcBorders>
            <w:vAlign w:val="center"/>
          </w:tcPr>
          <w:p w14:paraId="62AA20E4">
            <w:pPr>
              <w:jc w:val="center"/>
              <w:rPr>
                <w:rFonts w:ascii="宋体" w:hAnsi="宋体" w:cs="宋体"/>
                <w:szCs w:val="21"/>
              </w:rPr>
            </w:pPr>
            <w:r>
              <w:rPr>
                <w:rFonts w:hint="eastAsia" w:cs="宋体"/>
                <w:szCs w:val="21"/>
              </w:rPr>
              <w:t>电线电缆</w:t>
            </w:r>
          </w:p>
        </w:tc>
        <w:tc>
          <w:tcPr>
            <w:tcW w:w="4036" w:type="dxa"/>
            <w:tcBorders>
              <w:top w:val="single" w:color="000000" w:sz="4" w:space="0"/>
              <w:left w:val="single" w:color="000000" w:sz="4" w:space="0"/>
              <w:bottom w:val="single" w:color="000000" w:sz="4" w:space="0"/>
              <w:right w:val="single" w:color="000000" w:sz="4" w:space="0"/>
            </w:tcBorders>
            <w:vAlign w:val="center"/>
          </w:tcPr>
          <w:p w14:paraId="19FC0652">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2607B9B8">
            <w:pPr>
              <w:jc w:val="center"/>
              <w:rPr>
                <w:rFonts w:ascii="宋体" w:hAnsi="宋体" w:cs="宋体"/>
                <w:szCs w:val="21"/>
              </w:rPr>
            </w:pPr>
            <w:r>
              <w:rPr>
                <w:rFonts w:hint="eastAsia" w:cs="宋体"/>
                <w:szCs w:val="21"/>
              </w:rPr>
              <w:t>远东、江南、上上</w:t>
            </w:r>
          </w:p>
        </w:tc>
      </w:tr>
      <w:tr w14:paraId="62FF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18E266AD">
            <w:pPr>
              <w:jc w:val="center"/>
              <w:rPr>
                <w:rFonts w:ascii="宋体" w:hAnsi="宋体" w:cs="宋体"/>
                <w:szCs w:val="21"/>
              </w:rPr>
            </w:pPr>
            <w:r>
              <w:rPr>
                <w:rFonts w:hint="eastAsia" w:ascii="宋体" w:hAnsi="宋体" w:cs="宋体"/>
                <w:szCs w:val="21"/>
              </w:rPr>
              <w:t>8</w:t>
            </w:r>
          </w:p>
        </w:tc>
        <w:tc>
          <w:tcPr>
            <w:tcW w:w="1957" w:type="dxa"/>
            <w:tcBorders>
              <w:top w:val="single" w:color="000000" w:sz="4" w:space="0"/>
              <w:left w:val="single" w:color="auto" w:sz="4" w:space="0"/>
              <w:bottom w:val="single" w:color="000000" w:sz="4" w:space="0"/>
              <w:right w:val="single" w:color="000000" w:sz="4" w:space="0"/>
            </w:tcBorders>
            <w:vAlign w:val="center"/>
          </w:tcPr>
          <w:p w14:paraId="722EC8FE">
            <w:pPr>
              <w:jc w:val="center"/>
              <w:rPr>
                <w:rFonts w:ascii="宋体" w:hAnsi="宋体" w:cs="宋体"/>
                <w:kern w:val="0"/>
                <w:szCs w:val="21"/>
              </w:rPr>
            </w:pPr>
            <w:r>
              <w:rPr>
                <w:rFonts w:hint="eastAsia" w:cs="宋体"/>
                <w:szCs w:val="21"/>
              </w:rPr>
              <w:t>开关、插座</w:t>
            </w:r>
          </w:p>
        </w:tc>
        <w:tc>
          <w:tcPr>
            <w:tcW w:w="4036" w:type="dxa"/>
            <w:tcBorders>
              <w:top w:val="single" w:color="000000" w:sz="4" w:space="0"/>
              <w:left w:val="single" w:color="000000" w:sz="4" w:space="0"/>
              <w:bottom w:val="single" w:color="000000" w:sz="4" w:space="0"/>
              <w:right w:val="single" w:color="000000" w:sz="4" w:space="0"/>
            </w:tcBorders>
            <w:vAlign w:val="center"/>
          </w:tcPr>
          <w:p w14:paraId="219C1EF2">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172ACA34">
            <w:pPr>
              <w:jc w:val="center"/>
              <w:rPr>
                <w:rFonts w:ascii="宋体" w:hAnsi="宋体" w:cs="宋体"/>
                <w:szCs w:val="21"/>
              </w:rPr>
            </w:pPr>
            <w:r>
              <w:rPr>
                <w:rFonts w:hint="eastAsia" w:cs="宋体"/>
                <w:szCs w:val="21"/>
              </w:rPr>
              <w:t>ABB、施耐德、西门子</w:t>
            </w:r>
          </w:p>
        </w:tc>
      </w:tr>
      <w:tr w14:paraId="21CF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61" w:type="dxa"/>
            <w:tcBorders>
              <w:top w:val="single" w:color="000000" w:sz="4" w:space="0"/>
              <w:left w:val="single" w:color="000000" w:sz="4" w:space="0"/>
              <w:bottom w:val="single" w:color="000000" w:sz="4" w:space="0"/>
              <w:right w:val="single" w:color="auto" w:sz="4" w:space="0"/>
            </w:tcBorders>
            <w:vAlign w:val="center"/>
          </w:tcPr>
          <w:p w14:paraId="47B801D2">
            <w:pPr>
              <w:jc w:val="center"/>
              <w:rPr>
                <w:rFonts w:ascii="宋体" w:hAnsi="宋体" w:cs="宋体"/>
                <w:szCs w:val="21"/>
              </w:rPr>
            </w:pPr>
            <w:r>
              <w:rPr>
                <w:rFonts w:hint="eastAsia" w:ascii="宋体" w:hAnsi="宋体" w:cs="宋体"/>
                <w:szCs w:val="21"/>
              </w:rPr>
              <w:t>9</w:t>
            </w:r>
          </w:p>
        </w:tc>
        <w:tc>
          <w:tcPr>
            <w:tcW w:w="1957" w:type="dxa"/>
            <w:tcBorders>
              <w:top w:val="single" w:color="000000" w:sz="4" w:space="0"/>
              <w:left w:val="single" w:color="auto" w:sz="4" w:space="0"/>
              <w:bottom w:val="single" w:color="000000" w:sz="4" w:space="0"/>
              <w:right w:val="single" w:color="000000" w:sz="4" w:space="0"/>
            </w:tcBorders>
            <w:vAlign w:val="center"/>
          </w:tcPr>
          <w:p w14:paraId="7B800950">
            <w:pPr>
              <w:jc w:val="center"/>
              <w:rPr>
                <w:rFonts w:ascii="宋体" w:hAnsi="宋体" w:cs="宋体"/>
                <w:kern w:val="0"/>
                <w:szCs w:val="21"/>
              </w:rPr>
            </w:pPr>
            <w:r>
              <w:rPr>
                <w:rFonts w:hint="eastAsia" w:cs="宋体"/>
                <w:szCs w:val="21"/>
              </w:rPr>
              <w:t>灯具</w:t>
            </w:r>
          </w:p>
        </w:tc>
        <w:tc>
          <w:tcPr>
            <w:tcW w:w="4036" w:type="dxa"/>
            <w:tcBorders>
              <w:top w:val="single" w:color="000000" w:sz="4" w:space="0"/>
              <w:left w:val="single" w:color="000000" w:sz="4" w:space="0"/>
              <w:bottom w:val="single" w:color="000000" w:sz="4" w:space="0"/>
              <w:right w:val="single" w:color="000000" w:sz="4" w:space="0"/>
            </w:tcBorders>
            <w:vAlign w:val="center"/>
          </w:tcPr>
          <w:p w14:paraId="743CB73F">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09676D4E">
            <w:pPr>
              <w:jc w:val="center"/>
              <w:rPr>
                <w:rFonts w:ascii="宋体" w:hAnsi="宋体" w:cs="宋体"/>
                <w:szCs w:val="21"/>
              </w:rPr>
            </w:pPr>
            <w:r>
              <w:rPr>
                <w:rFonts w:hint="eastAsia" w:cs="宋体"/>
                <w:szCs w:val="21"/>
              </w:rPr>
              <w:t>雷士、欧普、飞利浦、松下</w:t>
            </w:r>
          </w:p>
        </w:tc>
      </w:tr>
      <w:tr w14:paraId="7D6AD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0BE0FC1D">
            <w:pPr>
              <w:jc w:val="center"/>
              <w:rPr>
                <w:rFonts w:ascii="宋体" w:hAnsi="宋体" w:cs="宋体"/>
                <w:szCs w:val="21"/>
              </w:rPr>
            </w:pPr>
            <w:r>
              <w:rPr>
                <w:rFonts w:hint="eastAsia" w:ascii="宋体" w:hAnsi="宋体" w:cs="宋体"/>
                <w:szCs w:val="21"/>
              </w:rPr>
              <w:t>10</w:t>
            </w:r>
          </w:p>
        </w:tc>
        <w:tc>
          <w:tcPr>
            <w:tcW w:w="1957" w:type="dxa"/>
            <w:tcBorders>
              <w:top w:val="single" w:color="000000" w:sz="4" w:space="0"/>
              <w:left w:val="single" w:color="000000" w:sz="4" w:space="0"/>
              <w:bottom w:val="single" w:color="000000" w:sz="4" w:space="0"/>
              <w:right w:val="single" w:color="000000" w:sz="4" w:space="0"/>
            </w:tcBorders>
            <w:vAlign w:val="center"/>
          </w:tcPr>
          <w:p w14:paraId="6794003D">
            <w:pPr>
              <w:jc w:val="center"/>
              <w:rPr>
                <w:rFonts w:ascii="宋体" w:hAnsi="宋体" w:cs="宋体"/>
                <w:kern w:val="0"/>
                <w:szCs w:val="21"/>
              </w:rPr>
            </w:pPr>
            <w:r>
              <w:rPr>
                <w:rFonts w:hint="eastAsia" w:cs="宋体"/>
                <w:szCs w:val="21"/>
              </w:rPr>
              <w:t>电线管</w:t>
            </w:r>
          </w:p>
        </w:tc>
        <w:tc>
          <w:tcPr>
            <w:tcW w:w="4036" w:type="dxa"/>
            <w:tcBorders>
              <w:top w:val="single" w:color="000000" w:sz="4" w:space="0"/>
              <w:left w:val="single" w:color="000000" w:sz="4" w:space="0"/>
              <w:bottom w:val="single" w:color="000000" w:sz="4" w:space="0"/>
              <w:right w:val="single" w:color="000000" w:sz="4" w:space="0"/>
            </w:tcBorders>
            <w:vAlign w:val="center"/>
          </w:tcPr>
          <w:p w14:paraId="02E8F3EE">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0DF26FD2">
            <w:pPr>
              <w:jc w:val="center"/>
              <w:rPr>
                <w:rFonts w:ascii="宋体" w:hAnsi="宋体" w:cs="宋体"/>
                <w:szCs w:val="21"/>
              </w:rPr>
            </w:pPr>
            <w:r>
              <w:rPr>
                <w:rFonts w:hint="eastAsia" w:cs="宋体"/>
                <w:szCs w:val="21"/>
              </w:rPr>
              <w:t>公元、中财、联塑、日丰</w:t>
            </w:r>
          </w:p>
        </w:tc>
      </w:tr>
      <w:tr w14:paraId="494E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6F719793">
            <w:pPr>
              <w:jc w:val="center"/>
              <w:rPr>
                <w:rFonts w:ascii="宋体" w:hAnsi="宋体" w:cs="宋体"/>
                <w:szCs w:val="21"/>
              </w:rPr>
            </w:pPr>
            <w:r>
              <w:rPr>
                <w:rFonts w:hint="eastAsia" w:ascii="宋体" w:hAnsi="宋体" w:cs="宋体"/>
                <w:szCs w:val="21"/>
              </w:rPr>
              <w:t>11</w:t>
            </w:r>
          </w:p>
        </w:tc>
        <w:tc>
          <w:tcPr>
            <w:tcW w:w="1957" w:type="dxa"/>
            <w:tcBorders>
              <w:top w:val="single" w:color="000000" w:sz="4" w:space="0"/>
              <w:left w:val="single" w:color="000000" w:sz="4" w:space="0"/>
              <w:bottom w:val="single" w:color="000000" w:sz="4" w:space="0"/>
              <w:right w:val="single" w:color="000000" w:sz="4" w:space="0"/>
            </w:tcBorders>
            <w:vAlign w:val="center"/>
          </w:tcPr>
          <w:p w14:paraId="02DE7334">
            <w:pPr>
              <w:jc w:val="center"/>
              <w:rPr>
                <w:rFonts w:ascii="宋体" w:hAnsi="宋体" w:cs="宋体"/>
                <w:szCs w:val="21"/>
              </w:rPr>
            </w:pPr>
            <w:r>
              <w:rPr>
                <w:rFonts w:hint="eastAsia"/>
                <w:szCs w:val="21"/>
              </w:rPr>
              <w:t>配电箱和内元器件</w:t>
            </w:r>
          </w:p>
        </w:tc>
        <w:tc>
          <w:tcPr>
            <w:tcW w:w="4036" w:type="dxa"/>
            <w:tcBorders>
              <w:top w:val="single" w:color="000000" w:sz="4" w:space="0"/>
              <w:left w:val="single" w:color="000000" w:sz="4" w:space="0"/>
              <w:bottom w:val="single" w:color="000000" w:sz="4" w:space="0"/>
              <w:right w:val="single" w:color="000000" w:sz="4" w:space="0"/>
            </w:tcBorders>
            <w:vAlign w:val="center"/>
          </w:tcPr>
          <w:p w14:paraId="686F1E4D">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2C65039E">
            <w:pPr>
              <w:jc w:val="center"/>
              <w:rPr>
                <w:rFonts w:ascii="宋体" w:hAnsi="宋体" w:cs="宋体"/>
                <w:szCs w:val="21"/>
              </w:rPr>
            </w:pPr>
            <w:r>
              <w:rPr>
                <w:rFonts w:hint="eastAsia"/>
                <w:szCs w:val="21"/>
              </w:rPr>
              <w:t>施耐德、ABB、西门子</w:t>
            </w:r>
          </w:p>
        </w:tc>
      </w:tr>
      <w:tr w14:paraId="643F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618993C3">
            <w:pPr>
              <w:jc w:val="center"/>
              <w:rPr>
                <w:rFonts w:ascii="宋体" w:hAnsi="宋体" w:cs="宋体"/>
                <w:szCs w:val="21"/>
              </w:rPr>
            </w:pPr>
            <w:r>
              <w:rPr>
                <w:rFonts w:hint="eastAsia" w:ascii="宋体" w:hAnsi="宋体" w:cs="宋体"/>
                <w:szCs w:val="21"/>
              </w:rPr>
              <w:t>12</w:t>
            </w:r>
          </w:p>
        </w:tc>
        <w:tc>
          <w:tcPr>
            <w:tcW w:w="1957" w:type="dxa"/>
            <w:tcBorders>
              <w:top w:val="single" w:color="000000" w:sz="4" w:space="0"/>
              <w:left w:val="single" w:color="000000" w:sz="4" w:space="0"/>
              <w:bottom w:val="single" w:color="000000" w:sz="4" w:space="0"/>
              <w:right w:val="single" w:color="000000" w:sz="4" w:space="0"/>
            </w:tcBorders>
            <w:vAlign w:val="center"/>
          </w:tcPr>
          <w:p w14:paraId="35F7790A">
            <w:pPr>
              <w:jc w:val="center"/>
              <w:rPr>
                <w:rFonts w:ascii="宋体" w:hAnsi="宋体" w:cs="宋体"/>
                <w:szCs w:val="21"/>
              </w:rPr>
            </w:pPr>
            <w:r>
              <w:rPr>
                <w:rFonts w:hint="eastAsia"/>
                <w:szCs w:val="21"/>
              </w:rPr>
              <w:t>综合布线系统</w:t>
            </w:r>
          </w:p>
        </w:tc>
        <w:tc>
          <w:tcPr>
            <w:tcW w:w="4036" w:type="dxa"/>
            <w:tcBorders>
              <w:top w:val="single" w:color="000000" w:sz="4" w:space="0"/>
              <w:left w:val="single" w:color="000000" w:sz="4" w:space="0"/>
              <w:bottom w:val="single" w:color="000000" w:sz="4" w:space="0"/>
              <w:right w:val="single" w:color="000000" w:sz="4" w:space="0"/>
            </w:tcBorders>
            <w:vAlign w:val="center"/>
          </w:tcPr>
          <w:p w14:paraId="1185BF56">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5F42783E">
            <w:pPr>
              <w:jc w:val="center"/>
              <w:rPr>
                <w:rFonts w:ascii="宋体" w:hAnsi="宋体" w:cs="宋体"/>
                <w:szCs w:val="21"/>
              </w:rPr>
            </w:pPr>
            <w:r>
              <w:rPr>
                <w:rFonts w:hint="eastAsia"/>
                <w:szCs w:val="21"/>
              </w:rPr>
              <w:t>一舟、普联、康普</w:t>
            </w:r>
          </w:p>
        </w:tc>
      </w:tr>
      <w:tr w14:paraId="1738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467E603F">
            <w:pPr>
              <w:jc w:val="center"/>
              <w:rPr>
                <w:rFonts w:ascii="宋体" w:hAnsi="宋体" w:cs="宋体"/>
                <w:szCs w:val="21"/>
              </w:rPr>
            </w:pPr>
            <w:r>
              <w:rPr>
                <w:rFonts w:hint="eastAsia" w:ascii="宋体" w:hAnsi="宋体" w:cs="宋体"/>
                <w:szCs w:val="21"/>
              </w:rPr>
              <w:t>13</w:t>
            </w:r>
          </w:p>
        </w:tc>
        <w:tc>
          <w:tcPr>
            <w:tcW w:w="1957" w:type="dxa"/>
            <w:tcBorders>
              <w:top w:val="single" w:color="000000" w:sz="4" w:space="0"/>
              <w:left w:val="single" w:color="000000" w:sz="4" w:space="0"/>
              <w:bottom w:val="single" w:color="000000" w:sz="4" w:space="0"/>
              <w:right w:val="single" w:color="000000" w:sz="4" w:space="0"/>
            </w:tcBorders>
            <w:vAlign w:val="center"/>
          </w:tcPr>
          <w:p w14:paraId="19ED94FA">
            <w:pPr>
              <w:widowControl/>
              <w:jc w:val="center"/>
              <w:rPr>
                <w:rFonts w:ascii="宋体" w:hAnsi="宋体" w:cs="宋体"/>
                <w:szCs w:val="21"/>
              </w:rPr>
            </w:pPr>
            <w:r>
              <w:rPr>
                <w:rFonts w:hint="eastAsia" w:cs="宋体"/>
                <w:kern w:val="0"/>
                <w:szCs w:val="21"/>
              </w:rPr>
              <w:t>碳晶板</w:t>
            </w:r>
          </w:p>
        </w:tc>
        <w:tc>
          <w:tcPr>
            <w:tcW w:w="4036" w:type="dxa"/>
            <w:tcBorders>
              <w:top w:val="single" w:color="000000" w:sz="4" w:space="0"/>
              <w:left w:val="single" w:color="000000" w:sz="4" w:space="0"/>
              <w:bottom w:val="single" w:color="000000" w:sz="4" w:space="0"/>
              <w:right w:val="single" w:color="000000" w:sz="4" w:space="0"/>
            </w:tcBorders>
            <w:vAlign w:val="center"/>
          </w:tcPr>
          <w:p w14:paraId="7CA6217B">
            <w:pPr>
              <w:jc w:val="center"/>
              <w:rPr>
                <w:rFonts w:ascii="宋体" w:hAnsi="宋体" w:cs="宋体"/>
                <w:szCs w:val="21"/>
              </w:rPr>
            </w:pPr>
            <w:r>
              <w:rPr>
                <w:rFonts w:hint="eastAsia" w:cs="宋体"/>
                <w:szCs w:val="21"/>
              </w:rPr>
              <w:t>合格品及其以上等级</w:t>
            </w:r>
          </w:p>
        </w:tc>
        <w:tc>
          <w:tcPr>
            <w:tcW w:w="3283" w:type="dxa"/>
            <w:tcBorders>
              <w:top w:val="single" w:color="000000" w:sz="4" w:space="0"/>
              <w:left w:val="single" w:color="000000" w:sz="4" w:space="0"/>
              <w:bottom w:val="single" w:color="000000" w:sz="4" w:space="0"/>
              <w:right w:val="single" w:color="000000" w:sz="4" w:space="0"/>
            </w:tcBorders>
            <w:vAlign w:val="center"/>
          </w:tcPr>
          <w:p w14:paraId="754C91DA">
            <w:pPr>
              <w:jc w:val="center"/>
              <w:rPr>
                <w:rFonts w:ascii="宋体" w:hAnsi="宋体" w:cs="宋体"/>
                <w:szCs w:val="21"/>
              </w:rPr>
            </w:pPr>
            <w:r>
              <w:rPr>
                <w:rFonts w:hint="eastAsia" w:cs="宋体"/>
                <w:szCs w:val="21"/>
              </w:rPr>
              <w:t>莫干山、兔宝宝、千年舟</w:t>
            </w:r>
          </w:p>
        </w:tc>
      </w:tr>
    </w:tbl>
    <w:p w14:paraId="0243BA83">
      <w:pPr>
        <w:spacing w:line="276" w:lineRule="auto"/>
        <w:jc w:val="left"/>
        <w:rPr>
          <w:rFonts w:cs="宋体"/>
          <w:b/>
          <w:bCs/>
          <w:szCs w:val="21"/>
        </w:rPr>
      </w:pPr>
      <w:r>
        <w:rPr>
          <w:rFonts w:hint="eastAsia" w:cs="宋体"/>
          <w:b/>
          <w:bCs/>
          <w:szCs w:val="21"/>
        </w:rPr>
        <w:t>注：</w:t>
      </w:r>
    </w:p>
    <w:p w14:paraId="0CEBAB2E">
      <w:pPr>
        <w:spacing w:line="276" w:lineRule="auto"/>
        <w:ind w:firstLine="422" w:firstLineChars="200"/>
        <w:rPr>
          <w:rFonts w:ascii="宋体" w:hAnsi="宋体" w:cs="宋体"/>
          <w:b/>
        </w:rPr>
      </w:pPr>
      <w:r>
        <w:rPr>
          <w:rFonts w:hint="eastAsia" w:ascii="宋体" w:hAnsi="宋体" w:cs="宋体"/>
          <w:b/>
        </w:rPr>
        <w:t>1、以上材料在进场前须经建设单位和设计单位认可，建设单位有权在颜色、样式、用量、材质、配置等方面做出适当调整，但价格不予调整。</w:t>
      </w:r>
    </w:p>
    <w:p w14:paraId="09116F0C">
      <w:pPr>
        <w:spacing w:line="276" w:lineRule="auto"/>
        <w:ind w:firstLine="422" w:firstLineChars="200"/>
        <w:rPr>
          <w:rFonts w:cs="宋体"/>
          <w:b/>
          <w:szCs w:val="21"/>
        </w:rPr>
      </w:pPr>
      <w:r>
        <w:rPr>
          <w:rFonts w:hint="eastAsia" w:ascii="宋体" w:hAnsi="宋体" w:cs="宋体"/>
          <w:b/>
        </w:rPr>
        <w:t>2、投标人投标时需选择某一具体品牌。如投标人采用推荐品牌以外的其他产品供货的，质量和性能等技术指标必须优于或者相当于推荐品牌。一旦中标，中标人不得以任何理由更换推荐品牌,并于领取中标通知书后三天内向建设单位提供样品，经建设单位认可后方可签订合同。</w:t>
      </w:r>
    </w:p>
    <w:bookmarkEnd w:id="211"/>
    <w:p w14:paraId="236DDF1B">
      <w:pPr>
        <w:spacing w:line="276" w:lineRule="auto"/>
        <w:ind w:firstLine="422" w:firstLineChars="200"/>
        <w:outlineLvl w:val="1"/>
        <w:rPr>
          <w:b/>
        </w:rPr>
      </w:pPr>
      <w:bookmarkStart w:id="213" w:name="_Toc25281"/>
      <w:r>
        <w:rPr>
          <w:rFonts w:hint="eastAsia"/>
          <w:b/>
        </w:rPr>
        <w:t>四、其他要求</w:t>
      </w:r>
      <w:bookmarkEnd w:id="213"/>
    </w:p>
    <w:p w14:paraId="1C6E51ED">
      <w:pPr>
        <w:spacing w:line="276" w:lineRule="auto"/>
        <w:ind w:firstLine="420" w:firstLineChars="200"/>
        <w:rPr>
          <w:rFonts w:ascii="宋体" w:hAnsi="宋体" w:cs="宋体"/>
          <w:bCs/>
        </w:rPr>
      </w:pPr>
      <w:r>
        <w:rPr>
          <w:rFonts w:hint="eastAsia" w:ascii="宋体" w:hAnsi="宋体" w:cs="宋体"/>
          <w:bCs/>
        </w:rPr>
        <w:t>1、现场踏勘：本项目采购人不组织集体勘查现场，投标供应商须自行与采购人联系踏勘现场，充分了解项目现场情况。熟悉了解一切可能影响施工、投标报价的因素，投标人踏勘现场发生的费用自理。采购人在踏勘现场中介绍的工程场地和相关的周边环境情况，供投标供应商在编制投标文件时参考，采购人不对投标供应商据此作出的判断和决策负责</w:t>
      </w:r>
      <w:r>
        <w:rPr>
          <w:rFonts w:hint="eastAsia" w:ascii="宋体" w:hAnsi="宋体" w:cs="宋体"/>
          <w:b/>
        </w:rPr>
        <w:t>（踏勘联系方式详见前附表）</w:t>
      </w:r>
      <w:r>
        <w:rPr>
          <w:rFonts w:hint="eastAsia" w:ascii="宋体" w:hAnsi="宋体" w:cs="宋体"/>
          <w:bCs/>
        </w:rPr>
        <w:t>。</w:t>
      </w:r>
    </w:p>
    <w:p w14:paraId="44F87FDB">
      <w:pPr>
        <w:spacing w:line="276" w:lineRule="auto"/>
        <w:ind w:firstLine="420" w:firstLineChars="200"/>
        <w:rPr>
          <w:bCs/>
        </w:rPr>
      </w:pPr>
      <w:r>
        <w:rPr>
          <w:rFonts w:hint="eastAsia" w:ascii="宋体" w:hAnsi="宋体" w:cs="宋体"/>
          <w:bCs/>
        </w:rPr>
        <w:t>采购人不安排成交供应商在现场及学校内食宿；成交供应商凭成交通知书或合同到学校保卫处办理出入证和签定安全责任书，施工许可证等相关手续。</w:t>
      </w:r>
    </w:p>
    <w:p w14:paraId="1B42E0BE">
      <w:pPr>
        <w:spacing w:line="276" w:lineRule="auto"/>
        <w:ind w:firstLine="420" w:firstLineChars="200"/>
        <w:rPr>
          <w:rFonts w:ascii="宋体" w:hAnsi="宋体" w:cs="宋体"/>
        </w:rPr>
      </w:pPr>
      <w:bookmarkStart w:id="214" w:name="_Toc19326"/>
      <w:r>
        <w:rPr>
          <w:rFonts w:hint="eastAsia" w:ascii="宋体" w:hAnsi="宋体" w:cs="宋体"/>
        </w:rPr>
        <w:t>2、投标供应商应按本合同约定的时间和要求完成以下工作：</w:t>
      </w:r>
      <w:bookmarkEnd w:id="214"/>
    </w:p>
    <w:p w14:paraId="0D6B0C35">
      <w:pPr>
        <w:spacing w:line="276" w:lineRule="auto"/>
        <w:ind w:firstLine="420" w:firstLineChars="200"/>
        <w:rPr>
          <w:rFonts w:ascii="宋体" w:hAnsi="宋体" w:cs="宋体"/>
        </w:rPr>
      </w:pPr>
      <w:r>
        <w:rPr>
          <w:rFonts w:hint="eastAsia" w:ascii="宋体" w:hAnsi="宋体" w:cs="宋体"/>
        </w:rPr>
        <w:t xml:space="preserve">2.1应提供计划、报表的名称及完成时间：按招标人和监理工程师的要求。         </w:t>
      </w:r>
    </w:p>
    <w:p w14:paraId="6A185632">
      <w:pPr>
        <w:spacing w:line="276" w:lineRule="auto"/>
        <w:ind w:firstLine="420" w:firstLineChars="200"/>
        <w:rPr>
          <w:rFonts w:ascii="宋体" w:hAnsi="宋体" w:cs="宋体"/>
        </w:rPr>
      </w:pPr>
      <w:r>
        <w:rPr>
          <w:rFonts w:hint="eastAsia" w:ascii="宋体" w:hAnsi="宋体" w:cs="宋体"/>
        </w:rPr>
        <w:t xml:space="preserve">2.2承担施工安全保卫工作和非夜间施工照明的责任和要求：①本工程必须确保安全，投标供应商自行承担工程施工过程中的工程质量、任何状况下的安全责任。非招标人原因，发生的一切问题和责任与招标人无关，相关一切费用或民事、刑事责任均由乙方自理。②投标供应商必须遵守江苏省建设厅及盐城市建设主管部门颁布的《建设工程施工安全管理规定》和《建设工程文明施工管理规定》。③投标供应商进场后，必须服从招标人、监理单位对施工场地总平面的规划，服从招标人、监理单位的统一调度和指挥。④招标人、监理单位将不定期对投标供应商的施工质量、安全、文明施工进行检查，如发现工程现场及生活区内安全、文明施工管理较差，有权要求承包单位整改并通报批评，如发生二次通报批评情况，可按现场有关规定进行处罚。⑤投标供应商在组织施工时需及时清运施工废弃物，材料堆放整齐有序，保持施工场地整洁、交通畅顺。服从招标人及相关主管部门的管理要求，主动协调、解决问题，若在施工期间出现因场地脏乱、交通不顺等违反文明施工管理规定的情况，所发生的一切费用均由投标供应商承担，同时还须接受招标人的经济处罚。   </w:t>
      </w:r>
    </w:p>
    <w:p w14:paraId="0024226C">
      <w:pPr>
        <w:spacing w:line="276" w:lineRule="auto"/>
        <w:ind w:firstLine="420" w:firstLineChars="200"/>
        <w:rPr>
          <w:rFonts w:ascii="宋体" w:hAnsi="宋体" w:cs="宋体"/>
        </w:rPr>
      </w:pPr>
      <w:r>
        <w:rPr>
          <w:rFonts w:hint="eastAsia" w:ascii="宋体" w:hAnsi="宋体" w:cs="宋体"/>
        </w:rPr>
        <w:t>2.3承担协调解决工程实施中的各种矛盾及费用。</w:t>
      </w:r>
    </w:p>
    <w:p w14:paraId="05413EE2">
      <w:pPr>
        <w:spacing w:line="276" w:lineRule="auto"/>
        <w:ind w:firstLine="420" w:firstLineChars="200"/>
        <w:rPr>
          <w:rFonts w:ascii="宋体" w:hAnsi="宋体" w:cs="宋体"/>
        </w:rPr>
      </w:pPr>
      <w:r>
        <w:rPr>
          <w:rFonts w:hint="eastAsia" w:ascii="宋体" w:hAnsi="宋体" w:cs="宋体"/>
        </w:rPr>
        <w:t>2.4需投标供应商办理的有关施工场地交通环卫和施工噪音管理等手续： 根据现场情况，投标供应商自行协调解决 ，并承担由此发生的费用。</w:t>
      </w:r>
    </w:p>
    <w:p w14:paraId="02974623">
      <w:pPr>
        <w:spacing w:line="276" w:lineRule="auto"/>
        <w:ind w:firstLine="420" w:firstLineChars="200"/>
        <w:rPr>
          <w:rFonts w:ascii="宋体" w:hAnsi="宋体" w:cs="宋体"/>
        </w:rPr>
      </w:pPr>
      <w:r>
        <w:rPr>
          <w:rFonts w:hint="eastAsia" w:ascii="宋体" w:hAnsi="宋体" w:cs="宋体"/>
        </w:rPr>
        <w:t>2.5承担费用负责已竣工但未交付招标人之前的工程保护工作；对工程成品保护的特殊要求及费用承担：投标供应商负责做好工程成品保护，并承担相应的费用。</w:t>
      </w:r>
    </w:p>
    <w:p w14:paraId="4A7A099F">
      <w:pPr>
        <w:spacing w:line="276" w:lineRule="auto"/>
        <w:ind w:firstLine="420" w:firstLineChars="200"/>
        <w:rPr>
          <w:rFonts w:ascii="宋体" w:hAnsi="宋体" w:cs="宋体"/>
        </w:rPr>
      </w:pPr>
      <w:r>
        <w:rPr>
          <w:rFonts w:hint="eastAsia" w:ascii="宋体" w:hAnsi="宋体" w:cs="宋体"/>
        </w:rPr>
        <w:t xml:space="preserve">2.6保障施工场地清洁符合环境卫生管理的有关规定，并且做到：文明施工，施工垃圾随产随清。 </w:t>
      </w:r>
    </w:p>
    <w:p w14:paraId="7F20FC64">
      <w:pPr>
        <w:spacing w:line="276" w:lineRule="auto"/>
        <w:ind w:firstLine="420" w:firstLineChars="200"/>
        <w:rPr>
          <w:rFonts w:ascii="宋体" w:hAnsi="宋体" w:cs="宋体"/>
        </w:rPr>
      </w:pPr>
      <w:r>
        <w:rPr>
          <w:rFonts w:hint="eastAsia" w:ascii="宋体" w:hAnsi="宋体" w:cs="宋体"/>
        </w:rPr>
        <w:t xml:space="preserve">2.7双方约定的乙方应做的其他工作：招标时，招标人已要求投标供应商自行到施工现场踏勘。招标人仅提供现有的施工场地现状，施工用水、电手续由投标供应商自行办理，其费用由投标供应商自行挂表并到相关部门缴纳，此费用已经包含在合同价中，结算时不另行调整。 </w:t>
      </w:r>
    </w:p>
    <w:p w14:paraId="0F849414">
      <w:pPr>
        <w:spacing w:line="276" w:lineRule="auto"/>
        <w:ind w:firstLine="420" w:firstLineChars="200"/>
        <w:rPr>
          <w:rFonts w:ascii="宋体" w:hAnsi="宋体" w:cs="宋体"/>
        </w:rPr>
      </w:pPr>
      <w:bookmarkStart w:id="215" w:name="_Toc4749"/>
      <w:r>
        <w:rPr>
          <w:rFonts w:hint="eastAsia" w:ascii="宋体" w:hAnsi="宋体" w:cs="宋体"/>
        </w:rPr>
        <w:t>3、安全施工</w:t>
      </w:r>
      <w:bookmarkEnd w:id="215"/>
    </w:p>
    <w:p w14:paraId="72CF2A7C">
      <w:pPr>
        <w:spacing w:line="276" w:lineRule="auto"/>
        <w:ind w:firstLine="420" w:firstLineChars="200"/>
        <w:rPr>
          <w:rFonts w:ascii="宋体" w:hAnsi="宋体" w:cs="宋体"/>
        </w:rPr>
      </w:pPr>
      <w:r>
        <w:rPr>
          <w:rFonts w:hint="eastAsia" w:ascii="宋体" w:hAnsi="宋体" w:cs="宋体"/>
        </w:rPr>
        <w:t>3.1投标供应商应遵守工程建设安全生产有关管理规定，严格按安全标准组织施工，并随时接受行业安全检查人员依法实施的监督检查，采取必要的安全防护措施，消除事故隐患。由于投标供应商安全措施不力造成事故的责任和因此发生的费用，由投标供应商承担。</w:t>
      </w:r>
    </w:p>
    <w:p w14:paraId="64589112">
      <w:pPr>
        <w:spacing w:line="276" w:lineRule="auto"/>
        <w:ind w:firstLine="420" w:firstLineChars="200"/>
        <w:rPr>
          <w:rFonts w:ascii="宋体" w:hAnsi="宋体" w:cs="宋体"/>
        </w:rPr>
      </w:pPr>
      <w:r>
        <w:rPr>
          <w:rFonts w:hint="eastAsia" w:ascii="宋体" w:hAnsi="宋体" w:cs="宋体"/>
        </w:rPr>
        <w:t>3.2投标供应商应对其在施工场地的工作人员进行安全教育，并对他们的安全负责。招标人不得要求投标供应商违反安全管理的规定进行施工。</w:t>
      </w:r>
    </w:p>
    <w:p w14:paraId="5C42AA94">
      <w:pPr>
        <w:spacing w:line="276" w:lineRule="auto"/>
        <w:ind w:firstLine="420" w:firstLineChars="200"/>
        <w:rPr>
          <w:rFonts w:ascii="宋体" w:hAnsi="宋体" w:cs="宋体"/>
        </w:rPr>
      </w:pPr>
      <w:r>
        <w:rPr>
          <w:rFonts w:hint="eastAsia" w:ascii="宋体" w:hAnsi="宋体" w:cs="宋体"/>
        </w:rPr>
        <w:t>3.3发生重大伤亡及其他安全事故，投标供应商应按有关规定立即通知招标人并上报有关部门，同时按政府有关部门要求处理，由投标供应商承担发生的费用。</w:t>
      </w:r>
    </w:p>
    <w:p w14:paraId="68C41890">
      <w:pPr>
        <w:spacing w:line="276" w:lineRule="auto"/>
        <w:ind w:firstLine="420" w:firstLineChars="200"/>
        <w:rPr>
          <w:rFonts w:ascii="宋体" w:hAnsi="宋体" w:cs="宋体"/>
        </w:rPr>
      </w:pPr>
      <w:r>
        <w:rPr>
          <w:rFonts w:hint="eastAsia" w:ascii="宋体" w:hAnsi="宋体" w:cs="宋体"/>
        </w:rPr>
        <w:t>3.4招标人、投标供应商对事故责任有争议时，应按政府有关部门认定处理。</w:t>
      </w:r>
    </w:p>
    <w:p w14:paraId="200B4112">
      <w:pPr>
        <w:spacing w:line="276" w:lineRule="auto"/>
        <w:ind w:firstLine="422" w:firstLineChars="200"/>
        <w:rPr>
          <w:rFonts w:ascii="宋体" w:hAnsi="宋体" w:cs="宋体"/>
          <w:b/>
          <w:bCs/>
        </w:rPr>
      </w:pPr>
      <w:r>
        <w:rPr>
          <w:rFonts w:hint="eastAsia" w:ascii="宋体" w:hAnsi="宋体" w:cs="宋体"/>
          <w:b/>
          <w:bCs/>
        </w:rPr>
        <w:t>4、验收标准：工程质量要求按照国家质量验收标准，综合评定指标达到国家质量验收合格标准。若质量验收评定不能达到合格，所造成的一切损失由施工单位承担。</w:t>
      </w:r>
    </w:p>
    <w:p w14:paraId="05C74377">
      <w:pPr>
        <w:spacing w:line="276" w:lineRule="auto"/>
        <w:ind w:firstLine="422" w:firstLineChars="200"/>
        <w:textAlignment w:val="baseline"/>
        <w:outlineLvl w:val="1"/>
        <w:rPr>
          <w:rFonts w:ascii="宋体" w:hAnsi="宋体" w:cs="宋体"/>
          <w:b/>
          <w:bCs/>
          <w:szCs w:val="21"/>
        </w:rPr>
      </w:pPr>
      <w:bookmarkStart w:id="216" w:name="_Toc24251"/>
      <w:r>
        <w:rPr>
          <w:rFonts w:hint="eastAsia" w:ascii="宋体" w:hAnsi="宋体" w:cs="宋体"/>
          <w:b/>
          <w:bCs/>
          <w:szCs w:val="21"/>
        </w:rPr>
        <w:t>五、投标报价说明</w:t>
      </w:r>
      <w:bookmarkEnd w:id="216"/>
    </w:p>
    <w:p w14:paraId="05FCA798">
      <w:pPr>
        <w:tabs>
          <w:tab w:val="left" w:pos="5250"/>
        </w:tabs>
        <w:spacing w:line="276" w:lineRule="auto"/>
        <w:ind w:firstLine="422" w:firstLineChars="200"/>
        <w:textAlignment w:val="baseline"/>
        <w:rPr>
          <w:rFonts w:ascii="宋体" w:hAnsi="宋体" w:cs="宋体"/>
          <w:szCs w:val="21"/>
        </w:rPr>
      </w:pPr>
      <w:r>
        <w:rPr>
          <w:rFonts w:hint="eastAsia" w:ascii="宋体" w:hAnsi="宋体" w:cs="宋体"/>
          <w:b/>
          <w:szCs w:val="21"/>
        </w:rPr>
        <w:t>1、投标限价</w:t>
      </w:r>
      <w:r>
        <w:rPr>
          <w:rFonts w:hint="eastAsia" w:ascii="宋体" w:hAnsi="宋体" w:cs="宋体"/>
          <w:szCs w:val="21"/>
        </w:rPr>
        <w:t xml:space="preserve">（招标控制价）是采购人根据国家或省级、行业建设主管部门颁发的有关计价依据和办法，以及本采购文件和招标工程量清单，结合工程具体情况编制的本次招标工程的最高投标限价。   </w:t>
      </w:r>
    </w:p>
    <w:p w14:paraId="377CD5E8">
      <w:pPr>
        <w:widowControl/>
        <w:spacing w:line="276" w:lineRule="auto"/>
        <w:ind w:firstLine="422" w:firstLineChars="200"/>
        <w:rPr>
          <w:rFonts w:ascii="宋体" w:hAnsi="宋体" w:cs="宋体"/>
          <w:szCs w:val="21"/>
        </w:rPr>
      </w:pPr>
      <w:bookmarkStart w:id="217" w:name="_Toc26260"/>
      <w:r>
        <w:rPr>
          <w:rFonts w:hint="eastAsia" w:ascii="宋体" w:hAnsi="宋体" w:cs="宋体"/>
          <w:b/>
          <w:szCs w:val="21"/>
        </w:rPr>
        <w:t>2、投标报价要求</w:t>
      </w:r>
      <w:bookmarkEnd w:id="217"/>
    </w:p>
    <w:p w14:paraId="78EBE8A9">
      <w:pPr>
        <w:widowControl/>
        <w:spacing w:line="276" w:lineRule="auto"/>
        <w:ind w:firstLine="420" w:firstLineChars="200"/>
        <w:rPr>
          <w:rFonts w:ascii="宋体" w:hAnsi="宋体" w:cs="宋体"/>
          <w:szCs w:val="21"/>
        </w:rPr>
      </w:pPr>
      <w:r>
        <w:rPr>
          <w:rFonts w:hint="eastAsia" w:ascii="宋体" w:hAnsi="宋体" w:cs="宋体"/>
          <w:szCs w:val="21"/>
        </w:rPr>
        <w:t>2.1 投标报价范围</w:t>
      </w:r>
    </w:p>
    <w:p w14:paraId="7A718368">
      <w:pPr>
        <w:widowControl/>
        <w:spacing w:line="276" w:lineRule="auto"/>
        <w:ind w:firstLine="420" w:firstLineChars="200"/>
        <w:rPr>
          <w:rFonts w:ascii="宋体" w:hAnsi="宋体" w:cs="宋体"/>
          <w:szCs w:val="21"/>
        </w:rPr>
      </w:pPr>
      <w:r>
        <w:rPr>
          <w:rFonts w:hint="eastAsia" w:ascii="宋体" w:hAnsi="宋体" w:cs="宋体"/>
          <w:szCs w:val="21"/>
        </w:rPr>
        <w:t>2.1.1投标报价为投标人在投标文件中提出的各项支付金额的总和。投标报价应包括投标人在承诺工期内，达到投标人所承诺的质量标准，为完成本工程施工图纸、招标文件及招标工程量清单所确定的招标范围内的全部内容，所需要支付的一切费用和拟获得的利润、税金，并考虑了应承担的风险。投标人应充分考虑为完成上述内容所必须的附属工程、临时工程、交通状况、夜间施工、现场材料堆放、环境保护、特殊条件施工、地方矛盾处理、直接和间接成本、利润、税金、风险费、材料损耗、劳务、现场施工围栏、施工用水、用电、竣工面的清理、垃圾清运、成品保护以及各种管线、建筑物、构筑物的围护以及政策性文件规定等所需的全部费用，并计入投标报价中，凡漏项或少计均视为已包含在本次投标报价的范围内，采购人不再另行增加费用，竣工结算时均不调整。</w:t>
      </w:r>
    </w:p>
    <w:p w14:paraId="363CA9DF">
      <w:pPr>
        <w:widowControl/>
        <w:spacing w:line="276" w:lineRule="auto"/>
        <w:ind w:firstLine="420" w:firstLineChars="200"/>
        <w:rPr>
          <w:rFonts w:ascii="宋体" w:hAnsi="宋体" w:cs="宋体"/>
          <w:szCs w:val="21"/>
        </w:rPr>
      </w:pPr>
      <w:r>
        <w:rPr>
          <w:rFonts w:hint="eastAsia" w:ascii="宋体" w:hAnsi="宋体" w:cs="宋体"/>
          <w:szCs w:val="21"/>
        </w:rPr>
        <w:t>2.1.2投标报价清单中的单价和合价包括由投标人承担的直接费、间接费、计划利润、税金、其它费用、地方矛盾等全部费用以及应由投标人承担的义务、责任和风险所发生的一切费用。</w:t>
      </w:r>
    </w:p>
    <w:p w14:paraId="55EB6499">
      <w:pPr>
        <w:widowControl/>
        <w:spacing w:line="276" w:lineRule="auto"/>
        <w:ind w:firstLine="422" w:firstLineChars="200"/>
        <w:outlineLvl w:val="1"/>
        <w:rPr>
          <w:rFonts w:ascii="宋体" w:hAnsi="宋体" w:cs="宋体"/>
          <w:b/>
          <w:szCs w:val="21"/>
        </w:rPr>
      </w:pPr>
      <w:bookmarkStart w:id="218" w:name="_Toc22668"/>
      <w:r>
        <w:rPr>
          <w:rFonts w:hint="eastAsia" w:ascii="宋体" w:hAnsi="宋体" w:cs="宋体"/>
          <w:b/>
          <w:szCs w:val="21"/>
        </w:rPr>
        <w:t>六、主要合同条款</w:t>
      </w:r>
      <w:bookmarkEnd w:id="218"/>
    </w:p>
    <w:p w14:paraId="054F649E">
      <w:pPr>
        <w:widowControl/>
        <w:spacing w:line="276" w:lineRule="auto"/>
        <w:ind w:firstLine="420" w:firstLineChars="200"/>
        <w:rPr>
          <w:rFonts w:ascii="宋体" w:hAnsi="宋体" w:cs="宋体"/>
          <w:szCs w:val="21"/>
        </w:rPr>
      </w:pPr>
      <w:r>
        <w:rPr>
          <w:rFonts w:hint="eastAsia" w:ascii="宋体" w:hAnsi="宋体" w:cs="宋体"/>
          <w:szCs w:val="21"/>
        </w:rPr>
        <w:t>1、投标承诺的项目负责人（项目经理）及项目组成员必须全部到场，投标中标的项目负责人（项目经理）必须到现场组织指挥施工，否则，按违约处理。</w:t>
      </w:r>
    </w:p>
    <w:p w14:paraId="3541FB62">
      <w:pPr>
        <w:widowControl/>
        <w:spacing w:line="276" w:lineRule="auto"/>
        <w:ind w:firstLine="420" w:firstLineChars="200"/>
        <w:rPr>
          <w:rFonts w:ascii="宋体" w:hAnsi="宋体" w:cs="宋体"/>
          <w:szCs w:val="21"/>
        </w:rPr>
      </w:pPr>
      <w:r>
        <w:rPr>
          <w:rFonts w:hint="eastAsia" w:ascii="宋体" w:hAnsi="宋体" w:cs="宋体"/>
          <w:szCs w:val="21"/>
        </w:rPr>
        <w:t>2、质量：国家“合格”标准且满足采购人要求。</w:t>
      </w:r>
    </w:p>
    <w:p w14:paraId="7AF5B580">
      <w:pPr>
        <w:spacing w:line="276" w:lineRule="auto"/>
        <w:ind w:firstLine="420" w:firstLineChars="200"/>
        <w:rPr>
          <w:rFonts w:ascii="宋体" w:hAnsi="宋体" w:cs="宋体"/>
          <w:szCs w:val="21"/>
        </w:rPr>
      </w:pPr>
      <w:r>
        <w:rPr>
          <w:rFonts w:hint="eastAsia" w:ascii="宋体" w:hAnsi="宋体" w:cs="宋体"/>
          <w:szCs w:val="21"/>
        </w:rPr>
        <w:t>3、工期：</w:t>
      </w:r>
      <w:r>
        <w:rPr>
          <w:rFonts w:hint="eastAsia" w:ascii="宋体" w:hAnsi="宋体" w:cs="宋体"/>
          <w:szCs w:val="21"/>
          <w:u w:val="single"/>
        </w:rPr>
        <w:t>60</w:t>
      </w:r>
      <w:r>
        <w:rPr>
          <w:rFonts w:hint="eastAsia" w:ascii="宋体" w:hAnsi="宋体" w:cs="宋体"/>
          <w:szCs w:val="21"/>
        </w:rPr>
        <w:t>日历天</w:t>
      </w:r>
    </w:p>
    <w:p w14:paraId="32FA52AD">
      <w:pPr>
        <w:spacing w:line="276" w:lineRule="auto"/>
        <w:ind w:firstLine="422" w:firstLineChars="200"/>
        <w:rPr>
          <w:b/>
          <w:bCs/>
          <w:color w:val="FF0000"/>
          <w:sz w:val="24"/>
        </w:rPr>
      </w:pPr>
      <w:r>
        <w:rPr>
          <w:rFonts w:hint="eastAsia" w:ascii="宋体" w:hAnsi="宋体" w:cs="宋体"/>
          <w:b/>
          <w:bCs/>
          <w:szCs w:val="21"/>
        </w:rPr>
        <w:t>注：【如因施工单位自身施工组织问题造成工期延误的，延误时间如超过3天，每延误一天，处罚1000元，如因工期延误，造成学校重大影响的，学校有权追究责任。工程延误处罚款项在审计时直接扣除】。</w:t>
      </w:r>
    </w:p>
    <w:p w14:paraId="59B0117A">
      <w:pPr>
        <w:widowControl/>
        <w:spacing w:line="276" w:lineRule="auto"/>
        <w:ind w:firstLine="420" w:firstLineChars="200"/>
        <w:rPr>
          <w:rFonts w:ascii="宋体" w:hAnsi="宋体" w:cs="宋体"/>
          <w:szCs w:val="21"/>
        </w:rPr>
      </w:pPr>
      <w:r>
        <w:rPr>
          <w:rFonts w:hint="eastAsia" w:ascii="宋体" w:hAnsi="宋体" w:cs="宋体"/>
          <w:szCs w:val="21"/>
        </w:rPr>
        <w:t>4、安全施工： 此工程必须确保安全，若因成交供应商原因发生的不安全问题，由成交供应商自行负责处理并承担一切责任。</w:t>
      </w:r>
    </w:p>
    <w:p w14:paraId="5DB9D7A2">
      <w:pPr>
        <w:widowControl/>
        <w:spacing w:line="276" w:lineRule="auto"/>
        <w:ind w:firstLine="420" w:firstLineChars="200"/>
        <w:rPr>
          <w:rFonts w:ascii="宋体" w:hAnsi="宋体" w:cs="宋体"/>
          <w:szCs w:val="21"/>
        </w:rPr>
      </w:pPr>
      <w:bookmarkStart w:id="219" w:name="_Toc14858"/>
      <w:r>
        <w:rPr>
          <w:rFonts w:hint="eastAsia" w:ascii="宋体" w:hAnsi="宋体" w:cs="宋体"/>
          <w:szCs w:val="21"/>
        </w:rPr>
        <w:t>5、工程结算：</w:t>
      </w:r>
      <w:bookmarkEnd w:id="219"/>
    </w:p>
    <w:p w14:paraId="5199400B">
      <w:pPr>
        <w:widowControl/>
        <w:spacing w:line="276" w:lineRule="auto"/>
        <w:ind w:firstLine="420" w:firstLineChars="200"/>
        <w:rPr>
          <w:rFonts w:ascii="宋体" w:hAnsi="宋体" w:cs="宋体"/>
          <w:szCs w:val="21"/>
        </w:rPr>
      </w:pPr>
      <w:r>
        <w:rPr>
          <w:rFonts w:hint="eastAsia" w:ascii="宋体" w:hAnsi="宋体" w:cs="宋体"/>
          <w:szCs w:val="21"/>
        </w:rPr>
        <w:t>5.1本工程采用限定总价审计结算方法，按合同以中标单价和实际工作量计算总价，经审计后确认合同审计总价，但合同审计总价不得高于中标总价（不包含签证变更部分）。</w:t>
      </w:r>
    </w:p>
    <w:p w14:paraId="7F9FA613">
      <w:pPr>
        <w:widowControl/>
        <w:spacing w:line="276" w:lineRule="auto"/>
        <w:ind w:firstLine="420" w:firstLineChars="200"/>
        <w:rPr>
          <w:rFonts w:ascii="宋体" w:hAnsi="宋体" w:cs="宋体"/>
          <w:szCs w:val="21"/>
        </w:rPr>
      </w:pPr>
      <w:r>
        <w:rPr>
          <w:rFonts w:hint="eastAsia" w:ascii="宋体" w:hAnsi="宋体" w:cs="宋体"/>
          <w:szCs w:val="21"/>
        </w:rPr>
        <w:t>5.2工程结算方式：</w:t>
      </w:r>
    </w:p>
    <w:p w14:paraId="3781EF45">
      <w:pPr>
        <w:widowControl/>
        <w:spacing w:line="276" w:lineRule="auto"/>
        <w:ind w:firstLine="420" w:firstLineChars="200"/>
        <w:rPr>
          <w:rFonts w:ascii="宋体" w:hAnsi="宋体" w:cs="宋体"/>
          <w:szCs w:val="21"/>
        </w:rPr>
      </w:pPr>
      <w:r>
        <w:rPr>
          <w:rFonts w:hint="eastAsia" w:ascii="宋体" w:hAnsi="宋体" w:cs="宋体"/>
          <w:szCs w:val="21"/>
        </w:rPr>
        <w:t>5.2.1本工程采用限定总价审计结算方法，按合同以中标单价和实际工作量计算总价，经审计后确认合同审计总价，但合同审计总价不得高于中标总价（不包含签证变更部分）。</w:t>
      </w:r>
    </w:p>
    <w:p w14:paraId="4CB1E25A">
      <w:pPr>
        <w:widowControl/>
        <w:spacing w:line="276" w:lineRule="auto"/>
        <w:ind w:firstLine="420" w:firstLineChars="200"/>
        <w:rPr>
          <w:rFonts w:ascii="宋体" w:hAnsi="宋体" w:cs="宋体"/>
          <w:szCs w:val="21"/>
        </w:rPr>
      </w:pPr>
      <w:r>
        <w:rPr>
          <w:rFonts w:hint="eastAsia" w:ascii="宋体" w:hAnsi="宋体" w:cs="宋体"/>
          <w:szCs w:val="21"/>
        </w:rPr>
        <w:t>5.2.2结算总价=合同审计总价+签证变更的审计总价。</w:t>
      </w:r>
    </w:p>
    <w:p w14:paraId="51564493">
      <w:pPr>
        <w:widowControl/>
        <w:spacing w:line="276" w:lineRule="auto"/>
        <w:ind w:firstLine="420" w:firstLineChars="200"/>
        <w:rPr>
          <w:rFonts w:ascii="宋体" w:hAnsi="宋体" w:cs="宋体"/>
          <w:szCs w:val="21"/>
        </w:rPr>
      </w:pPr>
      <w:r>
        <w:rPr>
          <w:rFonts w:hint="eastAsia" w:ascii="宋体" w:hAnsi="宋体" w:cs="宋体"/>
          <w:szCs w:val="21"/>
        </w:rPr>
        <w:t>5.2.3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14:paraId="119A60BB">
      <w:pPr>
        <w:widowControl/>
        <w:spacing w:line="276" w:lineRule="auto"/>
        <w:ind w:firstLine="422" w:firstLineChars="200"/>
        <w:rPr>
          <w:rFonts w:ascii="宋体" w:hAnsi="宋体" w:cs="宋体"/>
          <w:szCs w:val="21"/>
        </w:rPr>
      </w:pPr>
      <w:r>
        <w:rPr>
          <w:rFonts w:hint="eastAsia" w:ascii="宋体" w:hAnsi="宋体" w:cs="宋体"/>
          <w:b/>
          <w:bCs/>
          <w:szCs w:val="21"/>
        </w:rPr>
        <w:t>6、保修：本工程质保期叁年。</w:t>
      </w:r>
      <w:r>
        <w:rPr>
          <w:rFonts w:hint="eastAsia" w:ascii="宋体" w:hAnsi="宋体" w:cs="宋体"/>
          <w:szCs w:val="21"/>
        </w:rPr>
        <w:t>质量保修期从工程竣工验收合格之日起计算，具体保修范围、保修期限、保修责任、保修金的支付、返还应按《建设工程质量管理条例》和《房屋建筑工程质量保修办法》及双方约定执行。</w:t>
      </w:r>
    </w:p>
    <w:p w14:paraId="51F443C2">
      <w:pPr>
        <w:widowControl/>
        <w:spacing w:line="276" w:lineRule="auto"/>
        <w:ind w:firstLine="422" w:firstLineChars="200"/>
        <w:rPr>
          <w:rFonts w:ascii="宋体" w:hAnsi="宋体" w:cs="宋体"/>
          <w:b/>
          <w:bCs/>
          <w:szCs w:val="21"/>
        </w:rPr>
      </w:pPr>
      <w:r>
        <w:rPr>
          <w:rFonts w:hint="eastAsia" w:ascii="宋体" w:hAnsi="宋体" w:cs="宋体"/>
          <w:b/>
          <w:bCs/>
          <w:szCs w:val="21"/>
        </w:rPr>
        <w:t>7、分包：招标人不允许成交供应商将工程转包和违法分包给任何第三方，如发现转包或违法分包行为，限令改正，否则招标人有权立即中止合同，扣除履约担保，成交供应商负违约责任。</w:t>
      </w:r>
    </w:p>
    <w:p w14:paraId="760A5786">
      <w:pPr>
        <w:widowControl/>
        <w:spacing w:line="276" w:lineRule="auto"/>
        <w:ind w:firstLine="420" w:firstLineChars="200"/>
        <w:rPr>
          <w:rFonts w:ascii="宋体" w:hAnsi="宋体" w:cs="宋体"/>
          <w:szCs w:val="21"/>
        </w:rPr>
      </w:pPr>
      <w:r>
        <w:rPr>
          <w:rFonts w:hint="eastAsia" w:ascii="宋体" w:hAnsi="宋体" w:cs="宋体"/>
          <w:szCs w:val="21"/>
        </w:rPr>
        <w:t>8、违约责任：按《民法典》执行。</w:t>
      </w:r>
    </w:p>
    <w:p w14:paraId="65BFB996">
      <w:pPr>
        <w:widowControl/>
        <w:spacing w:line="276" w:lineRule="auto"/>
        <w:ind w:firstLine="420" w:firstLineChars="200"/>
        <w:rPr>
          <w:rFonts w:ascii="宋体" w:hAnsi="宋体" w:cs="宋体"/>
          <w:szCs w:val="21"/>
        </w:rPr>
      </w:pPr>
      <w:r>
        <w:rPr>
          <w:rFonts w:hint="eastAsia" w:ascii="宋体" w:hAnsi="宋体" w:cs="宋体"/>
          <w:szCs w:val="21"/>
        </w:rPr>
        <w:t>9、特别说明</w:t>
      </w:r>
    </w:p>
    <w:p w14:paraId="4B0D4A26">
      <w:pPr>
        <w:widowControl/>
        <w:spacing w:line="276" w:lineRule="auto"/>
        <w:ind w:firstLine="422" w:firstLineChars="200"/>
        <w:rPr>
          <w:rFonts w:ascii="宋体" w:hAnsi="宋体" w:cs="宋体"/>
          <w:b/>
          <w:bCs/>
          <w:szCs w:val="21"/>
        </w:rPr>
      </w:pPr>
      <w:r>
        <w:rPr>
          <w:rFonts w:hint="eastAsia" w:ascii="宋体" w:hAnsi="宋体" w:cs="宋体"/>
          <w:b/>
          <w:bCs/>
          <w:szCs w:val="21"/>
        </w:rPr>
        <w:t>9.1该工程施工过程中项目经理和投标时确认的项目部人员必须常驻现场实施施工管理，并参与建设单位的日常考勤，项目经理工程在建期间不得更换。中途项目经理和项目部人员需离岗必须履行书面请假手续并经招标人同意。若未经招标人同意而擅自离岗的，将处以每人每天 500 元的违约金，在支付工程款时从应付的工程款中扣除。若擅自离岗连续达7 天以上的，经招标人提出仍未改正的，招标人有权终止合同，因此给招标人造成损失的，招标人将依法追偿。</w:t>
      </w:r>
    </w:p>
    <w:p w14:paraId="1981160F">
      <w:pPr>
        <w:widowControl/>
        <w:spacing w:line="276" w:lineRule="auto"/>
        <w:ind w:firstLine="420" w:firstLineChars="200"/>
        <w:rPr>
          <w:rFonts w:ascii="宋体" w:hAnsi="宋体" w:cs="宋体"/>
          <w:szCs w:val="21"/>
        </w:rPr>
      </w:pPr>
      <w:r>
        <w:rPr>
          <w:rFonts w:hint="eastAsia" w:ascii="宋体" w:hAnsi="宋体" w:cs="宋体"/>
          <w:szCs w:val="21"/>
        </w:rPr>
        <w:t>9.2成交供应商在选择材料、设备时，应在满足本项目设计标准、质量和使用要求的前提下，选用同档次的优质优价的产品。</w:t>
      </w:r>
    </w:p>
    <w:p w14:paraId="1ED45CC4">
      <w:pPr>
        <w:widowControl/>
        <w:spacing w:line="276" w:lineRule="auto"/>
        <w:ind w:firstLine="420" w:firstLineChars="200"/>
        <w:rPr>
          <w:rFonts w:ascii="宋体" w:hAnsi="宋体" w:cs="宋体"/>
          <w:szCs w:val="21"/>
        </w:rPr>
      </w:pPr>
      <w:r>
        <w:rPr>
          <w:rFonts w:hint="eastAsia" w:ascii="宋体" w:hAnsi="宋体" w:cs="宋体"/>
          <w:szCs w:val="21"/>
        </w:rPr>
        <w:t>9.3成交供应商已对现场进行了充分勘察，并将临时施工便道考虑在投标报价中，费用包干，成交供应商提出与此有关费用的索赔招标人不予支付。</w:t>
      </w:r>
    </w:p>
    <w:p w14:paraId="44F4A98C">
      <w:pPr>
        <w:widowControl/>
        <w:spacing w:line="276" w:lineRule="auto"/>
        <w:ind w:firstLine="420" w:firstLineChars="200"/>
        <w:rPr>
          <w:rFonts w:ascii="宋体" w:hAnsi="宋体" w:cs="宋体"/>
          <w:szCs w:val="21"/>
        </w:rPr>
      </w:pPr>
      <w:r>
        <w:rPr>
          <w:rFonts w:hint="eastAsia" w:ascii="宋体" w:hAnsi="宋体" w:cs="宋体"/>
          <w:szCs w:val="21"/>
        </w:rPr>
        <w:t>9.4成交供应商已进行现场勘察，并将从招标人指定的水、电接口接至施工现场的电缆、水管等材料及施工费用考虑在投标报价中，费用包干；施工过程中所用水、电向建设单位协调，费用交建设单位。水电费损耗按所用水、电量占总用水、电量比率分摊。</w:t>
      </w:r>
    </w:p>
    <w:p w14:paraId="75C7589B">
      <w:pPr>
        <w:widowControl/>
        <w:spacing w:line="276" w:lineRule="auto"/>
        <w:ind w:firstLine="420" w:firstLineChars="200"/>
        <w:rPr>
          <w:rFonts w:ascii="宋体" w:hAnsi="宋体" w:cs="宋体"/>
          <w:szCs w:val="21"/>
        </w:rPr>
      </w:pPr>
      <w:r>
        <w:rPr>
          <w:rFonts w:hint="eastAsia" w:ascii="宋体" w:hAnsi="宋体" w:cs="宋体"/>
          <w:szCs w:val="21"/>
        </w:rPr>
        <w:t>9.5成交供应商在投标时已充分考虑在施工期间必须设置醒目的交通安全标志、标牌及警示灯，同时保证道路正常通行。</w:t>
      </w:r>
    </w:p>
    <w:p w14:paraId="0CE8C66F">
      <w:pPr>
        <w:widowControl/>
        <w:spacing w:line="276" w:lineRule="auto"/>
        <w:ind w:firstLine="420" w:firstLineChars="200"/>
        <w:rPr>
          <w:rFonts w:ascii="宋体" w:hAnsi="宋体" w:cs="宋体"/>
          <w:szCs w:val="21"/>
        </w:rPr>
      </w:pPr>
      <w:r>
        <w:rPr>
          <w:rFonts w:hint="eastAsia" w:ascii="宋体" w:hAnsi="宋体" w:cs="宋体"/>
          <w:szCs w:val="21"/>
        </w:rPr>
        <w:t>9.6成交供应商必须到现场进行勘察向招标人了解施工现状，充分考虑本工程施工中可预见或不可预见的情况，各项事宜必须服从招标人安排和管理。</w:t>
      </w:r>
    </w:p>
    <w:p w14:paraId="0B0495E8">
      <w:pPr>
        <w:widowControl/>
        <w:spacing w:line="276" w:lineRule="auto"/>
        <w:ind w:firstLine="420" w:firstLineChars="200"/>
        <w:rPr>
          <w:rFonts w:ascii="宋体" w:hAnsi="宋体" w:cs="宋体"/>
          <w:szCs w:val="21"/>
        </w:rPr>
      </w:pPr>
      <w:r>
        <w:rPr>
          <w:rFonts w:hint="eastAsia" w:ascii="宋体" w:hAnsi="宋体" w:cs="宋体"/>
          <w:szCs w:val="21"/>
        </w:rPr>
        <w:t>9.7工程价款一律通过银行非现金结算。</w:t>
      </w:r>
    </w:p>
    <w:p w14:paraId="032FCCA3"/>
    <w:p w14:paraId="590AC1B9"/>
    <w:p w14:paraId="6EA5BC96"/>
    <w:p w14:paraId="00321975"/>
    <w:p w14:paraId="34ACCD9F"/>
    <w:p w14:paraId="419B9944"/>
    <w:p w14:paraId="406FDA7F"/>
    <w:p w14:paraId="5D8947F1"/>
    <w:p w14:paraId="5CDC767A"/>
    <w:p w14:paraId="7A585F1B"/>
    <w:p w14:paraId="52C99453"/>
    <w:p w14:paraId="535BA47E"/>
    <w:p w14:paraId="58A6A11D"/>
    <w:p w14:paraId="1C3B38E7"/>
    <w:p w14:paraId="048FFDB7"/>
    <w:p w14:paraId="74953559"/>
    <w:p w14:paraId="66A7B81A">
      <w:pPr>
        <w:pStyle w:val="2"/>
      </w:pPr>
    </w:p>
    <w:p w14:paraId="68FD224B">
      <w:pPr>
        <w:pStyle w:val="2"/>
      </w:pPr>
    </w:p>
    <w:p w14:paraId="0F12970A"/>
    <w:p w14:paraId="527C8F14">
      <w:pPr>
        <w:numPr>
          <w:ilvl w:val="0"/>
          <w:numId w:val="3"/>
        </w:numPr>
        <w:spacing w:line="480" w:lineRule="auto"/>
        <w:jc w:val="center"/>
        <w:outlineLvl w:val="1"/>
        <w:rPr>
          <w:rFonts w:ascii="宋体" w:hAnsi="宋体" w:cs="宋体"/>
          <w:b/>
          <w:bCs/>
          <w:sz w:val="32"/>
          <w:szCs w:val="21"/>
        </w:rPr>
      </w:pPr>
      <w:r>
        <w:rPr>
          <w:rFonts w:hint="eastAsia" w:ascii="宋体" w:hAnsi="宋体" w:cs="宋体"/>
          <w:b/>
          <w:sz w:val="32"/>
          <w:szCs w:val="21"/>
        </w:rPr>
        <w:t>政府采购合同（拟签订的合同文本</w:t>
      </w:r>
      <w:r>
        <w:rPr>
          <w:rFonts w:hint="eastAsia" w:ascii="宋体" w:hAnsi="宋体" w:cs="宋体"/>
          <w:b/>
          <w:bCs/>
          <w:sz w:val="32"/>
          <w:szCs w:val="21"/>
        </w:rPr>
        <w:t>）</w:t>
      </w:r>
    </w:p>
    <w:p w14:paraId="0D728164">
      <w:pPr>
        <w:rPr>
          <w:rFonts w:ascii="宋体" w:hAnsi="宋体" w:cs="Calibri"/>
          <w:b/>
          <w:szCs w:val="21"/>
        </w:rPr>
      </w:pPr>
    </w:p>
    <w:p w14:paraId="303554B8">
      <w:pPr>
        <w:jc w:val="center"/>
        <w:rPr>
          <w:rFonts w:asciiTheme="minorEastAsia" w:hAnsiTheme="minorEastAsia" w:eastAsiaTheme="minorEastAsia"/>
          <w:b/>
          <w:sz w:val="84"/>
        </w:rPr>
      </w:pPr>
      <w:r>
        <w:rPr>
          <w:rFonts w:hint="eastAsia" w:asciiTheme="minorEastAsia" w:hAnsiTheme="minorEastAsia" w:eastAsiaTheme="minorEastAsia"/>
          <w:b/>
          <w:sz w:val="84"/>
        </w:rPr>
        <w:t>建设工程施工合同</w:t>
      </w:r>
    </w:p>
    <w:p w14:paraId="5456535D">
      <w:pPr>
        <w:jc w:val="center"/>
        <w:rPr>
          <w:rFonts w:asciiTheme="minorEastAsia" w:hAnsiTheme="minorEastAsia" w:eastAsiaTheme="minorEastAsia"/>
          <w:b/>
          <w:sz w:val="52"/>
        </w:rPr>
      </w:pPr>
    </w:p>
    <w:p w14:paraId="374D18EB">
      <w:pPr>
        <w:pStyle w:val="12"/>
        <w:jc w:val="center"/>
        <w:rPr>
          <w:b/>
          <w:sz w:val="36"/>
        </w:rPr>
      </w:pPr>
      <w:bookmarkStart w:id="220" w:name="_Toc5280"/>
      <w:bookmarkStart w:id="221" w:name="_Toc13205"/>
      <w:bookmarkStart w:id="222" w:name="_Toc15708"/>
      <w:bookmarkStart w:id="223" w:name="_Toc14410"/>
      <w:r>
        <w:rPr>
          <w:rFonts w:hint="eastAsia"/>
          <w:sz w:val="36"/>
        </w:rPr>
        <w:t>GF-1999-0201</w:t>
      </w:r>
      <w:bookmarkEnd w:id="220"/>
      <w:bookmarkEnd w:id="221"/>
      <w:bookmarkEnd w:id="222"/>
      <w:bookmarkEnd w:id="223"/>
    </w:p>
    <w:p w14:paraId="12B646E0">
      <w:pPr>
        <w:rPr>
          <w:rFonts w:asciiTheme="minorEastAsia" w:hAnsiTheme="minorEastAsia" w:eastAsiaTheme="minorEastAsia"/>
        </w:rPr>
      </w:pPr>
    </w:p>
    <w:p w14:paraId="7131458A">
      <w:pPr>
        <w:rPr>
          <w:rFonts w:asciiTheme="minorEastAsia" w:hAnsiTheme="minorEastAsia" w:eastAsiaTheme="minorEastAsia"/>
          <w:sz w:val="44"/>
        </w:rPr>
      </w:pPr>
    </w:p>
    <w:p w14:paraId="21C45C77">
      <w:pPr>
        <w:spacing w:line="700" w:lineRule="exact"/>
        <w:ind w:firstLine="1440"/>
        <w:rPr>
          <w:rFonts w:asciiTheme="minorEastAsia" w:hAnsiTheme="minorEastAsia" w:eastAsiaTheme="minorEastAsia"/>
          <w:sz w:val="44"/>
        </w:rPr>
      </w:pPr>
      <w:r>
        <w:rPr>
          <w:rFonts w:hint="eastAsia" w:asciiTheme="minorEastAsia" w:hAnsiTheme="minorEastAsia" w:eastAsiaTheme="minorEastAsia"/>
          <w:sz w:val="44"/>
        </w:rPr>
        <w:t>江  苏  省  建 设 厅</w:t>
      </w:r>
    </w:p>
    <w:p w14:paraId="19E53FAD">
      <w:pPr>
        <w:spacing w:line="700" w:lineRule="exact"/>
        <w:ind w:firstLine="1440"/>
        <w:jc w:val="center"/>
        <w:rPr>
          <w:rFonts w:asciiTheme="minorEastAsia" w:hAnsiTheme="minorEastAsia" w:eastAsiaTheme="minorEastAsia"/>
          <w:sz w:val="44"/>
        </w:rPr>
      </w:pPr>
      <w:r>
        <w:rPr>
          <w:rFonts w:hint="eastAsia" w:asciiTheme="minorEastAsia" w:hAnsiTheme="minorEastAsia" w:eastAsiaTheme="minorEastAsia"/>
          <w:sz w:val="44"/>
        </w:rPr>
        <w:t xml:space="preserve">                   监制</w:t>
      </w:r>
    </w:p>
    <w:p w14:paraId="7290D246">
      <w:pPr>
        <w:spacing w:line="700" w:lineRule="exact"/>
        <w:ind w:firstLine="1315" w:firstLineChars="299"/>
        <w:rPr>
          <w:rFonts w:asciiTheme="minorEastAsia" w:hAnsiTheme="minorEastAsia" w:eastAsiaTheme="minorEastAsia"/>
          <w:sz w:val="44"/>
        </w:rPr>
      </w:pPr>
      <w:r>
        <w:rPr>
          <w:rFonts w:hint="eastAsia" w:asciiTheme="minorEastAsia" w:hAnsiTheme="minorEastAsia" w:eastAsiaTheme="minorEastAsia"/>
          <w:sz w:val="44"/>
        </w:rPr>
        <w:t>江苏省工商行政管理厅</w:t>
      </w:r>
    </w:p>
    <w:p w14:paraId="435505A0">
      <w:pPr>
        <w:rPr>
          <w:rFonts w:ascii="宋体" w:hAnsi="宋体" w:cs="Calibri"/>
          <w:b/>
          <w:szCs w:val="21"/>
        </w:rPr>
      </w:pPr>
    </w:p>
    <w:p w14:paraId="59F450C3">
      <w:pPr>
        <w:pStyle w:val="9"/>
      </w:pPr>
    </w:p>
    <w:p w14:paraId="398E6213">
      <w:pPr>
        <w:pStyle w:val="33"/>
        <w:outlineLvl w:val="9"/>
      </w:pPr>
    </w:p>
    <w:p w14:paraId="533F3DDE">
      <w:pPr>
        <w:pStyle w:val="35"/>
        <w:rPr>
          <w:color w:val="auto"/>
        </w:rPr>
      </w:pPr>
    </w:p>
    <w:p w14:paraId="1F3D5113"/>
    <w:p w14:paraId="716BA9CF">
      <w:pPr>
        <w:pStyle w:val="9"/>
      </w:pPr>
    </w:p>
    <w:p w14:paraId="4F1E23F4">
      <w:pPr>
        <w:pStyle w:val="33"/>
        <w:outlineLvl w:val="9"/>
      </w:pPr>
    </w:p>
    <w:p w14:paraId="7CE4F2EF">
      <w:pPr>
        <w:pStyle w:val="35"/>
        <w:rPr>
          <w:color w:val="auto"/>
        </w:rPr>
      </w:pPr>
    </w:p>
    <w:p w14:paraId="6FDDAE77"/>
    <w:p w14:paraId="3FEBF72C">
      <w:pPr>
        <w:pStyle w:val="25"/>
        <w:ind w:firstLine="210"/>
        <w:rPr>
          <w:rFonts w:hint="eastAsia"/>
        </w:rPr>
      </w:pPr>
    </w:p>
    <w:p w14:paraId="5FAD3CCE">
      <w:pPr>
        <w:rPr>
          <w:rFonts w:hint="eastAsia"/>
        </w:rPr>
      </w:pPr>
    </w:p>
    <w:p w14:paraId="21ED2FE7">
      <w:pPr>
        <w:pStyle w:val="2"/>
        <w:rPr>
          <w:rFonts w:hint="eastAsia"/>
        </w:rPr>
      </w:pPr>
    </w:p>
    <w:p w14:paraId="79640DF5">
      <w:pPr>
        <w:pStyle w:val="2"/>
      </w:pPr>
    </w:p>
    <w:p w14:paraId="6D61BFBD"/>
    <w:p w14:paraId="20294A26">
      <w:pPr>
        <w:pStyle w:val="25"/>
        <w:ind w:firstLine="210"/>
      </w:pPr>
    </w:p>
    <w:p w14:paraId="74BEB123">
      <w:pPr>
        <w:spacing w:line="276" w:lineRule="auto"/>
        <w:jc w:val="center"/>
        <w:rPr>
          <w:rFonts w:asciiTheme="minorEastAsia" w:hAnsiTheme="minorEastAsia" w:eastAsiaTheme="minorEastAsia" w:cstheme="minorEastAsia"/>
          <w:b/>
          <w:bCs/>
          <w:szCs w:val="21"/>
        </w:rPr>
      </w:pPr>
    </w:p>
    <w:p w14:paraId="4E6F669E">
      <w:pPr>
        <w:spacing w:line="276"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第一部分  协议书</w:t>
      </w:r>
    </w:p>
    <w:p w14:paraId="3E79A985">
      <w:pPr>
        <w:spacing w:line="440" w:lineRule="exact"/>
        <w:rPr>
          <w:rFonts w:asciiTheme="minorEastAsia" w:hAnsiTheme="minorEastAsia" w:eastAsiaTheme="minorEastAsia" w:cstheme="minorEastAsia"/>
          <w:szCs w:val="21"/>
        </w:rPr>
      </w:pPr>
    </w:p>
    <w:p w14:paraId="72E48695">
      <w:pPr>
        <w:rPr>
          <w:rFonts w:asciiTheme="minorEastAsia" w:hAnsiTheme="minorEastAsia" w:eastAsiaTheme="minorEastAsia" w:cstheme="minorEastAsia"/>
          <w:spacing w:val="12"/>
          <w:szCs w:val="21"/>
        </w:rPr>
      </w:pPr>
      <w:r>
        <w:rPr>
          <w:rFonts w:hint="eastAsia" w:asciiTheme="minorEastAsia" w:hAnsiTheme="minorEastAsia" w:eastAsiaTheme="minorEastAsia" w:cstheme="minorEastAsia"/>
          <w:szCs w:val="21"/>
        </w:rPr>
        <w:t>发包人（全称）：</w:t>
      </w:r>
      <w:r>
        <w:rPr>
          <w:rFonts w:hint="eastAsia" w:asciiTheme="minorEastAsia" w:hAnsiTheme="minorEastAsia" w:eastAsiaTheme="minorEastAsia" w:cstheme="minorEastAsia"/>
          <w:szCs w:val="21"/>
          <w:u w:val="single"/>
        </w:rPr>
        <w:t xml:space="preserve">江苏医药职业学院            </w:t>
      </w:r>
    </w:p>
    <w:p w14:paraId="577E3758">
      <w:pP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承包人（全称）：</w:t>
      </w:r>
    </w:p>
    <w:p w14:paraId="4C71BA1A">
      <w:pPr>
        <w:pStyle w:val="2"/>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依照《中华人民共和国民法典》、《中华人民共和国建筑法》及其他有关法律、行政法规，遵循平等、自愿、公平和诚实信用的原则，双方就本建设工程施工事项协商一致，订立本合同。</w:t>
      </w:r>
    </w:p>
    <w:p w14:paraId="3518B795">
      <w:pPr>
        <w:outlineLvl w:val="1"/>
        <w:rPr>
          <w:rFonts w:asciiTheme="minorEastAsia" w:hAnsiTheme="minorEastAsia" w:eastAsiaTheme="minorEastAsia" w:cstheme="minorEastAsia"/>
          <w:szCs w:val="21"/>
        </w:rPr>
      </w:pPr>
      <w:bookmarkStart w:id="224" w:name="_Toc24656"/>
      <w:r>
        <w:rPr>
          <w:rFonts w:hint="eastAsia" w:asciiTheme="minorEastAsia" w:hAnsiTheme="minorEastAsia" w:eastAsiaTheme="minorEastAsia" w:cstheme="minorEastAsia"/>
          <w:szCs w:val="21"/>
        </w:rPr>
        <w:t>一、工程概况</w:t>
      </w:r>
      <w:bookmarkEnd w:id="224"/>
    </w:p>
    <w:p w14:paraId="3ED38987">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工程名称 ： </w:t>
      </w:r>
    </w:p>
    <w:p w14:paraId="132BA71C">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工程地点：</w:t>
      </w:r>
      <w:r>
        <w:rPr>
          <w:rFonts w:hint="eastAsia" w:asciiTheme="minorEastAsia" w:hAnsiTheme="minorEastAsia" w:eastAsiaTheme="minorEastAsia" w:cstheme="minorEastAsia"/>
          <w:szCs w:val="21"/>
          <w:u w:val="single"/>
        </w:rPr>
        <w:t xml:space="preserve">江苏医药职业学院内                            </w:t>
      </w:r>
    </w:p>
    <w:p w14:paraId="26E3EAE2">
      <w:pPr>
        <w:ind w:firstLine="420" w:firstLineChars="200"/>
        <w:rPr>
          <w:rFonts w:asciiTheme="minorEastAsia" w:hAnsiTheme="minorEastAsia" w:eastAsiaTheme="minorEastAsia" w:cstheme="minorEastAsia"/>
          <w:b/>
          <w:bCs/>
          <w:kern w:val="0"/>
          <w:szCs w:val="21"/>
          <w:u w:val="single"/>
        </w:rPr>
      </w:pPr>
      <w:r>
        <w:rPr>
          <w:rFonts w:hint="eastAsia" w:asciiTheme="minorEastAsia" w:hAnsiTheme="minorEastAsia" w:eastAsiaTheme="minorEastAsia" w:cstheme="minorEastAsia"/>
          <w:szCs w:val="21"/>
        </w:rPr>
        <w:t>工程内容：</w:t>
      </w:r>
      <w:r>
        <w:rPr>
          <w:rFonts w:hint="eastAsia" w:asciiTheme="minorEastAsia" w:hAnsiTheme="minorEastAsia" w:eastAsiaTheme="minorEastAsia" w:cstheme="minorEastAsia"/>
          <w:szCs w:val="21"/>
          <w:u w:val="single"/>
        </w:rPr>
        <w:t>项目</w:t>
      </w:r>
      <w:r>
        <w:rPr>
          <w:rFonts w:hint="eastAsia" w:asciiTheme="minorEastAsia" w:hAnsiTheme="minorEastAsia" w:eastAsiaTheme="minorEastAsia" w:cstheme="minorEastAsia"/>
          <w:bCs/>
          <w:spacing w:val="3"/>
          <w:szCs w:val="21"/>
          <w:u w:val="single"/>
        </w:rPr>
        <w:t>施工，具体以招标文件</w:t>
      </w:r>
      <w:r>
        <w:rPr>
          <w:rFonts w:hint="eastAsia" w:asciiTheme="minorEastAsia" w:hAnsiTheme="minorEastAsia" w:eastAsiaTheme="minorEastAsia" w:cstheme="minorEastAsia"/>
          <w:b/>
          <w:bCs/>
          <w:spacing w:val="3"/>
          <w:szCs w:val="21"/>
          <w:u w:val="single"/>
        </w:rPr>
        <w:t>招标内容及详细的做法要求和招标人要求为准</w:t>
      </w:r>
      <w:r>
        <w:rPr>
          <w:rFonts w:hint="eastAsia" w:asciiTheme="minorEastAsia" w:hAnsiTheme="minorEastAsia" w:eastAsiaTheme="minorEastAsia" w:cstheme="minorEastAsia"/>
          <w:bCs/>
          <w:spacing w:val="3"/>
          <w:szCs w:val="21"/>
          <w:u w:val="single"/>
        </w:rPr>
        <w:t>。</w:t>
      </w:r>
    </w:p>
    <w:p w14:paraId="414C080C">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资金来源：</w:t>
      </w:r>
      <w:r>
        <w:rPr>
          <w:rFonts w:hint="eastAsia" w:asciiTheme="minorEastAsia" w:hAnsiTheme="minorEastAsia" w:eastAsiaTheme="minorEastAsia" w:cstheme="minorEastAsia"/>
          <w:szCs w:val="21"/>
          <w:u w:val="single"/>
        </w:rPr>
        <w:t>自筹,现已落实</w:t>
      </w:r>
    </w:p>
    <w:p w14:paraId="1933735E">
      <w:pPr>
        <w:outlineLvl w:val="1"/>
        <w:rPr>
          <w:rFonts w:asciiTheme="minorEastAsia" w:hAnsiTheme="minorEastAsia" w:eastAsiaTheme="minorEastAsia" w:cstheme="minorEastAsia"/>
          <w:szCs w:val="21"/>
        </w:rPr>
      </w:pPr>
      <w:bookmarkStart w:id="225" w:name="_Toc29622"/>
      <w:r>
        <w:rPr>
          <w:rFonts w:hint="eastAsia" w:asciiTheme="minorEastAsia" w:hAnsiTheme="minorEastAsia" w:eastAsiaTheme="minorEastAsia" w:cstheme="minorEastAsia"/>
          <w:szCs w:val="21"/>
        </w:rPr>
        <w:t>二、工程承包范围</w:t>
      </w:r>
      <w:bookmarkEnd w:id="225"/>
    </w:p>
    <w:p w14:paraId="0090F6F0">
      <w:pPr>
        <w:ind w:firstLine="420" w:firstLineChars="200"/>
        <w:rPr>
          <w:rFonts w:asciiTheme="minorEastAsia" w:hAnsiTheme="minorEastAsia" w:eastAsiaTheme="minorEastAsia" w:cstheme="minorEastAsia"/>
          <w:bCs/>
          <w:spacing w:val="3"/>
          <w:szCs w:val="21"/>
          <w:u w:val="single"/>
        </w:rPr>
      </w:pPr>
      <w:r>
        <w:rPr>
          <w:rFonts w:hint="eastAsia" w:asciiTheme="minorEastAsia" w:hAnsiTheme="minorEastAsia" w:eastAsiaTheme="minorEastAsia" w:cstheme="minorEastAsia"/>
          <w:szCs w:val="21"/>
        </w:rPr>
        <w:t>承包范围：</w:t>
      </w:r>
      <w:r>
        <w:rPr>
          <w:rFonts w:hint="eastAsia" w:asciiTheme="minorEastAsia" w:hAnsiTheme="minorEastAsia" w:eastAsiaTheme="minorEastAsia" w:cstheme="minorEastAsia"/>
          <w:szCs w:val="21"/>
          <w:u w:val="single"/>
        </w:rPr>
        <w:t>项目施工</w:t>
      </w:r>
      <w:r>
        <w:rPr>
          <w:rFonts w:hint="eastAsia" w:asciiTheme="minorEastAsia" w:hAnsiTheme="minorEastAsia" w:eastAsiaTheme="minorEastAsia" w:cstheme="minorEastAsia"/>
          <w:bCs/>
          <w:spacing w:val="3"/>
          <w:szCs w:val="21"/>
          <w:u w:val="single"/>
        </w:rPr>
        <w:t>，具体以招标文件</w:t>
      </w:r>
      <w:r>
        <w:rPr>
          <w:rFonts w:hint="eastAsia" w:asciiTheme="minorEastAsia" w:hAnsiTheme="minorEastAsia" w:eastAsiaTheme="minorEastAsia" w:cstheme="minorEastAsia"/>
          <w:b/>
          <w:bCs/>
          <w:spacing w:val="3"/>
          <w:szCs w:val="21"/>
          <w:u w:val="single"/>
        </w:rPr>
        <w:t>招标内容及详细的做法要求和招标人要求为准</w:t>
      </w:r>
      <w:r>
        <w:rPr>
          <w:rFonts w:hint="eastAsia" w:asciiTheme="minorEastAsia" w:hAnsiTheme="minorEastAsia" w:eastAsiaTheme="minorEastAsia" w:cstheme="minorEastAsia"/>
          <w:bCs/>
          <w:spacing w:val="3"/>
          <w:szCs w:val="21"/>
          <w:u w:val="single"/>
        </w:rPr>
        <w:t>。招标人保留对上述工程量及范围适当调整的权利（招标人可根据建设需要对招标内容进行调整，中标人不得拒绝，否则按违约处理，招标人并有权终止协议，由此造成的损失均由中标单位承担）</w:t>
      </w:r>
    </w:p>
    <w:p w14:paraId="68F3292C">
      <w:pPr>
        <w:outlineLvl w:val="1"/>
        <w:rPr>
          <w:rFonts w:asciiTheme="minorEastAsia" w:hAnsiTheme="minorEastAsia" w:eastAsiaTheme="minorEastAsia" w:cstheme="minorEastAsia"/>
          <w:szCs w:val="21"/>
        </w:rPr>
      </w:pPr>
      <w:bookmarkStart w:id="226" w:name="_Toc31664"/>
      <w:r>
        <w:rPr>
          <w:rFonts w:hint="eastAsia" w:asciiTheme="minorEastAsia" w:hAnsiTheme="minorEastAsia" w:eastAsiaTheme="minorEastAsia" w:cstheme="minorEastAsia"/>
          <w:szCs w:val="21"/>
        </w:rPr>
        <w:t>三、合同工期</w:t>
      </w:r>
      <w:bookmarkEnd w:id="226"/>
    </w:p>
    <w:p w14:paraId="1E939B65">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开工日期：</w:t>
      </w:r>
      <w:r>
        <w:rPr>
          <w:rFonts w:hint="eastAsia" w:asciiTheme="minorEastAsia" w:hAnsiTheme="minorEastAsia" w:eastAsiaTheme="minorEastAsia" w:cstheme="minorEastAsia"/>
          <w:szCs w:val="21"/>
          <w:u w:val="single"/>
        </w:rPr>
        <w:t>实际开工日期以发包人的书面开工令为准。</w:t>
      </w:r>
    </w:p>
    <w:p w14:paraId="53402A26">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合同工期：总日历天数： 日历天。</w:t>
      </w:r>
    </w:p>
    <w:p w14:paraId="2AA81A6E">
      <w:pPr>
        <w:outlineLvl w:val="1"/>
        <w:rPr>
          <w:rFonts w:asciiTheme="minorEastAsia" w:hAnsiTheme="minorEastAsia" w:eastAsiaTheme="minorEastAsia" w:cstheme="minorEastAsia"/>
          <w:szCs w:val="21"/>
        </w:rPr>
      </w:pPr>
      <w:bookmarkStart w:id="227" w:name="_Toc12400"/>
      <w:r>
        <w:rPr>
          <w:rFonts w:hint="eastAsia" w:asciiTheme="minorEastAsia" w:hAnsiTheme="minorEastAsia" w:eastAsiaTheme="minorEastAsia" w:cstheme="minorEastAsia"/>
          <w:szCs w:val="21"/>
        </w:rPr>
        <w:t>四、质量标准：</w:t>
      </w:r>
      <w:bookmarkEnd w:id="227"/>
    </w:p>
    <w:p w14:paraId="6687E426">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工程质量标准：</w:t>
      </w:r>
      <w:r>
        <w:rPr>
          <w:rFonts w:hint="eastAsia" w:asciiTheme="minorEastAsia" w:hAnsiTheme="minorEastAsia" w:eastAsiaTheme="minorEastAsia" w:cstheme="minorEastAsia"/>
          <w:szCs w:val="21"/>
          <w:u w:val="single"/>
        </w:rPr>
        <w:t xml:space="preserve">工程质量确保达到国家合格等级；     </w:t>
      </w:r>
    </w:p>
    <w:p w14:paraId="4E3DDA8B">
      <w:pPr>
        <w:outlineLvl w:val="1"/>
        <w:rPr>
          <w:rFonts w:asciiTheme="minorEastAsia" w:hAnsiTheme="minorEastAsia" w:eastAsiaTheme="minorEastAsia" w:cstheme="minorEastAsia"/>
          <w:szCs w:val="21"/>
        </w:rPr>
      </w:pPr>
      <w:bookmarkStart w:id="228" w:name="_Toc12948"/>
      <w:r>
        <w:rPr>
          <w:rFonts w:hint="eastAsia" w:asciiTheme="minorEastAsia" w:hAnsiTheme="minorEastAsia" w:eastAsiaTheme="minorEastAsia" w:cstheme="minorEastAsia"/>
          <w:szCs w:val="21"/>
        </w:rPr>
        <w:t>五、合同价款</w:t>
      </w:r>
      <w:bookmarkEnd w:id="228"/>
    </w:p>
    <w:p w14:paraId="22F14B4A">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合同总价为：</w:t>
      </w:r>
      <w:r>
        <w:rPr>
          <w:rFonts w:hint="eastAsia" w:asciiTheme="minorEastAsia" w:hAnsiTheme="minorEastAsia" w:eastAsiaTheme="minorEastAsia" w:cstheme="minorEastAsia"/>
          <w:b/>
          <w:szCs w:val="21"/>
          <w:u w:val="single"/>
        </w:rPr>
        <w:t xml:space="preserve">                         （小写：             元）。</w:t>
      </w:r>
    </w:p>
    <w:p w14:paraId="0C18E9B7">
      <w:pPr>
        <w:outlineLvl w:val="1"/>
        <w:rPr>
          <w:rFonts w:asciiTheme="minorEastAsia" w:hAnsiTheme="minorEastAsia" w:eastAsiaTheme="minorEastAsia" w:cstheme="minorEastAsia"/>
          <w:szCs w:val="21"/>
        </w:rPr>
      </w:pPr>
      <w:bookmarkStart w:id="229" w:name="_Toc30639"/>
      <w:r>
        <w:rPr>
          <w:rFonts w:hint="eastAsia" w:asciiTheme="minorEastAsia" w:hAnsiTheme="minorEastAsia" w:eastAsiaTheme="minorEastAsia" w:cstheme="minorEastAsia"/>
          <w:szCs w:val="21"/>
        </w:rPr>
        <w:t>六、组成合同的文件</w:t>
      </w:r>
      <w:bookmarkEnd w:id="229"/>
    </w:p>
    <w:p w14:paraId="17A5F1F3">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组成本合同的文件包括</w:t>
      </w:r>
    </w:p>
    <w:p w14:paraId="72AD0439">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1、本合同协议书</w:t>
      </w:r>
    </w:p>
    <w:p w14:paraId="6D028A3E">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2、招标文件、投标文件、评标结果及其附件 </w:t>
      </w:r>
    </w:p>
    <w:p w14:paraId="062DE3A9">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双方有关工程的洽商、变更等书面协议或文件视为本合同的组成部分。</w:t>
      </w:r>
    </w:p>
    <w:p w14:paraId="01F130B1">
      <w:pPr>
        <w:outlineLvl w:val="1"/>
        <w:rPr>
          <w:rFonts w:asciiTheme="minorEastAsia" w:hAnsiTheme="minorEastAsia" w:eastAsiaTheme="minorEastAsia" w:cstheme="minorEastAsia"/>
          <w:szCs w:val="21"/>
        </w:rPr>
      </w:pPr>
      <w:bookmarkStart w:id="230" w:name="_Toc32699"/>
      <w:r>
        <w:rPr>
          <w:rFonts w:hint="eastAsia" w:asciiTheme="minorEastAsia" w:hAnsiTheme="minorEastAsia" w:eastAsiaTheme="minorEastAsia" w:cstheme="minorEastAsia"/>
          <w:szCs w:val="21"/>
        </w:rPr>
        <w:t>七、合同生效</w:t>
      </w:r>
      <w:bookmarkEnd w:id="230"/>
    </w:p>
    <w:p w14:paraId="1A8A97C1">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合同订立时间：</w:t>
      </w:r>
      <w:r>
        <w:rPr>
          <w:rFonts w:hint="eastAsia" w:asciiTheme="minorEastAsia" w:hAnsiTheme="minorEastAsia" w:eastAsiaTheme="minorEastAsia" w:cstheme="minorEastAsia"/>
          <w:szCs w:val="21"/>
          <w:u w:val="single"/>
        </w:rPr>
        <w:t xml:space="preserve">       年    月   日  </w:t>
      </w:r>
    </w:p>
    <w:p w14:paraId="6038D724">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合同订立地点：</w:t>
      </w:r>
      <w:r>
        <w:rPr>
          <w:rFonts w:hint="eastAsia" w:asciiTheme="minorEastAsia" w:hAnsiTheme="minorEastAsia" w:eastAsiaTheme="minorEastAsia" w:cstheme="minorEastAsia"/>
          <w:szCs w:val="21"/>
          <w:u w:val="single"/>
        </w:rPr>
        <w:t xml:space="preserve">江苏医药职业学院内                      </w:t>
      </w:r>
    </w:p>
    <w:p w14:paraId="17E17423">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本合同双方约定： </w:t>
      </w:r>
      <w:r>
        <w:rPr>
          <w:rFonts w:hint="eastAsia" w:asciiTheme="minorEastAsia" w:hAnsiTheme="minorEastAsia" w:eastAsiaTheme="minorEastAsia" w:cstheme="minorEastAsia"/>
          <w:szCs w:val="21"/>
          <w:u w:val="single"/>
        </w:rPr>
        <w:t xml:space="preserve">签字盖章 </w:t>
      </w:r>
      <w:r>
        <w:rPr>
          <w:rFonts w:hint="eastAsia" w:asciiTheme="minorEastAsia" w:hAnsiTheme="minorEastAsia" w:eastAsiaTheme="minorEastAsia" w:cstheme="minorEastAsia"/>
          <w:szCs w:val="21"/>
        </w:rPr>
        <w:t>后生效。</w:t>
      </w:r>
    </w:p>
    <w:p w14:paraId="2F2CCA59">
      <w:pPr>
        <w:ind w:firstLine="420" w:firstLineChars="200"/>
        <w:rPr>
          <w:rFonts w:asciiTheme="minorEastAsia" w:hAnsiTheme="minorEastAsia" w:eastAsiaTheme="minorEastAsia" w:cstheme="minorEastAsia"/>
          <w:szCs w:val="21"/>
        </w:rPr>
      </w:pPr>
    </w:p>
    <w:p w14:paraId="5FF4F113">
      <w:pPr>
        <w:ind w:firstLine="420" w:firstLineChars="200"/>
        <w:rPr>
          <w:rFonts w:asciiTheme="minorEastAsia" w:hAnsiTheme="minorEastAsia" w:eastAsiaTheme="minorEastAsia" w:cstheme="minorEastAsia"/>
          <w:szCs w:val="21"/>
        </w:rPr>
      </w:pPr>
    </w:p>
    <w:p w14:paraId="4A1DADB9">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14:paraId="485E8C0E">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住所：                                   住所：</w:t>
      </w:r>
    </w:p>
    <w:p w14:paraId="2CDD1E43">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                             法定代表人：</w:t>
      </w:r>
    </w:p>
    <w:p w14:paraId="7C715E6C">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委托代表人：                             委托代表人：</w:t>
      </w:r>
    </w:p>
    <w:p w14:paraId="2CB7AB07">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电话：                                   电话：</w:t>
      </w:r>
    </w:p>
    <w:p w14:paraId="4C229F81">
      <w:pPr>
        <w:widowControl/>
        <w:ind w:firstLine="420"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传真：                                   传真：</w:t>
      </w:r>
    </w:p>
    <w:p w14:paraId="41C899ED">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                               开户银行：</w:t>
      </w:r>
    </w:p>
    <w:p w14:paraId="6EEC7E38">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账号：                                   账号：</w:t>
      </w:r>
    </w:p>
    <w:p w14:paraId="28FF83CF">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邮政编码：                               邮政编码：</w:t>
      </w:r>
    </w:p>
    <w:p w14:paraId="692FD675">
      <w:pPr>
        <w:spacing w:line="440" w:lineRule="exact"/>
        <w:jc w:val="center"/>
        <w:rPr>
          <w:rFonts w:asciiTheme="minorEastAsia" w:hAnsiTheme="minorEastAsia" w:eastAsiaTheme="minorEastAsia" w:cstheme="minorEastAsia"/>
          <w:b/>
          <w:bCs/>
          <w:szCs w:val="21"/>
        </w:rPr>
      </w:pPr>
    </w:p>
    <w:p w14:paraId="5618C30F">
      <w:pPr>
        <w:spacing w:line="276" w:lineRule="auto"/>
        <w:rPr>
          <w:rFonts w:asciiTheme="minorEastAsia" w:hAnsiTheme="minorEastAsia" w:eastAsiaTheme="minorEastAsia" w:cstheme="minorEastAsia"/>
          <w:b/>
          <w:bCs/>
          <w:szCs w:val="21"/>
        </w:rPr>
      </w:pPr>
      <w:bookmarkStart w:id="231" w:name="_Toc29612"/>
    </w:p>
    <w:p w14:paraId="5D834091">
      <w:pPr>
        <w:spacing w:line="276" w:lineRule="auto"/>
        <w:jc w:val="center"/>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第二部分 通用合同条款</w:t>
      </w:r>
      <w:bookmarkEnd w:id="231"/>
    </w:p>
    <w:p w14:paraId="56869FBE">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同建设工程施工合同（示范文本）（GF—2013—0201）内的通用合同条款</w:t>
      </w:r>
    </w:p>
    <w:p w14:paraId="27D6B32D">
      <w:pPr>
        <w:spacing w:line="276" w:lineRule="auto"/>
        <w:jc w:val="center"/>
        <w:outlineLvl w:val="2"/>
        <w:rPr>
          <w:rFonts w:asciiTheme="minorEastAsia" w:hAnsiTheme="minorEastAsia" w:eastAsiaTheme="minorEastAsia" w:cstheme="minorEastAsia"/>
          <w:b/>
          <w:bCs/>
          <w:szCs w:val="21"/>
        </w:rPr>
      </w:pPr>
      <w:bookmarkStart w:id="232" w:name="_Toc32013"/>
      <w:r>
        <w:rPr>
          <w:rFonts w:hint="eastAsia" w:asciiTheme="minorEastAsia" w:hAnsiTheme="minorEastAsia" w:eastAsiaTheme="minorEastAsia" w:cstheme="minorEastAsia"/>
          <w:b/>
          <w:bCs/>
          <w:szCs w:val="21"/>
        </w:rPr>
        <w:t>第三部分  专用合同条款</w:t>
      </w:r>
      <w:bookmarkEnd w:id="232"/>
    </w:p>
    <w:p w14:paraId="683141D1">
      <w:pPr>
        <w:spacing w:line="276" w:lineRule="auto"/>
        <w:rPr>
          <w:rFonts w:asciiTheme="minorEastAsia" w:hAnsiTheme="minorEastAsia" w:eastAsiaTheme="minorEastAsia" w:cstheme="minorEastAsia"/>
          <w:szCs w:val="21"/>
        </w:rPr>
      </w:pPr>
      <w:bookmarkStart w:id="233" w:name="_Toc21756"/>
      <w:r>
        <w:rPr>
          <w:rFonts w:hint="eastAsia" w:asciiTheme="minorEastAsia" w:hAnsiTheme="minorEastAsia" w:eastAsiaTheme="minorEastAsia" w:cstheme="minorEastAsia"/>
          <w:szCs w:val="21"/>
        </w:rPr>
        <w:t>一、词语定义及合同文件</w:t>
      </w:r>
      <w:bookmarkEnd w:id="233"/>
    </w:p>
    <w:p w14:paraId="0E39AAC9">
      <w:pPr>
        <w:spacing w:line="276" w:lineRule="auto"/>
        <w:ind w:firstLine="378" w:firstLineChars="180"/>
        <w:rPr>
          <w:rFonts w:asciiTheme="minorEastAsia" w:hAnsiTheme="minorEastAsia" w:eastAsiaTheme="minorEastAsia" w:cstheme="minorEastAsia"/>
          <w:szCs w:val="21"/>
        </w:rPr>
      </w:pPr>
      <w:bookmarkStart w:id="234" w:name="_Toc17901"/>
      <w:r>
        <w:rPr>
          <w:rFonts w:hint="eastAsia" w:asciiTheme="minorEastAsia" w:hAnsiTheme="minorEastAsia" w:eastAsiaTheme="minorEastAsia" w:cstheme="minorEastAsia"/>
          <w:szCs w:val="21"/>
        </w:rPr>
        <w:t>1．合同文件及解释顺序</w:t>
      </w:r>
      <w:bookmarkEnd w:id="234"/>
    </w:p>
    <w:p w14:paraId="6415ABF5">
      <w:pPr>
        <w:tabs>
          <w:tab w:val="left" w:pos="0"/>
        </w:tabs>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合同文件组成及解释顺序：   </w:t>
      </w:r>
      <w:r>
        <w:rPr>
          <w:rFonts w:hint="eastAsia" w:asciiTheme="minorEastAsia" w:hAnsiTheme="minorEastAsia" w:eastAsiaTheme="minorEastAsia" w:cstheme="minorEastAsia"/>
          <w:szCs w:val="21"/>
          <w:u w:val="single"/>
        </w:rPr>
        <w:t xml:space="preserve"> 按国家及省市有关规定执行。</w:t>
      </w:r>
    </w:p>
    <w:p w14:paraId="5E0BBEEB">
      <w:pPr>
        <w:spacing w:line="276" w:lineRule="auto"/>
        <w:ind w:firstLine="378" w:firstLineChars="180"/>
        <w:rPr>
          <w:rFonts w:asciiTheme="minorEastAsia" w:hAnsiTheme="minorEastAsia" w:eastAsiaTheme="minorEastAsia" w:cstheme="minorEastAsia"/>
          <w:szCs w:val="21"/>
        </w:rPr>
      </w:pPr>
      <w:bookmarkStart w:id="235" w:name="_Toc18958"/>
      <w:r>
        <w:rPr>
          <w:rFonts w:hint="eastAsia" w:asciiTheme="minorEastAsia" w:hAnsiTheme="minorEastAsia" w:eastAsiaTheme="minorEastAsia" w:cstheme="minorEastAsia"/>
          <w:szCs w:val="21"/>
        </w:rPr>
        <w:t>2．语言文字和适用法律、标准及规范</w:t>
      </w:r>
      <w:bookmarkEnd w:id="235"/>
    </w:p>
    <w:p w14:paraId="4598B155">
      <w:pPr>
        <w:tabs>
          <w:tab w:val="left" w:pos="0"/>
        </w:tabs>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2．1本合同除使用汉语外，还使用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语言文字。</w:t>
      </w:r>
    </w:p>
    <w:p w14:paraId="49341804">
      <w:pPr>
        <w:tabs>
          <w:tab w:val="left" w:pos="0"/>
        </w:tabs>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2．2适用法律和行政法规</w:t>
      </w:r>
    </w:p>
    <w:p w14:paraId="3E1BE7CA">
      <w:pPr>
        <w:tabs>
          <w:tab w:val="left" w:pos="0"/>
        </w:tabs>
        <w:spacing w:line="276" w:lineRule="auto"/>
        <w:ind w:firstLine="392" w:firstLineChars="18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需要明示的法律、行政法规：</w:t>
      </w:r>
      <w:r>
        <w:rPr>
          <w:rFonts w:hint="eastAsia" w:asciiTheme="minorEastAsia" w:hAnsiTheme="minorEastAsia" w:eastAsiaTheme="minorEastAsia" w:cstheme="minorEastAsia"/>
          <w:szCs w:val="21"/>
          <w:u w:val="single"/>
        </w:rPr>
        <w:t>《中华人民共和国建筑法》、《中华人民共和国民法典》、《中华人民共和国招标投标法》、《江苏省工程建设管理条例》、《江苏省建筑市场管理条例》、《江苏省建设工程招标投标管理办法》、《江苏省房屋建筑和市政基础设施工程项目工程量清单施工招标投标评标规则》（试行）及相关规定</w:t>
      </w:r>
      <w:r>
        <w:rPr>
          <w:rFonts w:hint="eastAsia" w:asciiTheme="minorEastAsia" w:hAnsiTheme="minorEastAsia" w:eastAsiaTheme="minorEastAsia" w:cstheme="minorEastAsia"/>
          <w:szCs w:val="21"/>
        </w:rPr>
        <w:t>。</w:t>
      </w:r>
    </w:p>
    <w:p w14:paraId="74164623">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2．3适用标准、规范</w:t>
      </w:r>
    </w:p>
    <w:p w14:paraId="3C3B68F5">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适用标准、规范的名称：</w:t>
      </w:r>
      <w:r>
        <w:rPr>
          <w:rFonts w:hint="eastAsia" w:asciiTheme="minorEastAsia" w:hAnsiTheme="minorEastAsia" w:eastAsiaTheme="minorEastAsia" w:cstheme="minorEastAsia"/>
          <w:szCs w:val="21"/>
          <w:u w:val="single"/>
        </w:rPr>
        <w:t xml:space="preserve">国家现行通用建筑施工规范、标准和有关地方规定。 </w:t>
      </w:r>
    </w:p>
    <w:p w14:paraId="561174EF">
      <w:pPr>
        <w:spacing w:line="276" w:lineRule="auto"/>
        <w:rPr>
          <w:rFonts w:asciiTheme="minorEastAsia" w:hAnsiTheme="minorEastAsia" w:eastAsiaTheme="minorEastAsia" w:cstheme="minorEastAsia"/>
          <w:szCs w:val="21"/>
        </w:rPr>
      </w:pPr>
      <w:bookmarkStart w:id="236" w:name="_Toc13630"/>
      <w:r>
        <w:rPr>
          <w:rFonts w:hint="eastAsia" w:asciiTheme="minorEastAsia" w:hAnsiTheme="minorEastAsia" w:eastAsiaTheme="minorEastAsia" w:cstheme="minorEastAsia"/>
          <w:szCs w:val="21"/>
        </w:rPr>
        <w:t>二、双方一般权利和义务</w:t>
      </w:r>
      <w:bookmarkEnd w:id="236"/>
    </w:p>
    <w:p w14:paraId="12A16994">
      <w:pPr>
        <w:spacing w:line="276" w:lineRule="auto"/>
        <w:ind w:firstLine="378" w:firstLineChars="180"/>
        <w:rPr>
          <w:rFonts w:asciiTheme="minorEastAsia" w:hAnsiTheme="minorEastAsia" w:eastAsiaTheme="minorEastAsia" w:cstheme="minorEastAsia"/>
          <w:szCs w:val="21"/>
        </w:rPr>
      </w:pPr>
      <w:bookmarkStart w:id="237" w:name="_Toc22438"/>
      <w:r>
        <w:rPr>
          <w:rFonts w:hint="eastAsia" w:asciiTheme="minorEastAsia" w:hAnsiTheme="minorEastAsia" w:eastAsiaTheme="minorEastAsia" w:cstheme="minorEastAsia"/>
          <w:szCs w:val="21"/>
        </w:rPr>
        <w:t>3．工程师</w:t>
      </w:r>
      <w:bookmarkEnd w:id="237"/>
    </w:p>
    <w:p w14:paraId="60B60A56">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3．1发包人代表</w:t>
      </w:r>
    </w:p>
    <w:p w14:paraId="1CF5281C">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姓名：                     职务：</w:t>
      </w:r>
    </w:p>
    <w:p w14:paraId="7F34FB81">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职权：</w:t>
      </w:r>
      <w:r>
        <w:rPr>
          <w:rFonts w:hint="eastAsia" w:asciiTheme="minorEastAsia" w:hAnsiTheme="minorEastAsia" w:eastAsiaTheme="minorEastAsia" w:cstheme="minorEastAsia"/>
          <w:szCs w:val="21"/>
          <w:u w:val="single"/>
        </w:rPr>
        <w:t>对本工程的施工进度、质量、工期、付款等全面跟踪监督及服务</w:t>
      </w:r>
      <w:r>
        <w:rPr>
          <w:rFonts w:hint="eastAsia" w:asciiTheme="minorEastAsia" w:hAnsiTheme="minorEastAsia" w:eastAsiaTheme="minorEastAsia" w:cstheme="minorEastAsia"/>
          <w:szCs w:val="21"/>
        </w:rPr>
        <w:t>。</w:t>
      </w:r>
    </w:p>
    <w:p w14:paraId="41DB9A30">
      <w:pPr>
        <w:spacing w:line="276" w:lineRule="auto"/>
        <w:ind w:firstLine="378" w:firstLineChars="180"/>
        <w:rPr>
          <w:rFonts w:asciiTheme="minorEastAsia" w:hAnsiTheme="minorEastAsia" w:eastAsiaTheme="minorEastAsia" w:cstheme="minorEastAsia"/>
          <w:szCs w:val="21"/>
        </w:rPr>
      </w:pPr>
      <w:bookmarkStart w:id="238" w:name="_Toc9336"/>
      <w:r>
        <w:rPr>
          <w:rFonts w:hint="eastAsia" w:asciiTheme="minorEastAsia" w:hAnsiTheme="minorEastAsia" w:eastAsiaTheme="minorEastAsia" w:cstheme="minorEastAsia"/>
          <w:szCs w:val="21"/>
        </w:rPr>
        <w:t>4．项目经理</w:t>
      </w:r>
      <w:bookmarkEnd w:id="238"/>
    </w:p>
    <w:p w14:paraId="436CDB55">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姓名：                  职务： </w:t>
      </w:r>
    </w:p>
    <w:p w14:paraId="2AA4F560">
      <w:pPr>
        <w:spacing w:line="276" w:lineRule="auto"/>
        <w:ind w:firstLine="379" w:firstLineChars="180"/>
        <w:rPr>
          <w:rFonts w:asciiTheme="minorEastAsia" w:hAnsiTheme="minorEastAsia" w:eastAsiaTheme="minorEastAsia" w:cstheme="minorEastAsia"/>
          <w:szCs w:val="21"/>
        </w:rPr>
      </w:pPr>
      <w:bookmarkStart w:id="239" w:name="_Toc16914"/>
      <w:r>
        <w:rPr>
          <w:rFonts w:hint="eastAsia" w:asciiTheme="minorEastAsia" w:hAnsiTheme="minorEastAsia" w:eastAsiaTheme="minorEastAsia" w:cstheme="minorEastAsia"/>
          <w:b/>
          <w:bCs/>
          <w:szCs w:val="21"/>
        </w:rPr>
        <w:t>5</w:t>
      </w:r>
      <w:r>
        <w:rPr>
          <w:rFonts w:hint="eastAsia" w:asciiTheme="minorEastAsia" w:hAnsiTheme="minorEastAsia" w:eastAsiaTheme="minorEastAsia" w:cstheme="minorEastAsia"/>
          <w:szCs w:val="21"/>
        </w:rPr>
        <w:t>．发包人工作</w:t>
      </w:r>
      <w:bookmarkEnd w:id="239"/>
    </w:p>
    <w:p w14:paraId="3F412848">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5．1发包人应按约定的时间和要求完成以下工作：</w:t>
      </w:r>
    </w:p>
    <w:p w14:paraId="24F6B5D9">
      <w:pPr>
        <w:spacing w:line="276" w:lineRule="auto"/>
        <w:ind w:firstLine="378" w:firstLineChars="180"/>
        <w:rPr>
          <w:rFonts w:asciiTheme="minorEastAsia" w:hAnsiTheme="minorEastAsia" w:eastAsiaTheme="minorEastAsia" w:cstheme="minorEastAsia"/>
          <w:szCs w:val="21"/>
          <w:highlight w:val="yellow"/>
          <w:u w:val="single"/>
        </w:rPr>
      </w:pPr>
      <w:r>
        <w:rPr>
          <w:rFonts w:hint="eastAsia" w:asciiTheme="minorEastAsia" w:hAnsiTheme="minorEastAsia" w:eastAsiaTheme="minorEastAsia" w:cstheme="minorEastAsia"/>
          <w:szCs w:val="21"/>
        </w:rPr>
        <w:t>（1）施工场地具备施工条件的要求及完成的时间：合同签订前。</w:t>
      </w:r>
    </w:p>
    <w:p w14:paraId="534DF50B">
      <w:pPr>
        <w:spacing w:line="276" w:lineRule="auto"/>
        <w:ind w:firstLine="378" w:firstLineChars="180"/>
        <w:jc w:val="left"/>
        <w:rPr>
          <w:rFonts w:asciiTheme="minorEastAsia" w:hAnsiTheme="minorEastAsia" w:eastAsiaTheme="minorEastAsia" w:cstheme="minorEastAsia"/>
          <w:szCs w:val="21"/>
          <w:highlight w:val="yellow"/>
          <w:u w:val="single"/>
        </w:rPr>
      </w:pPr>
      <w:r>
        <w:rPr>
          <w:rFonts w:hint="eastAsia" w:asciiTheme="minorEastAsia" w:hAnsiTheme="minorEastAsia" w:eastAsiaTheme="minorEastAsia" w:cstheme="minorEastAsia"/>
          <w:szCs w:val="21"/>
        </w:rPr>
        <w:t>（2）将施工所需的水、电、电讯线路接至施工现场的时间、地点和供应要求：施工现场用水、电和通讯由承包人从发包人指定的水、电接口接至施工现场。</w:t>
      </w:r>
    </w:p>
    <w:p w14:paraId="68DE7193">
      <w:pPr>
        <w:tabs>
          <w:tab w:val="left" w:pos="0"/>
        </w:tabs>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（3）施工场地与公共道路开通时间和要求：</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713D1512">
      <w:pPr>
        <w:tabs>
          <w:tab w:val="left" w:pos="0"/>
        </w:tabs>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（4）工程地质和地下管线资料的提供时间：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79C7764A">
      <w:pPr>
        <w:spacing w:line="276" w:lineRule="auto"/>
        <w:ind w:firstLine="415" w:firstLineChars="197"/>
        <w:rPr>
          <w:rFonts w:asciiTheme="minorEastAsia" w:hAnsiTheme="minorEastAsia" w:eastAsiaTheme="minorEastAsia" w:cstheme="minorEastAsia"/>
          <w:szCs w:val="21"/>
        </w:rPr>
      </w:pPr>
      <w:bookmarkStart w:id="240" w:name="_Toc15488"/>
      <w:r>
        <w:rPr>
          <w:rFonts w:hint="eastAsia" w:asciiTheme="minorEastAsia" w:hAnsiTheme="minorEastAsia" w:eastAsiaTheme="minorEastAsia" w:cstheme="minorEastAsia"/>
          <w:b/>
          <w:bCs/>
          <w:szCs w:val="21"/>
        </w:rPr>
        <w:t>6</w:t>
      </w:r>
      <w:r>
        <w:rPr>
          <w:rFonts w:hint="eastAsia" w:asciiTheme="minorEastAsia" w:hAnsiTheme="minorEastAsia" w:eastAsiaTheme="minorEastAsia" w:cstheme="minorEastAsia"/>
          <w:szCs w:val="21"/>
        </w:rPr>
        <w:t>．承包人工作</w:t>
      </w:r>
      <w:bookmarkEnd w:id="240"/>
    </w:p>
    <w:p w14:paraId="4FEEC01E">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6．1承包人应按约定时间和要求，完成以下工作：</w:t>
      </w:r>
    </w:p>
    <w:p w14:paraId="1CB24AEB">
      <w:pPr>
        <w:spacing w:line="276" w:lineRule="auto"/>
        <w:ind w:left="239" w:leftChars="114"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（1）需由设计资质等级和业务范围允许的承包人完成的设计文件提交时间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5182E1CC">
      <w:pPr>
        <w:spacing w:line="276"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（2）应提供计划、报表的名称及完成时间：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7BBE451C">
      <w:pPr>
        <w:spacing w:line="276" w:lineRule="auto"/>
        <w:ind w:firstLine="315" w:firstLineChars="15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（3）承包施工安全保卫工作及非夜间施工照时的责任和要求：</w:t>
      </w:r>
      <w:r>
        <w:rPr>
          <w:rFonts w:hint="eastAsia" w:asciiTheme="minorEastAsia" w:hAnsiTheme="minorEastAsia" w:eastAsiaTheme="minorEastAsia" w:cstheme="minorEastAsia"/>
          <w:szCs w:val="21"/>
          <w:u w:val="single"/>
        </w:rPr>
        <w:t>承包人应按建设行</w:t>
      </w:r>
    </w:p>
    <w:p w14:paraId="708A25D4">
      <w:pPr>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政管理部门和相关部门的要求，自费承担安全保卫工作等相应设施，以保护公共安全。</w:t>
      </w:r>
    </w:p>
    <w:p w14:paraId="13BA208C">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（4）向发包人提供的办公和生活房屋及设施的要求：</w:t>
      </w:r>
      <w:r>
        <w:rPr>
          <w:rFonts w:hint="eastAsia" w:asciiTheme="minorEastAsia" w:hAnsiTheme="minorEastAsia" w:eastAsiaTheme="minorEastAsia" w:cstheme="minorEastAsia"/>
          <w:szCs w:val="21"/>
          <w:u w:val="single"/>
        </w:rPr>
        <w:t>不要求提供</w:t>
      </w:r>
      <w:r>
        <w:rPr>
          <w:rFonts w:hint="eastAsia" w:asciiTheme="minorEastAsia" w:hAnsiTheme="minorEastAsia" w:eastAsiaTheme="minorEastAsia" w:cstheme="minorEastAsia"/>
          <w:szCs w:val="21"/>
        </w:rPr>
        <w:t>。</w:t>
      </w:r>
    </w:p>
    <w:p w14:paraId="0DBFFB7C">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（5）需承包人办理的有关施工场地交通、环卫和施工噪音管理等手续：</w:t>
      </w:r>
      <w:r>
        <w:rPr>
          <w:rFonts w:hint="eastAsia" w:asciiTheme="minorEastAsia" w:hAnsiTheme="minorEastAsia" w:eastAsiaTheme="minorEastAsia" w:cstheme="minorEastAsia"/>
          <w:szCs w:val="21"/>
          <w:u w:val="single"/>
        </w:rPr>
        <w:t>遵守政府</w:t>
      </w:r>
    </w:p>
    <w:p w14:paraId="44970F9B">
      <w:pPr>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有关主管部门对施工场地的管理规定，按规定办理有关手续，承担由此发生的费用和因承包人责任造成的罚款</w:t>
      </w:r>
      <w:r>
        <w:rPr>
          <w:rFonts w:hint="eastAsia" w:asciiTheme="minorEastAsia" w:hAnsiTheme="minorEastAsia" w:eastAsiaTheme="minorEastAsia" w:cstheme="minorEastAsia"/>
          <w:szCs w:val="21"/>
        </w:rPr>
        <w:t>。</w:t>
      </w:r>
    </w:p>
    <w:p w14:paraId="2FE46C05">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（6）已完工程成品的特殊要求及费用承担：</w:t>
      </w:r>
      <w:r>
        <w:rPr>
          <w:rFonts w:hint="eastAsia" w:asciiTheme="minorEastAsia" w:hAnsiTheme="minorEastAsia" w:eastAsiaTheme="minorEastAsia" w:cstheme="minorEastAsia"/>
          <w:szCs w:val="21"/>
          <w:u w:val="single"/>
        </w:rPr>
        <w:t>工程交付前由承包人负责，交付后由</w:t>
      </w:r>
    </w:p>
    <w:p w14:paraId="37FDA1BC">
      <w:pPr>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发包人负责</w:t>
      </w:r>
      <w:r>
        <w:rPr>
          <w:rFonts w:hint="eastAsia" w:asciiTheme="minorEastAsia" w:hAnsiTheme="minorEastAsia" w:eastAsiaTheme="minorEastAsia" w:cstheme="minorEastAsia"/>
          <w:szCs w:val="21"/>
        </w:rPr>
        <w:t>。</w:t>
      </w:r>
    </w:p>
    <w:p w14:paraId="1C2071DD">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（7）施工场地周围地下管线和邻近建筑物、构筑物（含文物保护建筑）、古树名木</w:t>
      </w:r>
    </w:p>
    <w:p w14:paraId="7E928556">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的保护要求及费用承担：</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58459C37">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（8）工场地清洁卫生的要求：</w:t>
      </w:r>
      <w:r>
        <w:rPr>
          <w:rFonts w:hint="eastAsia" w:asciiTheme="minorEastAsia" w:hAnsiTheme="minorEastAsia" w:eastAsiaTheme="minorEastAsia" w:cstheme="minorEastAsia"/>
          <w:szCs w:val="21"/>
          <w:u w:val="single"/>
        </w:rPr>
        <w:t>承包人按建设行政主管部门和相关部门的规定办理，所需费用由承包人承担</w:t>
      </w:r>
      <w:r>
        <w:rPr>
          <w:rFonts w:hint="eastAsia" w:asciiTheme="minorEastAsia" w:hAnsiTheme="minorEastAsia" w:eastAsiaTheme="minorEastAsia" w:cstheme="minorEastAsia"/>
          <w:szCs w:val="21"/>
        </w:rPr>
        <w:t>。</w:t>
      </w:r>
    </w:p>
    <w:p w14:paraId="48CE7C5A">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（9）双方约定承包人应做的其他工作：</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5691039B">
      <w:pPr>
        <w:spacing w:line="276" w:lineRule="auto"/>
        <w:rPr>
          <w:rFonts w:asciiTheme="minorEastAsia" w:hAnsiTheme="minorEastAsia" w:eastAsiaTheme="minorEastAsia" w:cstheme="minorEastAsia"/>
          <w:szCs w:val="21"/>
        </w:rPr>
      </w:pPr>
      <w:bookmarkStart w:id="241" w:name="_Toc30002"/>
      <w:r>
        <w:rPr>
          <w:rFonts w:hint="eastAsia" w:asciiTheme="minorEastAsia" w:hAnsiTheme="minorEastAsia" w:eastAsiaTheme="minorEastAsia" w:cstheme="minorEastAsia"/>
          <w:szCs w:val="21"/>
        </w:rPr>
        <w:t>三、施工组织设计和工期</w:t>
      </w:r>
      <w:bookmarkEnd w:id="241"/>
    </w:p>
    <w:p w14:paraId="08606ECA">
      <w:pPr>
        <w:spacing w:line="276" w:lineRule="auto"/>
        <w:ind w:firstLine="379" w:firstLineChars="180"/>
        <w:rPr>
          <w:rFonts w:asciiTheme="minorEastAsia" w:hAnsiTheme="minorEastAsia" w:eastAsiaTheme="minorEastAsia" w:cstheme="minorEastAsia"/>
          <w:szCs w:val="21"/>
        </w:rPr>
      </w:pPr>
      <w:bookmarkStart w:id="242" w:name="_Toc11806"/>
      <w:r>
        <w:rPr>
          <w:rFonts w:hint="eastAsia" w:asciiTheme="minorEastAsia" w:hAnsiTheme="minorEastAsia" w:eastAsiaTheme="minorEastAsia" w:cstheme="minorEastAsia"/>
          <w:b/>
          <w:bCs/>
          <w:szCs w:val="21"/>
        </w:rPr>
        <w:t>7．</w:t>
      </w:r>
      <w:r>
        <w:rPr>
          <w:rFonts w:hint="eastAsia" w:asciiTheme="minorEastAsia" w:hAnsiTheme="minorEastAsia" w:eastAsiaTheme="minorEastAsia" w:cstheme="minorEastAsia"/>
          <w:szCs w:val="21"/>
        </w:rPr>
        <w:t>进度计划</w:t>
      </w:r>
      <w:bookmarkEnd w:id="242"/>
    </w:p>
    <w:p w14:paraId="40A4E52E">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7．1承包人提供施工组织设计（施工方案）和进度计划的时间：根据发包人要求。</w:t>
      </w:r>
    </w:p>
    <w:p w14:paraId="2D10DA52">
      <w:pPr>
        <w:spacing w:line="276" w:lineRule="auto"/>
        <w:ind w:firstLine="422" w:firstLineChars="200"/>
        <w:rPr>
          <w:rFonts w:asciiTheme="minorEastAsia" w:hAnsiTheme="minorEastAsia" w:eastAsiaTheme="minorEastAsia" w:cstheme="minorEastAsia"/>
          <w:szCs w:val="21"/>
        </w:rPr>
      </w:pPr>
      <w:bookmarkStart w:id="243" w:name="_Toc2435"/>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szCs w:val="21"/>
        </w:rPr>
        <w:t>工期延误</w:t>
      </w:r>
      <w:bookmarkEnd w:id="243"/>
    </w:p>
    <w:p w14:paraId="2330177E">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8．1双方约定工期顺延的其他情况：</w:t>
      </w:r>
      <w:r>
        <w:rPr>
          <w:rFonts w:hint="eastAsia" w:asciiTheme="minorEastAsia" w:hAnsiTheme="minorEastAsia" w:eastAsiaTheme="minorEastAsia" w:cstheme="minorEastAsia"/>
          <w:szCs w:val="21"/>
          <w:u w:val="single"/>
        </w:rPr>
        <w:t>非承包人的原因可能出现的特殊情况</w:t>
      </w:r>
      <w:r>
        <w:rPr>
          <w:rFonts w:hint="eastAsia" w:asciiTheme="minorEastAsia" w:hAnsiTheme="minorEastAsia" w:eastAsiaTheme="minorEastAsia" w:cstheme="minorEastAsia"/>
          <w:szCs w:val="21"/>
        </w:rPr>
        <w:t>。</w:t>
      </w:r>
    </w:p>
    <w:p w14:paraId="195D969B">
      <w:pPr>
        <w:spacing w:line="276" w:lineRule="auto"/>
        <w:rPr>
          <w:rFonts w:asciiTheme="minorEastAsia" w:hAnsiTheme="minorEastAsia" w:eastAsiaTheme="minorEastAsia" w:cstheme="minorEastAsia"/>
          <w:szCs w:val="21"/>
        </w:rPr>
      </w:pPr>
      <w:bookmarkStart w:id="244" w:name="_Toc5959"/>
      <w:r>
        <w:rPr>
          <w:rFonts w:hint="eastAsia" w:asciiTheme="minorEastAsia" w:hAnsiTheme="minorEastAsia" w:eastAsiaTheme="minorEastAsia" w:cstheme="minorEastAsia"/>
          <w:szCs w:val="21"/>
        </w:rPr>
        <w:t>四、安全施工</w:t>
      </w:r>
      <w:bookmarkEnd w:id="244"/>
      <w:r>
        <w:rPr>
          <w:rFonts w:hint="eastAsia" w:asciiTheme="minorEastAsia" w:hAnsiTheme="minorEastAsia" w:eastAsiaTheme="minorEastAsia" w:cstheme="minorEastAsia"/>
          <w:szCs w:val="21"/>
        </w:rPr>
        <w:t xml:space="preserve">                </w:t>
      </w:r>
    </w:p>
    <w:p w14:paraId="6B4C7BA1">
      <w:pPr>
        <w:spacing w:line="276"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此工程必须确保安全，若因中标人原因发生的不安全问题，由中标人自行负责处理并承担一切责任。</w:t>
      </w:r>
    </w:p>
    <w:p w14:paraId="7D7C5592">
      <w:pPr>
        <w:spacing w:line="276" w:lineRule="auto"/>
        <w:rPr>
          <w:rFonts w:asciiTheme="minorEastAsia" w:hAnsiTheme="minorEastAsia" w:eastAsiaTheme="minorEastAsia" w:cstheme="minorEastAsia"/>
          <w:szCs w:val="21"/>
        </w:rPr>
      </w:pPr>
      <w:bookmarkStart w:id="245" w:name="_Toc14034"/>
      <w:r>
        <w:rPr>
          <w:rFonts w:hint="eastAsia" w:asciiTheme="minorEastAsia" w:hAnsiTheme="minorEastAsia" w:eastAsiaTheme="minorEastAsia" w:cstheme="minorEastAsia"/>
          <w:szCs w:val="21"/>
        </w:rPr>
        <w:t>五、工程预付款</w:t>
      </w:r>
      <w:bookmarkEnd w:id="245"/>
    </w:p>
    <w:p w14:paraId="5488254B">
      <w:pPr>
        <w:spacing w:line="276" w:lineRule="auto"/>
        <w:ind w:firstLine="379" w:firstLineChars="180"/>
        <w:rPr>
          <w:rFonts w:asciiTheme="minorEastAsia" w:hAnsiTheme="minorEastAsia" w:eastAsiaTheme="minorEastAsia" w:cstheme="minorEastAsia"/>
          <w:szCs w:val="21"/>
        </w:rPr>
      </w:pPr>
      <w:bookmarkStart w:id="246" w:name="_Toc17303"/>
      <w:r>
        <w:rPr>
          <w:rFonts w:hint="eastAsia" w:asciiTheme="minorEastAsia" w:hAnsiTheme="minorEastAsia" w:eastAsiaTheme="minorEastAsia" w:cstheme="minorEastAsia"/>
          <w:b/>
          <w:bCs/>
          <w:szCs w:val="21"/>
        </w:rPr>
        <w:t>9．</w:t>
      </w:r>
      <w:r>
        <w:rPr>
          <w:rFonts w:hint="eastAsia" w:asciiTheme="minorEastAsia" w:hAnsiTheme="minorEastAsia" w:eastAsiaTheme="minorEastAsia" w:cstheme="minorEastAsia"/>
          <w:szCs w:val="21"/>
        </w:rPr>
        <w:t>工程款（进度款）支付</w:t>
      </w:r>
      <w:bookmarkEnd w:id="246"/>
    </w:p>
    <w:p w14:paraId="564D1472">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按工程形象进度付款，具体付款幅度如下：</w:t>
      </w:r>
    </w:p>
    <w:p w14:paraId="08CCB1D4">
      <w:pPr>
        <w:spacing w:line="276" w:lineRule="auto"/>
        <w:ind w:firstLine="482" w:firstLineChars="23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合同签订后，项目验收合格后无质量问题支付合同价的60%款项；审计合格后付至审计价的80%，一年后无质量问题付至审计价的90%，余款待验收合格质保结束后无质量问题一次性无息付清。</w:t>
      </w:r>
    </w:p>
    <w:p w14:paraId="213CB303">
      <w:pPr>
        <w:spacing w:line="276" w:lineRule="auto"/>
        <w:rPr>
          <w:rFonts w:asciiTheme="minorEastAsia" w:hAnsiTheme="minorEastAsia" w:eastAsiaTheme="minorEastAsia" w:cstheme="minorEastAsia"/>
          <w:szCs w:val="21"/>
        </w:rPr>
      </w:pPr>
      <w:bookmarkStart w:id="247" w:name="_Toc18760"/>
      <w:r>
        <w:rPr>
          <w:rFonts w:hint="eastAsia" w:asciiTheme="minorEastAsia" w:hAnsiTheme="minorEastAsia" w:eastAsiaTheme="minorEastAsia" w:cstheme="minorEastAsia"/>
          <w:szCs w:val="21"/>
        </w:rPr>
        <w:t>六、违约、索赔和争议</w:t>
      </w:r>
      <w:bookmarkEnd w:id="247"/>
    </w:p>
    <w:p w14:paraId="6A1CFEA9">
      <w:pPr>
        <w:spacing w:line="276" w:lineRule="auto"/>
        <w:ind w:firstLine="377" w:firstLineChars="179"/>
        <w:rPr>
          <w:rFonts w:asciiTheme="minorEastAsia" w:hAnsiTheme="minorEastAsia" w:eastAsiaTheme="minorEastAsia" w:cstheme="minorEastAsia"/>
          <w:szCs w:val="21"/>
        </w:rPr>
      </w:pPr>
      <w:bookmarkStart w:id="248" w:name="_Toc10664"/>
      <w:r>
        <w:rPr>
          <w:rFonts w:hint="eastAsia" w:asciiTheme="minorEastAsia" w:hAnsiTheme="minorEastAsia" w:eastAsiaTheme="minorEastAsia" w:cstheme="minorEastAsia"/>
          <w:b/>
          <w:bCs/>
          <w:szCs w:val="21"/>
        </w:rPr>
        <w:t>10</w:t>
      </w:r>
      <w:r>
        <w:rPr>
          <w:rFonts w:hint="eastAsia" w:asciiTheme="minorEastAsia" w:hAnsiTheme="minorEastAsia" w:eastAsiaTheme="minorEastAsia" w:cstheme="minorEastAsia"/>
          <w:szCs w:val="21"/>
        </w:rPr>
        <w:t>．违约</w:t>
      </w:r>
      <w:bookmarkEnd w:id="248"/>
    </w:p>
    <w:p w14:paraId="6EE09DCF">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10．1本合同中关于双方违约的具体责任如下：</w:t>
      </w:r>
    </w:p>
    <w:p w14:paraId="0AFA2F98">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本合同通用条款约定发包人违约应承担的违约责任：</w:t>
      </w:r>
      <w:r>
        <w:rPr>
          <w:rFonts w:hint="eastAsia" w:asciiTheme="minorEastAsia" w:hAnsiTheme="minorEastAsia" w:eastAsiaTheme="minorEastAsia" w:cstheme="minorEastAsia"/>
          <w:szCs w:val="21"/>
          <w:u w:val="single"/>
        </w:rPr>
        <w:t>按通用条款执行</w:t>
      </w:r>
      <w:r>
        <w:rPr>
          <w:rFonts w:hint="eastAsia" w:asciiTheme="minorEastAsia" w:hAnsiTheme="minorEastAsia" w:eastAsiaTheme="minorEastAsia" w:cstheme="minorEastAsia"/>
          <w:szCs w:val="21"/>
        </w:rPr>
        <w:t>。</w:t>
      </w:r>
    </w:p>
    <w:p w14:paraId="53532A0C">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本合同通用条款约定承包人违约应承担的违约责任：</w:t>
      </w:r>
      <w:r>
        <w:rPr>
          <w:rFonts w:hint="eastAsia" w:asciiTheme="minorEastAsia" w:hAnsiTheme="minorEastAsia" w:eastAsiaTheme="minorEastAsia" w:cstheme="minorEastAsia"/>
          <w:szCs w:val="21"/>
          <w:u w:val="single"/>
        </w:rPr>
        <w:t>按通用条款执行</w:t>
      </w:r>
      <w:r>
        <w:rPr>
          <w:rFonts w:hint="eastAsia" w:asciiTheme="minorEastAsia" w:hAnsiTheme="minorEastAsia" w:eastAsiaTheme="minorEastAsia" w:cstheme="minorEastAsia"/>
          <w:szCs w:val="21"/>
        </w:rPr>
        <w:t>。</w:t>
      </w:r>
    </w:p>
    <w:p w14:paraId="38E1B0AD">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双方约定的其他违约责任：</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14:paraId="41715F77">
      <w:pPr>
        <w:spacing w:line="276" w:lineRule="auto"/>
        <w:ind w:firstLine="482" w:firstLineChars="23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10.2 施工单位进场后必须在开工前将有关资质证明资料复印件加盖公章报甲方及监理单位备案，不报或未按时报罚款 1000 元。 </w:t>
      </w:r>
    </w:p>
    <w:p w14:paraId="4F9948E7">
      <w:pPr>
        <w:spacing w:line="276" w:lineRule="auto"/>
        <w:ind w:firstLine="482" w:firstLineChars="23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10.3 现场所使用材料设备（品牌或厂家等）需提供采购单据，并经甲方审查确认后使用，违者除材料退场外还将罚款 2000 元/次。 </w:t>
      </w:r>
    </w:p>
    <w:p w14:paraId="335D5456">
      <w:pPr>
        <w:spacing w:line="276" w:lineRule="auto"/>
        <w:ind w:firstLine="482" w:firstLineChars="23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10.4 材料设备进场后施工单位应进行自检，自检合格后向监理机构报验。报验时应提交厂家资质证书、出厂检验单、出厂合格证和一年内有效的质量抽检报告，对于重要的材料还应进行见证取样送检，经进场检验合格后方可使用，违者每次罚款 3000 元。 </w:t>
      </w:r>
    </w:p>
    <w:p w14:paraId="3D4FB3ED">
      <w:pPr>
        <w:spacing w:line="276" w:lineRule="auto"/>
        <w:ind w:firstLine="482" w:firstLineChars="23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10.5 对重要的工序、隐蔽工程进行双控，施工单位应提交“工程报验申请表”（监理表格）经监理机构初验后报甲方进行复验，验收合格后方可进行下道工序施工，违者罚款 1000 元/次。甲方、监理对工程质量提出整改要求时，施工单位必须积极主动配合落实，按时完成整改。对整改不按时或有意推脱的每项/次罚款 1000 元。        </w:t>
      </w:r>
    </w:p>
    <w:p w14:paraId="21F43066">
      <w:pPr>
        <w:spacing w:line="276" w:lineRule="auto"/>
        <w:ind w:firstLine="379" w:firstLineChars="180"/>
        <w:rPr>
          <w:rFonts w:asciiTheme="minorEastAsia" w:hAnsiTheme="minorEastAsia" w:eastAsiaTheme="minorEastAsia" w:cstheme="minorEastAsia"/>
          <w:szCs w:val="21"/>
        </w:rPr>
      </w:pPr>
      <w:bookmarkStart w:id="249" w:name="_Toc5085"/>
      <w:r>
        <w:rPr>
          <w:rFonts w:hint="eastAsia" w:asciiTheme="minorEastAsia" w:hAnsiTheme="minorEastAsia" w:eastAsiaTheme="minorEastAsia" w:cstheme="minorEastAsia"/>
          <w:b/>
          <w:bCs/>
          <w:szCs w:val="21"/>
        </w:rPr>
        <w:t>11</w:t>
      </w:r>
      <w:r>
        <w:rPr>
          <w:rFonts w:hint="eastAsia" w:asciiTheme="minorEastAsia" w:hAnsiTheme="minorEastAsia" w:eastAsiaTheme="minorEastAsia" w:cstheme="minorEastAsia"/>
          <w:szCs w:val="21"/>
        </w:rPr>
        <w:t>．争议</w:t>
      </w:r>
      <w:bookmarkEnd w:id="249"/>
    </w:p>
    <w:p w14:paraId="088EFECE">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11．1本合同在履行过程中发生的争议，由双方当事人协商解决，协商不成的，按下列第</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种方式解决：</w:t>
      </w:r>
    </w:p>
    <w:p w14:paraId="46043942">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w:t>
      </w:r>
      <w:r>
        <w:rPr>
          <w:rFonts w:hint="eastAsia" w:asciiTheme="minorEastAsia" w:hAnsiTheme="minorEastAsia" w:eastAsiaTheme="minorEastAsia" w:cstheme="minorEastAsia"/>
          <w:szCs w:val="21"/>
          <w:u w:val="single"/>
        </w:rPr>
        <w:t xml:space="preserve"> 盐城</w:t>
      </w:r>
      <w:r>
        <w:rPr>
          <w:rFonts w:hint="eastAsia" w:asciiTheme="minorEastAsia" w:hAnsiTheme="minorEastAsia" w:eastAsiaTheme="minorEastAsia" w:cstheme="minorEastAsia"/>
          <w:szCs w:val="21"/>
        </w:rPr>
        <w:t>仲裁委员会（建设工程仲裁办事处）仲裁；</w:t>
      </w:r>
    </w:p>
    <w:p w14:paraId="4D456BC0">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（2）依法向人民法院起诉。</w:t>
      </w:r>
    </w:p>
    <w:p w14:paraId="372BFA95">
      <w:pPr>
        <w:spacing w:line="276" w:lineRule="auto"/>
        <w:ind w:firstLine="379" w:firstLineChars="180"/>
        <w:rPr>
          <w:rFonts w:asciiTheme="minorEastAsia" w:hAnsiTheme="minorEastAsia" w:eastAsiaTheme="minorEastAsia" w:cstheme="minorEastAsia"/>
          <w:szCs w:val="21"/>
        </w:rPr>
      </w:pPr>
      <w:bookmarkStart w:id="250" w:name="_Toc21555"/>
      <w:r>
        <w:rPr>
          <w:rFonts w:hint="eastAsia" w:asciiTheme="minorEastAsia" w:hAnsiTheme="minorEastAsia" w:eastAsiaTheme="minorEastAsia" w:cstheme="minorEastAsia"/>
          <w:b/>
          <w:bCs/>
          <w:szCs w:val="21"/>
        </w:rPr>
        <w:t>12</w:t>
      </w:r>
      <w:r>
        <w:rPr>
          <w:rFonts w:hint="eastAsia" w:asciiTheme="minorEastAsia" w:hAnsiTheme="minorEastAsia" w:eastAsiaTheme="minorEastAsia" w:cstheme="minorEastAsia"/>
          <w:szCs w:val="21"/>
        </w:rPr>
        <w:t>．不可抗力</w:t>
      </w:r>
      <w:bookmarkEnd w:id="250"/>
    </w:p>
    <w:p w14:paraId="3893990D">
      <w:pPr>
        <w:spacing w:line="276" w:lineRule="auto"/>
        <w:ind w:firstLine="482" w:firstLineChars="23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12．1双方关于不可抗力的约定：</w:t>
      </w:r>
      <w:r>
        <w:rPr>
          <w:rFonts w:hint="eastAsia" w:asciiTheme="minorEastAsia" w:hAnsiTheme="minorEastAsia" w:eastAsiaTheme="minorEastAsia" w:cstheme="minorEastAsia"/>
          <w:szCs w:val="21"/>
          <w:u w:val="single"/>
        </w:rPr>
        <w:t>按通用条款规定执行</w:t>
      </w:r>
      <w:r>
        <w:rPr>
          <w:rFonts w:hint="eastAsia" w:asciiTheme="minorEastAsia" w:hAnsiTheme="minorEastAsia" w:eastAsiaTheme="minorEastAsia" w:cstheme="minorEastAsia"/>
          <w:szCs w:val="21"/>
        </w:rPr>
        <w:t>。</w:t>
      </w:r>
    </w:p>
    <w:p w14:paraId="3200D8B3">
      <w:pPr>
        <w:spacing w:line="276" w:lineRule="auto"/>
        <w:ind w:firstLine="378" w:firstLineChars="180"/>
        <w:rPr>
          <w:rFonts w:asciiTheme="minorEastAsia" w:hAnsiTheme="minorEastAsia" w:eastAsiaTheme="minorEastAsia" w:cstheme="minorEastAsia"/>
          <w:szCs w:val="21"/>
        </w:rPr>
      </w:pPr>
      <w:bookmarkStart w:id="251" w:name="_Toc29569"/>
      <w:r>
        <w:rPr>
          <w:rFonts w:hint="eastAsia" w:asciiTheme="minorEastAsia" w:hAnsiTheme="minorEastAsia" w:eastAsiaTheme="minorEastAsia" w:cstheme="minorEastAsia"/>
          <w:szCs w:val="21"/>
        </w:rPr>
        <w:t>13．保险</w:t>
      </w:r>
      <w:bookmarkEnd w:id="251"/>
    </w:p>
    <w:p w14:paraId="35CF81F5">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13.1本工程双方约定投保内容如下：</w:t>
      </w:r>
    </w:p>
    <w:p w14:paraId="6CBEB940">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（1）发包人投包内容：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44920F82">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发包人委托承包人办理的保险事项：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492854FF">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（2）承包人投保内容：</w:t>
      </w:r>
      <w:r>
        <w:rPr>
          <w:rFonts w:hint="eastAsia" w:asciiTheme="minorEastAsia" w:hAnsiTheme="minorEastAsia" w:eastAsiaTheme="minorEastAsia" w:cstheme="minorEastAsia"/>
          <w:szCs w:val="21"/>
          <w:u w:val="single"/>
        </w:rPr>
        <w:t>按要求对施工现场内的员工的人身伤害及财产、从事危险作业员工的意外伤害参加保险</w:t>
      </w:r>
      <w:r>
        <w:rPr>
          <w:rFonts w:hint="eastAsia" w:asciiTheme="minorEastAsia" w:hAnsiTheme="minorEastAsia" w:eastAsiaTheme="minorEastAsia" w:cstheme="minorEastAsia"/>
          <w:szCs w:val="21"/>
        </w:rPr>
        <w:t>。</w:t>
      </w:r>
    </w:p>
    <w:p w14:paraId="6176BCA3">
      <w:pPr>
        <w:spacing w:line="276" w:lineRule="auto"/>
        <w:ind w:firstLine="379" w:firstLineChars="180"/>
        <w:rPr>
          <w:rFonts w:asciiTheme="minorEastAsia" w:hAnsiTheme="minorEastAsia" w:eastAsiaTheme="minorEastAsia" w:cstheme="minorEastAsia"/>
          <w:szCs w:val="21"/>
        </w:rPr>
      </w:pPr>
      <w:bookmarkStart w:id="252" w:name="_Toc7448"/>
      <w:r>
        <w:rPr>
          <w:rFonts w:hint="eastAsia" w:asciiTheme="minorEastAsia" w:hAnsiTheme="minorEastAsia" w:eastAsiaTheme="minorEastAsia" w:cstheme="minorEastAsia"/>
          <w:b/>
          <w:bCs/>
          <w:szCs w:val="21"/>
        </w:rPr>
        <w:t>14</w:t>
      </w:r>
      <w:r>
        <w:rPr>
          <w:rFonts w:hint="eastAsia" w:asciiTheme="minorEastAsia" w:hAnsiTheme="minorEastAsia" w:eastAsiaTheme="minorEastAsia" w:cstheme="minorEastAsia"/>
          <w:szCs w:val="21"/>
        </w:rPr>
        <w:t>．担保</w:t>
      </w:r>
      <w:bookmarkEnd w:id="252"/>
    </w:p>
    <w:p w14:paraId="7CD9C724">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14.1本工程双方约定担保事项如下：</w:t>
      </w:r>
    </w:p>
    <w:p w14:paraId="2EB70278">
      <w:pPr>
        <w:spacing w:line="276" w:lineRule="auto"/>
        <w:ind w:firstLine="363" w:firstLineChars="18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发包人向承包人提供履约担保，担保方式为：</w:t>
      </w:r>
      <w:r>
        <w:rPr>
          <w:rFonts w:hint="eastAsia" w:asciiTheme="minorEastAsia" w:hAnsiTheme="minorEastAsia" w:eastAsiaTheme="minorEastAsia" w:cstheme="minorEastAsia"/>
          <w:spacing w:val="-4"/>
          <w:szCs w:val="21"/>
          <w:u w:val="single"/>
        </w:rPr>
        <w:t xml:space="preserve">  /  </w:t>
      </w:r>
      <w:r>
        <w:rPr>
          <w:rFonts w:hint="eastAsia" w:asciiTheme="minorEastAsia" w:hAnsiTheme="minorEastAsia" w:eastAsiaTheme="minorEastAsia" w:cstheme="minorEastAsia"/>
          <w:spacing w:val="-4"/>
          <w:szCs w:val="21"/>
        </w:rPr>
        <w:t>担保合同作为本合同的附件。</w:t>
      </w:r>
    </w:p>
    <w:p w14:paraId="258024F9">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（2）承包人向发包人提供履约保证金为：</w:t>
      </w:r>
      <w:r>
        <w:rPr>
          <w:rFonts w:hint="eastAsia" w:asciiTheme="minorEastAsia" w:hAnsiTheme="minorEastAsia" w:eastAsiaTheme="minorEastAsia" w:cstheme="minorEastAsia"/>
          <w:szCs w:val="21"/>
          <w:u w:val="single"/>
        </w:rPr>
        <w:t>中标价的 5%</w:t>
      </w:r>
      <w:r>
        <w:rPr>
          <w:rFonts w:hint="eastAsia" w:asciiTheme="minorEastAsia" w:hAnsiTheme="minorEastAsia" w:eastAsiaTheme="minorEastAsia" w:cstheme="minorEastAsia"/>
          <w:szCs w:val="21"/>
        </w:rPr>
        <w:t>。</w:t>
      </w:r>
    </w:p>
    <w:p w14:paraId="1052746A">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（3）双方约定的其他担保事项：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1924F7DF">
      <w:pPr>
        <w:spacing w:line="276" w:lineRule="auto"/>
        <w:ind w:firstLine="379" w:firstLineChars="180"/>
        <w:rPr>
          <w:rFonts w:asciiTheme="minorEastAsia" w:hAnsiTheme="minorEastAsia" w:eastAsiaTheme="minorEastAsia" w:cstheme="minorEastAsia"/>
          <w:b/>
          <w:bCs/>
          <w:szCs w:val="21"/>
        </w:rPr>
      </w:pPr>
      <w:bookmarkStart w:id="253" w:name="_Toc20605"/>
      <w:r>
        <w:rPr>
          <w:rFonts w:hint="eastAsia" w:asciiTheme="minorEastAsia" w:hAnsiTheme="minorEastAsia" w:eastAsiaTheme="minorEastAsia" w:cstheme="minorEastAsia"/>
          <w:b/>
          <w:bCs/>
          <w:szCs w:val="21"/>
        </w:rPr>
        <w:t>15．其他</w:t>
      </w:r>
      <w:bookmarkEnd w:id="253"/>
    </w:p>
    <w:p w14:paraId="2801386F">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  投标承诺的项目经理及项目组成员必须全部到场，投标中标的项目经理必须到现场组织指挥施工，否则，按违约处理。</w:t>
      </w:r>
    </w:p>
    <w:p w14:paraId="45910F6F">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  工期：要求工期</w:t>
      </w:r>
      <w:r>
        <w:rPr>
          <w:rFonts w:hint="eastAsia" w:asciiTheme="minorEastAsia" w:hAnsiTheme="minorEastAsia" w:eastAsiaTheme="minorEastAsia" w:cstheme="minorEastAsia"/>
          <w:b/>
          <w:bCs/>
          <w:szCs w:val="21"/>
          <w:u w:val="single"/>
        </w:rPr>
        <w:t>60</w:t>
      </w:r>
      <w:r>
        <w:rPr>
          <w:rFonts w:hint="eastAsia" w:asciiTheme="minorEastAsia" w:hAnsiTheme="minorEastAsia" w:eastAsiaTheme="minorEastAsia" w:cstheme="minorEastAsia"/>
          <w:b/>
          <w:bCs/>
          <w:szCs w:val="21"/>
        </w:rPr>
        <w:t>日历天</w:t>
      </w:r>
      <w:r>
        <w:rPr>
          <w:rFonts w:hint="eastAsia" w:asciiTheme="minorEastAsia" w:hAnsiTheme="minorEastAsia" w:eastAsiaTheme="minorEastAsia" w:cstheme="minorEastAsia"/>
          <w:szCs w:val="21"/>
        </w:rPr>
        <w:t>。</w:t>
      </w:r>
    </w:p>
    <w:p w14:paraId="38075BCC">
      <w:pPr>
        <w:ind w:firstLine="422" w:firstLineChars="200"/>
        <w:rPr>
          <w:rFonts w:asciiTheme="minorEastAsia" w:hAnsiTheme="minorEastAsia" w:eastAsiaTheme="minorEastAsia" w:cstheme="minorEastAsia"/>
          <w:szCs w:val="21"/>
        </w:rPr>
      </w:pPr>
      <w:r>
        <w:rPr>
          <w:rFonts w:hint="eastAsia" w:ascii="宋体" w:hAnsi="宋体" w:cs="宋体"/>
          <w:b/>
          <w:bCs/>
          <w:szCs w:val="21"/>
        </w:rPr>
        <w:t>注：</w:t>
      </w:r>
      <w:r>
        <w:rPr>
          <w:rFonts w:hint="eastAsia" w:asciiTheme="minorEastAsia" w:hAnsiTheme="minorEastAsia" w:eastAsiaTheme="minorEastAsia" w:cstheme="minorEastAsia"/>
          <w:b/>
          <w:bCs/>
          <w:szCs w:val="21"/>
        </w:rPr>
        <w:t>如因施工单位自身施工组织问题造成工期延误的，延误时间如超过3天，每延误一天，处罚1000元，如因工期延误，造成学校重大影响的，学校有权追究责任。（工程延误处罚款项在审计时直接扣除）</w:t>
      </w:r>
    </w:p>
    <w:p w14:paraId="626E04DA">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合同工期按承包人投标时的承诺工期。承包人应按照投标文件承诺的工期确保工程验收，并交付使用。</w:t>
      </w:r>
    </w:p>
    <w:p w14:paraId="6F54EEAF">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  安全施工： 此工程必须确保安全，若因中标人原因发生的不安全问题，由中标人自行负责处理并承担一切责任。</w:t>
      </w:r>
    </w:p>
    <w:p w14:paraId="07E0AEDD">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   工程结算：</w:t>
      </w:r>
    </w:p>
    <w:p w14:paraId="70561085">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15.4.1本工程采用限定总价审计结算方法，经审计后确认合同审计总价（审计时中标单价不作调整），但合同审计总价不得高于中标总价（不包含签证变更部分）</w:t>
      </w:r>
    </w:p>
    <w:p w14:paraId="48C779D9">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15.4.2结算总价=合同审计总价+签证变更的审计总价</w:t>
      </w:r>
    </w:p>
    <w:p w14:paraId="73849CFC">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15.4.3 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14:paraId="20DD700C">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15.4.4  中标后竣工结算时合同总价不调整，结算总价调整幅度不超过中标总价。</w:t>
      </w:r>
    </w:p>
    <w:p w14:paraId="17A7F81B">
      <w:pPr>
        <w:snapToGrid w:val="0"/>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  保修：</w:t>
      </w:r>
      <w:r>
        <w:rPr>
          <w:rFonts w:hint="eastAsia" w:asciiTheme="minorEastAsia" w:hAnsiTheme="minorEastAsia" w:eastAsiaTheme="minorEastAsia" w:cstheme="minorEastAsia"/>
          <w:b/>
          <w:bCs/>
          <w:szCs w:val="21"/>
        </w:rPr>
        <w:t>本项目质保期</w:t>
      </w:r>
      <w:r>
        <w:rPr>
          <w:rFonts w:hint="eastAsia" w:asciiTheme="minorEastAsia" w:hAnsiTheme="minorEastAsia" w:eastAsiaTheme="minorEastAsia" w:cstheme="minorEastAsia"/>
          <w:b/>
          <w:bCs/>
          <w:szCs w:val="21"/>
          <w:u w:val="single"/>
        </w:rPr>
        <w:t>叁</w:t>
      </w:r>
      <w:r>
        <w:rPr>
          <w:rFonts w:hint="eastAsia" w:asciiTheme="minorEastAsia" w:hAnsiTheme="minorEastAsia" w:eastAsiaTheme="minorEastAsia" w:cstheme="minorEastAsia"/>
          <w:b/>
          <w:bCs/>
          <w:szCs w:val="21"/>
        </w:rPr>
        <w:t>年，</w:t>
      </w:r>
      <w:r>
        <w:rPr>
          <w:rFonts w:hint="eastAsia" w:asciiTheme="minorEastAsia" w:hAnsiTheme="minorEastAsia" w:eastAsiaTheme="minorEastAsia" w:cstheme="minorEastAsia"/>
          <w:szCs w:val="21"/>
        </w:rPr>
        <w:t>质量保修期从工程竣工验收合格之日起计算，具体保修范围、保修期限、保修责任、保修金的支付、返还应按《建设工程质量管理条例》和《房屋建筑工程质量保修办法》及双方约定执行。</w:t>
      </w:r>
    </w:p>
    <w:p w14:paraId="79FD0813">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15.6  分包：发包人不允许承包人将工程转包和违法分包给任何第三方，如发现转包或违法分包行为，限令改正，否则发包方有权立即中止合同，扣除履约担保，承包方负违约责任。</w:t>
      </w:r>
    </w:p>
    <w:p w14:paraId="4C2EF3A5">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15.7  违约责任：按《民法典》执行</w:t>
      </w:r>
    </w:p>
    <w:p w14:paraId="17F92881">
      <w:pPr>
        <w:snapToGrid w:val="0"/>
        <w:spacing w:line="276" w:lineRule="auto"/>
        <w:ind w:firstLine="417" w:firstLineChars="198"/>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15.8、特别说明：</w:t>
      </w:r>
    </w:p>
    <w:p w14:paraId="2E9B4D75">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该工程施工过程中项目负责人和投标时确认的项目部人员必须常驻现场实施施工管理，并参与建设单位的日常考勤。中途项目负责人和项目部人员需离岗必须履行书面请假手续并经发包人同意。若未经发包人同意而擅自离岗的，将处以每人每天 500元的违约金，在支付工程款时从应付的工程款中扣除。若擅自离岗连续达7天以上的，经发包人提出仍未改正的，发包人有权终止合同，因此给发包人造成损失的，发包人将依法追偿。</w:t>
      </w:r>
    </w:p>
    <w:p w14:paraId="1CFEFFD6">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2．承包人在选择材料、设备时，应在满足本项目设计标准、质量和使用要求的前提下，选用同档次的优质优价的产品。</w:t>
      </w:r>
    </w:p>
    <w:p w14:paraId="4ED374A3">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3．承包人已对现场进行了充分勘察，并将临时施工便道考虑在投标报价中，费用包干，承包方提出与此有关费用的索赔发包人不予支付。</w:t>
      </w:r>
    </w:p>
    <w:p w14:paraId="475191BB">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4．承包人已进行现场勘察，并将从发包人指定的水、电接口接至施工现场的电缆、</w:t>
      </w:r>
    </w:p>
    <w:p w14:paraId="4AFDBBEA">
      <w:pPr>
        <w:snapToGrid w:val="0"/>
        <w:spacing w:line="276"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水管等材料及施工费用考虑在投标报价中，费用包干；施工过程中所用水、电向建设单</w:t>
      </w:r>
    </w:p>
    <w:p w14:paraId="368B09FA">
      <w:pPr>
        <w:snapToGrid w:val="0"/>
        <w:spacing w:line="276"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位协调，费用交建设单位。水电费损耗按所用水、电量占总用水、电量比率分摊。</w:t>
      </w:r>
    </w:p>
    <w:p w14:paraId="6BBF38BE">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5．承包人在投标时已充分考虑在施工期间必须设置醒目的交通安全标志、标牌及警示灯，同时保证道路正常通行。</w:t>
      </w:r>
    </w:p>
    <w:p w14:paraId="21A29F8F">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6．承包人必须到现场进行勘察向发包人了解施工现状，充分考虑本工程施工中可预见或不可预见的情况，各项事宜必须服从发包人安排和管理。</w:t>
      </w:r>
    </w:p>
    <w:p w14:paraId="5D9A0E7B">
      <w:pPr>
        <w:snapToGrid w:val="0"/>
        <w:spacing w:line="276"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bookmarkStart w:id="254" w:name="_Toc4544"/>
      <w:r>
        <w:rPr>
          <w:rFonts w:hint="eastAsia" w:asciiTheme="minorEastAsia" w:hAnsiTheme="minorEastAsia" w:eastAsiaTheme="minorEastAsia" w:cstheme="minorEastAsia"/>
          <w:kern w:val="0"/>
          <w:szCs w:val="21"/>
        </w:rPr>
        <w:t>7．工程价款一律通过银行非现金结算。</w:t>
      </w:r>
      <w:bookmarkEnd w:id="254"/>
    </w:p>
    <w:p w14:paraId="40C35791">
      <w:pPr>
        <w:spacing w:line="276" w:lineRule="auto"/>
        <w:ind w:firstLine="415" w:firstLineChars="197"/>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15.9 招标内容及详细的做法要求（任务要求）</w:t>
      </w:r>
    </w:p>
    <w:p w14:paraId="475CA792">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本招标项目内容、任务、要求以招标文件、施工设计方案和招标人要求为准，基本要求如下（附任务清单）：</w:t>
      </w:r>
    </w:p>
    <w:p w14:paraId="40BD4D24">
      <w:pPr>
        <w:snapToGrid w:val="0"/>
        <w:spacing w:line="276"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特别说明：</w:t>
      </w:r>
    </w:p>
    <w:p w14:paraId="5E5DB1D3">
      <w:pPr>
        <w:spacing w:line="276" w:lineRule="auto"/>
        <w:ind w:firstLine="417" w:firstLineChars="19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1．报价书的格式投标自拟装修清单格式报价。管理费、税金等的费率由投标人自行测试计取，竣工结算时向招标人提供建安发票。 </w:t>
      </w:r>
    </w:p>
    <w:p w14:paraId="1B11E855">
      <w:pPr>
        <w:spacing w:line="276" w:lineRule="auto"/>
        <w:ind w:firstLine="417" w:firstLineChars="19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注：投标人应包含全部费用进行报价，对未报价项目视为优惠，其价格包含在其他报价中，中标后一律不得另行计取。投标人的计算错误风险一律由投标人自行承担，中标后招标人将按有利于招标人的原则进行修正。 </w:t>
      </w:r>
    </w:p>
    <w:p w14:paraId="4FD49EDB">
      <w:pPr>
        <w:spacing w:line="276" w:lineRule="auto"/>
        <w:ind w:firstLine="417" w:firstLineChars="19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2．本项目主要材料最终使用时品牌、品质等需经建设单位认可后方可进场。建设单位有权在颜色、样式、用量、材质、配置等方面做出适当调整，但价格不予调整。 </w:t>
      </w:r>
    </w:p>
    <w:p w14:paraId="2A586ABD">
      <w:pPr>
        <w:spacing w:line="276" w:lineRule="auto"/>
        <w:ind w:firstLine="417" w:firstLineChars="19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3．项目施工过程中的主要材料检测及竣工后环境质量检测等检测服务费用由施工单位承担（检测项目由校方核定，数量参照国家有关标准）</w:t>
      </w:r>
    </w:p>
    <w:p w14:paraId="00C49928">
      <w:pPr>
        <w:spacing w:line="276" w:lineRule="auto"/>
        <w:ind w:firstLine="420" w:firstLineChars="199"/>
        <w:rPr>
          <w:rFonts w:asciiTheme="minorEastAsia" w:hAnsiTheme="minorEastAsia" w:eastAsiaTheme="minorEastAsia" w:cstheme="minorEastAsia"/>
          <w:szCs w:val="21"/>
        </w:rPr>
      </w:pPr>
      <w:bookmarkStart w:id="255" w:name="_Toc14291"/>
      <w:r>
        <w:rPr>
          <w:rFonts w:hint="eastAsia" w:asciiTheme="minorEastAsia" w:hAnsiTheme="minorEastAsia" w:eastAsiaTheme="minorEastAsia" w:cstheme="minorEastAsia"/>
          <w:b/>
          <w:szCs w:val="21"/>
        </w:rPr>
        <w:t>16．</w:t>
      </w:r>
      <w:r>
        <w:rPr>
          <w:rFonts w:hint="eastAsia" w:asciiTheme="minorEastAsia" w:hAnsiTheme="minorEastAsia" w:eastAsiaTheme="minorEastAsia" w:cstheme="minorEastAsia"/>
          <w:szCs w:val="21"/>
        </w:rPr>
        <w:t>合同份数</w:t>
      </w:r>
      <w:bookmarkEnd w:id="255"/>
    </w:p>
    <w:p w14:paraId="1709B08D">
      <w:pPr>
        <w:spacing w:line="276"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16．1双方约定合同份数： </w:t>
      </w:r>
      <w:r>
        <w:rPr>
          <w:rFonts w:hint="eastAsia" w:asciiTheme="minorEastAsia" w:hAnsiTheme="minorEastAsia" w:eastAsiaTheme="minorEastAsia" w:cstheme="minorEastAsia"/>
          <w:szCs w:val="21"/>
          <w:u w:val="single"/>
        </w:rPr>
        <w:t xml:space="preserve">一式六份，正本壹份，副本五份 </w:t>
      </w:r>
      <w:r>
        <w:rPr>
          <w:rFonts w:hint="eastAsia" w:asciiTheme="minorEastAsia" w:hAnsiTheme="minorEastAsia" w:eastAsiaTheme="minorEastAsia" w:cstheme="minorEastAsia"/>
          <w:szCs w:val="21"/>
        </w:rPr>
        <w:t>。</w:t>
      </w:r>
    </w:p>
    <w:p w14:paraId="4E167985">
      <w:pPr>
        <w:pStyle w:val="9"/>
      </w:pPr>
    </w:p>
    <w:p w14:paraId="6A9B6721">
      <w:pPr>
        <w:rPr>
          <w:rFonts w:ascii="宋体" w:hAnsi="宋体" w:cs="Calibri"/>
          <w:b/>
          <w:szCs w:val="21"/>
        </w:rPr>
      </w:pPr>
    </w:p>
    <w:p w14:paraId="177490B3">
      <w:pPr>
        <w:rPr>
          <w:rFonts w:ascii="宋体" w:hAnsi="宋体" w:cs="Calibri"/>
          <w:b/>
          <w:szCs w:val="21"/>
        </w:rPr>
      </w:pPr>
    </w:p>
    <w:p w14:paraId="4CD6CEC6">
      <w:pPr>
        <w:rPr>
          <w:rFonts w:ascii="宋体" w:hAnsi="宋体" w:cs="Calibri"/>
          <w:b/>
          <w:szCs w:val="21"/>
        </w:rPr>
      </w:pPr>
    </w:p>
    <w:p w14:paraId="50C7100F">
      <w:pPr>
        <w:rPr>
          <w:rFonts w:ascii="宋体" w:hAnsi="宋体" w:cs="Calibri"/>
          <w:b/>
          <w:szCs w:val="21"/>
        </w:rPr>
      </w:pPr>
    </w:p>
    <w:p w14:paraId="25627AA9">
      <w:pPr>
        <w:rPr>
          <w:rFonts w:ascii="宋体" w:hAnsi="宋体" w:cs="Calibri"/>
          <w:b/>
          <w:szCs w:val="21"/>
        </w:rPr>
      </w:pPr>
    </w:p>
    <w:p w14:paraId="669ED900">
      <w:pPr>
        <w:rPr>
          <w:rFonts w:ascii="宋体" w:hAnsi="宋体" w:cs="Calibri"/>
          <w:b/>
          <w:szCs w:val="21"/>
        </w:rPr>
      </w:pPr>
    </w:p>
    <w:p w14:paraId="3FA41A13">
      <w:pPr>
        <w:rPr>
          <w:rFonts w:ascii="宋体" w:hAnsi="宋体" w:cs="Calibri"/>
          <w:b/>
          <w:szCs w:val="21"/>
        </w:rPr>
      </w:pPr>
    </w:p>
    <w:p w14:paraId="5872035C">
      <w:pPr>
        <w:rPr>
          <w:rFonts w:ascii="宋体" w:hAnsi="宋体" w:cs="Calibri"/>
          <w:b/>
          <w:szCs w:val="21"/>
        </w:rPr>
      </w:pPr>
    </w:p>
    <w:p w14:paraId="01F93442">
      <w:pPr>
        <w:rPr>
          <w:rFonts w:ascii="宋体" w:hAnsi="宋体" w:cs="Calibri"/>
          <w:b/>
          <w:szCs w:val="21"/>
        </w:rPr>
      </w:pPr>
    </w:p>
    <w:p w14:paraId="7E39D853">
      <w:pPr>
        <w:rPr>
          <w:rFonts w:ascii="宋体" w:hAnsi="宋体" w:cs="Calibri"/>
          <w:b/>
          <w:szCs w:val="21"/>
        </w:rPr>
      </w:pPr>
    </w:p>
    <w:p w14:paraId="26633C70">
      <w:pPr>
        <w:spacing w:line="300" w:lineRule="exact"/>
        <w:ind w:firstLine="422" w:firstLineChars="200"/>
        <w:jc w:val="center"/>
        <w:rPr>
          <w:rFonts w:ascii="宋体" w:hAnsi="宋体" w:cs="Calibri"/>
          <w:b/>
          <w:szCs w:val="21"/>
        </w:rPr>
      </w:pPr>
      <w:bookmarkStart w:id="256" w:name="_Toc24801"/>
      <w:bookmarkStart w:id="257" w:name="_Toc21367"/>
      <w:bookmarkStart w:id="258" w:name="_Toc20981"/>
      <w:bookmarkStart w:id="259" w:name="_Toc28666"/>
    </w:p>
    <w:p w14:paraId="75E05579">
      <w:pPr>
        <w:spacing w:line="300" w:lineRule="exact"/>
        <w:ind w:firstLine="422" w:firstLineChars="200"/>
        <w:jc w:val="center"/>
        <w:rPr>
          <w:rFonts w:hint="eastAsia" w:ascii="宋体" w:hAnsi="宋体" w:cs="Calibri"/>
          <w:b/>
          <w:szCs w:val="21"/>
        </w:rPr>
      </w:pPr>
    </w:p>
    <w:p w14:paraId="2D697937">
      <w:pPr>
        <w:spacing w:line="300" w:lineRule="exact"/>
        <w:ind w:firstLine="422" w:firstLineChars="200"/>
        <w:jc w:val="center"/>
        <w:rPr>
          <w:rFonts w:hint="eastAsia" w:ascii="宋体" w:hAnsi="宋体" w:cs="Calibri"/>
          <w:b/>
          <w:szCs w:val="21"/>
        </w:rPr>
      </w:pPr>
    </w:p>
    <w:p w14:paraId="7959B103">
      <w:pPr>
        <w:spacing w:line="300" w:lineRule="exact"/>
        <w:ind w:firstLine="422" w:firstLineChars="200"/>
        <w:jc w:val="center"/>
        <w:rPr>
          <w:rFonts w:hint="eastAsia" w:ascii="宋体" w:hAnsi="宋体" w:cs="Calibri"/>
          <w:b/>
          <w:szCs w:val="21"/>
        </w:rPr>
      </w:pPr>
    </w:p>
    <w:p w14:paraId="68E4DC27">
      <w:pPr>
        <w:spacing w:line="300" w:lineRule="exact"/>
        <w:ind w:firstLine="422" w:firstLineChars="200"/>
        <w:jc w:val="center"/>
        <w:rPr>
          <w:rFonts w:ascii="宋体" w:hAnsi="宋体" w:cs="Calibri"/>
          <w:b/>
          <w:szCs w:val="21"/>
        </w:rPr>
      </w:pPr>
      <w:r>
        <w:rPr>
          <w:rFonts w:hint="eastAsia" w:ascii="宋体" w:hAnsi="宋体" w:cs="Calibri"/>
          <w:b/>
          <w:szCs w:val="21"/>
        </w:rPr>
        <w:t>工程</w:t>
      </w:r>
      <w:r>
        <w:rPr>
          <w:rFonts w:ascii="宋体" w:hAnsi="宋体" w:cs="Calibri"/>
          <w:b/>
          <w:szCs w:val="21"/>
        </w:rPr>
        <w:t>安全生产责任状</w:t>
      </w:r>
      <w:bookmarkEnd w:id="256"/>
      <w:bookmarkEnd w:id="257"/>
      <w:bookmarkEnd w:id="258"/>
      <w:bookmarkEnd w:id="259"/>
    </w:p>
    <w:p w14:paraId="5EA617A6">
      <w:pPr>
        <w:spacing w:line="440" w:lineRule="exact"/>
        <w:rPr>
          <w:rFonts w:ascii="宋体" w:hAnsi="宋体"/>
          <w:szCs w:val="21"/>
        </w:rPr>
      </w:pPr>
    </w:p>
    <w:p w14:paraId="3340A3C8">
      <w:pPr>
        <w:widowControl/>
        <w:spacing w:line="276" w:lineRule="auto"/>
        <w:rPr>
          <w:rFonts w:ascii="宋体" w:hAnsi="宋体"/>
          <w:szCs w:val="21"/>
        </w:rPr>
      </w:pPr>
      <w:r>
        <w:rPr>
          <w:rFonts w:ascii="宋体" w:hAnsi="宋体"/>
          <w:szCs w:val="21"/>
        </w:rPr>
        <w:t>发包人</w:t>
      </w:r>
      <w:r>
        <w:rPr>
          <w:rFonts w:hint="eastAsia" w:ascii="宋体" w:hAnsi="宋体"/>
          <w:szCs w:val="21"/>
        </w:rPr>
        <w:t>：</w:t>
      </w:r>
    </w:p>
    <w:p w14:paraId="3114C351">
      <w:pPr>
        <w:widowControl/>
        <w:spacing w:line="276" w:lineRule="auto"/>
        <w:rPr>
          <w:rFonts w:ascii="宋体" w:hAnsi="宋体"/>
          <w:szCs w:val="21"/>
        </w:rPr>
      </w:pPr>
      <w:r>
        <w:rPr>
          <w:rFonts w:ascii="宋体" w:hAnsi="宋体"/>
          <w:szCs w:val="21"/>
        </w:rPr>
        <w:t>承包人</w:t>
      </w:r>
      <w:r>
        <w:rPr>
          <w:rFonts w:hint="eastAsia" w:ascii="宋体" w:hAnsi="宋体"/>
          <w:szCs w:val="21"/>
        </w:rPr>
        <w:t>：</w:t>
      </w:r>
    </w:p>
    <w:p w14:paraId="11956C22">
      <w:pPr>
        <w:widowControl/>
        <w:spacing w:line="276" w:lineRule="auto"/>
        <w:ind w:firstLine="409" w:firstLineChars="195"/>
        <w:rPr>
          <w:rFonts w:ascii="宋体" w:hAnsi="宋体"/>
          <w:szCs w:val="21"/>
        </w:rPr>
      </w:pPr>
      <w:r>
        <w:rPr>
          <w:rFonts w:ascii="宋体" w:hAnsi="宋体"/>
          <w:szCs w:val="21"/>
        </w:rPr>
        <w:t>为贯彻“安全第一，预防为主”方针，明确双方的安全责任，切实加强</w:t>
      </w:r>
      <w:r>
        <w:rPr>
          <w:rFonts w:hint="eastAsia" w:ascii="宋体" w:hAnsi="宋体"/>
          <w:szCs w:val="21"/>
        </w:rPr>
        <w:t>工程</w:t>
      </w:r>
      <w:r>
        <w:rPr>
          <w:rFonts w:ascii="宋体" w:hAnsi="宋体"/>
          <w:szCs w:val="21"/>
        </w:rPr>
        <w:t>管理，确保施工中人身和设备安全，根据国家有关法律法规，经双方协商一致签订</w:t>
      </w:r>
      <w:r>
        <w:rPr>
          <w:rFonts w:hint="eastAsia" w:ascii="宋体" w:hAnsi="宋体"/>
          <w:szCs w:val="21"/>
        </w:rPr>
        <w:t>工程</w:t>
      </w:r>
      <w:r>
        <w:rPr>
          <w:rFonts w:ascii="宋体" w:hAnsi="宋体"/>
          <w:szCs w:val="21"/>
        </w:rPr>
        <w:t>安全生产管理目标责任状如下：</w:t>
      </w:r>
    </w:p>
    <w:p w14:paraId="551A1376">
      <w:pPr>
        <w:widowControl/>
        <w:spacing w:line="276" w:lineRule="auto"/>
        <w:ind w:firstLine="420" w:firstLineChars="200"/>
        <w:rPr>
          <w:rFonts w:ascii="宋体" w:hAnsi="宋体"/>
          <w:szCs w:val="21"/>
          <w:u w:val="single"/>
        </w:rPr>
      </w:pPr>
      <w:r>
        <w:rPr>
          <w:rFonts w:ascii="宋体" w:hAnsi="宋体"/>
          <w:szCs w:val="21"/>
        </w:rPr>
        <w:t>一、</w:t>
      </w:r>
      <w:r>
        <w:rPr>
          <w:rFonts w:hint="eastAsia" w:ascii="宋体" w:hAnsi="宋体"/>
          <w:szCs w:val="21"/>
        </w:rPr>
        <w:t>工程</w:t>
      </w:r>
      <w:r>
        <w:rPr>
          <w:rFonts w:ascii="宋体" w:hAnsi="宋体"/>
          <w:szCs w:val="21"/>
        </w:rPr>
        <w:t>名称：</w:t>
      </w:r>
    </w:p>
    <w:p w14:paraId="28331A49">
      <w:pPr>
        <w:widowControl/>
        <w:spacing w:line="276" w:lineRule="auto"/>
        <w:ind w:firstLine="420" w:firstLineChars="200"/>
        <w:rPr>
          <w:rFonts w:ascii="宋体" w:hAnsi="宋体"/>
          <w:szCs w:val="21"/>
        </w:rPr>
      </w:pPr>
      <w:r>
        <w:rPr>
          <w:rFonts w:ascii="宋体" w:hAnsi="宋体"/>
          <w:szCs w:val="21"/>
        </w:rPr>
        <w:t>二、发包人的主要安全责任：</w:t>
      </w:r>
    </w:p>
    <w:p w14:paraId="2FACBEEA">
      <w:pPr>
        <w:widowControl/>
        <w:spacing w:line="276" w:lineRule="auto"/>
        <w:ind w:firstLine="409" w:firstLineChars="195"/>
        <w:rPr>
          <w:rFonts w:ascii="宋体" w:hAnsi="宋体" w:cs="宋体"/>
          <w:szCs w:val="21"/>
        </w:rPr>
      </w:pPr>
      <w:r>
        <w:rPr>
          <w:rFonts w:hint="eastAsia" w:ascii="宋体" w:hAnsi="宋体" w:cs="宋体"/>
          <w:szCs w:val="21"/>
        </w:rPr>
        <w:t>1、及时宣传贯彻国家、省、市有关安全生产的方针、政策、法律、法规。</w:t>
      </w:r>
    </w:p>
    <w:p w14:paraId="7E37476D">
      <w:pPr>
        <w:widowControl/>
        <w:spacing w:line="276" w:lineRule="auto"/>
        <w:ind w:firstLine="409" w:firstLineChars="195"/>
        <w:rPr>
          <w:rFonts w:ascii="宋体" w:hAnsi="宋体" w:cs="宋体"/>
          <w:szCs w:val="21"/>
        </w:rPr>
      </w:pPr>
      <w:r>
        <w:rPr>
          <w:rFonts w:hint="eastAsia" w:ascii="宋体" w:hAnsi="宋体" w:cs="宋体"/>
          <w:szCs w:val="21"/>
        </w:rPr>
        <w:t>2、严肃查处工程各类安全隐患并落实整改责任单位和责任人，涉及查处等事项及时通报承包人。</w:t>
      </w:r>
    </w:p>
    <w:p w14:paraId="69286DB3">
      <w:pPr>
        <w:widowControl/>
        <w:spacing w:line="276" w:lineRule="auto"/>
        <w:ind w:firstLine="409" w:firstLineChars="195"/>
        <w:rPr>
          <w:rFonts w:ascii="宋体" w:hAnsi="宋体" w:cs="宋体"/>
          <w:szCs w:val="21"/>
        </w:rPr>
      </w:pPr>
      <w:r>
        <w:rPr>
          <w:rFonts w:hint="eastAsia" w:ascii="宋体" w:hAnsi="宋体" w:cs="宋体"/>
          <w:szCs w:val="21"/>
        </w:rPr>
        <w:t xml:space="preserve">3、指派监理单位深入施工现场，严格按照监理程序、监理依据，有效开展现场监理工作，及时处理施工过程中出现的问题。督促、检查施工单位安全措施的投入和安全督查。 </w:t>
      </w:r>
    </w:p>
    <w:p w14:paraId="3F66D86F">
      <w:pPr>
        <w:widowControl/>
        <w:spacing w:line="276" w:lineRule="auto"/>
        <w:ind w:firstLine="409" w:firstLineChars="195"/>
        <w:rPr>
          <w:rFonts w:ascii="宋体" w:hAnsi="宋体" w:cs="宋体"/>
          <w:szCs w:val="21"/>
        </w:rPr>
      </w:pPr>
      <w:r>
        <w:rPr>
          <w:rFonts w:hint="eastAsia" w:ascii="宋体" w:hAnsi="宋体" w:cs="宋体"/>
          <w:szCs w:val="21"/>
        </w:rPr>
        <w:t>4、根据招标文件以及工程施工合同明确的文明工地创建目标，督促和鼓励本工程施工、监理单位做好施工现场安全和文明施工管理。</w:t>
      </w:r>
    </w:p>
    <w:p w14:paraId="2BFCE503">
      <w:pPr>
        <w:widowControl/>
        <w:spacing w:line="276" w:lineRule="auto"/>
        <w:ind w:firstLine="409" w:firstLineChars="195"/>
        <w:rPr>
          <w:rFonts w:ascii="宋体" w:hAnsi="宋体"/>
          <w:szCs w:val="21"/>
        </w:rPr>
      </w:pPr>
      <w:bookmarkStart w:id="260" w:name="_Toc13480"/>
      <w:r>
        <w:rPr>
          <w:rFonts w:ascii="宋体" w:hAnsi="宋体"/>
          <w:szCs w:val="21"/>
        </w:rPr>
        <w:t>三、承包人的主要安全责任</w:t>
      </w:r>
      <w:bookmarkEnd w:id="260"/>
    </w:p>
    <w:p w14:paraId="60F35C41">
      <w:pPr>
        <w:widowControl/>
        <w:spacing w:after="100" w:line="276" w:lineRule="auto"/>
        <w:ind w:firstLine="420"/>
        <w:jc w:val="left"/>
        <w:rPr>
          <w:rFonts w:ascii="宋体" w:hAnsi="宋体" w:cs="宋体"/>
          <w:szCs w:val="21"/>
        </w:rPr>
      </w:pPr>
      <w:r>
        <w:rPr>
          <w:rFonts w:hint="eastAsia" w:ascii="宋体" w:hAnsi="宋体" w:cs="宋体"/>
          <w:szCs w:val="21"/>
        </w:rPr>
        <w:t>1、承包人所提供的承包工程要求的相关资质证明材料应真实、合法、有效。</w:t>
      </w:r>
    </w:p>
    <w:p w14:paraId="6B9CE65E">
      <w:pPr>
        <w:widowControl/>
        <w:spacing w:after="100" w:line="276" w:lineRule="auto"/>
        <w:ind w:firstLine="420"/>
        <w:jc w:val="left"/>
        <w:rPr>
          <w:rFonts w:ascii="宋体" w:hAnsi="宋体" w:cs="宋体"/>
          <w:szCs w:val="21"/>
        </w:rPr>
      </w:pPr>
      <w:r>
        <w:rPr>
          <w:rFonts w:hint="eastAsia" w:ascii="宋体" w:hAnsi="宋体" w:cs="宋体"/>
          <w:szCs w:val="21"/>
        </w:rPr>
        <w:t>2、现场施工应遵守国家和地方关于劳动安全，劳务用工法律法规及规章制度，保证其用工的合法性。承包人必须按国家有关规定，为施工人员进行人身保险，配备合格的劳动防护用品、安全用具。</w:t>
      </w:r>
    </w:p>
    <w:p w14:paraId="0D5DEFFA">
      <w:pPr>
        <w:widowControl/>
        <w:spacing w:after="100" w:line="276" w:lineRule="auto"/>
        <w:ind w:firstLine="420"/>
        <w:jc w:val="left"/>
        <w:rPr>
          <w:rFonts w:ascii="宋体" w:hAnsi="宋体" w:cs="宋体"/>
          <w:szCs w:val="21"/>
        </w:rPr>
      </w:pPr>
      <w:r>
        <w:rPr>
          <w:rFonts w:hint="eastAsia" w:ascii="宋体" w:hAnsi="宋体" w:cs="宋体"/>
          <w:szCs w:val="21"/>
        </w:rPr>
        <w:t>3、材料进场需要检查是否有出产合格证，同时应经发包人现场负责人或监理工程师验证后方可使用。</w:t>
      </w:r>
    </w:p>
    <w:p w14:paraId="080118AB">
      <w:pPr>
        <w:widowControl/>
        <w:spacing w:after="100" w:line="276" w:lineRule="auto"/>
        <w:ind w:firstLine="420"/>
        <w:jc w:val="left"/>
        <w:rPr>
          <w:rFonts w:ascii="宋体" w:hAnsi="宋体" w:cs="宋体"/>
          <w:szCs w:val="21"/>
        </w:rPr>
      </w:pPr>
      <w:r>
        <w:rPr>
          <w:rFonts w:hint="eastAsia" w:ascii="宋体" w:hAnsi="宋体" w:cs="宋体"/>
          <w:szCs w:val="21"/>
        </w:rPr>
        <w:t>4、施工期间，承包人应指派专职安全员作为安全工作联系和现场安全管理。</w:t>
      </w:r>
    </w:p>
    <w:p w14:paraId="0C6E922C">
      <w:pPr>
        <w:widowControl/>
        <w:spacing w:after="100" w:line="276" w:lineRule="auto"/>
        <w:ind w:firstLine="420"/>
        <w:jc w:val="left"/>
        <w:rPr>
          <w:rFonts w:ascii="宋体" w:hAnsi="宋体" w:cs="宋体"/>
          <w:szCs w:val="21"/>
        </w:rPr>
      </w:pPr>
      <w:r>
        <w:rPr>
          <w:rFonts w:hint="eastAsia" w:ascii="宋体" w:hAnsi="宋体" w:cs="宋体"/>
          <w:szCs w:val="21"/>
        </w:rPr>
        <w:t>5、承包人一切施工活动，必须编制安全施工措施，施工前对全体施工人员进行全面的安全技术交底，并在整个施工过程正确、完整地执行，无措施或未交底严禁施工。</w:t>
      </w:r>
    </w:p>
    <w:p w14:paraId="40E6D194">
      <w:pPr>
        <w:widowControl/>
        <w:spacing w:after="100" w:line="276" w:lineRule="auto"/>
        <w:ind w:firstLine="420"/>
        <w:jc w:val="left"/>
        <w:rPr>
          <w:rFonts w:ascii="宋体" w:hAnsi="宋体" w:cs="宋体"/>
          <w:szCs w:val="21"/>
        </w:rPr>
      </w:pPr>
      <w:r>
        <w:rPr>
          <w:rFonts w:hint="eastAsia" w:ascii="宋体" w:hAnsi="宋体" w:cs="宋体"/>
          <w:szCs w:val="21"/>
        </w:rPr>
        <w:t>6、开工前，承包人应组织全体施工人员进行安全教育。特种作业人员必须有有关部门核发的合格有效的上岗资格证书。</w:t>
      </w:r>
    </w:p>
    <w:p w14:paraId="0EB01F7A">
      <w:pPr>
        <w:widowControl/>
        <w:spacing w:after="100" w:line="276" w:lineRule="auto"/>
        <w:ind w:firstLine="420"/>
        <w:jc w:val="left"/>
        <w:rPr>
          <w:rFonts w:ascii="宋体" w:hAnsi="宋体" w:cs="宋体"/>
          <w:kern w:val="0"/>
          <w:szCs w:val="21"/>
        </w:rPr>
      </w:pPr>
      <w:r>
        <w:rPr>
          <w:rFonts w:hint="eastAsia" w:ascii="宋体" w:hAnsi="宋体" w:cs="宋体"/>
          <w:kern w:val="0"/>
          <w:szCs w:val="21"/>
        </w:rPr>
        <w:t>7、承包人应在施工范围装设临时围栏或警告标志，不得超越指定的施工范围进行施工，禁止无关人员进入施工现场。</w:t>
      </w:r>
    </w:p>
    <w:p w14:paraId="746FE0E6">
      <w:pPr>
        <w:widowControl/>
        <w:spacing w:after="100" w:line="276" w:lineRule="auto"/>
        <w:ind w:firstLine="420"/>
        <w:jc w:val="left"/>
        <w:rPr>
          <w:rFonts w:ascii="宋体" w:hAnsi="宋体" w:cs="宋体"/>
          <w:kern w:val="0"/>
          <w:szCs w:val="21"/>
        </w:rPr>
      </w:pPr>
      <w:bookmarkStart w:id="261" w:name="_Toc7086"/>
      <w:r>
        <w:rPr>
          <w:rFonts w:hint="eastAsia" w:ascii="宋体" w:hAnsi="宋体" w:cs="宋体"/>
          <w:kern w:val="0"/>
          <w:szCs w:val="21"/>
        </w:rPr>
        <w:t>8、承包人施工过程中应做到日产、日清，确保施工场地卫生整洁。</w:t>
      </w:r>
      <w:bookmarkEnd w:id="261"/>
    </w:p>
    <w:p w14:paraId="642FB093">
      <w:pPr>
        <w:widowControl/>
        <w:spacing w:after="100" w:line="276" w:lineRule="auto"/>
        <w:ind w:firstLine="420"/>
        <w:jc w:val="left"/>
        <w:rPr>
          <w:rFonts w:ascii="宋体" w:hAnsi="宋体" w:cs="宋体"/>
          <w:kern w:val="0"/>
          <w:szCs w:val="21"/>
        </w:rPr>
      </w:pPr>
      <w:r>
        <w:rPr>
          <w:rFonts w:hint="eastAsia" w:ascii="宋体" w:hAnsi="宋体" w:cs="宋体"/>
          <w:kern w:val="0"/>
          <w:szCs w:val="21"/>
        </w:rPr>
        <w:t>9、做好文明施工、安全施工;施工过程中需使用电、水源，应事先与发包人取得联系，不得私拉乱接;做好施工临时用电;按规范要求搭设脚手架做好安全防护工作，确保施工人员安全。</w:t>
      </w:r>
    </w:p>
    <w:p w14:paraId="237785B8">
      <w:pPr>
        <w:widowControl/>
        <w:spacing w:line="276" w:lineRule="auto"/>
        <w:ind w:firstLine="409" w:firstLineChars="195"/>
        <w:rPr>
          <w:rFonts w:ascii="宋体" w:hAnsi="宋体" w:cs="宋体"/>
          <w:kern w:val="0"/>
          <w:szCs w:val="21"/>
        </w:rPr>
      </w:pPr>
      <w:bookmarkStart w:id="262" w:name="_Toc4607"/>
      <w:r>
        <w:rPr>
          <w:rFonts w:hint="eastAsia" w:ascii="宋体" w:hAnsi="宋体" w:cs="宋体"/>
          <w:kern w:val="0"/>
          <w:szCs w:val="21"/>
        </w:rPr>
        <w:t>10、办理施工现场作业人员意外伤害保险。</w:t>
      </w:r>
      <w:bookmarkEnd w:id="262"/>
    </w:p>
    <w:p w14:paraId="39A189E8">
      <w:pPr>
        <w:widowControl/>
        <w:spacing w:line="276" w:lineRule="auto"/>
        <w:ind w:firstLine="409" w:firstLineChars="195"/>
        <w:rPr>
          <w:rFonts w:ascii="宋体" w:hAnsi="宋体" w:cs="宋体"/>
          <w:szCs w:val="21"/>
        </w:rPr>
      </w:pPr>
      <w:r>
        <w:rPr>
          <w:rFonts w:hint="eastAsia" w:ascii="宋体" w:hAnsi="宋体" w:cs="宋体"/>
          <w:kern w:val="0"/>
          <w:szCs w:val="21"/>
        </w:rPr>
        <w:t>11、工程实行施工总承包的，由总承包单位对施工现场的安全生产负总责。总承包单位依法将工程分包给其他单位的，分包合同中应明确各自的安全生产方面的权利、义务。总承包单位和分承包单位对分包工程的安全生产承担连带责任。分包单位应当服从总承包单位的安全生产管理，分包单位不服从管理导致生产安全事故的，由分包单位承担主</w:t>
      </w:r>
      <w:r>
        <w:rPr>
          <w:rFonts w:hint="eastAsia" w:ascii="宋体" w:hAnsi="宋体" w:cs="宋体"/>
          <w:szCs w:val="21"/>
        </w:rPr>
        <w:t>要责任。</w:t>
      </w:r>
    </w:p>
    <w:p w14:paraId="5C0C9A01">
      <w:pPr>
        <w:widowControl/>
        <w:spacing w:after="100" w:line="276" w:lineRule="auto"/>
        <w:ind w:firstLine="420"/>
        <w:jc w:val="left"/>
        <w:rPr>
          <w:rFonts w:ascii="宋体" w:hAnsi="宋体" w:cs="宋体"/>
          <w:kern w:val="0"/>
          <w:szCs w:val="21"/>
        </w:rPr>
      </w:pPr>
      <w:r>
        <w:rPr>
          <w:rFonts w:hint="eastAsia" w:ascii="宋体" w:hAnsi="宋体" w:cs="宋体"/>
          <w:kern w:val="0"/>
          <w:szCs w:val="21"/>
        </w:rPr>
        <w:t>12、建立整改责任制，对检查中发现的质量安全隐患，采取有效措施立即进行整改，落实专人负责监控，确保质量安全。</w:t>
      </w:r>
    </w:p>
    <w:p w14:paraId="51252430">
      <w:pPr>
        <w:widowControl/>
        <w:spacing w:after="100" w:line="276" w:lineRule="auto"/>
        <w:ind w:firstLine="420"/>
        <w:jc w:val="left"/>
        <w:rPr>
          <w:rFonts w:ascii="宋体" w:hAnsi="宋体" w:cs="宋体"/>
          <w:kern w:val="0"/>
          <w:szCs w:val="21"/>
        </w:rPr>
      </w:pPr>
      <w:r>
        <w:rPr>
          <w:rFonts w:hint="eastAsia" w:ascii="宋体" w:hAnsi="宋体" w:cs="宋体"/>
          <w:kern w:val="0"/>
          <w:szCs w:val="21"/>
        </w:rPr>
        <w:t>13、现场工地要切实加强节日期间安全、文明生产工作，一旦发生各类突发事故和紧急情况，要立即启动预案，并按照有关规定及时上报和妥善处置。</w:t>
      </w:r>
    </w:p>
    <w:p w14:paraId="5E8E0FC1">
      <w:pPr>
        <w:widowControl/>
        <w:spacing w:line="276" w:lineRule="auto"/>
        <w:ind w:firstLine="409" w:firstLineChars="195"/>
        <w:rPr>
          <w:rFonts w:ascii="宋体" w:hAnsi="宋体"/>
          <w:szCs w:val="21"/>
        </w:rPr>
      </w:pPr>
      <w:bookmarkStart w:id="263" w:name="_Toc2893"/>
      <w:r>
        <w:rPr>
          <w:rFonts w:hint="eastAsia" w:ascii="宋体" w:hAnsi="宋体" w:cs="宋体"/>
          <w:szCs w:val="21"/>
        </w:rPr>
        <w:t>14、保障本工程</w:t>
      </w:r>
      <w:r>
        <w:rPr>
          <w:rFonts w:ascii="宋体" w:hAnsi="宋体"/>
          <w:szCs w:val="21"/>
        </w:rPr>
        <w:t>安全负责人联络电话（移动电话）24小时开机。</w:t>
      </w:r>
      <w:bookmarkEnd w:id="263"/>
    </w:p>
    <w:p w14:paraId="0B954277">
      <w:pPr>
        <w:widowControl/>
        <w:spacing w:line="276" w:lineRule="auto"/>
        <w:ind w:firstLine="409" w:firstLineChars="195"/>
        <w:rPr>
          <w:rFonts w:ascii="宋体" w:hAnsi="宋体" w:cs="宋体"/>
          <w:szCs w:val="21"/>
        </w:rPr>
      </w:pPr>
      <w:r>
        <w:rPr>
          <w:rFonts w:ascii="宋体" w:hAnsi="宋体"/>
          <w:szCs w:val="21"/>
        </w:rPr>
        <w:t>四、考核目标</w:t>
      </w:r>
      <w:r>
        <w:rPr>
          <w:rFonts w:hint="eastAsia" w:ascii="宋体" w:hAnsi="宋体"/>
          <w:szCs w:val="21"/>
        </w:rPr>
        <w:t>：</w:t>
      </w:r>
      <w:r>
        <w:rPr>
          <w:rFonts w:hint="eastAsia" w:ascii="宋体" w:hAnsi="宋体" w:cs="宋体"/>
          <w:szCs w:val="21"/>
        </w:rPr>
        <w:t>无安全生产事故。</w:t>
      </w:r>
    </w:p>
    <w:p w14:paraId="1D6F86DE">
      <w:pPr>
        <w:widowControl/>
        <w:spacing w:line="276" w:lineRule="auto"/>
        <w:ind w:firstLine="409" w:firstLineChars="195"/>
        <w:rPr>
          <w:rFonts w:ascii="宋体" w:hAnsi="宋体" w:cs="宋体"/>
          <w:szCs w:val="21"/>
        </w:rPr>
      </w:pPr>
      <w:r>
        <w:rPr>
          <w:rFonts w:hint="eastAsia" w:ascii="宋体" w:hAnsi="宋体" w:cs="宋体"/>
          <w:szCs w:val="21"/>
        </w:rPr>
        <w:t>五、考核奖惩</w:t>
      </w:r>
    </w:p>
    <w:p w14:paraId="7FCC76C8">
      <w:pPr>
        <w:widowControl/>
        <w:spacing w:line="276" w:lineRule="auto"/>
        <w:ind w:firstLine="409" w:firstLineChars="195"/>
        <w:rPr>
          <w:rFonts w:ascii="宋体" w:hAnsi="宋体" w:cs="宋体"/>
          <w:szCs w:val="21"/>
        </w:rPr>
      </w:pPr>
      <w:r>
        <w:rPr>
          <w:rFonts w:hint="eastAsia" w:ascii="宋体" w:hAnsi="宋体" w:cs="宋体"/>
          <w:szCs w:val="21"/>
        </w:rPr>
        <w:t>1、发包人认真行使安全生产“一票否决权”，对造成安全生产重大事故的责任单位和个人，发包人会同相关部门视情节轻重，给予通报批评、警告、责令限期整改、停业整顿等处罚。责任单位和个人不得参加评优、评先。</w:t>
      </w:r>
    </w:p>
    <w:p w14:paraId="662B5059">
      <w:pPr>
        <w:widowControl/>
        <w:spacing w:line="276" w:lineRule="auto"/>
        <w:ind w:firstLine="409" w:firstLineChars="195"/>
        <w:rPr>
          <w:rFonts w:ascii="宋体" w:hAnsi="宋体" w:cs="宋体"/>
          <w:szCs w:val="21"/>
        </w:rPr>
      </w:pPr>
      <w:r>
        <w:rPr>
          <w:rFonts w:hint="eastAsia" w:ascii="宋体" w:hAnsi="宋体" w:cs="宋体"/>
          <w:szCs w:val="21"/>
        </w:rPr>
        <w:t>2、对安全生产管理渎职行为造成重大安全事故的责任人，由司法机关依法追究其刑事责任。</w:t>
      </w:r>
    </w:p>
    <w:p w14:paraId="304615C7">
      <w:pPr>
        <w:widowControl/>
        <w:spacing w:line="276" w:lineRule="auto"/>
        <w:ind w:firstLine="420" w:firstLineChars="200"/>
        <w:rPr>
          <w:rFonts w:ascii="宋体" w:hAnsi="宋体" w:cs="宋体"/>
          <w:szCs w:val="21"/>
        </w:rPr>
      </w:pPr>
      <w:bookmarkStart w:id="264" w:name="_Toc12113"/>
      <w:r>
        <w:rPr>
          <w:rFonts w:hint="eastAsia" w:ascii="宋体" w:hAnsi="宋体" w:cs="宋体"/>
          <w:szCs w:val="21"/>
        </w:rPr>
        <w:t>六、其他</w:t>
      </w:r>
      <w:bookmarkEnd w:id="264"/>
    </w:p>
    <w:p w14:paraId="3DEF2D18">
      <w:pPr>
        <w:widowControl/>
        <w:spacing w:line="276" w:lineRule="auto"/>
        <w:ind w:firstLine="409" w:firstLineChars="195"/>
        <w:rPr>
          <w:rFonts w:ascii="宋体" w:hAnsi="宋体"/>
          <w:szCs w:val="21"/>
        </w:rPr>
      </w:pPr>
      <w:bookmarkStart w:id="265" w:name="_Toc25969"/>
      <w:r>
        <w:rPr>
          <w:rFonts w:hint="eastAsia" w:ascii="宋体" w:hAnsi="宋体" w:cs="宋体"/>
          <w:szCs w:val="21"/>
        </w:rPr>
        <w:t>1</w:t>
      </w:r>
      <w:r>
        <w:rPr>
          <w:rFonts w:ascii="宋体" w:hAnsi="宋体"/>
          <w:szCs w:val="21"/>
        </w:rPr>
        <w:t>、本责任状一式</w:t>
      </w:r>
      <w:r>
        <w:rPr>
          <w:rFonts w:hint="eastAsia" w:ascii="宋体" w:hAnsi="宋体"/>
          <w:szCs w:val="21"/>
        </w:rPr>
        <w:t>四</w:t>
      </w:r>
      <w:r>
        <w:rPr>
          <w:rFonts w:ascii="宋体" w:hAnsi="宋体"/>
          <w:szCs w:val="21"/>
        </w:rPr>
        <w:t>份，甲乙双方各执</w:t>
      </w:r>
      <w:r>
        <w:rPr>
          <w:rFonts w:hint="eastAsia" w:ascii="宋体" w:hAnsi="宋体"/>
          <w:szCs w:val="21"/>
        </w:rPr>
        <w:t>两</w:t>
      </w:r>
      <w:r>
        <w:rPr>
          <w:rFonts w:ascii="宋体" w:hAnsi="宋体"/>
          <w:szCs w:val="21"/>
        </w:rPr>
        <w:t>份。</w:t>
      </w:r>
      <w:bookmarkEnd w:id="265"/>
    </w:p>
    <w:p w14:paraId="5C43CF48">
      <w:pPr>
        <w:widowControl/>
        <w:spacing w:line="276" w:lineRule="auto"/>
        <w:ind w:firstLine="409" w:firstLineChars="195"/>
        <w:rPr>
          <w:rFonts w:ascii="宋体" w:hAnsi="宋体"/>
          <w:szCs w:val="21"/>
        </w:rPr>
      </w:pPr>
      <w:r>
        <w:rPr>
          <w:rFonts w:hint="eastAsia" w:ascii="宋体" w:hAnsi="宋体" w:cs="宋体"/>
          <w:szCs w:val="21"/>
        </w:rPr>
        <w:t>2、</w:t>
      </w:r>
      <w:r>
        <w:rPr>
          <w:rFonts w:ascii="宋体" w:hAnsi="宋体"/>
          <w:szCs w:val="21"/>
        </w:rPr>
        <w:t>本责任状自签订之日起生效，</w:t>
      </w:r>
      <w:r>
        <w:rPr>
          <w:rFonts w:hint="eastAsia" w:ascii="宋体" w:hAnsi="宋体"/>
          <w:szCs w:val="21"/>
        </w:rPr>
        <w:t>工程</w:t>
      </w:r>
      <w:r>
        <w:rPr>
          <w:rFonts w:ascii="宋体" w:hAnsi="宋体"/>
          <w:szCs w:val="21"/>
        </w:rPr>
        <w:t>竣工验收并且移交后自动失效。</w:t>
      </w:r>
    </w:p>
    <w:p w14:paraId="63EE79BF">
      <w:pPr>
        <w:pStyle w:val="9"/>
      </w:pPr>
    </w:p>
    <w:p w14:paraId="49277570">
      <w:pPr>
        <w:spacing w:line="440" w:lineRule="exact"/>
        <w:ind w:firstLine="825" w:firstLineChars="393"/>
        <w:rPr>
          <w:rFonts w:ascii="宋体" w:hAnsi="宋体"/>
          <w:szCs w:val="21"/>
        </w:rPr>
      </w:pPr>
      <w:r>
        <w:rPr>
          <w:rFonts w:ascii="宋体" w:hAnsi="宋体"/>
          <w:szCs w:val="21"/>
        </w:rPr>
        <w:t>发包人：                    承包人：（施工单位）</w:t>
      </w:r>
    </w:p>
    <w:p w14:paraId="1BFBA138">
      <w:pPr>
        <w:spacing w:line="440" w:lineRule="exact"/>
        <w:ind w:firstLine="617" w:firstLineChars="294"/>
        <w:rPr>
          <w:rFonts w:ascii="宋体" w:hAnsi="宋体"/>
          <w:szCs w:val="21"/>
        </w:rPr>
      </w:pPr>
      <w:r>
        <w:rPr>
          <w:rFonts w:ascii="宋体" w:hAnsi="宋体"/>
          <w:szCs w:val="21"/>
        </w:rPr>
        <w:t>（单位印鉴）               （单位印鉴）</w:t>
      </w:r>
    </w:p>
    <w:p w14:paraId="2F88CB6A">
      <w:pPr>
        <w:spacing w:line="440" w:lineRule="exact"/>
        <w:ind w:firstLine="200"/>
        <w:rPr>
          <w:rFonts w:ascii="宋体" w:hAnsi="宋体"/>
          <w:szCs w:val="21"/>
        </w:rPr>
      </w:pPr>
    </w:p>
    <w:p w14:paraId="1D8748C9">
      <w:pPr>
        <w:pStyle w:val="26"/>
        <w:jc w:val="right"/>
        <w:rPr>
          <w:rFonts w:eastAsia="宋体" w:cs="宋体"/>
          <w:b/>
          <w:sz w:val="21"/>
          <w:szCs w:val="21"/>
        </w:rPr>
      </w:pPr>
      <w:r>
        <w:rPr>
          <w:rFonts w:hint="eastAsia" w:eastAsia="宋体" w:cs="宋体"/>
          <w:kern w:val="2"/>
          <w:sz w:val="21"/>
          <w:szCs w:val="21"/>
        </w:rPr>
        <w:t>2024年  月 日</w:t>
      </w:r>
    </w:p>
    <w:p w14:paraId="3B1BFB03">
      <w:pPr>
        <w:pStyle w:val="12"/>
      </w:pPr>
      <w:bookmarkStart w:id="266" w:name="_Toc25551"/>
      <w:bookmarkStart w:id="267" w:name="_Toc9914"/>
      <w:bookmarkStart w:id="268" w:name="_Toc20961"/>
      <w:bookmarkStart w:id="269" w:name="_Toc25647"/>
      <w:r>
        <w:br w:type="textWrapping"/>
      </w:r>
      <w:bookmarkEnd w:id="266"/>
      <w:bookmarkEnd w:id="267"/>
      <w:bookmarkEnd w:id="268"/>
      <w:bookmarkEnd w:id="269"/>
    </w:p>
    <w:p w14:paraId="5E1BF62F">
      <w:pPr>
        <w:pStyle w:val="12"/>
      </w:pPr>
    </w:p>
    <w:p w14:paraId="1BE6BF42">
      <w:pPr>
        <w:pStyle w:val="12"/>
      </w:pPr>
    </w:p>
    <w:p w14:paraId="0755CFFA">
      <w:pPr>
        <w:pStyle w:val="12"/>
      </w:pPr>
    </w:p>
    <w:p w14:paraId="78FE9DFF">
      <w:pPr>
        <w:pStyle w:val="12"/>
      </w:pPr>
    </w:p>
    <w:p w14:paraId="22838E60">
      <w:pPr>
        <w:pStyle w:val="12"/>
      </w:pPr>
    </w:p>
    <w:p w14:paraId="1697E56A">
      <w:pPr>
        <w:pStyle w:val="12"/>
      </w:pPr>
    </w:p>
    <w:p w14:paraId="4D268B71">
      <w:pPr>
        <w:pStyle w:val="12"/>
      </w:pPr>
    </w:p>
    <w:p w14:paraId="49F319AF">
      <w:pPr>
        <w:pStyle w:val="12"/>
      </w:pPr>
    </w:p>
    <w:p w14:paraId="4A5AD1EB">
      <w:pPr>
        <w:pStyle w:val="12"/>
        <w:rPr>
          <w:rFonts w:hAnsi="宋体" w:cs="宋体"/>
          <w:color w:val="000000"/>
          <w:sz w:val="28"/>
          <w:szCs w:val="28"/>
        </w:rPr>
      </w:pPr>
      <w:r>
        <w:rPr>
          <w:rFonts w:hint="eastAsia"/>
        </w:rPr>
        <w:br w:type="page"/>
      </w:r>
    </w:p>
    <w:p w14:paraId="1D85C8BC">
      <w:pPr>
        <w:spacing w:line="360" w:lineRule="auto"/>
        <w:jc w:val="center"/>
        <w:outlineLvl w:val="0"/>
        <w:rPr>
          <w:rFonts w:ascii="宋体" w:hAnsi="宋体" w:cs="宋体"/>
          <w:b/>
          <w:bCs/>
          <w:color w:val="000000"/>
          <w:sz w:val="28"/>
          <w:szCs w:val="28"/>
        </w:rPr>
      </w:pPr>
      <w:bookmarkStart w:id="270" w:name="_Toc6483"/>
      <w:bookmarkStart w:id="271" w:name="_Toc1587"/>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270"/>
      <w:bookmarkEnd w:id="271"/>
    </w:p>
    <w:p w14:paraId="375DD018">
      <w:pPr>
        <w:snapToGrid w:val="0"/>
        <w:spacing w:line="360" w:lineRule="auto"/>
        <w:jc w:val="center"/>
        <w:rPr>
          <w:rFonts w:ascii="宋体" w:hAnsi="宋体" w:cs="宋体"/>
          <w:b/>
          <w:color w:val="000000"/>
          <w:kern w:val="0"/>
          <w:sz w:val="24"/>
        </w:rPr>
      </w:pPr>
    </w:p>
    <w:p w14:paraId="7B289F13">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272" w:name="_Toc14815"/>
      <w:bookmarkStart w:id="273" w:name="_Toc15450"/>
      <w:r>
        <w:rPr>
          <w:rFonts w:hint="eastAsia" w:asciiTheme="minorEastAsia" w:hAnsiTheme="minorEastAsia" w:eastAsiaTheme="minorEastAsia" w:cstheme="minorEastAsia"/>
          <w:b/>
          <w:color w:val="000000"/>
          <w:sz w:val="21"/>
          <w:szCs w:val="21"/>
        </w:rPr>
        <w:t>一、评标方法</w:t>
      </w:r>
      <w:bookmarkEnd w:id="272"/>
      <w:bookmarkEnd w:id="273"/>
    </w:p>
    <w:p w14:paraId="01BDDCF6">
      <w:pPr>
        <w:snapToGrid w:val="0"/>
        <w:spacing w:line="360" w:lineRule="auto"/>
        <w:ind w:firstLine="525" w:firstLineChars="250"/>
        <w:rPr>
          <w:rFonts w:asciiTheme="minorEastAsia" w:hAnsiTheme="minorEastAsia" w:eastAsiaTheme="minorEastAsia" w:cstheme="minorEastAsia"/>
          <w:szCs w:val="21"/>
        </w:rPr>
      </w:pPr>
    </w:p>
    <w:p w14:paraId="2A6FE695">
      <w:pPr>
        <w:snapToGrid w:val="0"/>
        <w:spacing w:line="360" w:lineRule="auto"/>
        <w:ind w:firstLine="527" w:firstLineChars="25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本项目专门面向中小企业采购，不再对小型和微型企业服务给予价格扣除；中小企业参加政府采购活动，须出具《政府采购促进中小企业发展管理办法》规定的《中小企业声明函》（请从财政部官方网站下载。以财政部官方网站公布的为准），投标人未出具《中小企业声明函》的，按无效处理。</w:t>
      </w:r>
    </w:p>
    <w:p w14:paraId="69222DEC">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14:paraId="122A0F09">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14:paraId="33E4F38D">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09163511">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57E25AD5">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122F5FB3">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7521B8A7">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6B6C2DAB">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16134145">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6F695002">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23A168CE">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17BC1771">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5F02D003">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4ED1908C">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25FC27B6">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5168D132">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66E9607B">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5D7E08E1">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492B7440">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2ACAAD5A">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5A32C9AA">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69D1309E">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14:paraId="54D7FB0B">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bookmarkStart w:id="274" w:name="_Toc23591"/>
      <w:bookmarkStart w:id="275" w:name="_Toc15617"/>
    </w:p>
    <w:p w14:paraId="0BAEF48B">
      <w:pPr>
        <w:pStyle w:val="41"/>
        <w:snapToGrid w:val="0"/>
        <w:spacing w:line="360" w:lineRule="auto"/>
        <w:ind w:firstLine="0" w:firstLineChars="0"/>
        <w:jc w:val="left"/>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二、评分标准</w:t>
      </w:r>
      <w:bookmarkEnd w:id="274"/>
      <w:bookmarkEnd w:id="275"/>
    </w:p>
    <w:tbl>
      <w:tblPr>
        <w:tblStyle w:val="2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400"/>
        <w:gridCol w:w="680"/>
      </w:tblGrid>
      <w:tr w14:paraId="10B3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14:paraId="5F77D65B">
            <w:pPr>
              <w:spacing w:line="36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32BC474">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400" w:type="dxa"/>
            <w:tcBorders>
              <w:top w:val="single" w:color="auto" w:sz="4" w:space="0"/>
              <w:left w:val="single" w:color="auto" w:sz="4" w:space="0"/>
              <w:bottom w:val="single" w:color="auto" w:sz="4" w:space="0"/>
              <w:right w:val="single" w:color="auto" w:sz="4" w:space="0"/>
            </w:tcBorders>
            <w:vAlign w:val="center"/>
          </w:tcPr>
          <w:p w14:paraId="7BD04FCF">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680" w:type="dxa"/>
            <w:tcBorders>
              <w:top w:val="single" w:color="auto" w:sz="4" w:space="0"/>
              <w:left w:val="single" w:color="auto" w:sz="4" w:space="0"/>
              <w:bottom w:val="single" w:color="auto" w:sz="4" w:space="0"/>
              <w:right w:val="single" w:color="auto" w:sz="4" w:space="0"/>
            </w:tcBorders>
            <w:vAlign w:val="center"/>
          </w:tcPr>
          <w:p w14:paraId="371FCDED">
            <w:pPr>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14:paraId="43D6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09" w:type="dxa"/>
            <w:tcBorders>
              <w:top w:val="single" w:color="auto" w:sz="4" w:space="0"/>
              <w:left w:val="single" w:color="auto" w:sz="4" w:space="0"/>
              <w:bottom w:val="single" w:color="auto" w:sz="4" w:space="0"/>
              <w:right w:val="single" w:color="auto" w:sz="4" w:space="0"/>
            </w:tcBorders>
            <w:vAlign w:val="center"/>
          </w:tcPr>
          <w:p w14:paraId="140A25B5">
            <w:pPr>
              <w:tabs>
                <w:tab w:val="left" w:pos="-540"/>
                <w:tab w:val="left" w:pos="2880"/>
                <w:tab w:val="left" w:pos="3600"/>
                <w:tab w:val="left" w:pos="4320"/>
                <w:tab w:val="center" w:pos="4433"/>
              </w:tabs>
              <w:autoSpaceDE w:val="0"/>
              <w:autoSpaceDN w:val="0"/>
              <w:adjustRightInd w:val="0"/>
              <w:spacing w:line="3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61E2976E">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投标报价（40分）</w:t>
            </w:r>
          </w:p>
        </w:tc>
        <w:tc>
          <w:tcPr>
            <w:tcW w:w="7400" w:type="dxa"/>
            <w:tcBorders>
              <w:top w:val="single" w:color="auto" w:sz="4" w:space="0"/>
              <w:left w:val="single" w:color="auto" w:sz="4" w:space="0"/>
              <w:bottom w:val="single" w:color="auto" w:sz="4" w:space="0"/>
              <w:right w:val="single" w:color="auto" w:sz="4" w:space="0"/>
            </w:tcBorders>
          </w:tcPr>
          <w:p w14:paraId="5160C14D">
            <w:pPr>
              <w:tabs>
                <w:tab w:val="left" w:pos="-540"/>
                <w:tab w:val="left" w:pos="2880"/>
                <w:tab w:val="left" w:pos="3600"/>
                <w:tab w:val="left" w:pos="4320"/>
                <w:tab w:val="center" w:pos="4433"/>
              </w:tabs>
              <w:autoSpaceDE w:val="0"/>
              <w:autoSpaceDN w:val="0"/>
              <w:adjustRightInd w:val="0"/>
              <w:spacing w:line="276"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以满足招标文件要求且投标折扣价最低的投标报价为评标基准价，其价格分为满分40分，其他投标人的价格分按照下列公式计算：投标价格得分=（评标基准价/投标折扣价）×40（小数点后保留两位，四舍五入）</w:t>
            </w:r>
          </w:p>
        </w:tc>
        <w:tc>
          <w:tcPr>
            <w:tcW w:w="680" w:type="dxa"/>
            <w:tcBorders>
              <w:top w:val="single" w:color="auto" w:sz="4" w:space="0"/>
              <w:left w:val="single" w:color="auto" w:sz="4" w:space="0"/>
              <w:bottom w:val="single" w:color="auto" w:sz="4" w:space="0"/>
              <w:right w:val="single" w:color="auto" w:sz="4" w:space="0"/>
            </w:tcBorders>
            <w:vAlign w:val="center"/>
          </w:tcPr>
          <w:p w14:paraId="11549B86">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14:paraId="6CC8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709" w:type="dxa"/>
            <w:tcBorders>
              <w:top w:val="single" w:color="auto" w:sz="4" w:space="0"/>
              <w:left w:val="single" w:color="auto" w:sz="4" w:space="0"/>
              <w:right w:val="single" w:color="auto" w:sz="4" w:space="0"/>
            </w:tcBorders>
            <w:vAlign w:val="center"/>
          </w:tcPr>
          <w:p w14:paraId="6365480E">
            <w:pPr>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134" w:type="dxa"/>
            <w:tcBorders>
              <w:top w:val="single" w:color="auto" w:sz="4" w:space="0"/>
              <w:left w:val="single" w:color="auto" w:sz="4" w:space="0"/>
              <w:right w:val="single" w:color="auto" w:sz="4" w:space="0"/>
            </w:tcBorders>
            <w:vAlign w:val="center"/>
          </w:tcPr>
          <w:p w14:paraId="21247ACF">
            <w:pPr>
              <w:autoSpaceDE w:val="0"/>
              <w:autoSpaceDN w:val="0"/>
              <w:spacing w:line="360" w:lineRule="exact"/>
              <w:ind w:right="73"/>
              <w:jc w:val="left"/>
              <w:rPr>
                <w:rFonts w:ascii="宋体" w:hAnsi="宋体"/>
                <w:b/>
                <w:bCs/>
                <w:szCs w:val="21"/>
              </w:rPr>
            </w:pPr>
            <w:r>
              <w:rPr>
                <w:rFonts w:hint="eastAsia" w:ascii="宋体" w:hAnsi="宋体"/>
                <w:b/>
                <w:bCs/>
                <w:szCs w:val="21"/>
              </w:rPr>
              <w:t>相关业绩</w:t>
            </w:r>
          </w:p>
          <w:p w14:paraId="1DEEB681">
            <w:pPr>
              <w:autoSpaceDE w:val="0"/>
              <w:autoSpaceDN w:val="0"/>
              <w:spacing w:line="360" w:lineRule="exact"/>
              <w:ind w:right="73"/>
              <w:jc w:val="left"/>
              <w:rPr>
                <w:rFonts w:ascii="宋体" w:hAnsi="宋体"/>
                <w:b/>
                <w:bCs/>
                <w:szCs w:val="21"/>
              </w:rPr>
            </w:pPr>
            <w:r>
              <w:rPr>
                <w:rFonts w:hint="eastAsia" w:ascii="宋体" w:hAnsi="宋体"/>
                <w:b/>
                <w:bCs/>
                <w:szCs w:val="21"/>
              </w:rPr>
              <w:t>（12分）</w:t>
            </w:r>
          </w:p>
          <w:p w14:paraId="4B759577">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b/>
                <w:bCs/>
                <w:color w:val="000000" w:themeColor="text1"/>
                <w:kern w:val="0"/>
                <w:szCs w:val="21"/>
                <w14:textFill>
                  <w14:solidFill>
                    <w14:schemeClr w14:val="tx1"/>
                  </w14:solidFill>
                </w14:textFill>
              </w:rPr>
            </w:pPr>
          </w:p>
        </w:tc>
        <w:tc>
          <w:tcPr>
            <w:tcW w:w="7400" w:type="dxa"/>
            <w:tcBorders>
              <w:top w:val="single" w:color="auto" w:sz="4" w:space="0"/>
              <w:left w:val="single" w:color="auto" w:sz="4" w:space="0"/>
              <w:bottom w:val="single" w:color="auto" w:sz="4" w:space="0"/>
              <w:right w:val="single" w:color="auto" w:sz="4" w:space="0"/>
            </w:tcBorders>
            <w:vAlign w:val="center"/>
          </w:tcPr>
          <w:p w14:paraId="7CA7DDAC">
            <w:pPr>
              <w:tabs>
                <w:tab w:val="left" w:pos="-540"/>
                <w:tab w:val="left" w:pos="2880"/>
                <w:tab w:val="left" w:pos="3600"/>
                <w:tab w:val="left" w:pos="4320"/>
                <w:tab w:val="center" w:pos="4433"/>
              </w:tabs>
              <w:autoSpaceDE w:val="0"/>
              <w:autoSpaceDN w:val="0"/>
              <w:adjustRightInd w:val="0"/>
              <w:spacing w:line="276" w:lineRule="auto"/>
              <w:ind w:firstLine="420" w:firstLineChars="200"/>
              <w:jc w:val="left"/>
            </w:pPr>
            <w:r>
              <w:rPr>
                <w:rFonts w:hint="eastAsia"/>
              </w:rPr>
              <w:t>1、供应商自20</w:t>
            </w:r>
            <w:r>
              <w:t>2</w:t>
            </w:r>
            <w:r>
              <w:rPr>
                <w:rFonts w:hint="eastAsia"/>
              </w:rPr>
              <w:t>1年1月1日以来（以竣工验收证明时间为准）承接过房屋建筑维修、改造类工程类型项目的每提供1个得2分，最多得6分；</w:t>
            </w:r>
            <w:r>
              <w:t xml:space="preserve">              </w:t>
            </w:r>
          </w:p>
          <w:p w14:paraId="04A60F05">
            <w:pPr>
              <w:tabs>
                <w:tab w:val="left" w:pos="-540"/>
                <w:tab w:val="left" w:pos="2880"/>
                <w:tab w:val="left" w:pos="3600"/>
                <w:tab w:val="left" w:pos="4320"/>
                <w:tab w:val="center" w:pos="4433"/>
              </w:tabs>
              <w:autoSpaceDE w:val="0"/>
              <w:autoSpaceDN w:val="0"/>
              <w:adjustRightInd w:val="0"/>
              <w:spacing w:line="276" w:lineRule="auto"/>
              <w:ind w:firstLine="422" w:firstLineChars="200"/>
              <w:jc w:val="left"/>
              <w:rPr>
                <w:b/>
                <w:bCs/>
              </w:rPr>
            </w:pPr>
            <w:r>
              <w:rPr>
                <w:rFonts w:hint="eastAsia"/>
                <w:b/>
                <w:bCs/>
              </w:rPr>
              <w:t>须提供施工合同、竣工验收证明材料复印件并加盖投标人公章，时间以竣工验收证明上的竣工验收时间为准；原件备查。【如合同中不能充分反映的，须提供其合同甲方（采购人）出具的（加盖其合同甲方公章）相关证明文件（充分证明或说明的复印件</w:t>
            </w:r>
            <w:r>
              <w:rPr>
                <w:b/>
                <w:bCs/>
              </w:rPr>
              <w:t>】</w:t>
            </w:r>
            <w:r>
              <w:rPr>
                <w:rFonts w:hint="eastAsia"/>
                <w:b/>
                <w:bCs/>
              </w:rPr>
              <w:t>未提供上述证明材料或提供不全的不得分。</w:t>
            </w:r>
          </w:p>
          <w:p w14:paraId="386C9FA5">
            <w:pPr>
              <w:tabs>
                <w:tab w:val="left" w:pos="-540"/>
                <w:tab w:val="left" w:pos="2880"/>
                <w:tab w:val="left" w:pos="3600"/>
                <w:tab w:val="left" w:pos="4320"/>
                <w:tab w:val="center" w:pos="4433"/>
              </w:tabs>
              <w:autoSpaceDE w:val="0"/>
              <w:autoSpaceDN w:val="0"/>
              <w:adjustRightInd w:val="0"/>
              <w:spacing w:line="276" w:lineRule="auto"/>
              <w:ind w:firstLine="422" w:firstLineChars="200"/>
              <w:jc w:val="left"/>
              <w:rPr>
                <w:b/>
                <w:bCs/>
              </w:rPr>
            </w:pPr>
            <w:r>
              <w:rPr>
                <w:rFonts w:hint="eastAsia"/>
                <w:b/>
                <w:bCs/>
              </w:rPr>
              <w:t>注：以上合同业绩原件备查，如投标文件中合同业绩不清楚或评标小组有异议的，且投标人未提供原件备查的，此单个业绩不得分。</w:t>
            </w:r>
          </w:p>
          <w:p w14:paraId="693AEADE">
            <w:pPr>
              <w:tabs>
                <w:tab w:val="left" w:pos="-540"/>
                <w:tab w:val="left" w:pos="2880"/>
                <w:tab w:val="left" w:pos="3600"/>
                <w:tab w:val="left" w:pos="4320"/>
                <w:tab w:val="center" w:pos="4433"/>
              </w:tabs>
              <w:autoSpaceDE w:val="0"/>
              <w:autoSpaceDN w:val="0"/>
              <w:adjustRightInd w:val="0"/>
              <w:spacing w:line="276" w:lineRule="auto"/>
              <w:ind w:firstLine="420" w:firstLineChars="200"/>
              <w:jc w:val="left"/>
            </w:pPr>
            <w:r>
              <w:rPr>
                <w:rFonts w:hint="eastAsia"/>
              </w:rPr>
              <w:t>2、项目经理(项目负责人)自2021年1月1日以来（以竣工验收证明时间为准），在类似本项目工程中担任项目经理(项目负责人)的，每提供1个得2分，最多得6分；</w:t>
            </w:r>
          </w:p>
          <w:p w14:paraId="6BB80DB2">
            <w:pPr>
              <w:tabs>
                <w:tab w:val="left" w:pos="-540"/>
                <w:tab w:val="left" w:pos="2880"/>
                <w:tab w:val="left" w:pos="3600"/>
                <w:tab w:val="left" w:pos="4320"/>
                <w:tab w:val="center" w:pos="4433"/>
              </w:tabs>
              <w:autoSpaceDE w:val="0"/>
              <w:autoSpaceDN w:val="0"/>
              <w:adjustRightInd w:val="0"/>
              <w:spacing w:line="276" w:lineRule="auto"/>
              <w:ind w:firstLine="422" w:firstLineChars="200"/>
              <w:jc w:val="left"/>
              <w:rPr>
                <w:b/>
                <w:bCs/>
              </w:rPr>
            </w:pPr>
            <w:r>
              <w:rPr>
                <w:rFonts w:hint="eastAsia"/>
                <w:b/>
                <w:bCs/>
              </w:rPr>
              <w:t>须提供其合同及竣工验收证明复印件并加盖投标人公章，原件备查。【如合同中不能充分反映的，须提供其合同甲方（采购人）出具的（加盖其合同甲方公章）相关证明文件（充分证明或说明的复印件】未提供上述证明材料或提供不全的不得分。</w:t>
            </w:r>
          </w:p>
          <w:p w14:paraId="366EF7F6">
            <w:pPr>
              <w:tabs>
                <w:tab w:val="left" w:pos="-540"/>
                <w:tab w:val="left" w:pos="2880"/>
                <w:tab w:val="left" w:pos="3600"/>
                <w:tab w:val="left" w:pos="4320"/>
                <w:tab w:val="center" w:pos="4433"/>
              </w:tabs>
              <w:autoSpaceDE w:val="0"/>
              <w:autoSpaceDN w:val="0"/>
              <w:adjustRightInd w:val="0"/>
              <w:spacing w:line="276" w:lineRule="auto"/>
              <w:ind w:firstLine="422" w:firstLineChars="200"/>
              <w:jc w:val="left"/>
            </w:pPr>
            <w:r>
              <w:rPr>
                <w:rFonts w:hint="eastAsia"/>
                <w:b/>
                <w:bCs/>
              </w:rPr>
              <w:t>注：以上合同业绩原件备查，如投标文件中合同业绩不清楚或评标小组有异议的，且投标人未提供原件备查的，此单个业绩不得分。</w:t>
            </w:r>
          </w:p>
        </w:tc>
        <w:tc>
          <w:tcPr>
            <w:tcW w:w="680" w:type="dxa"/>
            <w:tcBorders>
              <w:top w:val="single" w:color="auto" w:sz="4" w:space="0"/>
              <w:left w:val="single" w:color="auto" w:sz="4" w:space="0"/>
              <w:right w:val="single" w:color="auto" w:sz="4" w:space="0"/>
            </w:tcBorders>
            <w:vAlign w:val="center"/>
          </w:tcPr>
          <w:p w14:paraId="678B32E1">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r>
      <w:tr w14:paraId="3D6A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14:paraId="1488439A">
            <w:pPr>
              <w:spacing w:line="360" w:lineRule="exact"/>
              <w:jc w:val="center"/>
              <w:rPr>
                <w:rFonts w:ascii="宋体" w:hAnsi="宋体" w:cs="宋体"/>
                <w:szCs w:val="21"/>
              </w:rPr>
            </w:pPr>
            <w:r>
              <w:rPr>
                <w:rFonts w:hint="eastAsia" w:ascii="宋体" w:hAnsi="宋体" w:cs="宋体"/>
                <w:szCs w:val="21"/>
              </w:rPr>
              <w:t>3</w:t>
            </w:r>
          </w:p>
        </w:tc>
        <w:tc>
          <w:tcPr>
            <w:tcW w:w="1134" w:type="dxa"/>
            <w:vAlign w:val="center"/>
          </w:tcPr>
          <w:p w14:paraId="6DA766BC">
            <w:pPr>
              <w:pStyle w:val="58"/>
              <w:spacing w:before="78" w:line="360" w:lineRule="exact"/>
              <w:jc w:val="left"/>
              <w:rPr>
                <w:b/>
                <w:bCs/>
                <w:kern w:val="0"/>
                <w:sz w:val="21"/>
                <w:szCs w:val="21"/>
                <w:lang w:eastAsia="zh-CN"/>
              </w:rPr>
            </w:pPr>
            <w:r>
              <w:rPr>
                <w:rFonts w:hint="eastAsia"/>
                <w:b/>
                <w:bCs/>
                <w:kern w:val="0"/>
                <w:sz w:val="21"/>
                <w:szCs w:val="21"/>
                <w:lang w:eastAsia="zh-CN"/>
              </w:rPr>
              <w:t>人员配备（</w:t>
            </w:r>
            <w:r>
              <w:rPr>
                <w:b/>
                <w:bCs/>
                <w:kern w:val="0"/>
                <w:sz w:val="21"/>
                <w:szCs w:val="21"/>
                <w:lang w:eastAsia="zh-CN"/>
              </w:rPr>
              <w:t>6</w:t>
            </w:r>
            <w:r>
              <w:rPr>
                <w:rFonts w:hint="eastAsia"/>
                <w:b/>
                <w:bCs/>
                <w:kern w:val="0"/>
                <w:sz w:val="21"/>
                <w:szCs w:val="21"/>
                <w:lang w:eastAsia="zh-CN"/>
              </w:rPr>
              <w:t>分）</w:t>
            </w:r>
          </w:p>
        </w:tc>
        <w:tc>
          <w:tcPr>
            <w:tcW w:w="7400" w:type="dxa"/>
            <w:vAlign w:val="center"/>
          </w:tcPr>
          <w:p w14:paraId="00DC0193">
            <w:pPr>
              <w:snapToGrid w:val="0"/>
              <w:spacing w:line="276" w:lineRule="auto"/>
              <w:ind w:firstLine="525" w:firstLineChars="250"/>
              <w:rPr>
                <w:rFonts w:ascii="宋体" w:hAnsi="宋体" w:cs="宋体"/>
                <w:szCs w:val="21"/>
              </w:rPr>
            </w:pPr>
            <w:r>
              <w:rPr>
                <w:rFonts w:hint="eastAsia" w:ascii="宋体" w:hAnsi="宋体" w:cs="宋体"/>
                <w:szCs w:val="21"/>
              </w:rPr>
              <w:t>1、针对本项目拟投入的其他项目组成员（除项目经理以外）中每有一名具有建筑工程专业的二级及以上建造师注册证书的，得1.5分，最多得3分。</w:t>
            </w:r>
          </w:p>
          <w:p w14:paraId="3EF01F3D">
            <w:pPr>
              <w:snapToGrid w:val="0"/>
              <w:spacing w:line="276"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、针对本项目拟投入的其他项目组成员（除项目经理以外）中具备注册建造建筑工程一级资质且具备建设工程类中级及以上职称的得3分。</w:t>
            </w:r>
          </w:p>
          <w:p w14:paraId="374BDE59">
            <w:pPr>
              <w:pStyle w:val="19"/>
              <w:spacing w:line="276" w:lineRule="auto"/>
              <w:ind w:left="0" w:leftChars="0" w:firstLine="422" w:firstLineChars="200"/>
              <w:rPr>
                <w:b/>
                <w:bCs/>
              </w:rPr>
            </w:pPr>
            <w:r>
              <w:rPr>
                <w:rFonts w:hint="eastAsia"/>
                <w:b/>
                <w:bCs/>
              </w:rPr>
              <w:t>投标时须提供相关资质、证书的复印件及该项目组成员的近三月以来任意一个月的社保证明并加盖投标人公章，未提供不得分。</w:t>
            </w:r>
          </w:p>
        </w:tc>
        <w:tc>
          <w:tcPr>
            <w:tcW w:w="680" w:type="dxa"/>
            <w:vAlign w:val="center"/>
          </w:tcPr>
          <w:p w14:paraId="0298CE2C">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kern w:val="0"/>
                <w:szCs w:val="21"/>
              </w:rPr>
            </w:pPr>
            <w:r>
              <w:rPr>
                <w:rFonts w:ascii="宋体" w:hAnsi="宋体" w:cs="宋体"/>
                <w:kern w:val="0"/>
                <w:szCs w:val="21"/>
              </w:rPr>
              <w:t>6</w:t>
            </w:r>
          </w:p>
        </w:tc>
      </w:tr>
      <w:tr w14:paraId="4D5F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709" w:type="dxa"/>
            <w:vAlign w:val="center"/>
          </w:tcPr>
          <w:p w14:paraId="07E0BB15">
            <w:pPr>
              <w:spacing w:line="360" w:lineRule="exact"/>
              <w:jc w:val="center"/>
              <w:rPr>
                <w:rFonts w:ascii="宋体" w:hAnsi="宋体" w:cs="宋体"/>
                <w:szCs w:val="21"/>
              </w:rPr>
            </w:pPr>
            <w:r>
              <w:rPr>
                <w:rFonts w:hint="eastAsia" w:ascii="宋体" w:hAnsi="宋体" w:cs="宋体"/>
                <w:szCs w:val="21"/>
              </w:rPr>
              <w:t>4</w:t>
            </w:r>
          </w:p>
        </w:tc>
        <w:tc>
          <w:tcPr>
            <w:tcW w:w="1134" w:type="dxa"/>
            <w:vAlign w:val="center"/>
          </w:tcPr>
          <w:p w14:paraId="604904F4">
            <w:pPr>
              <w:widowControl/>
              <w:jc w:val="left"/>
              <w:rPr>
                <w:rFonts w:ascii="宋体" w:hAnsi="宋体" w:cs="宋体"/>
                <w:b/>
                <w:bCs/>
                <w:kern w:val="0"/>
                <w:szCs w:val="21"/>
              </w:rPr>
            </w:pPr>
            <w:r>
              <w:rPr>
                <w:rFonts w:hint="eastAsia" w:ascii="宋体" w:hAnsi="宋体" w:cs="宋体"/>
                <w:b/>
                <w:bCs/>
                <w:kern w:val="0"/>
                <w:szCs w:val="21"/>
              </w:rPr>
              <w:t xml:space="preserve">节能环保 </w:t>
            </w:r>
          </w:p>
          <w:p w14:paraId="243BAA5E">
            <w:pPr>
              <w:widowControl/>
              <w:jc w:val="left"/>
              <w:rPr>
                <w:rFonts w:ascii="宋体" w:hAnsi="宋体" w:cs="宋体"/>
                <w:b/>
                <w:bCs/>
                <w:kern w:val="0"/>
                <w:szCs w:val="21"/>
              </w:rPr>
            </w:pPr>
            <w:r>
              <w:rPr>
                <w:rFonts w:hint="eastAsia" w:ascii="宋体" w:hAnsi="宋体" w:cs="宋体"/>
                <w:b/>
                <w:bCs/>
                <w:kern w:val="0"/>
                <w:szCs w:val="21"/>
              </w:rPr>
              <w:t>（2分）</w:t>
            </w:r>
          </w:p>
          <w:p w14:paraId="6F374614">
            <w:pPr>
              <w:pStyle w:val="58"/>
              <w:spacing w:before="78" w:line="360" w:lineRule="exact"/>
              <w:jc w:val="left"/>
              <w:rPr>
                <w:b/>
                <w:bCs/>
                <w:kern w:val="0"/>
                <w:sz w:val="21"/>
                <w:szCs w:val="21"/>
                <w:lang w:eastAsia="zh-CN"/>
              </w:rPr>
            </w:pPr>
          </w:p>
        </w:tc>
        <w:tc>
          <w:tcPr>
            <w:tcW w:w="7400" w:type="dxa"/>
            <w:vAlign w:val="center"/>
          </w:tcPr>
          <w:p w14:paraId="369EAF08">
            <w:pPr>
              <w:pStyle w:val="19"/>
              <w:spacing w:line="276" w:lineRule="auto"/>
              <w:ind w:left="0" w:leftChars="0" w:firstLine="420" w:firstLineChars="200"/>
              <w:rPr>
                <w:rFonts w:ascii="宋体" w:hAnsi="宋体" w:cs="宋体"/>
                <w:szCs w:val="21"/>
              </w:rPr>
            </w:pPr>
            <w:r>
              <w:rPr>
                <w:rFonts w:hint="eastAsia" w:ascii="宋体" w:hAnsi="宋体" w:cs="宋体"/>
                <w:szCs w:val="21"/>
              </w:rPr>
              <w:t>供应商拟投入本项目所使用的装修或施工主要材料中的产品属于最新“节能产品政府采购品目清单”或“环境标志产品政府采购品目清单”中并经国家认证，每有一个产品条目加 0.5 分；提供拟投入本项目所使用的产品，同时属于最新“节能”或“环保”两个品目清单中产品的，每一个产品条目加1.0 分；本项最高得2分。</w:t>
            </w:r>
          </w:p>
          <w:p w14:paraId="31752734">
            <w:pPr>
              <w:pStyle w:val="19"/>
              <w:spacing w:line="276" w:lineRule="auto"/>
              <w:ind w:left="0" w:leftChars="0" w:firstLine="422" w:firstLineChars="200"/>
              <w:rPr>
                <w:b/>
                <w:bCs/>
              </w:rPr>
            </w:pPr>
            <w:r>
              <w:rPr>
                <w:rFonts w:hint="eastAsia"/>
                <w:b/>
                <w:bCs/>
              </w:rPr>
              <w:t>投标时须提供提供第三方认证机构出具的节能产品、环境标志产品认证证书复印件或扫描件，且证书在有效期内（强制采购产品除外)，否则不得分。</w:t>
            </w:r>
          </w:p>
        </w:tc>
        <w:tc>
          <w:tcPr>
            <w:tcW w:w="680" w:type="dxa"/>
            <w:vAlign w:val="center"/>
          </w:tcPr>
          <w:p w14:paraId="40141A98">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kern w:val="0"/>
                <w:szCs w:val="21"/>
              </w:rPr>
            </w:pPr>
            <w:r>
              <w:rPr>
                <w:rFonts w:hint="eastAsia" w:ascii="宋体" w:hAnsi="宋体" w:cs="宋体"/>
                <w:kern w:val="0"/>
                <w:szCs w:val="21"/>
              </w:rPr>
              <w:t>2</w:t>
            </w:r>
          </w:p>
        </w:tc>
      </w:tr>
      <w:tr w14:paraId="7001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restart"/>
            <w:vAlign w:val="center"/>
          </w:tcPr>
          <w:p w14:paraId="7A06C409">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34" w:type="dxa"/>
            <w:vMerge w:val="restart"/>
            <w:vAlign w:val="center"/>
          </w:tcPr>
          <w:p w14:paraId="5BC3AEEA">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施工组织设计</w:t>
            </w:r>
          </w:p>
          <w:p w14:paraId="30C56B26">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b/>
                <w:kern w:val="0"/>
                <w:szCs w:val="21"/>
              </w:rPr>
              <w:t>（40分）</w:t>
            </w:r>
          </w:p>
        </w:tc>
        <w:tc>
          <w:tcPr>
            <w:tcW w:w="7400" w:type="dxa"/>
            <w:vAlign w:val="center"/>
          </w:tcPr>
          <w:p w14:paraId="3947E63E">
            <w:pPr>
              <w:snapToGrid w:val="0"/>
              <w:spacing w:line="276" w:lineRule="auto"/>
              <w:ind w:firstLine="527" w:firstLineChars="250"/>
              <w:rPr>
                <w:rFonts w:ascii="宋体" w:hAnsi="宋体" w:cs="宋体"/>
                <w:b/>
                <w:bCs/>
                <w:szCs w:val="21"/>
              </w:rPr>
            </w:pPr>
            <w:r>
              <w:rPr>
                <w:rFonts w:hint="eastAsia" w:ascii="宋体" w:hAnsi="宋体" w:cs="宋体"/>
                <w:b/>
                <w:bCs/>
                <w:szCs w:val="21"/>
              </w:rPr>
              <w:t>1、施工方案与技术措施（方案包括但不限于进场安排、设备安排等）</w:t>
            </w:r>
          </w:p>
          <w:p w14:paraId="2D34735B">
            <w:pPr>
              <w:snapToGrid w:val="0"/>
              <w:spacing w:line="276" w:lineRule="auto"/>
              <w:ind w:firstLine="420" w:firstLineChars="200"/>
              <w:rPr>
                <w:rFonts w:ascii="宋体" w:hAnsi="宋体" w:cs="宋体"/>
                <w:szCs w:val="21"/>
              </w:rPr>
            </w:pPr>
            <w:r>
              <w:rPr>
                <w:rFonts w:hint="eastAsia" w:ascii="宋体" w:hAnsi="宋体" w:cs="宋体"/>
                <w:szCs w:val="21"/>
              </w:rPr>
              <w:t>施工方案内容详实、完整、叙述清楚且合理，符合现场实际情况得7分；</w:t>
            </w:r>
          </w:p>
          <w:p w14:paraId="0B62CE49">
            <w:pPr>
              <w:snapToGrid w:val="0"/>
              <w:spacing w:line="276" w:lineRule="auto"/>
              <w:ind w:firstLine="420" w:firstLineChars="200"/>
              <w:rPr>
                <w:rFonts w:ascii="宋体" w:hAnsi="宋体" w:cs="宋体"/>
                <w:szCs w:val="21"/>
              </w:rPr>
            </w:pPr>
            <w:r>
              <w:rPr>
                <w:rFonts w:hint="eastAsia" w:ascii="宋体" w:hAnsi="宋体" w:cs="宋体"/>
                <w:szCs w:val="21"/>
              </w:rPr>
              <w:t>施工方案内容基本可行、能保证施工，基本符合现场实际情况得5分；</w:t>
            </w:r>
          </w:p>
          <w:p w14:paraId="194758EC">
            <w:pPr>
              <w:snapToGrid w:val="0"/>
              <w:spacing w:line="276" w:lineRule="auto"/>
              <w:ind w:firstLine="420" w:firstLineChars="200"/>
              <w:rPr>
                <w:rFonts w:ascii="宋体" w:hAnsi="宋体" w:cs="宋体"/>
                <w:szCs w:val="21"/>
              </w:rPr>
            </w:pPr>
            <w:r>
              <w:rPr>
                <w:rFonts w:hint="eastAsia" w:ascii="宋体" w:hAnsi="宋体" w:cs="宋体"/>
                <w:szCs w:val="21"/>
              </w:rPr>
              <w:t>施工方案内容不可行或不能保证施工安全得3分；</w:t>
            </w:r>
          </w:p>
          <w:p w14:paraId="16D7B47C">
            <w:pPr>
              <w:snapToGrid w:val="0"/>
              <w:spacing w:line="276" w:lineRule="auto"/>
              <w:ind w:firstLine="420" w:firstLineChars="200"/>
            </w:pPr>
            <w:r>
              <w:rPr>
                <w:rFonts w:hint="eastAsia" w:ascii="宋体" w:hAnsi="宋体" w:cs="宋体"/>
                <w:szCs w:val="21"/>
              </w:rPr>
              <w:t>未提供不得分。</w:t>
            </w:r>
          </w:p>
        </w:tc>
        <w:tc>
          <w:tcPr>
            <w:tcW w:w="680" w:type="dxa"/>
            <w:vAlign w:val="center"/>
          </w:tcPr>
          <w:p w14:paraId="3292E628">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14:paraId="0C06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09" w:type="dxa"/>
            <w:vMerge w:val="continue"/>
            <w:vAlign w:val="center"/>
          </w:tcPr>
          <w:p w14:paraId="3E4277BD">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14:paraId="004E77F8">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14:paraId="61DD51CC">
            <w:pPr>
              <w:snapToGrid w:val="0"/>
              <w:spacing w:line="276" w:lineRule="auto"/>
              <w:ind w:firstLine="527" w:firstLineChars="250"/>
              <w:rPr>
                <w:rFonts w:ascii="宋体" w:hAnsi="宋体" w:cs="宋体"/>
                <w:b/>
                <w:bCs/>
                <w:szCs w:val="21"/>
              </w:rPr>
            </w:pPr>
            <w:r>
              <w:rPr>
                <w:rFonts w:hint="eastAsia" w:ascii="宋体" w:hAnsi="宋体" w:cs="宋体"/>
                <w:b/>
                <w:bCs/>
                <w:szCs w:val="21"/>
              </w:rPr>
              <w:t>2、项目组织结构（方案包括但不限于专业技术人员配置等）</w:t>
            </w:r>
          </w:p>
          <w:p w14:paraId="6927262A">
            <w:pPr>
              <w:snapToGrid w:val="0"/>
              <w:spacing w:line="276" w:lineRule="auto"/>
              <w:ind w:firstLine="525" w:firstLineChars="250"/>
              <w:rPr>
                <w:rFonts w:ascii="宋体" w:hAnsi="宋体" w:cs="宋体"/>
                <w:szCs w:val="21"/>
              </w:rPr>
            </w:pPr>
            <w:r>
              <w:rPr>
                <w:rFonts w:hint="eastAsia" w:ascii="宋体" w:hAnsi="宋体" w:cs="宋体"/>
                <w:szCs w:val="21"/>
              </w:rPr>
              <w:t>项目部组织结构合理、专业齐全、执业资格齐全的得7分；</w:t>
            </w:r>
          </w:p>
          <w:p w14:paraId="643B2C4B">
            <w:pPr>
              <w:snapToGrid w:val="0"/>
              <w:spacing w:line="276" w:lineRule="auto"/>
              <w:ind w:firstLine="525" w:firstLineChars="250"/>
              <w:rPr>
                <w:rFonts w:ascii="宋体" w:hAnsi="宋体" w:cs="宋体"/>
                <w:szCs w:val="21"/>
              </w:rPr>
            </w:pPr>
            <w:r>
              <w:rPr>
                <w:rFonts w:hint="eastAsia" w:ascii="宋体" w:hAnsi="宋体" w:cs="宋体"/>
                <w:szCs w:val="21"/>
              </w:rPr>
              <w:t>项目部组织结构基本合理、专业基本齐全、执业资格基本齐全的得5分；</w:t>
            </w:r>
          </w:p>
          <w:p w14:paraId="4775E370">
            <w:pPr>
              <w:snapToGrid w:val="0"/>
              <w:spacing w:line="276" w:lineRule="auto"/>
              <w:ind w:firstLine="525" w:firstLineChars="250"/>
              <w:rPr>
                <w:rFonts w:ascii="宋体" w:hAnsi="宋体" w:cs="宋体"/>
                <w:szCs w:val="21"/>
              </w:rPr>
            </w:pPr>
            <w:r>
              <w:rPr>
                <w:rFonts w:hint="eastAsia" w:ascii="宋体" w:hAnsi="宋体" w:cs="宋体"/>
                <w:szCs w:val="21"/>
              </w:rPr>
              <w:t>项目部组织结构不合理、专业不齐全、无执业资格的得3分；</w:t>
            </w:r>
          </w:p>
          <w:p w14:paraId="60D1CF09">
            <w:pPr>
              <w:snapToGrid w:val="0"/>
              <w:spacing w:line="276" w:lineRule="auto"/>
              <w:ind w:firstLine="525" w:firstLineChars="250"/>
              <w:rPr>
                <w:rFonts w:ascii="宋体" w:hAnsi="宋体" w:cs="宋体"/>
                <w:szCs w:val="21"/>
              </w:rPr>
            </w:pPr>
            <w:r>
              <w:rPr>
                <w:rFonts w:hint="eastAsia" w:ascii="宋体" w:hAnsi="宋体" w:cs="宋体"/>
                <w:szCs w:val="21"/>
              </w:rPr>
              <w:t>未提供不得分。</w:t>
            </w:r>
          </w:p>
        </w:tc>
        <w:tc>
          <w:tcPr>
            <w:tcW w:w="680" w:type="dxa"/>
            <w:vAlign w:val="center"/>
          </w:tcPr>
          <w:p w14:paraId="14F512AC">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14:paraId="2AC1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vMerge w:val="continue"/>
            <w:vAlign w:val="center"/>
          </w:tcPr>
          <w:p w14:paraId="694B4AC5">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14:paraId="65220206">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14:paraId="3A642AB9">
            <w:pPr>
              <w:snapToGrid w:val="0"/>
              <w:spacing w:line="276" w:lineRule="auto"/>
              <w:ind w:firstLine="527" w:firstLineChars="250"/>
              <w:rPr>
                <w:rFonts w:ascii="宋体" w:hAnsi="宋体" w:cs="宋体"/>
                <w:b/>
                <w:bCs/>
                <w:szCs w:val="21"/>
              </w:rPr>
            </w:pPr>
            <w:r>
              <w:rPr>
                <w:rFonts w:hint="eastAsia" w:ascii="宋体" w:hAnsi="宋体" w:cs="宋体"/>
                <w:b/>
                <w:bCs/>
                <w:szCs w:val="21"/>
              </w:rPr>
              <w:t>3、安全和绿色施工保障措施（方案包括但不限于施工区域安全、设施、建筑垃圾清运及周边环境保护等）</w:t>
            </w:r>
          </w:p>
          <w:p w14:paraId="240212D6">
            <w:pPr>
              <w:snapToGrid w:val="0"/>
              <w:spacing w:line="276" w:lineRule="auto"/>
              <w:ind w:firstLine="525" w:firstLineChars="250"/>
              <w:rPr>
                <w:rFonts w:ascii="宋体" w:hAnsi="宋体" w:cs="宋体"/>
                <w:szCs w:val="21"/>
              </w:rPr>
            </w:pPr>
            <w:r>
              <w:rPr>
                <w:rFonts w:hint="eastAsia" w:ascii="宋体" w:hAnsi="宋体" w:cs="宋体"/>
                <w:szCs w:val="21"/>
              </w:rPr>
              <w:t>考虑全面，有针对性，措施完善的得7分；</w:t>
            </w:r>
          </w:p>
          <w:p w14:paraId="7A95C25C">
            <w:pPr>
              <w:snapToGrid w:val="0"/>
              <w:spacing w:line="276" w:lineRule="auto"/>
              <w:ind w:firstLine="525" w:firstLineChars="250"/>
              <w:rPr>
                <w:rFonts w:ascii="宋体" w:hAnsi="宋体" w:cs="宋体"/>
                <w:szCs w:val="21"/>
              </w:rPr>
            </w:pPr>
            <w:r>
              <w:rPr>
                <w:rFonts w:hint="eastAsia" w:ascii="宋体" w:hAnsi="宋体" w:cs="宋体"/>
                <w:szCs w:val="21"/>
              </w:rPr>
              <w:t>方法可行，措施一般的得5分；</w:t>
            </w:r>
          </w:p>
          <w:p w14:paraId="38F2188B">
            <w:pPr>
              <w:snapToGrid w:val="0"/>
              <w:spacing w:line="276" w:lineRule="auto"/>
              <w:ind w:firstLine="525" w:firstLineChars="250"/>
              <w:rPr>
                <w:rFonts w:ascii="宋体" w:hAnsi="宋体" w:cs="宋体"/>
                <w:szCs w:val="21"/>
              </w:rPr>
            </w:pPr>
            <w:r>
              <w:rPr>
                <w:rFonts w:hint="eastAsia" w:ascii="宋体" w:hAnsi="宋体" w:cs="宋体"/>
                <w:szCs w:val="21"/>
              </w:rPr>
              <w:t>措施不力，方法不合理的得3分；未提供不得分。</w:t>
            </w:r>
          </w:p>
        </w:tc>
        <w:tc>
          <w:tcPr>
            <w:tcW w:w="680" w:type="dxa"/>
            <w:vAlign w:val="center"/>
          </w:tcPr>
          <w:p w14:paraId="521FF582">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14:paraId="19A6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continue"/>
            <w:vAlign w:val="center"/>
          </w:tcPr>
          <w:p w14:paraId="44C7CBCB">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14:paraId="5B8E564F">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14:paraId="24258525">
            <w:pPr>
              <w:snapToGrid w:val="0"/>
              <w:spacing w:line="276" w:lineRule="auto"/>
              <w:ind w:firstLine="527" w:firstLineChars="250"/>
              <w:rPr>
                <w:rFonts w:ascii="宋体" w:hAnsi="宋体" w:cs="宋体"/>
                <w:b/>
                <w:bCs/>
              </w:rPr>
            </w:pPr>
            <w:r>
              <w:rPr>
                <w:rFonts w:hint="eastAsia" w:ascii="宋体" w:hAnsi="宋体" w:cs="宋体"/>
                <w:b/>
                <w:bCs/>
              </w:rPr>
              <w:t>4、工程进度计划与保证措施</w:t>
            </w:r>
          </w:p>
          <w:p w14:paraId="66A06560">
            <w:pPr>
              <w:snapToGrid w:val="0"/>
              <w:spacing w:line="276" w:lineRule="auto"/>
              <w:ind w:firstLine="525" w:firstLineChars="250"/>
              <w:rPr>
                <w:rFonts w:ascii="宋体" w:hAnsi="宋体" w:cs="宋体"/>
                <w:szCs w:val="21"/>
              </w:rPr>
            </w:pPr>
            <w:r>
              <w:rPr>
                <w:rFonts w:hint="eastAsia" w:ascii="宋体" w:hAnsi="宋体" w:cs="宋体"/>
                <w:szCs w:val="21"/>
              </w:rPr>
              <w:t>进度计划详尽、合理，项目实施进度、时间点、关键节点等设置清晰准确的，得7分；</w:t>
            </w:r>
          </w:p>
          <w:p w14:paraId="0B8CE881">
            <w:pPr>
              <w:snapToGrid w:val="0"/>
              <w:spacing w:line="276" w:lineRule="auto"/>
              <w:ind w:firstLine="525" w:firstLineChars="250"/>
              <w:rPr>
                <w:rFonts w:ascii="宋体" w:hAnsi="宋体" w:cs="宋体"/>
                <w:szCs w:val="21"/>
              </w:rPr>
            </w:pPr>
            <w:r>
              <w:rPr>
                <w:rFonts w:hint="eastAsia" w:ascii="宋体" w:hAnsi="宋体" w:cs="宋体"/>
                <w:szCs w:val="21"/>
              </w:rPr>
              <w:t>进度计划较为详尽、合理，项目实施进度、时间点、关键点等设置比较准确的，得5分；</w:t>
            </w:r>
          </w:p>
          <w:p w14:paraId="223B1257">
            <w:pPr>
              <w:snapToGrid w:val="0"/>
              <w:spacing w:line="276" w:lineRule="auto"/>
              <w:ind w:firstLine="525" w:firstLineChars="250"/>
              <w:rPr>
                <w:rFonts w:ascii="宋体" w:hAnsi="宋体" w:cs="宋体"/>
                <w:szCs w:val="21"/>
              </w:rPr>
            </w:pPr>
            <w:r>
              <w:rPr>
                <w:rFonts w:hint="eastAsia" w:ascii="宋体" w:hAnsi="宋体" w:cs="宋体"/>
                <w:szCs w:val="21"/>
              </w:rPr>
              <w:t>计划简单，描述不清楚，只能基本满足项目实施需要的，得3分；</w:t>
            </w:r>
          </w:p>
          <w:p w14:paraId="5741B6E9">
            <w:pPr>
              <w:snapToGrid w:val="0"/>
              <w:spacing w:line="276" w:lineRule="auto"/>
              <w:ind w:firstLine="525" w:firstLineChars="250"/>
              <w:rPr>
                <w:rFonts w:ascii="宋体" w:hAnsi="宋体" w:cs="宋体"/>
                <w:szCs w:val="21"/>
              </w:rPr>
            </w:pPr>
            <w:r>
              <w:rPr>
                <w:rFonts w:hint="eastAsia" w:ascii="宋体" w:hAnsi="宋体" w:cs="宋体"/>
                <w:szCs w:val="21"/>
              </w:rPr>
              <w:t>措施不到位或不合理的得2分；</w:t>
            </w:r>
          </w:p>
          <w:p w14:paraId="7EB97446">
            <w:pPr>
              <w:snapToGrid w:val="0"/>
              <w:spacing w:line="276" w:lineRule="auto"/>
              <w:ind w:firstLine="525" w:firstLineChars="250"/>
            </w:pPr>
            <w:r>
              <w:rPr>
                <w:rFonts w:hint="eastAsia" w:ascii="宋体" w:hAnsi="宋体" w:cs="宋体"/>
                <w:szCs w:val="21"/>
              </w:rPr>
              <w:t>未提供相应方案的不得分。</w:t>
            </w:r>
          </w:p>
        </w:tc>
        <w:tc>
          <w:tcPr>
            <w:tcW w:w="680" w:type="dxa"/>
            <w:vAlign w:val="center"/>
          </w:tcPr>
          <w:p w14:paraId="568F2D6A">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14:paraId="3195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14:paraId="0624750A">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14:paraId="23B1F71C">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14:paraId="23E2849A">
            <w:pPr>
              <w:snapToGrid w:val="0"/>
              <w:spacing w:line="276" w:lineRule="auto"/>
              <w:ind w:firstLine="527" w:firstLineChars="250"/>
              <w:rPr>
                <w:b/>
                <w:bCs/>
              </w:rPr>
            </w:pPr>
            <w:r>
              <w:rPr>
                <w:rFonts w:hint="eastAsia"/>
                <w:b/>
                <w:bCs/>
              </w:rPr>
              <w:t>5、本工程重点难点分析</w:t>
            </w:r>
          </w:p>
          <w:p w14:paraId="0E57F416">
            <w:pPr>
              <w:snapToGrid w:val="0"/>
              <w:spacing w:line="276" w:lineRule="auto"/>
              <w:ind w:firstLine="525" w:firstLineChars="250"/>
              <w:rPr>
                <w:rFonts w:ascii="宋体" w:hAnsi="宋体" w:cs="宋体"/>
                <w:szCs w:val="21"/>
              </w:rPr>
            </w:pPr>
            <w:r>
              <w:rPr>
                <w:rFonts w:hint="eastAsia" w:ascii="宋体" w:hAnsi="宋体" w:cs="宋体"/>
                <w:szCs w:val="21"/>
              </w:rPr>
              <w:t>投标人根据经验、现场实际情况，进行了工程重点难点分析，重、难点突出，并有切实可行的解决方案的得5分；</w:t>
            </w:r>
          </w:p>
          <w:p w14:paraId="70EC6991">
            <w:pPr>
              <w:snapToGrid w:val="0"/>
              <w:spacing w:line="276" w:lineRule="auto"/>
              <w:ind w:firstLine="525" w:firstLineChars="250"/>
              <w:rPr>
                <w:rFonts w:ascii="宋体" w:hAnsi="宋体" w:cs="宋体"/>
                <w:szCs w:val="21"/>
              </w:rPr>
            </w:pPr>
            <w:r>
              <w:rPr>
                <w:rFonts w:hint="eastAsia" w:ascii="宋体" w:hAnsi="宋体" w:cs="宋体"/>
                <w:szCs w:val="21"/>
              </w:rPr>
              <w:t>方案科学较合理，重、难点突出，可操作性较可行的得3分；</w:t>
            </w:r>
          </w:p>
          <w:p w14:paraId="744A9452">
            <w:pPr>
              <w:snapToGrid w:val="0"/>
              <w:spacing w:line="276" w:lineRule="auto"/>
              <w:ind w:firstLine="525" w:firstLineChars="250"/>
              <w:rPr>
                <w:rFonts w:ascii="宋体" w:hAnsi="宋体" w:cs="宋体"/>
                <w:szCs w:val="21"/>
              </w:rPr>
            </w:pPr>
            <w:r>
              <w:rPr>
                <w:rFonts w:hint="eastAsia" w:ascii="宋体" w:hAnsi="宋体" w:cs="宋体"/>
                <w:szCs w:val="21"/>
              </w:rPr>
              <w:t>方案科学合理，重、难点突出，针对性一般，可操作性一般的得1分；</w:t>
            </w:r>
          </w:p>
          <w:p w14:paraId="3CAD654A">
            <w:pPr>
              <w:snapToGrid w:val="0"/>
              <w:spacing w:line="276" w:lineRule="auto"/>
              <w:ind w:firstLine="525" w:firstLineChars="250"/>
              <w:rPr>
                <w:rFonts w:ascii="宋体" w:hAnsi="宋体" w:cs="宋体"/>
                <w:szCs w:val="21"/>
              </w:rPr>
            </w:pPr>
            <w:r>
              <w:rPr>
                <w:rFonts w:hint="eastAsia" w:ascii="宋体" w:hAnsi="宋体" w:cs="宋体"/>
                <w:szCs w:val="21"/>
              </w:rPr>
              <w:t>方案分析不到位或不合理的得2分；</w:t>
            </w:r>
          </w:p>
          <w:p w14:paraId="6D58232A">
            <w:pPr>
              <w:snapToGrid w:val="0"/>
              <w:spacing w:line="276" w:lineRule="auto"/>
              <w:ind w:firstLine="525" w:firstLineChars="250"/>
            </w:pPr>
            <w:r>
              <w:rPr>
                <w:rFonts w:hint="eastAsia" w:ascii="宋体" w:hAnsi="宋体" w:cs="宋体"/>
                <w:szCs w:val="21"/>
              </w:rPr>
              <w:t>未提供相应方案的不得分。</w:t>
            </w:r>
          </w:p>
        </w:tc>
        <w:tc>
          <w:tcPr>
            <w:tcW w:w="680" w:type="dxa"/>
            <w:vAlign w:val="center"/>
          </w:tcPr>
          <w:p w14:paraId="0642D2F6">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r>
      <w:tr w14:paraId="50D5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continue"/>
            <w:vAlign w:val="center"/>
          </w:tcPr>
          <w:p w14:paraId="75981D0F">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14:paraId="3BBF6079">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14:paraId="695F63E2">
            <w:pPr>
              <w:snapToGrid w:val="0"/>
              <w:spacing w:line="276" w:lineRule="auto"/>
              <w:ind w:firstLine="527" w:firstLineChars="250"/>
              <w:rPr>
                <w:rFonts w:ascii="宋体" w:hAnsi="宋体" w:cs="宋体"/>
                <w:b/>
                <w:bCs/>
                <w:szCs w:val="21"/>
              </w:rPr>
            </w:pPr>
            <w:r>
              <w:rPr>
                <w:rFonts w:hint="eastAsia" w:ascii="宋体" w:hAnsi="宋体" w:cs="宋体"/>
                <w:b/>
                <w:bCs/>
                <w:szCs w:val="21"/>
              </w:rPr>
              <w:t>6、紧急情况的处理措施、预案以及抵抗风险的措施</w:t>
            </w:r>
          </w:p>
          <w:p w14:paraId="1A771881">
            <w:pPr>
              <w:snapToGrid w:val="0"/>
              <w:spacing w:line="276" w:lineRule="auto"/>
              <w:ind w:firstLine="525" w:firstLineChars="250"/>
              <w:rPr>
                <w:rFonts w:ascii="宋体" w:hAnsi="宋体" w:cs="宋体"/>
                <w:szCs w:val="21"/>
              </w:rPr>
            </w:pPr>
            <w:r>
              <w:rPr>
                <w:rFonts w:hint="eastAsia" w:ascii="宋体" w:hAnsi="宋体" w:cs="宋体"/>
                <w:szCs w:val="21"/>
              </w:rPr>
              <w:t>措施及方案合理的得7分；</w:t>
            </w:r>
          </w:p>
          <w:p w14:paraId="40E0E065">
            <w:pPr>
              <w:snapToGrid w:val="0"/>
              <w:spacing w:line="276" w:lineRule="auto"/>
              <w:ind w:firstLine="525" w:firstLineChars="250"/>
              <w:rPr>
                <w:rFonts w:ascii="宋体" w:hAnsi="宋体" w:cs="宋体"/>
                <w:szCs w:val="21"/>
              </w:rPr>
            </w:pPr>
            <w:r>
              <w:rPr>
                <w:rFonts w:hint="eastAsia" w:ascii="宋体" w:hAnsi="宋体" w:cs="宋体"/>
                <w:szCs w:val="21"/>
              </w:rPr>
              <w:t>措施及方案较合理的得5分；</w:t>
            </w:r>
          </w:p>
          <w:p w14:paraId="1C3606F2">
            <w:pPr>
              <w:snapToGrid w:val="0"/>
              <w:spacing w:line="276" w:lineRule="auto"/>
              <w:ind w:firstLine="525" w:firstLineChars="250"/>
              <w:rPr>
                <w:rFonts w:ascii="宋体" w:hAnsi="宋体" w:cs="宋体"/>
                <w:szCs w:val="21"/>
              </w:rPr>
            </w:pPr>
            <w:r>
              <w:rPr>
                <w:rFonts w:hint="eastAsia" w:ascii="宋体" w:hAnsi="宋体" w:cs="宋体"/>
                <w:szCs w:val="21"/>
              </w:rPr>
              <w:t>措施方案分析不到位或不合理的得3分；</w:t>
            </w:r>
          </w:p>
          <w:p w14:paraId="6DC9517E">
            <w:pPr>
              <w:snapToGrid w:val="0"/>
              <w:spacing w:line="276" w:lineRule="auto"/>
              <w:ind w:firstLine="525" w:firstLineChars="250"/>
            </w:pPr>
            <w:r>
              <w:rPr>
                <w:rFonts w:hint="eastAsia" w:ascii="宋体" w:hAnsi="宋体" w:cs="宋体"/>
                <w:szCs w:val="21"/>
              </w:rPr>
              <w:t>未提供相应方案的不得分。</w:t>
            </w:r>
          </w:p>
        </w:tc>
        <w:tc>
          <w:tcPr>
            <w:tcW w:w="680" w:type="dxa"/>
            <w:vAlign w:val="center"/>
          </w:tcPr>
          <w:p w14:paraId="3D7F7F25">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bl>
    <w:p w14:paraId="67FD9DAB">
      <w:pPr>
        <w:spacing w:line="360" w:lineRule="auto"/>
        <w:rPr>
          <w:rFonts w:ascii="宋体" w:hAnsi="宋体" w:cs="宋体"/>
          <w:b/>
          <w:color w:val="000000"/>
          <w:sz w:val="28"/>
          <w:szCs w:val="28"/>
        </w:rPr>
      </w:pPr>
      <w:bookmarkStart w:id="276" w:name="_Toc25273"/>
      <w:bookmarkStart w:id="277" w:name="_Toc15465"/>
    </w:p>
    <w:p w14:paraId="496366D3">
      <w:pPr>
        <w:spacing w:line="360" w:lineRule="auto"/>
        <w:jc w:val="center"/>
        <w:rPr>
          <w:rFonts w:ascii="宋体" w:hAnsi="宋体" w:cs="宋体"/>
          <w:b/>
          <w:color w:val="000000"/>
          <w:sz w:val="28"/>
          <w:szCs w:val="28"/>
        </w:rPr>
      </w:pPr>
    </w:p>
    <w:p w14:paraId="4769086E">
      <w:pPr>
        <w:pStyle w:val="2"/>
      </w:pPr>
    </w:p>
    <w:p w14:paraId="76D3D5B3">
      <w:pPr>
        <w:pStyle w:val="2"/>
      </w:pPr>
    </w:p>
    <w:p w14:paraId="2724C93A">
      <w:pPr>
        <w:pStyle w:val="2"/>
      </w:pPr>
    </w:p>
    <w:p w14:paraId="45A1752F">
      <w:pPr>
        <w:pStyle w:val="2"/>
      </w:pPr>
    </w:p>
    <w:p w14:paraId="64031DAA">
      <w:pPr>
        <w:pStyle w:val="2"/>
      </w:pPr>
    </w:p>
    <w:p w14:paraId="1A1FF1F6">
      <w:pPr>
        <w:spacing w:line="360" w:lineRule="auto"/>
        <w:rPr>
          <w:rFonts w:ascii="宋体" w:hAnsi="宋体" w:cs="宋体"/>
          <w:b/>
          <w:color w:val="000000"/>
          <w:sz w:val="28"/>
          <w:szCs w:val="28"/>
        </w:rPr>
      </w:pPr>
    </w:p>
    <w:p w14:paraId="7FAF6C00">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276"/>
      <w:bookmarkEnd w:id="277"/>
    </w:p>
    <w:p w14:paraId="0E186014">
      <w:pPr>
        <w:pStyle w:val="9"/>
        <w:spacing w:line="480" w:lineRule="auto"/>
        <w:rPr>
          <w:rFonts w:ascii="宋体" w:hAnsi="宋体" w:eastAsia="宋体"/>
          <w:color w:val="000000"/>
        </w:rPr>
      </w:pPr>
    </w:p>
    <w:p w14:paraId="56A9107C">
      <w:pPr>
        <w:pStyle w:val="33"/>
        <w:spacing w:line="480" w:lineRule="auto"/>
        <w:outlineLvl w:val="9"/>
        <w:rPr>
          <w:rFonts w:ascii="宋体" w:eastAsia="宋体"/>
          <w:color w:val="000000"/>
        </w:rPr>
      </w:pPr>
    </w:p>
    <w:p w14:paraId="25FBDA6A">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14:paraId="5BB34A76">
      <w:pPr>
        <w:spacing w:line="1200" w:lineRule="exact"/>
        <w:jc w:val="center"/>
        <w:rPr>
          <w:rFonts w:ascii="宋体" w:hAnsi="宋体" w:cs="宋体"/>
          <w:b/>
          <w:color w:val="000000"/>
          <w:sz w:val="44"/>
          <w:szCs w:val="44"/>
        </w:rPr>
      </w:pPr>
      <w:bookmarkStart w:id="278" w:name="_Toc23349"/>
      <w:r>
        <w:rPr>
          <w:rFonts w:hint="eastAsia" w:ascii="宋体" w:hAnsi="宋体" w:cs="宋体"/>
          <w:b/>
          <w:color w:val="000000"/>
          <w:sz w:val="44"/>
          <w:szCs w:val="44"/>
        </w:rPr>
        <w:t>（竞争性磋商）</w:t>
      </w:r>
      <w:bookmarkEnd w:id="278"/>
    </w:p>
    <w:p w14:paraId="30637E55">
      <w:pPr>
        <w:pStyle w:val="33"/>
        <w:spacing w:line="480" w:lineRule="auto"/>
        <w:outlineLvl w:val="9"/>
        <w:rPr>
          <w:rFonts w:ascii="宋体" w:eastAsia="宋体"/>
          <w:color w:val="000000"/>
        </w:rPr>
      </w:pPr>
    </w:p>
    <w:p w14:paraId="015BFEBE">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14:paraId="31DF5EDC">
      <w:pPr>
        <w:spacing w:line="480" w:lineRule="auto"/>
        <w:jc w:val="center"/>
        <w:rPr>
          <w:rFonts w:ascii="宋体" w:hAnsi="宋体" w:cs="宋体"/>
          <w:color w:val="000000"/>
          <w:sz w:val="44"/>
          <w:szCs w:val="44"/>
        </w:rPr>
      </w:pPr>
    </w:p>
    <w:p w14:paraId="7D5FBEBA">
      <w:pPr>
        <w:pStyle w:val="35"/>
        <w:spacing w:line="480" w:lineRule="auto"/>
      </w:pPr>
    </w:p>
    <w:p w14:paraId="1239ABEF">
      <w:pPr>
        <w:pStyle w:val="9"/>
        <w:spacing w:line="480" w:lineRule="auto"/>
        <w:rPr>
          <w:rFonts w:ascii="宋体" w:hAnsi="宋体" w:eastAsia="宋体"/>
          <w:color w:val="000000"/>
        </w:rPr>
      </w:pPr>
    </w:p>
    <w:p w14:paraId="3A498DD6">
      <w:pPr>
        <w:spacing w:line="480" w:lineRule="auto"/>
        <w:rPr>
          <w:rFonts w:ascii="宋体" w:hAnsi="宋体"/>
          <w:color w:val="000000"/>
        </w:rPr>
      </w:pPr>
    </w:p>
    <w:p w14:paraId="6233D6BD">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14:paraId="0EE2BD77">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14:paraId="70AA7A06">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14:paraId="031FCB9D">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14:paraId="3EFC4CDA">
      <w:pPr>
        <w:spacing w:line="480" w:lineRule="auto"/>
        <w:jc w:val="center"/>
        <w:rPr>
          <w:rFonts w:ascii="宋体" w:hAnsi="宋体" w:cs="宋体"/>
          <w:b/>
          <w:color w:val="000000"/>
          <w:sz w:val="28"/>
          <w:szCs w:val="28"/>
        </w:rPr>
      </w:pPr>
    </w:p>
    <w:p w14:paraId="068FB811">
      <w:pPr>
        <w:pStyle w:val="33"/>
        <w:outlineLvl w:val="9"/>
        <w:rPr>
          <w:rFonts w:ascii="宋体" w:eastAsia="宋体"/>
          <w:color w:val="000000"/>
        </w:rPr>
      </w:pPr>
    </w:p>
    <w:p w14:paraId="27F96473">
      <w:pPr>
        <w:pStyle w:val="35"/>
      </w:pPr>
    </w:p>
    <w:p w14:paraId="3BE5B35A">
      <w:pPr>
        <w:pStyle w:val="9"/>
        <w:spacing w:line="240" w:lineRule="exact"/>
        <w:rPr>
          <w:rFonts w:ascii="宋体" w:hAnsi="宋体" w:cs="宋体"/>
          <w:b/>
          <w:color w:val="000000"/>
          <w:szCs w:val="28"/>
        </w:rPr>
      </w:pPr>
    </w:p>
    <w:p w14:paraId="15F104B9">
      <w:pPr>
        <w:spacing w:line="480" w:lineRule="auto"/>
        <w:jc w:val="center"/>
        <w:rPr>
          <w:rFonts w:ascii="宋体" w:hAnsi="宋体" w:cs="宋体"/>
          <w:b/>
          <w:color w:val="000000"/>
          <w:sz w:val="36"/>
          <w:szCs w:val="21"/>
        </w:rPr>
      </w:pPr>
    </w:p>
    <w:p w14:paraId="1199009C">
      <w:pPr>
        <w:spacing w:line="480" w:lineRule="auto"/>
        <w:rPr>
          <w:rFonts w:ascii="宋体" w:hAnsi="宋体" w:cs="宋体"/>
          <w:b/>
          <w:color w:val="000000"/>
          <w:sz w:val="36"/>
          <w:szCs w:val="21"/>
        </w:rPr>
      </w:pPr>
    </w:p>
    <w:p w14:paraId="2D97C6AC">
      <w:pPr>
        <w:rPr>
          <w:rFonts w:ascii="宋体" w:hAnsi="宋体" w:cs="宋体"/>
          <w:b/>
          <w:color w:val="000000"/>
          <w:sz w:val="36"/>
          <w:szCs w:val="21"/>
        </w:rPr>
      </w:pPr>
    </w:p>
    <w:p w14:paraId="27FB6972">
      <w:pPr>
        <w:spacing w:line="480" w:lineRule="auto"/>
        <w:jc w:val="center"/>
        <w:rPr>
          <w:rFonts w:ascii="宋体" w:hAnsi="宋体" w:cs="宋体"/>
          <w:b/>
          <w:color w:val="000000"/>
          <w:sz w:val="36"/>
          <w:szCs w:val="21"/>
        </w:rPr>
      </w:pPr>
      <w:bookmarkStart w:id="279" w:name="_Toc14853"/>
      <w:bookmarkStart w:id="280" w:name="_Toc4062"/>
      <w:r>
        <w:rPr>
          <w:rFonts w:hint="eastAsia" w:ascii="宋体" w:hAnsi="宋体" w:cs="宋体"/>
          <w:b/>
          <w:color w:val="000000"/>
          <w:sz w:val="36"/>
          <w:szCs w:val="21"/>
        </w:rPr>
        <w:t>投标（响应）文件目录</w:t>
      </w:r>
      <w:bookmarkEnd w:id="279"/>
      <w:bookmarkEnd w:id="280"/>
    </w:p>
    <w:p w14:paraId="7217410B">
      <w:pPr>
        <w:pStyle w:val="9"/>
        <w:spacing w:line="240" w:lineRule="exact"/>
        <w:rPr>
          <w:rFonts w:ascii="宋体" w:hAnsi="宋体" w:cs="宋体"/>
          <w:b/>
          <w:bCs/>
          <w:color w:val="000000"/>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14:paraId="7D03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14:paraId="227385FA">
            <w:pPr>
              <w:jc w:val="center"/>
              <w:rPr>
                <w:b/>
                <w:sz w:val="28"/>
              </w:rPr>
            </w:pPr>
            <w:r>
              <w:rPr>
                <w:rFonts w:hint="eastAsia"/>
                <w:b/>
                <w:sz w:val="28"/>
              </w:rPr>
              <w:t>目录名称</w:t>
            </w:r>
          </w:p>
        </w:tc>
        <w:tc>
          <w:tcPr>
            <w:tcW w:w="1574" w:type="dxa"/>
            <w:noWrap/>
            <w:vAlign w:val="center"/>
          </w:tcPr>
          <w:p w14:paraId="51C41B35">
            <w:pPr>
              <w:jc w:val="center"/>
              <w:rPr>
                <w:b/>
                <w:sz w:val="28"/>
              </w:rPr>
            </w:pPr>
            <w:r>
              <w:rPr>
                <w:rFonts w:hint="eastAsia"/>
                <w:b/>
                <w:sz w:val="28"/>
              </w:rPr>
              <w:t>所在页码</w:t>
            </w:r>
          </w:p>
        </w:tc>
      </w:tr>
      <w:tr w14:paraId="0658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5404E72B">
            <w:pPr>
              <w:rPr>
                <w:sz w:val="24"/>
              </w:rPr>
            </w:pPr>
            <w:r>
              <w:rPr>
                <w:rFonts w:hint="eastAsia"/>
                <w:sz w:val="24"/>
              </w:rPr>
              <w:t>一、报价一览表(报价表) （格式）</w:t>
            </w:r>
          </w:p>
        </w:tc>
        <w:tc>
          <w:tcPr>
            <w:tcW w:w="1574" w:type="dxa"/>
            <w:noWrap/>
            <w:vAlign w:val="center"/>
          </w:tcPr>
          <w:p w14:paraId="535A2931">
            <w:pPr>
              <w:spacing w:line="480" w:lineRule="auto"/>
              <w:rPr>
                <w:rFonts w:ascii="宋体" w:hAnsi="宋体" w:cs="宋体"/>
                <w:color w:val="000000"/>
                <w:sz w:val="24"/>
              </w:rPr>
            </w:pPr>
          </w:p>
        </w:tc>
      </w:tr>
      <w:tr w14:paraId="0311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14C70A49">
            <w:pPr>
              <w:rPr>
                <w:sz w:val="24"/>
              </w:rPr>
            </w:pPr>
            <w:r>
              <w:rPr>
                <w:rFonts w:hint="eastAsia"/>
                <w:sz w:val="24"/>
              </w:rPr>
              <w:t>二、供应商的资格证明文件</w:t>
            </w:r>
          </w:p>
        </w:tc>
        <w:tc>
          <w:tcPr>
            <w:tcW w:w="1574" w:type="dxa"/>
            <w:noWrap/>
            <w:vAlign w:val="center"/>
          </w:tcPr>
          <w:p w14:paraId="6AE0786F">
            <w:pPr>
              <w:spacing w:line="480" w:lineRule="auto"/>
              <w:rPr>
                <w:rFonts w:ascii="宋体" w:hAnsi="宋体" w:cs="宋体"/>
                <w:color w:val="000000"/>
                <w:sz w:val="24"/>
              </w:rPr>
            </w:pPr>
          </w:p>
        </w:tc>
      </w:tr>
      <w:tr w14:paraId="514A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1938C5DE">
            <w:pPr>
              <w:rPr>
                <w:sz w:val="24"/>
              </w:rPr>
            </w:pPr>
            <w:r>
              <w:rPr>
                <w:rFonts w:hint="eastAsia"/>
                <w:sz w:val="24"/>
              </w:rPr>
              <w:t>三、法定代表人授权委托书（格式）</w:t>
            </w:r>
          </w:p>
        </w:tc>
        <w:tc>
          <w:tcPr>
            <w:tcW w:w="1574" w:type="dxa"/>
            <w:noWrap/>
            <w:vAlign w:val="center"/>
          </w:tcPr>
          <w:p w14:paraId="1C962950">
            <w:pPr>
              <w:spacing w:line="480" w:lineRule="auto"/>
              <w:rPr>
                <w:rFonts w:ascii="宋体" w:hAnsi="宋体" w:cs="宋体"/>
                <w:color w:val="000000"/>
                <w:sz w:val="24"/>
              </w:rPr>
            </w:pPr>
          </w:p>
        </w:tc>
      </w:tr>
      <w:tr w14:paraId="32FD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2CF116FF">
            <w:pPr>
              <w:rPr>
                <w:sz w:val="24"/>
              </w:rPr>
            </w:pPr>
            <w:r>
              <w:rPr>
                <w:rFonts w:hint="eastAsia"/>
                <w:sz w:val="24"/>
              </w:rPr>
              <w:t>四、投标（响应）书（格式）</w:t>
            </w:r>
          </w:p>
        </w:tc>
        <w:tc>
          <w:tcPr>
            <w:tcW w:w="1574" w:type="dxa"/>
            <w:noWrap/>
            <w:vAlign w:val="center"/>
          </w:tcPr>
          <w:p w14:paraId="6FFACC0B">
            <w:pPr>
              <w:spacing w:line="480" w:lineRule="auto"/>
              <w:rPr>
                <w:rFonts w:ascii="宋体" w:hAnsi="宋体" w:cs="宋体"/>
                <w:color w:val="000000"/>
                <w:sz w:val="24"/>
              </w:rPr>
            </w:pPr>
          </w:p>
        </w:tc>
      </w:tr>
      <w:tr w14:paraId="5D7F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1A1791DD">
            <w:pPr>
              <w:rPr>
                <w:sz w:val="24"/>
              </w:rPr>
            </w:pPr>
            <w:r>
              <w:rPr>
                <w:rFonts w:hint="eastAsia"/>
                <w:sz w:val="24"/>
              </w:rPr>
              <w:t>五、盐城市政府采购事前信用承诺书（格式）</w:t>
            </w:r>
          </w:p>
        </w:tc>
        <w:tc>
          <w:tcPr>
            <w:tcW w:w="1574" w:type="dxa"/>
            <w:noWrap/>
            <w:vAlign w:val="center"/>
          </w:tcPr>
          <w:p w14:paraId="70606C2E">
            <w:pPr>
              <w:spacing w:line="480" w:lineRule="auto"/>
              <w:rPr>
                <w:rFonts w:ascii="宋体" w:hAnsi="宋体" w:cs="宋体"/>
                <w:color w:val="000000"/>
                <w:sz w:val="24"/>
              </w:rPr>
            </w:pPr>
          </w:p>
        </w:tc>
      </w:tr>
      <w:tr w14:paraId="4962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17469FA2">
            <w:pPr>
              <w:rPr>
                <w:sz w:val="24"/>
              </w:rPr>
            </w:pPr>
            <w:r>
              <w:rPr>
                <w:rFonts w:hint="eastAsia"/>
                <w:sz w:val="24"/>
              </w:rPr>
              <w:t>六、商务条款偏离表（格式）</w:t>
            </w:r>
          </w:p>
        </w:tc>
        <w:tc>
          <w:tcPr>
            <w:tcW w:w="1574" w:type="dxa"/>
            <w:noWrap/>
            <w:vAlign w:val="center"/>
          </w:tcPr>
          <w:p w14:paraId="0633066A">
            <w:pPr>
              <w:spacing w:line="480" w:lineRule="auto"/>
              <w:rPr>
                <w:rFonts w:ascii="宋体" w:hAnsi="宋体" w:cs="宋体"/>
                <w:color w:val="000000"/>
                <w:sz w:val="24"/>
              </w:rPr>
            </w:pPr>
          </w:p>
        </w:tc>
      </w:tr>
      <w:tr w14:paraId="21C6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14:paraId="2A624C29">
            <w:pPr>
              <w:rPr>
                <w:sz w:val="24"/>
              </w:rPr>
            </w:pPr>
            <w:r>
              <w:rPr>
                <w:rFonts w:hint="eastAsia"/>
                <w:sz w:val="24"/>
              </w:rPr>
              <w:t>七、投标（响应）分项报价表（格式）</w:t>
            </w:r>
          </w:p>
        </w:tc>
        <w:tc>
          <w:tcPr>
            <w:tcW w:w="1574" w:type="dxa"/>
            <w:noWrap/>
            <w:vAlign w:val="center"/>
          </w:tcPr>
          <w:p w14:paraId="290A6CAB">
            <w:pPr>
              <w:spacing w:line="480" w:lineRule="auto"/>
              <w:rPr>
                <w:rFonts w:ascii="宋体" w:hAnsi="宋体" w:cs="宋体"/>
                <w:color w:val="000000"/>
                <w:sz w:val="24"/>
              </w:rPr>
            </w:pPr>
          </w:p>
        </w:tc>
      </w:tr>
      <w:tr w14:paraId="7D87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6724D0EC">
            <w:pPr>
              <w:rPr>
                <w:sz w:val="24"/>
              </w:rPr>
            </w:pPr>
            <w:r>
              <w:rPr>
                <w:rFonts w:hint="eastAsia"/>
                <w:sz w:val="24"/>
              </w:rPr>
              <w:t>八、技术规格（采购需求）偏离表（格式）</w:t>
            </w:r>
          </w:p>
        </w:tc>
        <w:tc>
          <w:tcPr>
            <w:tcW w:w="1574" w:type="dxa"/>
            <w:noWrap/>
            <w:vAlign w:val="center"/>
          </w:tcPr>
          <w:p w14:paraId="746B54EC">
            <w:pPr>
              <w:spacing w:line="480" w:lineRule="auto"/>
              <w:rPr>
                <w:rFonts w:ascii="宋体" w:hAnsi="宋体" w:cs="宋体"/>
                <w:color w:val="000000"/>
                <w:sz w:val="24"/>
              </w:rPr>
            </w:pPr>
          </w:p>
        </w:tc>
      </w:tr>
      <w:tr w14:paraId="7B2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2CFC8CD2">
            <w:pPr>
              <w:rPr>
                <w:sz w:val="24"/>
              </w:rPr>
            </w:pPr>
            <w:r>
              <w:rPr>
                <w:rFonts w:hint="eastAsia"/>
                <w:sz w:val="24"/>
              </w:rPr>
              <w:t>九、投标（响应）文件的其它内容</w:t>
            </w:r>
          </w:p>
        </w:tc>
        <w:tc>
          <w:tcPr>
            <w:tcW w:w="1574" w:type="dxa"/>
            <w:noWrap/>
            <w:vAlign w:val="center"/>
          </w:tcPr>
          <w:p w14:paraId="741B2C3E">
            <w:pPr>
              <w:spacing w:line="480" w:lineRule="auto"/>
              <w:rPr>
                <w:rFonts w:ascii="宋体" w:hAnsi="宋体" w:cs="宋体"/>
                <w:color w:val="000000"/>
                <w:sz w:val="24"/>
              </w:rPr>
            </w:pPr>
          </w:p>
        </w:tc>
      </w:tr>
      <w:tr w14:paraId="49B6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171003D2">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14:paraId="08C17BEA">
            <w:pPr>
              <w:spacing w:line="480" w:lineRule="auto"/>
              <w:rPr>
                <w:rFonts w:ascii="宋体" w:hAnsi="宋体" w:cs="宋体"/>
                <w:color w:val="000000"/>
                <w:sz w:val="24"/>
              </w:rPr>
            </w:pPr>
          </w:p>
        </w:tc>
      </w:tr>
      <w:tr w14:paraId="7FF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7719C044">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14:paraId="33C3A510">
            <w:pPr>
              <w:spacing w:line="480" w:lineRule="auto"/>
              <w:rPr>
                <w:rFonts w:ascii="宋体" w:hAnsi="宋体" w:cs="宋体"/>
                <w:color w:val="000000"/>
                <w:sz w:val="24"/>
              </w:rPr>
            </w:pPr>
          </w:p>
        </w:tc>
      </w:tr>
      <w:tr w14:paraId="621D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14:paraId="3D23EB79">
            <w:pPr>
              <w:spacing w:line="480" w:lineRule="auto"/>
              <w:jc w:val="center"/>
              <w:rPr>
                <w:b/>
                <w:color w:val="000000"/>
                <w:szCs w:val="21"/>
              </w:rPr>
            </w:pPr>
            <w:r>
              <w:rPr>
                <w:rFonts w:hint="eastAsia"/>
                <w:b/>
                <w:color w:val="000000"/>
                <w:szCs w:val="21"/>
              </w:rPr>
              <w:t>特别说明</w:t>
            </w:r>
          </w:p>
          <w:p w14:paraId="62976CE0">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14:paraId="1669721D">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14:paraId="18F2B152">
      <w:pPr>
        <w:rPr>
          <w:rFonts w:ascii="宋体" w:hAnsi="宋体"/>
          <w:color w:val="000000"/>
        </w:rPr>
      </w:pPr>
    </w:p>
    <w:p w14:paraId="2B0ECC96">
      <w:pPr>
        <w:rPr>
          <w:rFonts w:ascii="宋体" w:hAnsi="宋体"/>
          <w:color w:val="000000"/>
        </w:rPr>
      </w:pPr>
    </w:p>
    <w:p w14:paraId="0E17DA8C">
      <w:pPr>
        <w:rPr>
          <w:rFonts w:ascii="宋体" w:hAnsi="宋体"/>
          <w:color w:val="000000"/>
        </w:rPr>
      </w:pPr>
    </w:p>
    <w:p w14:paraId="503F0B7A">
      <w:pPr>
        <w:rPr>
          <w:rFonts w:ascii="宋体" w:hAnsi="宋体"/>
          <w:color w:val="000000"/>
        </w:rPr>
      </w:pPr>
    </w:p>
    <w:p w14:paraId="38C2B293">
      <w:pPr>
        <w:pStyle w:val="35"/>
        <w:ind w:firstLine="0"/>
      </w:pPr>
    </w:p>
    <w:p w14:paraId="21B896B5">
      <w:pPr>
        <w:rPr>
          <w:color w:val="000000"/>
        </w:rPr>
      </w:pPr>
    </w:p>
    <w:p w14:paraId="4212300F">
      <w:pPr>
        <w:spacing w:line="552" w:lineRule="auto"/>
        <w:jc w:val="center"/>
        <w:rPr>
          <w:rFonts w:ascii="宋体" w:hAnsi="宋体" w:cs="宋体"/>
          <w:b/>
          <w:bCs/>
          <w:color w:val="000000"/>
          <w:sz w:val="28"/>
          <w:szCs w:val="28"/>
        </w:rPr>
      </w:pPr>
    </w:p>
    <w:p w14:paraId="5C73236A">
      <w:pPr>
        <w:spacing w:line="552" w:lineRule="auto"/>
        <w:rPr>
          <w:rFonts w:ascii="宋体" w:hAnsi="宋体" w:cs="宋体"/>
          <w:b/>
          <w:bCs/>
          <w:color w:val="000000"/>
          <w:sz w:val="28"/>
          <w:szCs w:val="28"/>
        </w:rPr>
      </w:pPr>
    </w:p>
    <w:p w14:paraId="4A0EC824">
      <w:pPr>
        <w:spacing w:line="552" w:lineRule="auto"/>
        <w:jc w:val="center"/>
        <w:outlineLvl w:val="1"/>
        <w:rPr>
          <w:rFonts w:ascii="宋体" w:hAnsi="宋体" w:cs="宋体"/>
          <w:b/>
          <w:bCs/>
          <w:color w:val="000000"/>
          <w:sz w:val="28"/>
          <w:szCs w:val="28"/>
        </w:rPr>
      </w:pPr>
      <w:bookmarkStart w:id="281" w:name="_Toc3561"/>
      <w:bookmarkStart w:id="282" w:name="_Toc3963"/>
      <w:r>
        <w:rPr>
          <w:rFonts w:hint="eastAsia" w:ascii="宋体" w:hAnsi="宋体" w:cs="宋体"/>
          <w:b/>
          <w:bCs/>
          <w:color w:val="000000"/>
          <w:sz w:val="28"/>
          <w:szCs w:val="28"/>
        </w:rPr>
        <w:t>一、报价一览表(报价表)（格式）</w:t>
      </w:r>
      <w:bookmarkEnd w:id="281"/>
      <w:bookmarkEnd w:id="282"/>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14:paraId="0AEE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5DBA93BD">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14:paraId="0B88C68D">
            <w:pPr>
              <w:pStyle w:val="12"/>
              <w:jc w:val="left"/>
              <w:rPr>
                <w:sz w:val="24"/>
                <w:szCs w:val="24"/>
              </w:rPr>
            </w:pPr>
          </w:p>
        </w:tc>
      </w:tr>
      <w:tr w14:paraId="2D76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19C1C813">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14:paraId="7A13BFFB">
            <w:pPr>
              <w:pStyle w:val="12"/>
              <w:jc w:val="left"/>
              <w:rPr>
                <w:sz w:val="24"/>
                <w:szCs w:val="24"/>
              </w:rPr>
            </w:pPr>
          </w:p>
        </w:tc>
      </w:tr>
      <w:tr w14:paraId="0827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right w:val="single" w:color="auto" w:sz="4" w:space="0"/>
            </w:tcBorders>
            <w:noWrap/>
            <w:vAlign w:val="center"/>
          </w:tcPr>
          <w:p w14:paraId="0B524829">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投标价格</w:t>
            </w:r>
          </w:p>
          <w:p w14:paraId="0E00AEF6">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（投标总报价）</w:t>
            </w:r>
          </w:p>
        </w:tc>
        <w:tc>
          <w:tcPr>
            <w:tcW w:w="5253" w:type="dxa"/>
            <w:tcBorders>
              <w:top w:val="single" w:color="auto" w:sz="4" w:space="0"/>
              <w:left w:val="single" w:color="auto" w:sz="4" w:space="0"/>
              <w:right w:val="single" w:color="auto" w:sz="4" w:space="0"/>
            </w:tcBorders>
            <w:noWrap/>
            <w:vAlign w:val="center"/>
          </w:tcPr>
          <w:p w14:paraId="157D63FF">
            <w:pPr>
              <w:pStyle w:val="12"/>
              <w:jc w:val="left"/>
              <w:rPr>
                <w:sz w:val="24"/>
                <w:szCs w:val="24"/>
                <w:u w:val="single"/>
              </w:rPr>
            </w:pPr>
            <w:r>
              <w:rPr>
                <w:rFonts w:hint="eastAsia"/>
                <w:sz w:val="24"/>
                <w:szCs w:val="24"/>
                <w:u w:val="single"/>
              </w:rPr>
              <w:t>大写：</w:t>
            </w:r>
          </w:p>
          <w:p w14:paraId="187AFEFA">
            <w:pPr>
              <w:pStyle w:val="12"/>
              <w:jc w:val="left"/>
              <w:rPr>
                <w:sz w:val="24"/>
                <w:szCs w:val="24"/>
                <w:u w:val="single"/>
              </w:rPr>
            </w:pPr>
          </w:p>
          <w:p w14:paraId="423A6D16">
            <w:pPr>
              <w:pStyle w:val="12"/>
              <w:jc w:val="left"/>
              <w:rPr>
                <w:sz w:val="24"/>
                <w:szCs w:val="24"/>
                <w:u w:val="single"/>
              </w:rPr>
            </w:pPr>
          </w:p>
          <w:p w14:paraId="5378F318">
            <w:pPr>
              <w:pStyle w:val="12"/>
              <w:jc w:val="left"/>
              <w:rPr>
                <w:sz w:val="24"/>
                <w:szCs w:val="24"/>
                <w:u w:val="single"/>
              </w:rPr>
            </w:pPr>
            <w:r>
              <w:rPr>
                <w:rFonts w:hint="eastAsia"/>
                <w:sz w:val="24"/>
                <w:szCs w:val="24"/>
                <w:u w:val="single"/>
              </w:rPr>
              <w:t>小写：</w:t>
            </w:r>
          </w:p>
        </w:tc>
      </w:tr>
      <w:tr w14:paraId="218B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2175D868">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产品质量标准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14:paraId="7673D8A7">
            <w:pPr>
              <w:pStyle w:val="12"/>
              <w:jc w:val="center"/>
              <w:rPr>
                <w:sz w:val="24"/>
                <w:szCs w:val="24"/>
              </w:rPr>
            </w:pPr>
            <w:r>
              <w:rPr>
                <w:rFonts w:hint="eastAsia"/>
                <w:sz w:val="24"/>
                <w:szCs w:val="24"/>
                <w:u w:val="single"/>
              </w:rPr>
              <w:t>合格（符合国家强制标准）</w:t>
            </w:r>
          </w:p>
        </w:tc>
      </w:tr>
      <w:tr w14:paraId="65F8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18A4F264">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工期</w:t>
            </w:r>
          </w:p>
        </w:tc>
        <w:tc>
          <w:tcPr>
            <w:tcW w:w="5253" w:type="dxa"/>
            <w:tcBorders>
              <w:top w:val="single" w:color="auto" w:sz="4" w:space="0"/>
              <w:left w:val="single" w:color="auto" w:sz="4" w:space="0"/>
              <w:bottom w:val="single" w:color="auto" w:sz="4" w:space="0"/>
              <w:right w:val="single" w:color="auto" w:sz="4" w:space="0"/>
            </w:tcBorders>
            <w:noWrap/>
            <w:vAlign w:val="center"/>
          </w:tcPr>
          <w:p w14:paraId="64664E25">
            <w:pPr>
              <w:pStyle w:val="12"/>
              <w:jc w:val="center"/>
              <w:rPr>
                <w:sz w:val="24"/>
                <w:szCs w:val="24"/>
              </w:rPr>
            </w:pPr>
            <w:r>
              <w:rPr>
                <w:rFonts w:hint="eastAsia"/>
                <w:sz w:val="24"/>
                <w:szCs w:val="24"/>
                <w:u w:val="single"/>
              </w:rPr>
              <w:t>60</w:t>
            </w:r>
            <w:r>
              <w:rPr>
                <w:rFonts w:hint="eastAsia"/>
                <w:sz w:val="24"/>
                <w:szCs w:val="24"/>
              </w:rPr>
              <w:t>日历天</w:t>
            </w:r>
          </w:p>
        </w:tc>
      </w:tr>
      <w:tr w14:paraId="0C7D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191773FE">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工程保修期</w:t>
            </w:r>
          </w:p>
        </w:tc>
        <w:tc>
          <w:tcPr>
            <w:tcW w:w="5253" w:type="dxa"/>
            <w:tcBorders>
              <w:top w:val="single" w:color="auto" w:sz="4" w:space="0"/>
              <w:left w:val="single" w:color="auto" w:sz="4" w:space="0"/>
              <w:bottom w:val="single" w:color="auto" w:sz="4" w:space="0"/>
              <w:right w:val="single" w:color="auto" w:sz="4" w:space="0"/>
            </w:tcBorders>
            <w:noWrap/>
            <w:vAlign w:val="center"/>
          </w:tcPr>
          <w:p w14:paraId="37A165A9">
            <w:pPr>
              <w:pStyle w:val="12"/>
              <w:jc w:val="center"/>
              <w:rPr>
                <w:u w:val="single"/>
              </w:rPr>
            </w:pPr>
            <w:r>
              <w:rPr>
                <w:rFonts w:hint="eastAsia"/>
                <w:sz w:val="24"/>
                <w:szCs w:val="24"/>
                <w:u w:val="single"/>
              </w:rPr>
              <w:t>叁</w:t>
            </w:r>
            <w:r>
              <w:rPr>
                <w:rFonts w:hint="eastAsia"/>
                <w:sz w:val="24"/>
                <w:szCs w:val="24"/>
              </w:rPr>
              <w:t>年</w:t>
            </w:r>
          </w:p>
        </w:tc>
      </w:tr>
      <w:tr w14:paraId="1270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03BA3C19">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项目经理（项目负责人）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14:paraId="736190C8">
            <w:pPr>
              <w:pStyle w:val="12"/>
              <w:jc w:val="center"/>
              <w:rPr>
                <w:color w:val="FF0000"/>
                <w:sz w:val="24"/>
                <w:szCs w:val="24"/>
                <w:highlight w:val="yellow"/>
              </w:rPr>
            </w:pPr>
            <w:r>
              <w:rPr>
                <w:rFonts w:hint="eastAsia"/>
                <w:sz w:val="24"/>
                <w:szCs w:val="24"/>
                <w:u w:val="single"/>
              </w:rPr>
              <w:t>（姓名）；资质等级：级；证号：</w:t>
            </w:r>
          </w:p>
        </w:tc>
      </w:tr>
      <w:tr w14:paraId="7004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7C892373">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14:paraId="4A4420B4">
            <w:pPr>
              <w:pStyle w:val="12"/>
              <w:jc w:val="center"/>
              <w:rPr>
                <w:sz w:val="24"/>
                <w:szCs w:val="24"/>
              </w:rPr>
            </w:pPr>
            <w:r>
              <w:rPr>
                <w:rFonts w:hint="eastAsia"/>
                <w:sz w:val="24"/>
                <w:szCs w:val="24"/>
              </w:rPr>
              <w:t>江苏盐城</w:t>
            </w:r>
          </w:p>
          <w:p w14:paraId="3509F46A">
            <w:pPr>
              <w:pStyle w:val="12"/>
              <w:jc w:val="center"/>
              <w:rPr>
                <w:sz w:val="24"/>
                <w:szCs w:val="24"/>
              </w:rPr>
            </w:pPr>
            <w:r>
              <w:rPr>
                <w:rFonts w:hint="eastAsia"/>
                <w:sz w:val="24"/>
                <w:szCs w:val="24"/>
              </w:rPr>
              <w:t>（具体地点以采购人另行通知的为准）</w:t>
            </w:r>
          </w:p>
        </w:tc>
      </w:tr>
      <w:tr w14:paraId="28F3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67809106">
            <w:pPr>
              <w:pStyle w:val="44"/>
              <w:jc w:val="center"/>
              <w:rPr>
                <w:rFonts w:asciiTheme="minorEastAsia" w:hAnsiTheme="minorEastAsia" w:eastAsiaTheme="minorEastAsia"/>
                <w:b/>
                <w:sz w:val="24"/>
              </w:rPr>
            </w:pPr>
            <w:r>
              <w:rPr>
                <w:rFonts w:hint="eastAsia" w:asciiTheme="minorEastAsia" w:hAnsiTheme="minorEastAsia" w:eastAsiaTheme="minorEastAsia"/>
                <w:b/>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14:paraId="2909D52C">
            <w:pPr>
              <w:pStyle w:val="12"/>
              <w:jc w:val="center"/>
              <w:rPr>
                <w:sz w:val="24"/>
                <w:szCs w:val="24"/>
              </w:rPr>
            </w:pPr>
            <w:r>
              <w:rPr>
                <w:rFonts w:hint="eastAsia"/>
                <w:sz w:val="24"/>
                <w:szCs w:val="24"/>
              </w:rPr>
              <w:t>提交响应文件截止之日起</w:t>
            </w:r>
            <w:r>
              <w:rPr>
                <w:rFonts w:hint="eastAsia"/>
                <w:sz w:val="24"/>
                <w:szCs w:val="24"/>
                <w:u w:val="single"/>
              </w:rPr>
              <w:t>60个日历日</w:t>
            </w:r>
          </w:p>
        </w:tc>
      </w:tr>
      <w:tr w14:paraId="02D7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14:paraId="59DC9387">
            <w:pPr>
              <w:pStyle w:val="12"/>
              <w:tabs>
                <w:tab w:val="left" w:pos="5580"/>
              </w:tabs>
              <w:spacing w:line="552" w:lineRule="auto"/>
              <w:ind w:firstLine="562"/>
              <w:rPr>
                <w:rFonts w:hAnsi="宋体" w:cs="宋体"/>
                <w:b/>
                <w:color w:val="000000"/>
                <w:sz w:val="24"/>
                <w:szCs w:val="24"/>
              </w:rPr>
            </w:pPr>
            <w:r>
              <w:rPr>
                <w:rFonts w:hint="eastAsia" w:hAnsi="宋体" w:cs="宋体"/>
                <w:b/>
                <w:color w:val="000000"/>
                <w:sz w:val="24"/>
                <w:szCs w:val="24"/>
              </w:rPr>
              <w:t>投标人名称（单位公章）：</w:t>
            </w:r>
          </w:p>
          <w:p w14:paraId="300D4EF4">
            <w:pPr>
              <w:pStyle w:val="12"/>
              <w:tabs>
                <w:tab w:val="left" w:pos="5580"/>
              </w:tabs>
              <w:spacing w:line="552" w:lineRule="auto"/>
              <w:ind w:firstLine="562"/>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14:paraId="6BCAD2D6">
            <w:pPr>
              <w:spacing w:line="552" w:lineRule="auto"/>
              <w:ind w:firstLine="482" w:firstLineChars="200"/>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14:paraId="1C0C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14:paraId="0B0368ED">
            <w:pPr>
              <w:spacing w:line="480"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14:paraId="4435219D">
      <w:pPr>
        <w:rPr>
          <w:rFonts w:ascii="宋体" w:hAnsi="宋体"/>
          <w:color w:val="000000"/>
        </w:rPr>
      </w:pPr>
    </w:p>
    <w:p w14:paraId="14AA8673">
      <w:pPr>
        <w:pStyle w:val="9"/>
        <w:rPr>
          <w:color w:val="000000"/>
        </w:rPr>
      </w:pPr>
    </w:p>
    <w:p w14:paraId="2DF2E352"/>
    <w:p w14:paraId="1217B18C">
      <w:pPr>
        <w:pStyle w:val="2"/>
      </w:pPr>
    </w:p>
    <w:p w14:paraId="640D0AFC">
      <w:pPr>
        <w:pStyle w:val="9"/>
        <w:rPr>
          <w:color w:val="000000"/>
        </w:rPr>
      </w:pPr>
    </w:p>
    <w:p w14:paraId="3D59341D">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893"/>
        <w:gridCol w:w="818"/>
        <w:gridCol w:w="987"/>
      </w:tblGrid>
      <w:tr w14:paraId="180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1050E013">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893" w:type="dxa"/>
            <w:tcBorders>
              <w:top w:val="single" w:color="auto" w:sz="4" w:space="0"/>
              <w:left w:val="single" w:color="auto" w:sz="4" w:space="0"/>
              <w:bottom w:val="single" w:color="auto" w:sz="4" w:space="0"/>
              <w:right w:val="single" w:color="auto" w:sz="4" w:space="0"/>
            </w:tcBorders>
            <w:noWrap/>
            <w:vAlign w:val="center"/>
          </w:tcPr>
          <w:p w14:paraId="1929B167">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818" w:type="dxa"/>
            <w:tcBorders>
              <w:top w:val="single" w:color="auto" w:sz="4" w:space="0"/>
              <w:left w:val="single" w:color="auto" w:sz="4" w:space="0"/>
              <w:bottom w:val="single" w:color="auto" w:sz="4" w:space="0"/>
              <w:right w:val="single" w:color="auto" w:sz="4" w:space="0"/>
            </w:tcBorders>
            <w:noWrap/>
            <w:vAlign w:val="center"/>
          </w:tcPr>
          <w:p w14:paraId="28482042">
            <w:pPr>
              <w:jc w:val="center"/>
              <w:rPr>
                <w:rFonts w:ascii="宋体" w:hAnsi="宋体"/>
                <w:b/>
                <w:color w:val="000000"/>
                <w:sz w:val="18"/>
                <w:szCs w:val="18"/>
              </w:rPr>
            </w:pPr>
            <w:r>
              <w:rPr>
                <w:rFonts w:hint="eastAsia" w:ascii="宋体" w:hAnsi="宋体"/>
                <w:b/>
                <w:color w:val="000000"/>
                <w:sz w:val="18"/>
                <w:szCs w:val="18"/>
              </w:rPr>
              <w:t>所在</w:t>
            </w:r>
          </w:p>
          <w:p w14:paraId="0C2045DD">
            <w:pPr>
              <w:jc w:val="center"/>
              <w:rPr>
                <w:rFonts w:ascii="宋体" w:hAnsi="宋体"/>
                <w:b/>
                <w:color w:val="000000"/>
                <w:sz w:val="18"/>
                <w:szCs w:val="18"/>
              </w:rPr>
            </w:pPr>
            <w:r>
              <w:rPr>
                <w:rFonts w:hint="eastAsia" w:ascii="宋体" w:hAnsi="宋体"/>
                <w:b/>
                <w:color w:val="000000"/>
                <w:sz w:val="18"/>
                <w:szCs w:val="18"/>
              </w:rPr>
              <w:t>页码</w:t>
            </w:r>
          </w:p>
        </w:tc>
        <w:tc>
          <w:tcPr>
            <w:tcW w:w="987" w:type="dxa"/>
            <w:tcBorders>
              <w:top w:val="single" w:color="auto" w:sz="4" w:space="0"/>
              <w:left w:val="single" w:color="auto" w:sz="4" w:space="0"/>
              <w:bottom w:val="single" w:color="auto" w:sz="4" w:space="0"/>
              <w:right w:val="single" w:color="auto" w:sz="4" w:space="0"/>
            </w:tcBorders>
            <w:noWrap/>
            <w:vAlign w:val="center"/>
          </w:tcPr>
          <w:p w14:paraId="67BCB87E">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14:paraId="6730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14:paraId="3A57BABA">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893" w:type="dxa"/>
            <w:tcBorders>
              <w:top w:val="single" w:color="auto" w:sz="4" w:space="0"/>
              <w:left w:val="single" w:color="auto" w:sz="4" w:space="0"/>
              <w:bottom w:val="single" w:color="auto" w:sz="4" w:space="0"/>
              <w:right w:val="single" w:color="auto" w:sz="4" w:space="0"/>
            </w:tcBorders>
            <w:noWrap/>
            <w:vAlign w:val="center"/>
          </w:tcPr>
          <w:p w14:paraId="085618F6">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818" w:type="dxa"/>
            <w:tcBorders>
              <w:top w:val="single" w:color="auto" w:sz="4" w:space="0"/>
              <w:left w:val="single" w:color="auto" w:sz="4" w:space="0"/>
              <w:bottom w:val="single" w:color="auto" w:sz="4" w:space="0"/>
              <w:right w:val="single" w:color="auto" w:sz="4" w:space="0"/>
            </w:tcBorders>
            <w:noWrap/>
            <w:vAlign w:val="center"/>
          </w:tcPr>
          <w:p w14:paraId="7A9CE9BA">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7C27C61D">
            <w:pPr>
              <w:spacing w:line="380" w:lineRule="exact"/>
              <w:rPr>
                <w:rFonts w:ascii="宋体" w:hAnsi="宋体"/>
                <w:color w:val="000000"/>
                <w:sz w:val="18"/>
                <w:szCs w:val="18"/>
              </w:rPr>
            </w:pPr>
          </w:p>
        </w:tc>
      </w:tr>
      <w:tr w14:paraId="4D91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14:paraId="1816CD30">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611ED5A8">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14:paraId="75E375F8">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818" w:type="dxa"/>
            <w:tcBorders>
              <w:top w:val="single" w:color="auto" w:sz="4" w:space="0"/>
              <w:left w:val="single" w:color="auto" w:sz="4" w:space="0"/>
              <w:bottom w:val="single" w:color="auto" w:sz="4" w:space="0"/>
              <w:right w:val="single" w:color="auto" w:sz="4" w:space="0"/>
            </w:tcBorders>
            <w:noWrap/>
            <w:vAlign w:val="center"/>
          </w:tcPr>
          <w:p w14:paraId="391ED7A4">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0CC940CF">
            <w:pPr>
              <w:spacing w:line="380" w:lineRule="exact"/>
              <w:rPr>
                <w:rFonts w:ascii="宋体" w:hAnsi="宋体"/>
                <w:color w:val="000000"/>
                <w:sz w:val="18"/>
                <w:szCs w:val="18"/>
              </w:rPr>
            </w:pPr>
          </w:p>
        </w:tc>
      </w:tr>
      <w:tr w14:paraId="3017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634A4452">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612A0385">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14:paraId="6A806140">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14:paraId="4166B030">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14:paraId="106201B6">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14:paraId="75E9169D">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14:paraId="0D7373C0">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818" w:type="dxa"/>
            <w:tcBorders>
              <w:top w:val="single" w:color="auto" w:sz="4" w:space="0"/>
              <w:left w:val="single" w:color="auto" w:sz="4" w:space="0"/>
              <w:bottom w:val="single" w:color="auto" w:sz="4" w:space="0"/>
              <w:right w:val="single" w:color="auto" w:sz="4" w:space="0"/>
            </w:tcBorders>
            <w:noWrap/>
            <w:vAlign w:val="center"/>
          </w:tcPr>
          <w:p w14:paraId="60D7A09A">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5A399E01">
            <w:pPr>
              <w:spacing w:line="380" w:lineRule="exact"/>
              <w:rPr>
                <w:rFonts w:ascii="宋体" w:hAnsi="宋体"/>
                <w:color w:val="000000"/>
                <w:sz w:val="18"/>
                <w:szCs w:val="18"/>
              </w:rPr>
            </w:pPr>
          </w:p>
        </w:tc>
      </w:tr>
      <w:tr w14:paraId="100A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1615179B">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43DB6AA3">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818" w:type="dxa"/>
            <w:tcBorders>
              <w:top w:val="single" w:color="auto" w:sz="4" w:space="0"/>
              <w:left w:val="single" w:color="auto" w:sz="4" w:space="0"/>
              <w:bottom w:val="single" w:color="auto" w:sz="4" w:space="0"/>
              <w:right w:val="single" w:color="auto" w:sz="4" w:space="0"/>
            </w:tcBorders>
            <w:noWrap/>
            <w:vAlign w:val="center"/>
          </w:tcPr>
          <w:p w14:paraId="6D408CED">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3D189808">
            <w:pPr>
              <w:spacing w:line="380" w:lineRule="exact"/>
              <w:rPr>
                <w:rFonts w:ascii="宋体" w:hAnsi="宋体"/>
                <w:color w:val="000000"/>
                <w:sz w:val="18"/>
                <w:szCs w:val="18"/>
              </w:rPr>
            </w:pPr>
          </w:p>
        </w:tc>
      </w:tr>
      <w:tr w14:paraId="7F5A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21F25F8E">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1AB97134">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818" w:type="dxa"/>
            <w:tcBorders>
              <w:top w:val="single" w:color="auto" w:sz="4" w:space="0"/>
              <w:left w:val="single" w:color="auto" w:sz="4" w:space="0"/>
              <w:bottom w:val="single" w:color="auto" w:sz="4" w:space="0"/>
              <w:right w:val="single" w:color="auto" w:sz="4" w:space="0"/>
            </w:tcBorders>
            <w:noWrap/>
            <w:vAlign w:val="center"/>
          </w:tcPr>
          <w:p w14:paraId="6D915118">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763E1E49">
            <w:pPr>
              <w:spacing w:line="380" w:lineRule="exact"/>
              <w:rPr>
                <w:rFonts w:ascii="宋体" w:hAnsi="宋体"/>
                <w:color w:val="000000"/>
                <w:sz w:val="18"/>
                <w:szCs w:val="18"/>
              </w:rPr>
            </w:pPr>
          </w:p>
        </w:tc>
      </w:tr>
      <w:tr w14:paraId="13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7F8C5D45">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20BAB44D">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818" w:type="dxa"/>
            <w:tcBorders>
              <w:top w:val="single" w:color="auto" w:sz="4" w:space="0"/>
              <w:left w:val="single" w:color="auto" w:sz="4" w:space="0"/>
              <w:bottom w:val="single" w:color="auto" w:sz="4" w:space="0"/>
              <w:right w:val="single" w:color="auto" w:sz="4" w:space="0"/>
            </w:tcBorders>
            <w:noWrap/>
            <w:vAlign w:val="center"/>
          </w:tcPr>
          <w:p w14:paraId="2C651891">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4EC08860">
            <w:pPr>
              <w:spacing w:line="380" w:lineRule="exact"/>
              <w:rPr>
                <w:rFonts w:ascii="宋体" w:hAnsi="宋体"/>
                <w:color w:val="000000"/>
                <w:sz w:val="18"/>
                <w:szCs w:val="18"/>
              </w:rPr>
            </w:pPr>
          </w:p>
        </w:tc>
      </w:tr>
      <w:tr w14:paraId="367A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14:paraId="1D134DCB">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01B48B12">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14:paraId="0290A31E">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14:paraId="2C201225">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7EB21FD4">
            <w:pPr>
              <w:spacing w:line="380" w:lineRule="exact"/>
              <w:rPr>
                <w:rFonts w:ascii="宋体" w:hAnsi="宋体"/>
                <w:color w:val="000000"/>
                <w:sz w:val="18"/>
                <w:szCs w:val="18"/>
              </w:rPr>
            </w:pPr>
          </w:p>
        </w:tc>
      </w:tr>
      <w:tr w14:paraId="5EE7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6CFA8BFF">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893" w:type="dxa"/>
            <w:tcBorders>
              <w:top w:val="single" w:color="auto" w:sz="4" w:space="0"/>
              <w:left w:val="single" w:color="auto" w:sz="4" w:space="0"/>
              <w:bottom w:val="single" w:color="auto" w:sz="4" w:space="0"/>
              <w:right w:val="single" w:color="auto" w:sz="4" w:space="0"/>
            </w:tcBorders>
            <w:noWrap/>
            <w:vAlign w:val="center"/>
          </w:tcPr>
          <w:p w14:paraId="314F9E88">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14:paraId="5435B233">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069209E4">
            <w:pPr>
              <w:spacing w:line="380" w:lineRule="exact"/>
              <w:rPr>
                <w:rFonts w:ascii="宋体" w:hAnsi="宋体"/>
                <w:color w:val="000000"/>
                <w:sz w:val="18"/>
                <w:szCs w:val="18"/>
              </w:rPr>
            </w:pPr>
          </w:p>
        </w:tc>
      </w:tr>
      <w:tr w14:paraId="20CE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44B9EDFB">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893" w:type="dxa"/>
            <w:tcBorders>
              <w:top w:val="single" w:color="auto" w:sz="4" w:space="0"/>
              <w:left w:val="single" w:color="auto" w:sz="4" w:space="0"/>
              <w:bottom w:val="single" w:color="auto" w:sz="4" w:space="0"/>
              <w:right w:val="single" w:color="auto" w:sz="4" w:space="0"/>
            </w:tcBorders>
            <w:noWrap/>
            <w:vAlign w:val="center"/>
          </w:tcPr>
          <w:p w14:paraId="3A8C1682">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14:paraId="17482C0A">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64F68B5B">
            <w:pPr>
              <w:spacing w:line="380" w:lineRule="exact"/>
              <w:rPr>
                <w:rFonts w:ascii="宋体" w:hAnsi="宋体"/>
                <w:color w:val="000000"/>
                <w:sz w:val="18"/>
                <w:szCs w:val="18"/>
              </w:rPr>
            </w:pPr>
          </w:p>
        </w:tc>
      </w:tr>
      <w:tr w14:paraId="2A35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37D06132">
            <w:pPr>
              <w:spacing w:line="380" w:lineRule="exact"/>
              <w:jc w:val="center"/>
              <w:rPr>
                <w:rFonts w:ascii="宋体" w:hAnsi="宋体"/>
                <w:color w:val="000000"/>
                <w:sz w:val="18"/>
                <w:szCs w:val="18"/>
              </w:rPr>
            </w:pPr>
          </w:p>
        </w:tc>
        <w:tc>
          <w:tcPr>
            <w:tcW w:w="6893" w:type="dxa"/>
            <w:tcBorders>
              <w:top w:val="single" w:color="auto" w:sz="4" w:space="0"/>
              <w:left w:val="single" w:color="auto" w:sz="4" w:space="0"/>
              <w:bottom w:val="single" w:color="auto" w:sz="4" w:space="0"/>
              <w:right w:val="single" w:color="auto" w:sz="4" w:space="0"/>
            </w:tcBorders>
            <w:noWrap/>
            <w:vAlign w:val="center"/>
          </w:tcPr>
          <w:p w14:paraId="35FF405E">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818" w:type="dxa"/>
            <w:tcBorders>
              <w:top w:val="single" w:color="auto" w:sz="4" w:space="0"/>
              <w:left w:val="single" w:color="auto" w:sz="4" w:space="0"/>
              <w:bottom w:val="single" w:color="auto" w:sz="4" w:space="0"/>
              <w:right w:val="single" w:color="auto" w:sz="4" w:space="0"/>
            </w:tcBorders>
            <w:noWrap/>
            <w:vAlign w:val="center"/>
          </w:tcPr>
          <w:p w14:paraId="58579358">
            <w:pPr>
              <w:spacing w:line="380" w:lineRule="exact"/>
              <w:rPr>
                <w:rFonts w:ascii="宋体" w:hAnsi="宋体"/>
                <w:color w:val="000000"/>
                <w:sz w:val="18"/>
                <w:szCs w:val="18"/>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74DE6C71">
            <w:pPr>
              <w:spacing w:line="380" w:lineRule="exact"/>
              <w:rPr>
                <w:rFonts w:ascii="宋体" w:hAnsi="宋体"/>
                <w:color w:val="000000"/>
                <w:sz w:val="18"/>
                <w:szCs w:val="18"/>
              </w:rPr>
            </w:pPr>
          </w:p>
        </w:tc>
      </w:tr>
      <w:tr w14:paraId="1375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14:paraId="0D48702C">
            <w:pPr>
              <w:spacing w:line="360" w:lineRule="auto"/>
              <w:rPr>
                <w:rFonts w:ascii="宋体" w:hAnsi="宋体"/>
                <w:color w:val="000000"/>
                <w:sz w:val="18"/>
                <w:szCs w:val="18"/>
              </w:rPr>
            </w:pPr>
            <w:r>
              <w:rPr>
                <w:rFonts w:hint="eastAsia" w:ascii="宋体" w:hAnsi="宋体"/>
                <w:color w:val="000000"/>
                <w:sz w:val="18"/>
                <w:szCs w:val="18"/>
              </w:rPr>
              <w:t>特别提醒：</w:t>
            </w:r>
          </w:p>
          <w:p w14:paraId="11348FF5">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14:paraId="3E0DA671">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14:paraId="01CE89CF">
      <w:pPr>
        <w:spacing w:line="360" w:lineRule="auto"/>
        <w:jc w:val="center"/>
        <w:rPr>
          <w:b/>
          <w:color w:val="000000"/>
        </w:rPr>
      </w:pPr>
    </w:p>
    <w:p w14:paraId="49F50260">
      <w:pPr>
        <w:pStyle w:val="9"/>
        <w:rPr>
          <w:color w:val="000000"/>
        </w:rPr>
      </w:pPr>
    </w:p>
    <w:p w14:paraId="3B202DFC">
      <w:pPr>
        <w:pStyle w:val="33"/>
        <w:outlineLvl w:val="9"/>
        <w:rPr>
          <w:color w:val="000000"/>
        </w:rPr>
      </w:pPr>
    </w:p>
    <w:p w14:paraId="601E9FD6">
      <w:pPr>
        <w:spacing w:line="360" w:lineRule="auto"/>
        <w:rPr>
          <w:color w:val="000000"/>
        </w:rPr>
      </w:pPr>
    </w:p>
    <w:p w14:paraId="5290B807">
      <w:pPr>
        <w:spacing w:line="276" w:lineRule="auto"/>
        <w:jc w:val="left"/>
        <w:rPr>
          <w:b/>
          <w:color w:val="000000"/>
        </w:rPr>
      </w:pPr>
    </w:p>
    <w:p w14:paraId="39BF7272">
      <w:pPr>
        <w:spacing w:line="276" w:lineRule="auto"/>
        <w:jc w:val="left"/>
        <w:rPr>
          <w:b/>
          <w:color w:val="000000"/>
        </w:rPr>
      </w:pPr>
    </w:p>
    <w:p w14:paraId="7306DC5F">
      <w:pPr>
        <w:spacing w:line="276" w:lineRule="auto"/>
        <w:jc w:val="left"/>
        <w:rPr>
          <w:b/>
          <w:color w:val="000000"/>
        </w:rPr>
      </w:pPr>
    </w:p>
    <w:p w14:paraId="2650C2B7">
      <w:pPr>
        <w:spacing w:line="276" w:lineRule="auto"/>
        <w:jc w:val="left"/>
        <w:rPr>
          <w:b/>
          <w:color w:val="000000"/>
        </w:rPr>
      </w:pPr>
    </w:p>
    <w:p w14:paraId="511D1DE1">
      <w:pPr>
        <w:spacing w:line="276" w:lineRule="auto"/>
        <w:jc w:val="left"/>
        <w:rPr>
          <w:b/>
          <w:color w:val="000000"/>
        </w:rPr>
      </w:pPr>
      <w:r>
        <w:rPr>
          <w:rFonts w:hint="eastAsia"/>
          <w:b/>
          <w:color w:val="000000"/>
        </w:rPr>
        <w:t>一、满足《中华人民共和国政府采购法》第二十二条规定</w:t>
      </w:r>
    </w:p>
    <w:p w14:paraId="16E00333">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14:paraId="3285B658">
      <w:pPr>
        <w:pStyle w:val="9"/>
      </w:pPr>
    </w:p>
    <w:p w14:paraId="12BDAAA0">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14:paraId="5837C58B">
      <w:pPr>
        <w:pStyle w:val="9"/>
      </w:pPr>
    </w:p>
    <w:p w14:paraId="17B33A81">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14:paraId="530815A9">
      <w:pPr>
        <w:pStyle w:val="9"/>
      </w:pPr>
    </w:p>
    <w:p w14:paraId="4AB9A5A6">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14:paraId="1A6F3C52">
      <w:pPr>
        <w:pStyle w:val="9"/>
      </w:pPr>
    </w:p>
    <w:p w14:paraId="67846858">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14:paraId="267B4082">
      <w:pPr>
        <w:ind w:firstLine="422" w:firstLineChars="200"/>
        <w:rPr>
          <w:rFonts w:ascii="宋体" w:hAnsi="宋体"/>
          <w:b/>
          <w:color w:val="000000"/>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14:paraId="46F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14:paraId="04984AE8">
            <w:pPr>
              <w:spacing w:line="360" w:lineRule="auto"/>
              <w:jc w:val="center"/>
              <w:rPr>
                <w:b/>
                <w:color w:val="000000"/>
              </w:rPr>
            </w:pPr>
            <w:r>
              <w:rPr>
                <w:rFonts w:hint="eastAsia"/>
                <w:b/>
                <w:color w:val="000000"/>
              </w:rPr>
              <w:t>1.3、1.5资质要求的响应声明（格式）</w:t>
            </w:r>
          </w:p>
        </w:tc>
      </w:tr>
      <w:tr w14:paraId="6159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14:paraId="5924D406">
            <w:pPr>
              <w:spacing w:line="360" w:lineRule="auto"/>
              <w:jc w:val="left"/>
              <w:rPr>
                <w:rFonts w:ascii="宋体" w:hAnsi="宋体"/>
                <w:bCs/>
                <w:color w:val="000000"/>
                <w:szCs w:val="21"/>
              </w:rPr>
            </w:pPr>
            <w:r>
              <w:rPr>
                <w:rFonts w:hint="eastAsia" w:ascii="宋体" w:hAnsi="宋体"/>
                <w:bCs/>
                <w:color w:val="000000"/>
                <w:szCs w:val="21"/>
              </w:rPr>
              <w:t>我方郑重声明：</w:t>
            </w:r>
          </w:p>
          <w:p w14:paraId="565082F1">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14:paraId="02D33225">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14:paraId="42D9E6E0">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14:paraId="5B3C23F3">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14:paraId="3D9AE747">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14:paraId="5356FF2C">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14:paraId="0BDC7529">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14:paraId="1FCCB45F">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14:paraId="6918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14:paraId="69888480">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14:paraId="4CAE91E5">
            <w:pPr>
              <w:spacing w:line="360" w:lineRule="auto"/>
              <w:ind w:firstLine="630" w:firstLineChars="300"/>
              <w:rPr>
                <w:color w:val="000000"/>
              </w:rPr>
            </w:pPr>
            <w:r>
              <w:rPr>
                <w:rFonts w:hint="eastAsia"/>
                <w:color w:val="000000"/>
              </w:rPr>
              <w:t>2. 如果是联合体投标，联合体各方均需提供上述证明。</w:t>
            </w:r>
          </w:p>
        </w:tc>
      </w:tr>
    </w:tbl>
    <w:p w14:paraId="1221DD4F">
      <w:pPr>
        <w:spacing w:line="276" w:lineRule="auto"/>
        <w:ind w:firstLine="632" w:firstLineChars="301"/>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14:paraId="26E4905F"/>
    <w:p w14:paraId="5BD10487"/>
    <w:p w14:paraId="74F1E68B">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14:paraId="040200E1">
      <w:pPr>
        <w:pStyle w:val="9"/>
        <w:rPr>
          <w:rFonts w:asciiTheme="minorEastAsia" w:hAnsiTheme="minorEastAsia" w:eastAsiaTheme="minorEastAsia" w:cstheme="minorEastAsia"/>
          <w:sz w:val="21"/>
          <w:szCs w:val="21"/>
        </w:rPr>
      </w:pPr>
    </w:p>
    <w:p w14:paraId="4CEE99DD">
      <w:pPr>
        <w:pStyle w:val="33"/>
        <w:outlineLvl w:val="9"/>
        <w:rPr>
          <w:rFonts w:asciiTheme="minorEastAsia" w:hAnsiTheme="minorEastAsia" w:eastAsiaTheme="minorEastAsia" w:cstheme="minorEastAsia"/>
          <w:sz w:val="21"/>
          <w:szCs w:val="21"/>
        </w:rPr>
      </w:pPr>
    </w:p>
    <w:p w14:paraId="0D5DA2ED">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1EBAAB70">
      <w:pPr>
        <w:spacing w:line="400" w:lineRule="exact"/>
        <w:ind w:firstLine="420" w:firstLineChars="200"/>
        <w:rPr>
          <w:rFonts w:ascii="宋体" w:hAnsi="宋体" w:cs="宋体"/>
          <w:szCs w:val="21"/>
        </w:rPr>
      </w:pPr>
      <w:r>
        <w:rPr>
          <w:rFonts w:hint="eastAsia" w:ascii="宋体" w:hAnsi="宋体" w:cs="宋体"/>
          <w:szCs w:val="21"/>
        </w:rPr>
        <w:t>3.1申请人资质等级和范围：投标申请人应具有建设行政主管部门核发的建筑工程施工总承包三级及以上（或建筑装修装饰工程专业承包二级及以上）资质的独立法人，并取得安全生产许可证。【提供投标人资质证书及安全生产许可证复印件并加盖公章】</w:t>
      </w:r>
    </w:p>
    <w:p w14:paraId="1D14F995">
      <w:pPr>
        <w:spacing w:line="400" w:lineRule="exact"/>
        <w:ind w:firstLine="420" w:firstLineChars="200"/>
        <w:rPr>
          <w:rFonts w:ascii="宋体" w:hAnsi="宋体" w:cs="宋体"/>
          <w:szCs w:val="21"/>
        </w:rPr>
      </w:pPr>
      <w:r>
        <w:rPr>
          <w:rFonts w:hint="eastAsia" w:ascii="宋体" w:hAnsi="宋体" w:cs="宋体"/>
          <w:szCs w:val="21"/>
        </w:rPr>
        <w:t>3.2项目负责人资质类别和等级：项目负责人必须是投标人本单位正式职工且无在建工程项目，具有建筑工程专业的二级及以上建造师注册证书（或建造师临时执业证书），并取得安全生产考核合格证（B类）【提供投标人资质证书及安全生产许可证复印件并加盖公章】。</w:t>
      </w:r>
    </w:p>
    <w:p w14:paraId="753A7B3E">
      <w:pPr>
        <w:spacing w:line="400" w:lineRule="exact"/>
        <w:ind w:firstLine="420" w:firstLineChars="200"/>
        <w:rPr>
          <w:rFonts w:ascii="宋体" w:hAnsi="宋体" w:cs="宋体"/>
          <w:szCs w:val="21"/>
        </w:rPr>
      </w:pPr>
      <w:r>
        <w:rPr>
          <w:rFonts w:hint="eastAsia" w:ascii="宋体" w:hAnsi="宋体" w:cs="宋体"/>
          <w:szCs w:val="21"/>
        </w:rPr>
        <w:t>【提供投标人为项目负责人缴纳的近三个月以来任意一个月社保缴费证明（如截止时间为9月某天，则提供6月到8月中任意一个月）、证书及安全生产许可证）复印件并加盖公章；提供项目负责人无在建工程项日的承诺函)】</w:t>
      </w:r>
    </w:p>
    <w:p w14:paraId="71C2518B">
      <w:pPr>
        <w:spacing w:line="400" w:lineRule="exact"/>
        <w:ind w:firstLine="420" w:firstLineChars="200"/>
        <w:rPr>
          <w:rFonts w:ascii="宋体" w:hAnsi="宋体"/>
          <w:b/>
          <w:bCs/>
          <w:szCs w:val="21"/>
        </w:rPr>
      </w:pPr>
      <w:r>
        <w:rPr>
          <w:rFonts w:hint="eastAsia" w:ascii="宋体" w:hAnsi="宋体" w:cs="宋体"/>
          <w:szCs w:val="21"/>
        </w:rPr>
        <w:t>3.3投标人没有被国家、江苏省省级有关部门及盐城市级有关部门暂停招投标或市场准入资格且在公示处罚期内；没有处于被责令停业、财产被接管、冻结、破产等状态（投标时须提供承诺函）。</w:t>
      </w:r>
    </w:p>
    <w:p w14:paraId="76E3B12D">
      <w:pPr>
        <w:pStyle w:val="9"/>
      </w:pPr>
    </w:p>
    <w:p w14:paraId="43868946">
      <w:pPr>
        <w:pStyle w:val="33"/>
        <w:outlineLvl w:val="9"/>
      </w:pPr>
    </w:p>
    <w:p w14:paraId="4BF7BE42">
      <w:pPr>
        <w:pStyle w:val="35"/>
      </w:pPr>
    </w:p>
    <w:p w14:paraId="78322D82"/>
    <w:p w14:paraId="72CAA874">
      <w:pPr>
        <w:widowControl/>
        <w:shd w:val="clear" w:color="auto" w:fill="FFFFFF"/>
        <w:snapToGrid w:val="0"/>
        <w:spacing w:before="312" w:after="156" w:line="360" w:lineRule="auto"/>
        <w:rPr>
          <w:rFonts w:ascii="宋体" w:hAnsi="宋体" w:cs="宋体"/>
          <w:b/>
          <w:kern w:val="0"/>
          <w:szCs w:val="21"/>
        </w:rPr>
      </w:pPr>
    </w:p>
    <w:p w14:paraId="0C6447C5">
      <w:pPr>
        <w:widowControl/>
        <w:shd w:val="clear" w:color="auto" w:fill="FFFFFF"/>
        <w:snapToGrid w:val="0"/>
        <w:spacing w:before="312" w:after="156" w:line="360" w:lineRule="auto"/>
        <w:jc w:val="center"/>
        <w:rPr>
          <w:rFonts w:ascii="宋体" w:hAnsi="宋体" w:cs="宋体"/>
          <w:b/>
          <w:kern w:val="0"/>
          <w:szCs w:val="21"/>
        </w:rPr>
      </w:pPr>
      <w:bookmarkStart w:id="283" w:name="_Toc4107"/>
    </w:p>
    <w:p w14:paraId="762608EE">
      <w:pPr>
        <w:widowControl/>
        <w:shd w:val="clear" w:color="auto" w:fill="FFFFFF"/>
        <w:snapToGrid w:val="0"/>
        <w:spacing w:before="312" w:after="156" w:line="360" w:lineRule="auto"/>
        <w:jc w:val="center"/>
        <w:rPr>
          <w:rFonts w:ascii="宋体" w:hAnsi="宋体" w:cs="宋体"/>
          <w:b/>
          <w:kern w:val="0"/>
          <w:szCs w:val="21"/>
        </w:rPr>
      </w:pPr>
    </w:p>
    <w:p w14:paraId="34701F01">
      <w:pPr>
        <w:widowControl/>
        <w:shd w:val="clear" w:color="auto" w:fill="FFFFFF"/>
        <w:snapToGrid w:val="0"/>
        <w:spacing w:before="312" w:after="156" w:line="360" w:lineRule="auto"/>
        <w:jc w:val="center"/>
        <w:rPr>
          <w:rFonts w:ascii="宋体" w:hAnsi="宋体" w:cs="宋体"/>
          <w:b/>
          <w:kern w:val="0"/>
          <w:szCs w:val="21"/>
        </w:rPr>
      </w:pPr>
    </w:p>
    <w:p w14:paraId="5BE9B0AD">
      <w:pPr>
        <w:widowControl/>
        <w:shd w:val="clear" w:color="auto" w:fill="FFFFFF"/>
        <w:snapToGrid w:val="0"/>
        <w:spacing w:before="312" w:after="156" w:line="360" w:lineRule="auto"/>
        <w:jc w:val="center"/>
        <w:rPr>
          <w:rFonts w:ascii="宋体" w:hAnsi="宋体" w:cs="宋体"/>
          <w:b/>
          <w:kern w:val="0"/>
          <w:szCs w:val="21"/>
        </w:rPr>
      </w:pPr>
    </w:p>
    <w:p w14:paraId="18D0744D">
      <w:pPr>
        <w:widowControl/>
        <w:shd w:val="clear" w:color="auto" w:fill="FFFFFF"/>
        <w:snapToGrid w:val="0"/>
        <w:spacing w:before="312" w:after="156" w:line="360" w:lineRule="auto"/>
        <w:jc w:val="center"/>
        <w:rPr>
          <w:rFonts w:ascii="宋体" w:hAnsi="宋体" w:cs="宋体"/>
          <w:b/>
          <w:kern w:val="0"/>
          <w:szCs w:val="21"/>
        </w:rPr>
      </w:pPr>
    </w:p>
    <w:p w14:paraId="1DDDF347">
      <w:pPr>
        <w:widowControl/>
        <w:shd w:val="clear" w:color="auto" w:fill="FFFFFF"/>
        <w:snapToGrid w:val="0"/>
        <w:spacing w:before="312" w:after="156" w:line="360" w:lineRule="auto"/>
        <w:jc w:val="center"/>
        <w:rPr>
          <w:rFonts w:ascii="宋体" w:hAnsi="宋体" w:cs="宋体"/>
          <w:b/>
          <w:kern w:val="0"/>
          <w:szCs w:val="21"/>
        </w:rPr>
      </w:pPr>
    </w:p>
    <w:p w14:paraId="71C5E931">
      <w:pPr>
        <w:widowControl/>
        <w:shd w:val="clear" w:color="auto" w:fill="FFFFFF"/>
        <w:snapToGrid w:val="0"/>
        <w:spacing w:before="312" w:after="156" w:line="360" w:lineRule="auto"/>
        <w:jc w:val="center"/>
        <w:rPr>
          <w:rFonts w:ascii="宋体" w:hAnsi="宋体" w:cs="宋体"/>
          <w:b/>
          <w:kern w:val="0"/>
          <w:szCs w:val="21"/>
        </w:rPr>
      </w:pPr>
    </w:p>
    <w:p w14:paraId="3C78292E">
      <w:pPr>
        <w:widowControl/>
        <w:shd w:val="clear" w:color="auto" w:fill="FFFFFF"/>
        <w:snapToGrid w:val="0"/>
        <w:spacing w:before="312" w:after="156" w:line="360" w:lineRule="auto"/>
        <w:jc w:val="center"/>
        <w:rPr>
          <w:rFonts w:ascii="宋体" w:hAnsi="宋体" w:cs="宋体"/>
          <w:b/>
          <w:kern w:val="0"/>
          <w:szCs w:val="21"/>
        </w:rPr>
      </w:pPr>
    </w:p>
    <w:p w14:paraId="0A6BFBC5">
      <w:pPr>
        <w:widowControl/>
        <w:shd w:val="clear" w:color="auto" w:fill="FFFFFF"/>
        <w:snapToGrid w:val="0"/>
        <w:spacing w:before="312" w:after="156" w:line="360" w:lineRule="auto"/>
        <w:jc w:val="center"/>
        <w:rPr>
          <w:rFonts w:ascii="宋体" w:hAnsi="宋体" w:cs="宋体"/>
          <w:b/>
          <w:kern w:val="0"/>
          <w:szCs w:val="21"/>
        </w:rPr>
      </w:pPr>
    </w:p>
    <w:p w14:paraId="4AE846A1">
      <w:pPr>
        <w:widowControl/>
        <w:shd w:val="clear" w:color="auto" w:fill="FFFFFF"/>
        <w:snapToGrid w:val="0"/>
        <w:spacing w:before="312" w:after="156" w:line="360" w:lineRule="auto"/>
        <w:jc w:val="center"/>
        <w:rPr>
          <w:rFonts w:ascii="宋体" w:hAnsi="宋体" w:cs="宋体"/>
          <w:b/>
          <w:kern w:val="0"/>
          <w:szCs w:val="21"/>
        </w:rPr>
      </w:pPr>
    </w:p>
    <w:p w14:paraId="7D8CE726">
      <w:pPr>
        <w:widowControl/>
        <w:shd w:val="clear" w:color="auto" w:fill="FFFFFF"/>
        <w:snapToGrid w:val="0"/>
        <w:spacing w:before="312" w:after="156" w:line="360" w:lineRule="auto"/>
        <w:jc w:val="center"/>
        <w:rPr>
          <w:rFonts w:ascii="宋体" w:hAnsi="宋体" w:cs="宋体"/>
          <w:b/>
          <w:kern w:val="0"/>
          <w:szCs w:val="21"/>
        </w:rPr>
      </w:pPr>
    </w:p>
    <w:p w14:paraId="1DF55D60">
      <w:pPr>
        <w:widowControl/>
        <w:shd w:val="clear" w:color="auto" w:fill="FFFFFF"/>
        <w:snapToGrid w:val="0"/>
        <w:spacing w:before="312" w:after="156" w:line="360" w:lineRule="auto"/>
        <w:jc w:val="center"/>
        <w:rPr>
          <w:rFonts w:ascii="宋体" w:hAnsi="宋体" w:cs="宋体"/>
          <w:b/>
          <w:kern w:val="0"/>
          <w:szCs w:val="21"/>
        </w:rPr>
      </w:pPr>
    </w:p>
    <w:p w14:paraId="251396E4">
      <w:pPr>
        <w:widowControl/>
        <w:shd w:val="clear" w:color="auto" w:fill="FFFFFF"/>
        <w:snapToGrid w:val="0"/>
        <w:spacing w:before="312" w:after="156" w:line="360" w:lineRule="auto"/>
        <w:jc w:val="center"/>
        <w:rPr>
          <w:rFonts w:ascii="宋体" w:hAnsi="宋体" w:cs="宋体"/>
          <w:b/>
          <w:kern w:val="0"/>
          <w:sz w:val="28"/>
          <w:szCs w:val="21"/>
        </w:rPr>
      </w:pPr>
      <w:r>
        <w:rPr>
          <w:rFonts w:hint="eastAsia" w:ascii="宋体" w:hAnsi="宋体" w:cs="宋体"/>
          <w:b/>
          <w:kern w:val="0"/>
          <w:sz w:val="28"/>
          <w:szCs w:val="21"/>
        </w:rPr>
        <w:t>供应商承诺书（格式）</w:t>
      </w:r>
      <w:bookmarkEnd w:id="283"/>
    </w:p>
    <w:p w14:paraId="18699C3A">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i/>
          <w:szCs w:val="21"/>
          <w:u w:val="single"/>
        </w:rPr>
        <w:t>(</w:t>
      </w:r>
      <w:r>
        <w:rPr>
          <w:rFonts w:hint="eastAsia" w:ascii="宋体" w:hAnsi="宋体" w:cs="仿宋"/>
          <w:i/>
          <w:kern w:val="0"/>
          <w:szCs w:val="21"/>
          <w:u w:val="single"/>
        </w:rPr>
        <w:t>采购人或携手阳光公司的名称</w:t>
      </w:r>
      <w:r>
        <w:rPr>
          <w:rFonts w:hint="eastAsia" w:ascii="宋体" w:hAnsi="宋体" w:cs="宋体"/>
          <w:i/>
          <w:szCs w:val="21"/>
          <w:u w:val="single"/>
        </w:rPr>
        <w:t>)</w:t>
      </w:r>
    </w:p>
    <w:p w14:paraId="00479B27">
      <w:pPr>
        <w:spacing w:line="360" w:lineRule="auto"/>
        <w:ind w:firstLine="420" w:firstLineChars="200"/>
        <w:jc w:val="left"/>
        <w:rPr>
          <w:rFonts w:ascii="宋体" w:hAnsi="宋体" w:cs="宋体"/>
          <w:szCs w:val="21"/>
        </w:rPr>
      </w:pPr>
      <w:r>
        <w:rPr>
          <w:rFonts w:hint="eastAsia" w:ascii="宋体" w:hAnsi="宋体" w:cs="宋体"/>
          <w:szCs w:val="21"/>
        </w:rPr>
        <w:t>我司就参加贵方</w:t>
      </w:r>
      <w:r>
        <w:rPr>
          <w:rFonts w:hint="eastAsia" w:ascii="宋体" w:hAnsi="宋体" w:cs="宋体"/>
          <w:i/>
          <w:szCs w:val="21"/>
          <w:u w:val="single"/>
        </w:rPr>
        <w:t>（项目名称）</w:t>
      </w:r>
      <w:r>
        <w:rPr>
          <w:rFonts w:hint="eastAsia" w:ascii="宋体" w:hAnsi="宋体" w:cs="宋体"/>
          <w:szCs w:val="21"/>
        </w:rPr>
        <w:t>项目投标</w:t>
      </w:r>
      <w:r>
        <w:rPr>
          <w:rFonts w:hint="eastAsia" w:ascii="宋体" w:hAnsi="宋体"/>
          <w:szCs w:val="21"/>
        </w:rPr>
        <w:t>作出以下承诺</w:t>
      </w:r>
      <w:r>
        <w:rPr>
          <w:rFonts w:hint="eastAsia" w:ascii="宋体" w:hAnsi="宋体" w:cs="宋体"/>
          <w:szCs w:val="21"/>
        </w:rPr>
        <w:t>：</w:t>
      </w:r>
    </w:p>
    <w:p w14:paraId="6CF92E84">
      <w:pPr>
        <w:spacing w:line="360" w:lineRule="auto"/>
        <w:ind w:firstLine="420" w:firstLineChars="200"/>
        <w:jc w:val="left"/>
        <w:rPr>
          <w:rFonts w:ascii="宋体" w:hAnsi="宋体" w:cs="宋体"/>
          <w:szCs w:val="21"/>
          <w:u w:val="single"/>
        </w:rPr>
      </w:pPr>
      <w:r>
        <w:rPr>
          <w:rFonts w:hint="eastAsia" w:ascii="宋体" w:hAnsi="宋体" w:cs="宋体"/>
          <w:szCs w:val="21"/>
        </w:rPr>
        <w:t>我司</w:t>
      </w:r>
      <w:r>
        <w:rPr>
          <w:rFonts w:hint="eastAsia" w:ascii="宋体" w:hAnsi="宋体"/>
          <w:szCs w:val="21"/>
        </w:rPr>
        <w:t>拟派本项目的项目经理</w:t>
      </w:r>
      <w:r>
        <w:rPr>
          <w:rFonts w:hint="eastAsia" w:ascii="宋体" w:hAnsi="宋体" w:cs="宋体"/>
          <w:szCs w:val="21"/>
        </w:rPr>
        <w:t>（</w:t>
      </w:r>
      <w:r>
        <w:rPr>
          <w:rFonts w:hint="eastAsia" w:ascii="宋体" w:hAnsi="宋体"/>
          <w:i/>
          <w:szCs w:val="21"/>
          <w:u w:val="single"/>
        </w:rPr>
        <w:t>项目经理</w:t>
      </w:r>
      <w:r>
        <w:rPr>
          <w:rFonts w:hint="eastAsia" w:ascii="宋体" w:hAnsi="宋体" w:cs="宋体"/>
          <w:i/>
          <w:szCs w:val="21"/>
          <w:u w:val="single"/>
        </w:rPr>
        <w:t>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项目经理注册证号：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是我司正式职工</w:t>
      </w:r>
      <w:r>
        <w:rPr>
          <w:rFonts w:hint="eastAsia" w:ascii="宋体" w:hAnsi="宋体" w:cs="宋体"/>
          <w:szCs w:val="21"/>
        </w:rPr>
        <w:t>（劳动关系），符合本项目采购公告中对</w:t>
      </w:r>
      <w:r>
        <w:rPr>
          <w:rFonts w:hint="eastAsia" w:ascii="宋体" w:hAnsi="宋体"/>
          <w:szCs w:val="21"/>
        </w:rPr>
        <w:t>项目经理的所有要求（</w:t>
      </w:r>
      <w:r>
        <w:rPr>
          <w:rFonts w:hint="eastAsia" w:ascii="宋体" w:hAnsi="宋体" w:cs="宋体"/>
          <w:szCs w:val="21"/>
        </w:rPr>
        <w:t>目前无在建工程、</w:t>
      </w:r>
      <w:r>
        <w:rPr>
          <w:rFonts w:hint="eastAsia" w:ascii="宋体" w:hAnsi="宋体"/>
          <w:szCs w:val="21"/>
        </w:rPr>
        <w:t>无行贿犯罪行为记录、未在两个或者两个以上单位受聘或者执业等）。</w:t>
      </w:r>
    </w:p>
    <w:p w14:paraId="1BDC7151">
      <w:pPr>
        <w:spacing w:line="360" w:lineRule="auto"/>
        <w:ind w:firstLine="420" w:firstLineChars="200"/>
        <w:jc w:val="left"/>
        <w:rPr>
          <w:rFonts w:ascii="宋体" w:hAnsi="宋体" w:cs="宋体"/>
          <w:szCs w:val="21"/>
        </w:rPr>
      </w:pPr>
      <w:r>
        <w:rPr>
          <w:rFonts w:hint="eastAsia" w:ascii="宋体" w:hAnsi="宋体" w:cs="宋体"/>
          <w:szCs w:val="21"/>
        </w:rPr>
        <w:t>我司特此承诺。若有虚假一经查实，愿意承担一切责任，并愿意承担由此造成的一切损失。</w:t>
      </w:r>
    </w:p>
    <w:p w14:paraId="6BBA08B7">
      <w:pPr>
        <w:pStyle w:val="9"/>
        <w:rPr>
          <w:rFonts w:ascii="宋体" w:hAnsi="宋体" w:eastAsia="宋体"/>
          <w:sz w:val="21"/>
          <w:szCs w:val="21"/>
        </w:rPr>
      </w:pPr>
    </w:p>
    <w:p w14:paraId="5F86E966">
      <w:pPr>
        <w:pStyle w:val="33"/>
        <w:outlineLvl w:val="9"/>
        <w:rPr>
          <w:rFonts w:ascii="宋体" w:eastAsia="宋体"/>
          <w:sz w:val="21"/>
          <w:szCs w:val="21"/>
        </w:rPr>
      </w:pPr>
    </w:p>
    <w:p w14:paraId="6624D862">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14:paraId="604E00D3">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14:paraId="107A14D8">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14:paraId="4E8E8ED9">
      <w:pPr>
        <w:pStyle w:val="12"/>
        <w:tabs>
          <w:tab w:val="left" w:pos="5580"/>
        </w:tabs>
        <w:spacing w:line="600" w:lineRule="exact"/>
        <w:rPr>
          <w:rFonts w:hAnsi="宋体" w:cs="宋体"/>
          <w:b/>
          <w:color w:val="000000"/>
          <w:sz w:val="28"/>
          <w:szCs w:val="28"/>
        </w:rPr>
      </w:pPr>
    </w:p>
    <w:p w14:paraId="08B5A169">
      <w:pPr>
        <w:pStyle w:val="12"/>
        <w:tabs>
          <w:tab w:val="left" w:pos="5580"/>
        </w:tabs>
        <w:spacing w:line="600" w:lineRule="exact"/>
        <w:rPr>
          <w:rFonts w:hAnsi="宋体" w:cs="宋体"/>
          <w:b/>
          <w:color w:val="000000"/>
          <w:sz w:val="28"/>
          <w:szCs w:val="28"/>
        </w:rPr>
      </w:pPr>
    </w:p>
    <w:p w14:paraId="2503695F">
      <w:pPr>
        <w:spacing w:line="400" w:lineRule="exact"/>
        <w:ind w:firstLine="420" w:firstLineChars="200"/>
        <w:jc w:val="center"/>
        <w:rPr>
          <w:rFonts w:ascii="宋体" w:hAnsi="宋体" w:cs="宋体"/>
          <w:color w:val="0000FF"/>
          <w:szCs w:val="21"/>
        </w:rPr>
      </w:pPr>
    </w:p>
    <w:p w14:paraId="3388F8AF">
      <w:pPr>
        <w:spacing w:line="400" w:lineRule="exact"/>
        <w:ind w:firstLine="420" w:firstLineChars="200"/>
        <w:jc w:val="center"/>
        <w:rPr>
          <w:rFonts w:ascii="宋体" w:hAnsi="宋体" w:cs="宋体"/>
          <w:color w:val="0000FF"/>
          <w:szCs w:val="21"/>
        </w:rPr>
      </w:pPr>
    </w:p>
    <w:p w14:paraId="526DE2C6">
      <w:pPr>
        <w:spacing w:line="400" w:lineRule="exact"/>
        <w:ind w:firstLine="420" w:firstLineChars="200"/>
        <w:jc w:val="center"/>
        <w:rPr>
          <w:rFonts w:ascii="宋体" w:hAnsi="宋体" w:cs="宋体"/>
          <w:color w:val="0000FF"/>
          <w:szCs w:val="21"/>
        </w:rPr>
      </w:pPr>
    </w:p>
    <w:p w14:paraId="14CCA08C">
      <w:pPr>
        <w:spacing w:line="400" w:lineRule="exact"/>
        <w:ind w:firstLine="420" w:firstLineChars="200"/>
        <w:jc w:val="center"/>
        <w:rPr>
          <w:rFonts w:ascii="宋体" w:hAnsi="宋体" w:cs="宋体"/>
          <w:color w:val="0000FF"/>
          <w:szCs w:val="21"/>
        </w:rPr>
      </w:pPr>
    </w:p>
    <w:p w14:paraId="4A6341BD">
      <w:pPr>
        <w:spacing w:line="400" w:lineRule="exact"/>
        <w:ind w:firstLine="420" w:firstLineChars="200"/>
        <w:jc w:val="center"/>
        <w:rPr>
          <w:rFonts w:ascii="宋体" w:hAnsi="宋体" w:cs="宋体"/>
          <w:color w:val="0000FF"/>
          <w:szCs w:val="21"/>
        </w:rPr>
      </w:pPr>
    </w:p>
    <w:p w14:paraId="5D3D27C2">
      <w:pPr>
        <w:spacing w:line="400" w:lineRule="exact"/>
        <w:ind w:firstLine="420" w:firstLineChars="200"/>
        <w:jc w:val="center"/>
        <w:rPr>
          <w:rFonts w:ascii="宋体" w:hAnsi="宋体" w:cs="宋体"/>
          <w:color w:val="0000FF"/>
          <w:szCs w:val="21"/>
        </w:rPr>
      </w:pPr>
    </w:p>
    <w:p w14:paraId="67EDAA1D">
      <w:pPr>
        <w:spacing w:line="400" w:lineRule="exact"/>
        <w:ind w:firstLine="420" w:firstLineChars="200"/>
        <w:jc w:val="center"/>
        <w:rPr>
          <w:rFonts w:ascii="宋体" w:hAnsi="宋体" w:cs="宋体"/>
          <w:color w:val="0000FF"/>
          <w:szCs w:val="21"/>
        </w:rPr>
      </w:pPr>
    </w:p>
    <w:p w14:paraId="7FDDCE2A">
      <w:pPr>
        <w:spacing w:line="400" w:lineRule="exact"/>
        <w:ind w:firstLine="420" w:firstLineChars="200"/>
        <w:jc w:val="center"/>
        <w:rPr>
          <w:rFonts w:ascii="宋体" w:hAnsi="宋体" w:cs="宋体"/>
          <w:color w:val="0000FF"/>
          <w:szCs w:val="21"/>
        </w:rPr>
      </w:pPr>
    </w:p>
    <w:p w14:paraId="453C7CA9">
      <w:pPr>
        <w:spacing w:line="400" w:lineRule="exact"/>
        <w:ind w:firstLine="420" w:firstLineChars="200"/>
        <w:jc w:val="center"/>
        <w:rPr>
          <w:rFonts w:ascii="宋体" w:hAnsi="宋体" w:cs="宋体"/>
          <w:color w:val="0000FF"/>
          <w:szCs w:val="21"/>
        </w:rPr>
      </w:pPr>
    </w:p>
    <w:p w14:paraId="6221E9BC">
      <w:pPr>
        <w:spacing w:line="400" w:lineRule="exact"/>
        <w:ind w:firstLine="420" w:firstLineChars="200"/>
        <w:jc w:val="center"/>
        <w:rPr>
          <w:rFonts w:ascii="宋体" w:hAnsi="宋体" w:cs="宋体"/>
          <w:color w:val="0000FF"/>
          <w:szCs w:val="21"/>
        </w:rPr>
      </w:pPr>
    </w:p>
    <w:p w14:paraId="1088AA84">
      <w:pPr>
        <w:spacing w:line="400" w:lineRule="exact"/>
        <w:ind w:firstLine="420" w:firstLineChars="200"/>
        <w:jc w:val="center"/>
        <w:rPr>
          <w:rFonts w:ascii="宋体" w:hAnsi="宋体" w:cs="宋体"/>
          <w:color w:val="0000FF"/>
          <w:szCs w:val="21"/>
        </w:rPr>
      </w:pPr>
    </w:p>
    <w:p w14:paraId="2E62D9F2">
      <w:pPr>
        <w:spacing w:line="400" w:lineRule="exact"/>
        <w:ind w:firstLine="420" w:firstLineChars="200"/>
        <w:jc w:val="center"/>
        <w:rPr>
          <w:rFonts w:ascii="宋体" w:hAnsi="宋体" w:cs="宋体"/>
          <w:color w:val="0000FF"/>
          <w:szCs w:val="21"/>
        </w:rPr>
      </w:pPr>
    </w:p>
    <w:p w14:paraId="48BDC7C7">
      <w:pPr>
        <w:spacing w:line="400" w:lineRule="exact"/>
        <w:ind w:firstLine="420" w:firstLineChars="200"/>
        <w:jc w:val="center"/>
        <w:rPr>
          <w:rFonts w:ascii="宋体" w:hAnsi="宋体" w:cs="宋体"/>
          <w:color w:val="0000FF"/>
          <w:szCs w:val="21"/>
        </w:rPr>
      </w:pPr>
    </w:p>
    <w:p w14:paraId="384AEF58">
      <w:pPr>
        <w:spacing w:line="400" w:lineRule="exact"/>
        <w:ind w:firstLine="420" w:firstLineChars="200"/>
        <w:jc w:val="center"/>
        <w:rPr>
          <w:rFonts w:ascii="宋体" w:hAnsi="宋体" w:cs="宋体"/>
          <w:color w:val="0000FF"/>
          <w:szCs w:val="21"/>
        </w:rPr>
      </w:pPr>
    </w:p>
    <w:p w14:paraId="7B1E3900">
      <w:pPr>
        <w:spacing w:line="400" w:lineRule="exact"/>
        <w:ind w:firstLine="420" w:firstLineChars="200"/>
        <w:jc w:val="center"/>
        <w:rPr>
          <w:rFonts w:ascii="宋体" w:hAnsi="宋体" w:cs="宋体"/>
          <w:color w:val="0000FF"/>
          <w:szCs w:val="21"/>
        </w:rPr>
      </w:pPr>
    </w:p>
    <w:p w14:paraId="6009D885">
      <w:pPr>
        <w:spacing w:line="400" w:lineRule="exact"/>
        <w:ind w:firstLine="420" w:firstLineChars="200"/>
        <w:jc w:val="center"/>
        <w:rPr>
          <w:rFonts w:ascii="宋体" w:hAnsi="宋体" w:cs="宋体"/>
          <w:color w:val="0000FF"/>
          <w:szCs w:val="21"/>
        </w:rPr>
      </w:pPr>
    </w:p>
    <w:p w14:paraId="56D5BABF">
      <w:pPr>
        <w:spacing w:line="400" w:lineRule="exact"/>
        <w:ind w:firstLine="420" w:firstLineChars="200"/>
        <w:jc w:val="center"/>
        <w:rPr>
          <w:rFonts w:ascii="宋体" w:hAnsi="宋体" w:cs="宋体"/>
          <w:color w:val="0000FF"/>
          <w:szCs w:val="21"/>
        </w:rPr>
      </w:pPr>
    </w:p>
    <w:p w14:paraId="236A1A27">
      <w:pPr>
        <w:widowControl/>
        <w:shd w:val="clear" w:color="auto" w:fill="FFFFFF"/>
        <w:snapToGrid w:val="0"/>
        <w:spacing w:before="312" w:after="156" w:line="360" w:lineRule="auto"/>
        <w:jc w:val="center"/>
        <w:rPr>
          <w:rFonts w:ascii="宋体" w:hAnsi="宋体" w:cs="宋体"/>
          <w:b/>
          <w:kern w:val="0"/>
          <w:sz w:val="28"/>
          <w:szCs w:val="21"/>
        </w:rPr>
      </w:pPr>
      <w:r>
        <w:rPr>
          <w:rFonts w:hint="eastAsia" w:ascii="宋体" w:hAnsi="宋体" w:cs="宋体"/>
          <w:b/>
          <w:kern w:val="0"/>
          <w:sz w:val="28"/>
          <w:szCs w:val="21"/>
        </w:rPr>
        <w:t>项目经理承诺书（格式）</w:t>
      </w:r>
    </w:p>
    <w:p w14:paraId="6C756F24">
      <w:pPr>
        <w:spacing w:line="400" w:lineRule="exact"/>
        <w:ind w:firstLine="420" w:firstLineChars="200"/>
        <w:rPr>
          <w:rFonts w:ascii="宋体" w:hAnsi="宋体" w:cs="宋体"/>
          <w:color w:val="0000FF"/>
          <w:szCs w:val="21"/>
        </w:rPr>
      </w:pPr>
    </w:p>
    <w:p w14:paraId="3FFB85D9">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(采购人名称)</w:t>
      </w:r>
    </w:p>
    <w:p w14:paraId="3459BC14">
      <w:pPr>
        <w:spacing w:line="400" w:lineRule="exact"/>
        <w:ind w:firstLine="840" w:firstLineChars="400"/>
        <w:rPr>
          <w:rFonts w:ascii="宋体" w:hAnsi="宋体" w:cs="宋体"/>
          <w:color w:val="auto"/>
          <w:szCs w:val="21"/>
        </w:rPr>
      </w:pPr>
      <w:r>
        <w:rPr>
          <w:rFonts w:hint="eastAsia" w:ascii="宋体" w:hAnsi="宋体" w:cs="宋体"/>
          <w:color w:val="auto"/>
          <w:szCs w:val="21"/>
        </w:rPr>
        <w:t>本人作为拟委任的项目经理，现郑重承诺如下:</w:t>
      </w:r>
    </w:p>
    <w:p w14:paraId="4D804D09">
      <w:pPr>
        <w:spacing w:line="400" w:lineRule="exact"/>
        <w:ind w:firstLine="420" w:firstLineChars="200"/>
        <w:rPr>
          <w:rFonts w:ascii="宋体" w:hAnsi="宋体" w:cs="宋体"/>
          <w:color w:val="auto"/>
          <w:szCs w:val="21"/>
        </w:rPr>
      </w:pPr>
      <w:r>
        <w:rPr>
          <w:rFonts w:hint="eastAsia" w:ascii="宋体" w:hAnsi="宋体" w:cs="宋体"/>
          <w:color w:val="auto"/>
          <w:szCs w:val="21"/>
        </w:rPr>
        <w:t>1.投标文件中提供的项目经理业绩已经本人核实，本项目工程实施过程中项目经理确为本人，真实无误，不存在虚假和挂靠现象，也不存在为了本次投标而造假的行为，身份证号：</w:t>
      </w:r>
      <w:r>
        <w:rPr>
          <w:rFonts w:hint="eastAsia" w:ascii="宋体" w:hAnsi="宋体" w:cs="宋体"/>
          <w:color w:val="auto"/>
          <w:szCs w:val="21"/>
          <w:u w:val="single"/>
        </w:rPr>
        <w:t xml:space="preserve">           </w:t>
      </w:r>
      <w:r>
        <w:rPr>
          <w:rFonts w:hint="eastAsia" w:ascii="宋体" w:hAnsi="宋体" w:cs="宋体"/>
          <w:color w:val="auto"/>
          <w:szCs w:val="21"/>
        </w:rPr>
        <w:t>、注册证号：</w:t>
      </w:r>
      <w:r>
        <w:rPr>
          <w:rFonts w:hint="eastAsia" w:ascii="宋体" w:hAnsi="宋体" w:cs="宋体"/>
          <w:color w:val="auto"/>
          <w:szCs w:val="21"/>
          <w:u w:val="single"/>
        </w:rPr>
        <w:t xml:space="preserve">           </w:t>
      </w:r>
      <w:r>
        <w:rPr>
          <w:rFonts w:hint="eastAsia" w:ascii="宋体" w:hAnsi="宋体" w:cs="宋体"/>
          <w:color w:val="auto"/>
          <w:szCs w:val="21"/>
        </w:rPr>
        <w:t>。</w:t>
      </w:r>
    </w:p>
    <w:p w14:paraId="1BA2FA37">
      <w:pPr>
        <w:spacing w:line="400" w:lineRule="exact"/>
        <w:ind w:firstLine="420" w:firstLineChars="200"/>
        <w:rPr>
          <w:rFonts w:ascii="宋体" w:hAnsi="宋体" w:cs="宋体"/>
          <w:color w:val="auto"/>
          <w:szCs w:val="21"/>
        </w:rPr>
      </w:pPr>
      <w:r>
        <w:rPr>
          <w:rFonts w:hint="eastAsia" w:ascii="宋体" w:hAnsi="宋体" w:cs="宋体"/>
          <w:color w:val="auto"/>
          <w:szCs w:val="21"/>
        </w:rPr>
        <w:t>2.投标之日起未在其他项目担任项目经理，或虽在其他项目担任项目经理但本项目成交后合同签订前，能够从其他项目撤出并担任本项目的项目经理。</w:t>
      </w:r>
    </w:p>
    <w:p w14:paraId="3D03739C">
      <w:pPr>
        <w:spacing w:line="400" w:lineRule="exact"/>
        <w:ind w:firstLine="420" w:firstLineChars="200"/>
        <w:rPr>
          <w:rFonts w:ascii="宋体" w:hAnsi="宋体" w:cs="宋体"/>
          <w:color w:val="auto"/>
          <w:szCs w:val="21"/>
        </w:rPr>
      </w:pPr>
      <w:r>
        <w:rPr>
          <w:rFonts w:hint="eastAsia" w:ascii="宋体" w:hAnsi="宋体" w:cs="宋体"/>
          <w:color w:val="auto"/>
          <w:szCs w:val="21"/>
        </w:rPr>
        <w:t>3.以上承诺如果发现虚假现象，本人愿意承担相应法律责任，并随时无条件配合贵方调查取证。</w:t>
      </w:r>
    </w:p>
    <w:p w14:paraId="442A49D9">
      <w:pPr>
        <w:spacing w:line="600" w:lineRule="exact"/>
        <w:ind w:firstLine="6720" w:firstLineChars="3200"/>
        <w:rPr>
          <w:rFonts w:ascii="宋体" w:hAnsi="宋体" w:cs="宋体"/>
          <w:color w:val="auto"/>
          <w:szCs w:val="21"/>
        </w:rPr>
      </w:pPr>
      <w:r>
        <w:rPr>
          <w:rFonts w:hint="eastAsia" w:ascii="宋体" w:hAnsi="宋体" w:cs="宋体"/>
          <w:color w:val="auto"/>
          <w:szCs w:val="21"/>
        </w:rPr>
        <w:t xml:space="preserve">供应商（盖单位章）：                                          </w:t>
      </w:r>
    </w:p>
    <w:p w14:paraId="2F26341F">
      <w:pPr>
        <w:spacing w:line="400" w:lineRule="exact"/>
        <w:ind w:firstLine="420" w:firstLineChars="200"/>
        <w:jc w:val="center"/>
        <w:rPr>
          <w:rFonts w:ascii="宋体" w:hAnsi="宋体" w:cs="宋体"/>
          <w:color w:val="auto"/>
          <w:szCs w:val="21"/>
        </w:rPr>
      </w:pPr>
      <w:r>
        <w:rPr>
          <w:rFonts w:hint="eastAsia" w:ascii="宋体" w:hAnsi="宋体" w:cs="宋体"/>
          <w:color w:val="auto"/>
          <w:szCs w:val="21"/>
        </w:rPr>
        <w:t xml:space="preserve">                                                项目经理:(签字)</w:t>
      </w:r>
    </w:p>
    <w:p w14:paraId="0CC75636">
      <w:pPr>
        <w:spacing w:line="400" w:lineRule="exact"/>
        <w:ind w:firstLine="420" w:firstLineChars="200"/>
        <w:jc w:val="center"/>
        <w:rPr>
          <w:rFonts w:ascii="宋体" w:hAnsi="宋体" w:cs="宋体"/>
          <w:color w:val="auto"/>
          <w:szCs w:val="21"/>
        </w:rPr>
      </w:pPr>
      <w:r>
        <w:rPr>
          <w:rFonts w:hint="eastAsia" w:ascii="宋体" w:hAnsi="宋体" w:cs="宋体"/>
          <w:color w:val="auto"/>
          <w:szCs w:val="21"/>
        </w:rPr>
        <w:t xml:space="preserve">                                                   日期:2024年 月 日</w:t>
      </w:r>
    </w:p>
    <w:p w14:paraId="7BA09FA0">
      <w:pPr>
        <w:pStyle w:val="12"/>
        <w:tabs>
          <w:tab w:val="left" w:pos="5580"/>
        </w:tabs>
        <w:spacing w:line="600" w:lineRule="exact"/>
        <w:rPr>
          <w:rFonts w:hAnsi="宋体" w:cs="宋体"/>
          <w:b/>
          <w:color w:val="000000"/>
          <w:sz w:val="28"/>
          <w:szCs w:val="28"/>
        </w:rPr>
      </w:pPr>
    </w:p>
    <w:p w14:paraId="38C1AB1F">
      <w:pPr>
        <w:pStyle w:val="12"/>
        <w:tabs>
          <w:tab w:val="left" w:pos="5580"/>
        </w:tabs>
        <w:spacing w:line="600" w:lineRule="exact"/>
        <w:rPr>
          <w:rFonts w:hAnsi="宋体" w:cs="宋体"/>
          <w:b/>
          <w:color w:val="000000"/>
          <w:sz w:val="28"/>
          <w:szCs w:val="28"/>
        </w:rPr>
      </w:pPr>
    </w:p>
    <w:p w14:paraId="60F87858">
      <w:pPr>
        <w:widowControl/>
        <w:shd w:val="clear" w:color="auto" w:fill="FFFFFF"/>
        <w:snapToGrid w:val="0"/>
        <w:spacing w:before="312" w:after="156" w:line="360" w:lineRule="auto"/>
        <w:jc w:val="center"/>
        <w:rPr>
          <w:rFonts w:ascii="宋体" w:hAnsi="宋体" w:cs="宋体"/>
          <w:b/>
          <w:kern w:val="0"/>
          <w:szCs w:val="21"/>
        </w:rPr>
      </w:pPr>
      <w:bookmarkStart w:id="284" w:name="_Toc18326"/>
    </w:p>
    <w:p w14:paraId="5D8DECDE">
      <w:pPr>
        <w:widowControl/>
        <w:shd w:val="clear" w:color="auto" w:fill="FFFFFF"/>
        <w:snapToGrid w:val="0"/>
        <w:spacing w:before="312" w:after="156" w:line="360" w:lineRule="auto"/>
        <w:jc w:val="center"/>
        <w:rPr>
          <w:rFonts w:ascii="宋体" w:hAnsi="宋体" w:cs="宋体"/>
          <w:b/>
          <w:kern w:val="0"/>
          <w:szCs w:val="21"/>
        </w:rPr>
      </w:pPr>
    </w:p>
    <w:p w14:paraId="0636D613">
      <w:pPr>
        <w:widowControl/>
        <w:shd w:val="clear" w:color="auto" w:fill="FFFFFF"/>
        <w:snapToGrid w:val="0"/>
        <w:spacing w:before="312" w:after="156" w:line="360" w:lineRule="auto"/>
        <w:jc w:val="center"/>
        <w:rPr>
          <w:rFonts w:ascii="宋体" w:hAnsi="宋体" w:cs="宋体"/>
          <w:b/>
          <w:kern w:val="0"/>
          <w:szCs w:val="21"/>
        </w:rPr>
      </w:pPr>
    </w:p>
    <w:p w14:paraId="508A0DB3">
      <w:pPr>
        <w:widowControl/>
        <w:shd w:val="clear" w:color="auto" w:fill="FFFFFF"/>
        <w:snapToGrid w:val="0"/>
        <w:spacing w:before="312" w:after="156" w:line="360" w:lineRule="auto"/>
        <w:jc w:val="center"/>
        <w:rPr>
          <w:rFonts w:ascii="宋体" w:hAnsi="宋体" w:cs="宋体"/>
          <w:b/>
          <w:kern w:val="0"/>
          <w:szCs w:val="21"/>
        </w:rPr>
      </w:pPr>
    </w:p>
    <w:p w14:paraId="4D56E73B">
      <w:pPr>
        <w:widowControl/>
        <w:shd w:val="clear" w:color="auto" w:fill="FFFFFF"/>
        <w:snapToGrid w:val="0"/>
        <w:spacing w:before="312" w:after="156" w:line="360" w:lineRule="auto"/>
        <w:jc w:val="center"/>
        <w:rPr>
          <w:rFonts w:ascii="宋体" w:hAnsi="宋体" w:cs="宋体"/>
          <w:b/>
          <w:kern w:val="0"/>
          <w:szCs w:val="21"/>
        </w:rPr>
      </w:pPr>
    </w:p>
    <w:p w14:paraId="3A4C9F60">
      <w:pPr>
        <w:widowControl/>
        <w:shd w:val="clear" w:color="auto" w:fill="FFFFFF"/>
        <w:snapToGrid w:val="0"/>
        <w:spacing w:before="312" w:after="156" w:line="360" w:lineRule="auto"/>
        <w:jc w:val="center"/>
        <w:rPr>
          <w:rFonts w:ascii="宋体" w:hAnsi="宋体" w:cs="宋体"/>
          <w:b/>
          <w:kern w:val="0"/>
          <w:szCs w:val="21"/>
        </w:rPr>
      </w:pPr>
    </w:p>
    <w:p w14:paraId="36797528">
      <w:pPr>
        <w:widowControl/>
        <w:shd w:val="clear" w:color="auto" w:fill="FFFFFF"/>
        <w:snapToGrid w:val="0"/>
        <w:spacing w:before="312" w:after="156" w:line="360" w:lineRule="auto"/>
        <w:jc w:val="center"/>
        <w:rPr>
          <w:rFonts w:ascii="宋体" w:hAnsi="宋体" w:cs="宋体"/>
          <w:b/>
          <w:kern w:val="0"/>
          <w:szCs w:val="21"/>
        </w:rPr>
      </w:pPr>
    </w:p>
    <w:p w14:paraId="2B58A07B">
      <w:pPr>
        <w:widowControl/>
        <w:shd w:val="clear" w:color="auto" w:fill="FFFFFF"/>
        <w:snapToGrid w:val="0"/>
        <w:spacing w:before="312" w:after="156" w:line="360" w:lineRule="auto"/>
        <w:jc w:val="center"/>
        <w:rPr>
          <w:rFonts w:ascii="宋体" w:hAnsi="宋体" w:cs="宋体"/>
          <w:b/>
          <w:kern w:val="0"/>
          <w:szCs w:val="21"/>
        </w:rPr>
      </w:pPr>
    </w:p>
    <w:p w14:paraId="6A722C11">
      <w:pPr>
        <w:widowControl/>
        <w:shd w:val="clear" w:color="auto" w:fill="FFFFFF"/>
        <w:snapToGrid w:val="0"/>
        <w:spacing w:before="312" w:after="156" w:line="360" w:lineRule="auto"/>
        <w:jc w:val="center"/>
        <w:rPr>
          <w:rFonts w:ascii="宋体" w:hAnsi="宋体" w:cs="宋体"/>
          <w:b/>
          <w:kern w:val="0"/>
          <w:szCs w:val="21"/>
        </w:rPr>
      </w:pPr>
    </w:p>
    <w:p w14:paraId="215149D4">
      <w:pPr>
        <w:widowControl/>
        <w:shd w:val="clear" w:color="auto" w:fill="FFFFFF"/>
        <w:snapToGrid w:val="0"/>
        <w:spacing w:before="312" w:after="156" w:line="360" w:lineRule="auto"/>
        <w:jc w:val="center"/>
        <w:rPr>
          <w:rFonts w:ascii="宋体" w:hAnsi="宋体" w:cs="宋体"/>
          <w:b/>
          <w:kern w:val="0"/>
          <w:szCs w:val="21"/>
        </w:rPr>
      </w:pPr>
    </w:p>
    <w:p w14:paraId="4D5E34CE">
      <w:pPr>
        <w:pStyle w:val="12"/>
        <w:tabs>
          <w:tab w:val="left" w:pos="5580"/>
        </w:tabs>
        <w:spacing w:line="600" w:lineRule="exact"/>
        <w:ind w:left="1080" w:leftChars="257" w:hanging="540"/>
        <w:jc w:val="center"/>
        <w:outlineLvl w:val="1"/>
        <w:rPr>
          <w:rFonts w:hAnsi="宋体" w:cs="宋体"/>
          <w:b/>
          <w:color w:val="000000"/>
          <w:sz w:val="28"/>
          <w:szCs w:val="28"/>
        </w:rPr>
      </w:pPr>
      <w:r>
        <w:rPr>
          <w:rFonts w:hint="eastAsia" w:hAnsi="宋体" w:cs="宋体"/>
          <w:b/>
          <w:color w:val="000000"/>
          <w:sz w:val="28"/>
          <w:szCs w:val="28"/>
        </w:rPr>
        <w:t>三、法定代表人授权委托书(格式）</w:t>
      </w:r>
      <w:bookmarkEnd w:id="284"/>
    </w:p>
    <w:p w14:paraId="1C0DD136">
      <w:pPr>
        <w:pStyle w:val="5"/>
        <w:spacing w:line="600" w:lineRule="exact"/>
        <w:ind w:firstLine="0"/>
        <w:jc w:val="center"/>
        <w:rPr>
          <w:rFonts w:ascii="宋体" w:hAnsi="宋体" w:cs="宋体"/>
          <w:b/>
          <w:color w:val="000000"/>
          <w:sz w:val="21"/>
          <w:szCs w:val="21"/>
        </w:rPr>
      </w:pPr>
      <w:bookmarkStart w:id="285" w:name="_Toc3828"/>
      <w:r>
        <w:rPr>
          <w:rFonts w:hint="eastAsia" w:ascii="宋体" w:hAnsi="宋体" w:cs="宋体"/>
          <w:b/>
          <w:color w:val="000000"/>
          <w:sz w:val="21"/>
          <w:szCs w:val="21"/>
        </w:rPr>
        <w:t>（自然人投标的无需提供）</w:t>
      </w:r>
      <w:bookmarkEnd w:id="285"/>
    </w:p>
    <w:p w14:paraId="4AF1947A">
      <w:pPr>
        <w:pStyle w:val="5"/>
        <w:spacing w:line="600" w:lineRule="exact"/>
        <w:ind w:firstLine="0"/>
        <w:jc w:val="center"/>
        <w:rPr>
          <w:rFonts w:ascii="宋体" w:hAnsi="宋体" w:cs="宋体"/>
          <w:b/>
          <w:color w:val="000000"/>
          <w:sz w:val="21"/>
          <w:szCs w:val="21"/>
        </w:rPr>
      </w:pPr>
    </w:p>
    <w:p w14:paraId="3FE0B509">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14:paraId="5BD6573D">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14:paraId="01DCEBC5">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14:paraId="2AF1387F">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14:paraId="3DA9046B">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14:paraId="0F87C61D">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14:paraId="22A2E976">
      <w:pPr>
        <w:spacing w:line="600" w:lineRule="exact"/>
        <w:ind w:firstLine="420" w:firstLineChars="200"/>
        <w:jc w:val="center"/>
        <w:rPr>
          <w:rFonts w:ascii="宋体" w:hAnsi="宋体" w:cs="宋体"/>
          <w:color w:val="000000"/>
          <w:szCs w:val="21"/>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14:paraId="6F8B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14:paraId="45A30692">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14:paraId="41867EDC">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14:paraId="4514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14:paraId="60CF2E61">
            <w:pPr>
              <w:jc w:val="center"/>
              <w:rPr>
                <w:rFonts w:ascii="宋体" w:hAnsi="宋体"/>
                <w:i/>
                <w:color w:val="000000"/>
              </w:rPr>
            </w:pPr>
            <w:r>
              <w:rPr>
                <w:rFonts w:hint="eastAsia" w:ascii="宋体" w:hAnsi="宋体"/>
                <w:i/>
                <w:color w:val="000000"/>
              </w:rPr>
              <w:t>（身份证复印件粘贴处）</w:t>
            </w:r>
          </w:p>
          <w:p w14:paraId="5122F440">
            <w:pPr>
              <w:jc w:val="center"/>
              <w:rPr>
                <w:rFonts w:ascii="宋体" w:hAnsi="宋体"/>
                <w:i/>
                <w:color w:val="000000"/>
              </w:rPr>
            </w:pPr>
          </w:p>
          <w:p w14:paraId="5280A6F1">
            <w:pPr>
              <w:jc w:val="center"/>
              <w:rPr>
                <w:rFonts w:ascii="宋体" w:hAnsi="宋体"/>
                <w:i/>
                <w:color w:val="000000"/>
              </w:rPr>
            </w:pPr>
            <w:r>
              <w:rPr>
                <w:rFonts w:hint="eastAsia" w:ascii="宋体" w:hAnsi="宋体"/>
                <w:i/>
                <w:color w:val="000000"/>
              </w:rPr>
              <w:t>（可电子粘贴）</w:t>
            </w:r>
          </w:p>
          <w:p w14:paraId="056CDD1C">
            <w:pPr>
              <w:jc w:val="center"/>
              <w:rPr>
                <w:rFonts w:ascii="宋体" w:hAnsi="宋体"/>
                <w:i/>
                <w:color w:val="000000"/>
              </w:rPr>
            </w:pPr>
          </w:p>
          <w:p w14:paraId="5051B852">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14:paraId="68F87DB9">
            <w:pPr>
              <w:jc w:val="center"/>
              <w:rPr>
                <w:rFonts w:ascii="宋体" w:hAnsi="宋体"/>
                <w:i/>
                <w:color w:val="000000"/>
              </w:rPr>
            </w:pPr>
            <w:r>
              <w:rPr>
                <w:rFonts w:hint="eastAsia" w:ascii="宋体" w:hAnsi="宋体"/>
                <w:i/>
                <w:color w:val="000000"/>
              </w:rPr>
              <w:t>（身份证复印件粘贴处）</w:t>
            </w:r>
          </w:p>
          <w:p w14:paraId="15AB6B48">
            <w:pPr>
              <w:jc w:val="center"/>
              <w:rPr>
                <w:rFonts w:ascii="宋体" w:hAnsi="宋体"/>
                <w:i/>
                <w:color w:val="000000"/>
              </w:rPr>
            </w:pPr>
          </w:p>
          <w:p w14:paraId="483D50DC">
            <w:pPr>
              <w:jc w:val="center"/>
              <w:rPr>
                <w:rFonts w:ascii="宋体" w:hAnsi="宋体"/>
                <w:i/>
                <w:color w:val="000000"/>
              </w:rPr>
            </w:pPr>
            <w:r>
              <w:rPr>
                <w:rFonts w:hint="eastAsia" w:ascii="宋体" w:hAnsi="宋体"/>
                <w:i/>
                <w:color w:val="000000"/>
              </w:rPr>
              <w:t>（可电子粘贴）</w:t>
            </w:r>
          </w:p>
          <w:p w14:paraId="075EC803">
            <w:pPr>
              <w:jc w:val="center"/>
              <w:rPr>
                <w:rFonts w:ascii="宋体" w:hAnsi="宋体"/>
                <w:i/>
                <w:color w:val="000000"/>
              </w:rPr>
            </w:pPr>
          </w:p>
          <w:p w14:paraId="19571E2D">
            <w:pPr>
              <w:jc w:val="center"/>
              <w:rPr>
                <w:rFonts w:ascii="宋体" w:hAnsi="宋体"/>
                <w:i/>
                <w:color w:val="000000"/>
              </w:rPr>
            </w:pPr>
            <w:r>
              <w:rPr>
                <w:rFonts w:hint="eastAsia" w:ascii="宋体" w:hAnsi="宋体"/>
                <w:i/>
                <w:color w:val="000000"/>
              </w:rPr>
              <w:t>（证明材料可另页，不限于本框内）</w:t>
            </w:r>
          </w:p>
        </w:tc>
      </w:tr>
    </w:tbl>
    <w:p w14:paraId="0E102582">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14:paraId="32350BFC">
      <w:pPr>
        <w:pStyle w:val="9"/>
        <w:spacing w:line="240" w:lineRule="exact"/>
        <w:rPr>
          <w:color w:val="000000"/>
        </w:rPr>
      </w:pPr>
    </w:p>
    <w:p w14:paraId="68AB9D5C">
      <w:pPr>
        <w:spacing w:line="360" w:lineRule="auto"/>
        <w:jc w:val="center"/>
        <w:rPr>
          <w:rFonts w:ascii="宋体" w:hAnsi="宋体" w:cs="宋体"/>
          <w:b/>
          <w:color w:val="000000"/>
          <w:sz w:val="28"/>
          <w:szCs w:val="28"/>
        </w:rPr>
      </w:pPr>
    </w:p>
    <w:p w14:paraId="6CC44602">
      <w:pPr>
        <w:spacing w:line="360" w:lineRule="auto"/>
        <w:jc w:val="center"/>
        <w:rPr>
          <w:rFonts w:ascii="宋体" w:hAnsi="宋体" w:cs="宋体"/>
          <w:b/>
          <w:color w:val="000000"/>
          <w:sz w:val="28"/>
          <w:szCs w:val="28"/>
        </w:rPr>
      </w:pPr>
    </w:p>
    <w:p w14:paraId="0DD0E86D">
      <w:pPr>
        <w:spacing w:line="360" w:lineRule="auto"/>
        <w:jc w:val="center"/>
        <w:outlineLvl w:val="1"/>
        <w:rPr>
          <w:rFonts w:ascii="宋体" w:hAnsi="宋体" w:cs="宋体"/>
          <w:b/>
          <w:color w:val="000000"/>
          <w:sz w:val="28"/>
          <w:szCs w:val="28"/>
        </w:rPr>
      </w:pPr>
      <w:bookmarkStart w:id="286" w:name="_Toc25033"/>
      <w:r>
        <w:rPr>
          <w:rFonts w:hint="eastAsia" w:ascii="宋体" w:hAnsi="宋体" w:cs="宋体"/>
          <w:b/>
          <w:color w:val="000000"/>
          <w:sz w:val="28"/>
          <w:szCs w:val="28"/>
        </w:rPr>
        <w:t>四、投标（响应）书（格式）</w:t>
      </w:r>
      <w:bookmarkEnd w:id="286"/>
    </w:p>
    <w:p w14:paraId="4A5D34C3">
      <w:pPr>
        <w:pStyle w:val="9"/>
        <w:spacing w:line="240" w:lineRule="exact"/>
        <w:rPr>
          <w:rFonts w:ascii="宋体" w:hAnsi="宋体" w:cs="宋体"/>
          <w:b/>
          <w:color w:val="000000"/>
          <w:szCs w:val="28"/>
        </w:rPr>
      </w:pPr>
    </w:p>
    <w:p w14:paraId="0349C1C1">
      <w:pPr>
        <w:spacing w:line="360" w:lineRule="auto"/>
        <w:rPr>
          <w:rFonts w:ascii="宋体" w:hAnsi="宋体" w:cs="宋体"/>
          <w:b/>
          <w:color w:val="000000"/>
          <w:szCs w:val="21"/>
          <w:u w:val="single"/>
        </w:rPr>
      </w:pPr>
      <w:bookmarkStart w:id="287" w:name="_Toc21931"/>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bookmarkEnd w:id="287"/>
    </w:p>
    <w:p w14:paraId="1E603155">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14:paraId="1DACE439">
      <w:pPr>
        <w:pStyle w:val="12"/>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14:paraId="17AA8D0D">
      <w:pPr>
        <w:pStyle w:val="12"/>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14:paraId="2BC0548A">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14:paraId="65732F24">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14:paraId="15F88319">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14:paraId="776FCDE2">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14:paraId="43699BF7">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14:paraId="51DF8CB3">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14:paraId="094DE54F">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14:paraId="17F1D41E">
      <w:pPr>
        <w:pStyle w:val="12"/>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14:paraId="7FD76224">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14:paraId="2A3CA7E8">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14:paraId="5DD149BC">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14:paraId="0A09300A">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14:paraId="18B1B209">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14:paraId="50B5717D">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14:paraId="1FBA8235">
      <w:pPr>
        <w:spacing w:line="540" w:lineRule="atLeast"/>
        <w:jc w:val="center"/>
        <w:rPr>
          <w:rFonts w:hint="eastAsia" w:ascii="宋体" w:hAnsi="宋体"/>
          <w:b/>
          <w:color w:val="000000"/>
          <w:sz w:val="28"/>
          <w:szCs w:val="28"/>
        </w:rPr>
      </w:pPr>
      <w:bookmarkStart w:id="288" w:name="_Toc16212"/>
    </w:p>
    <w:p w14:paraId="697CD7AE">
      <w:pPr>
        <w:spacing w:line="540" w:lineRule="atLeast"/>
        <w:jc w:val="center"/>
        <w:outlineLvl w:val="1"/>
        <w:rPr>
          <w:rFonts w:ascii="宋体" w:hAnsi="宋体" w:cs="宋体"/>
          <w:b/>
          <w:color w:val="000000"/>
          <w:sz w:val="28"/>
          <w:szCs w:val="28"/>
        </w:rPr>
      </w:pPr>
      <w:r>
        <w:rPr>
          <w:rFonts w:hint="eastAsia" w:ascii="宋体" w:hAnsi="宋体"/>
          <w:b/>
          <w:color w:val="000000"/>
          <w:sz w:val="28"/>
          <w:szCs w:val="28"/>
        </w:rPr>
        <w:t>五、盐城市政府采购事前信用承诺书（格式）</w:t>
      </w:r>
      <w:bookmarkEnd w:id="288"/>
    </w:p>
    <w:p w14:paraId="15659848">
      <w:pPr>
        <w:ind w:firstLine="420" w:firstLineChars="200"/>
        <w:jc w:val="left"/>
        <w:rPr>
          <w:rFonts w:ascii="宋体" w:hAnsi="宋体"/>
          <w:color w:val="000000"/>
          <w:szCs w:val="21"/>
        </w:rPr>
      </w:pPr>
    </w:p>
    <w:p w14:paraId="7B55AE59">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14:paraId="7B7C0516">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D8DDAD8">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DFE9B47">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14:paraId="3455A7E6">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14:paraId="425BF97C">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14:paraId="628A5F2B">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14:paraId="539BCC29">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E4F06E5">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14:paraId="1840C50D">
      <w:pPr>
        <w:pStyle w:val="12"/>
        <w:tabs>
          <w:tab w:val="left" w:pos="5580"/>
        </w:tabs>
        <w:spacing w:line="360" w:lineRule="auto"/>
        <w:ind w:firstLine="400" w:firstLineChars="200"/>
        <w:rPr>
          <w:rFonts w:hAnsi="宋体" w:cs="宋体"/>
          <w:color w:val="000000"/>
        </w:rPr>
      </w:pPr>
    </w:p>
    <w:p w14:paraId="089E7B40">
      <w:pPr>
        <w:pStyle w:val="12"/>
        <w:tabs>
          <w:tab w:val="left" w:pos="5580"/>
        </w:tabs>
        <w:spacing w:line="360" w:lineRule="auto"/>
        <w:ind w:firstLine="400" w:firstLineChars="200"/>
        <w:rPr>
          <w:rFonts w:hAnsi="宋体" w:cs="宋体"/>
          <w:color w:val="000000"/>
        </w:rPr>
      </w:pPr>
    </w:p>
    <w:p w14:paraId="7149D509">
      <w:pPr>
        <w:pStyle w:val="12"/>
        <w:tabs>
          <w:tab w:val="left" w:pos="5580"/>
        </w:tabs>
        <w:spacing w:line="360" w:lineRule="auto"/>
        <w:ind w:firstLine="5000" w:firstLineChars="2500"/>
        <w:rPr>
          <w:rFonts w:hAnsi="宋体" w:cs="宋体"/>
          <w:color w:val="000000"/>
        </w:rPr>
      </w:pPr>
      <w:r>
        <w:rPr>
          <w:rFonts w:hint="eastAsia" w:hAnsi="宋体" w:cs="宋体"/>
          <w:color w:val="000000"/>
        </w:rPr>
        <w:t>供应商（须盖单位章）：</w:t>
      </w:r>
    </w:p>
    <w:p w14:paraId="3D7A80E9">
      <w:pPr>
        <w:pStyle w:val="12"/>
        <w:tabs>
          <w:tab w:val="left" w:pos="5580"/>
        </w:tabs>
        <w:spacing w:line="360" w:lineRule="auto"/>
        <w:ind w:firstLine="5000" w:firstLineChars="2500"/>
        <w:rPr>
          <w:rFonts w:hAnsi="宋体" w:cs="宋体"/>
          <w:color w:val="000000"/>
        </w:rPr>
      </w:pPr>
      <w:r>
        <w:rPr>
          <w:rFonts w:hint="eastAsia" w:hAnsi="宋体" w:cs="宋体"/>
          <w:color w:val="000000"/>
        </w:rPr>
        <w:t>法定代表人 (须签字或盖章)：</w:t>
      </w:r>
    </w:p>
    <w:p w14:paraId="68F6C0C7">
      <w:pPr>
        <w:pStyle w:val="12"/>
        <w:tabs>
          <w:tab w:val="left" w:pos="5580"/>
        </w:tabs>
        <w:spacing w:line="360" w:lineRule="auto"/>
        <w:ind w:firstLine="5000" w:firstLineChars="2500"/>
        <w:rPr>
          <w:rFonts w:hAnsi="宋体" w:cs="宋体"/>
          <w:color w:val="000000"/>
        </w:rPr>
      </w:pPr>
      <w:r>
        <w:rPr>
          <w:rFonts w:hint="eastAsia" w:hAnsi="宋体" w:cs="宋体"/>
          <w:color w:val="000000"/>
        </w:rPr>
        <w:t>日期：   年  月  日</w:t>
      </w:r>
    </w:p>
    <w:tbl>
      <w:tblPr>
        <w:tblStyle w:val="27"/>
        <w:tblpPr w:leftFromText="180" w:rightFromText="180" w:vertAnchor="page" w:horzAnchor="page" w:tblpX="1573" w:tblpY="25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14:paraId="7938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14:paraId="7E1D46F0">
            <w:pPr>
              <w:jc w:val="center"/>
              <w:rPr>
                <w:rFonts w:ascii="宋体" w:hAnsi="宋体" w:cs="宋体"/>
                <w:color w:val="000000"/>
                <w:szCs w:val="21"/>
              </w:rPr>
            </w:pPr>
            <w:r>
              <w:rPr>
                <w:rFonts w:hint="eastAsia" w:ascii="宋体" w:hAnsi="宋体" w:cs="宋体"/>
                <w:color w:val="000000"/>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14:paraId="308C30F0">
            <w:pPr>
              <w:rPr>
                <w:rFonts w:ascii="宋体" w:hAnsi="宋体" w:cs="宋体"/>
                <w:color w:val="000000"/>
                <w:szCs w:val="21"/>
              </w:rPr>
            </w:pPr>
          </w:p>
        </w:tc>
      </w:tr>
      <w:tr w14:paraId="4996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14:paraId="343B2A27">
            <w:pPr>
              <w:jc w:val="center"/>
              <w:rPr>
                <w:rFonts w:ascii="宋体" w:hAnsi="宋体" w:cs="宋体"/>
                <w:color w:val="000000"/>
                <w:szCs w:val="21"/>
              </w:rPr>
            </w:pPr>
            <w:r>
              <w:rPr>
                <w:rFonts w:hint="eastAsia" w:ascii="宋体" w:hAnsi="宋体" w:cs="宋体"/>
                <w:color w:val="000000"/>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14:paraId="094FC8BA">
            <w:pPr>
              <w:rPr>
                <w:rFonts w:ascii="宋体" w:hAnsi="宋体" w:cs="宋体"/>
                <w:color w:val="000000"/>
                <w:szCs w:val="21"/>
              </w:rPr>
            </w:pPr>
          </w:p>
        </w:tc>
      </w:tr>
      <w:tr w14:paraId="77C3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3805107A">
            <w:pPr>
              <w:jc w:val="center"/>
              <w:rPr>
                <w:rFonts w:ascii="宋体" w:hAnsi="宋体"/>
                <w:color w:val="000000"/>
                <w:szCs w:val="21"/>
              </w:rPr>
            </w:pPr>
            <w:r>
              <w:rPr>
                <w:rFonts w:hint="eastAsia" w:ascii="宋体" w:hAnsi="宋体"/>
                <w:color w:val="000000"/>
                <w:szCs w:val="21"/>
              </w:rPr>
              <w:t>序号</w:t>
            </w:r>
          </w:p>
        </w:tc>
        <w:tc>
          <w:tcPr>
            <w:tcW w:w="1752" w:type="dxa"/>
            <w:tcBorders>
              <w:top w:val="single" w:color="auto" w:sz="4" w:space="0"/>
              <w:left w:val="single" w:color="auto" w:sz="4" w:space="0"/>
              <w:bottom w:val="single" w:color="auto" w:sz="4" w:space="0"/>
              <w:right w:val="single" w:color="auto" w:sz="4" w:space="0"/>
            </w:tcBorders>
            <w:noWrap/>
            <w:vAlign w:val="center"/>
          </w:tcPr>
          <w:p w14:paraId="3A303DC1">
            <w:pPr>
              <w:jc w:val="center"/>
              <w:rPr>
                <w:rFonts w:ascii="宋体" w:hAnsi="宋体"/>
                <w:color w:val="000000"/>
                <w:szCs w:val="21"/>
              </w:rPr>
            </w:pPr>
            <w:r>
              <w:rPr>
                <w:rFonts w:hint="eastAsia" w:ascii="宋体" w:hAnsi="宋体"/>
                <w:color w:val="000000"/>
                <w:szCs w:val="21"/>
              </w:rPr>
              <w:t>名称</w:t>
            </w:r>
          </w:p>
        </w:tc>
        <w:tc>
          <w:tcPr>
            <w:tcW w:w="3826" w:type="dxa"/>
            <w:tcBorders>
              <w:top w:val="single" w:color="auto" w:sz="4" w:space="0"/>
              <w:left w:val="single" w:color="auto" w:sz="4" w:space="0"/>
              <w:bottom w:val="single" w:color="auto" w:sz="4" w:space="0"/>
              <w:right w:val="single" w:color="auto" w:sz="4" w:space="0"/>
            </w:tcBorders>
            <w:noWrap/>
            <w:vAlign w:val="center"/>
          </w:tcPr>
          <w:p w14:paraId="6203ACB3">
            <w:pPr>
              <w:jc w:val="center"/>
              <w:rPr>
                <w:rFonts w:ascii="宋体" w:hAnsi="宋体"/>
                <w:color w:val="000000"/>
                <w:szCs w:val="21"/>
              </w:rPr>
            </w:pPr>
            <w:r>
              <w:rPr>
                <w:rFonts w:hint="eastAsia" w:ascii="宋体" w:hAnsi="宋体"/>
                <w:color w:val="000000"/>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noWrap/>
            <w:vAlign w:val="center"/>
          </w:tcPr>
          <w:p w14:paraId="32CEA131">
            <w:pPr>
              <w:jc w:val="center"/>
              <w:rPr>
                <w:rFonts w:ascii="宋体" w:hAnsi="宋体"/>
                <w:color w:val="000000"/>
                <w:szCs w:val="21"/>
              </w:rPr>
            </w:pPr>
            <w:r>
              <w:rPr>
                <w:rFonts w:hint="eastAsia" w:ascii="宋体" w:hAnsi="宋体"/>
                <w:color w:val="000000"/>
                <w:szCs w:val="21"/>
              </w:rPr>
              <w:t>供应商响应</w:t>
            </w:r>
          </w:p>
        </w:tc>
        <w:tc>
          <w:tcPr>
            <w:tcW w:w="1144" w:type="dxa"/>
            <w:tcBorders>
              <w:top w:val="single" w:color="auto" w:sz="4" w:space="0"/>
              <w:left w:val="single" w:color="auto" w:sz="4" w:space="0"/>
              <w:bottom w:val="single" w:color="auto" w:sz="4" w:space="0"/>
              <w:right w:val="single" w:color="auto" w:sz="4" w:space="0"/>
            </w:tcBorders>
            <w:noWrap/>
            <w:vAlign w:val="center"/>
          </w:tcPr>
          <w:p w14:paraId="2B41D8A2">
            <w:pPr>
              <w:jc w:val="center"/>
              <w:rPr>
                <w:rFonts w:ascii="宋体" w:hAnsi="宋体"/>
                <w:color w:val="000000"/>
                <w:szCs w:val="21"/>
              </w:rPr>
            </w:pPr>
            <w:r>
              <w:rPr>
                <w:rFonts w:hint="eastAsia" w:ascii="宋体" w:hAnsi="宋体"/>
                <w:color w:val="000000"/>
                <w:szCs w:val="21"/>
              </w:rPr>
              <w:t>偏离说明</w:t>
            </w:r>
          </w:p>
        </w:tc>
      </w:tr>
      <w:tr w14:paraId="0797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3F6B673D">
            <w:pPr>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4" w:space="0"/>
              <w:left w:val="single" w:color="auto" w:sz="4" w:space="0"/>
              <w:bottom w:val="single" w:color="auto" w:sz="4" w:space="0"/>
              <w:right w:val="single" w:color="auto" w:sz="4" w:space="0"/>
            </w:tcBorders>
            <w:noWrap/>
            <w:vAlign w:val="center"/>
          </w:tcPr>
          <w:p w14:paraId="3942483B">
            <w:pPr>
              <w:widowControl/>
              <w:jc w:val="center"/>
              <w:rPr>
                <w:rFonts w:ascii="宋体" w:hAnsi="宋体" w:cs="宋体"/>
                <w:color w:val="000000"/>
                <w:kern w:val="0"/>
                <w:szCs w:val="21"/>
              </w:rPr>
            </w:pPr>
            <w:r>
              <w:rPr>
                <w:rFonts w:hint="eastAsia" w:ascii="宋体" w:hAnsi="宋体" w:cs="宋体"/>
                <w:color w:val="000000"/>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noWrap/>
            <w:vAlign w:val="center"/>
          </w:tcPr>
          <w:p w14:paraId="28178B0B">
            <w:pPr>
              <w:widowControl/>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14:paraId="4041BC2B">
            <w:pPr>
              <w:jc w:val="cente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7F16F108">
            <w:pPr>
              <w:rPr>
                <w:rFonts w:ascii="宋体" w:hAnsi="宋体" w:cs="宋体"/>
                <w:color w:val="000000"/>
                <w:szCs w:val="21"/>
              </w:rPr>
            </w:pPr>
          </w:p>
        </w:tc>
      </w:tr>
      <w:tr w14:paraId="5865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33F71B51">
            <w:pPr>
              <w:jc w:val="center"/>
              <w:rPr>
                <w:rFonts w:ascii="宋体" w:hAnsi="宋体" w:cs="宋体"/>
                <w:color w:val="000000"/>
                <w:szCs w:val="21"/>
              </w:rPr>
            </w:pPr>
            <w:r>
              <w:rPr>
                <w:rFonts w:hint="eastAsia" w:ascii="宋体" w:hAnsi="宋体" w:cs="宋体"/>
                <w:color w:val="000000"/>
                <w:szCs w:val="21"/>
              </w:rPr>
              <w:t>2</w:t>
            </w:r>
          </w:p>
        </w:tc>
        <w:tc>
          <w:tcPr>
            <w:tcW w:w="1752" w:type="dxa"/>
            <w:tcBorders>
              <w:top w:val="single" w:color="auto" w:sz="4" w:space="0"/>
              <w:left w:val="single" w:color="auto" w:sz="4" w:space="0"/>
              <w:bottom w:val="single" w:color="auto" w:sz="4" w:space="0"/>
              <w:right w:val="single" w:color="auto" w:sz="4" w:space="0"/>
            </w:tcBorders>
            <w:noWrap/>
            <w:vAlign w:val="center"/>
          </w:tcPr>
          <w:p w14:paraId="5ED545E3">
            <w:pPr>
              <w:widowControl/>
              <w:jc w:val="center"/>
              <w:rPr>
                <w:rFonts w:ascii="宋体" w:hAnsi="宋体" w:cs="宋体"/>
                <w:color w:val="000000"/>
                <w:kern w:val="0"/>
                <w:szCs w:val="21"/>
              </w:rPr>
            </w:pPr>
            <w:r>
              <w:rPr>
                <w:rFonts w:hint="eastAsia" w:ascii="宋体" w:hAnsi="宋体" w:cs="宋体"/>
                <w:color w:val="000000"/>
                <w:szCs w:val="21"/>
              </w:rPr>
              <w:t>公平竞争原则</w:t>
            </w:r>
          </w:p>
        </w:tc>
        <w:tc>
          <w:tcPr>
            <w:tcW w:w="3826" w:type="dxa"/>
            <w:tcBorders>
              <w:top w:val="single" w:color="auto" w:sz="4" w:space="0"/>
              <w:left w:val="single" w:color="auto" w:sz="4" w:space="0"/>
              <w:bottom w:val="single" w:color="auto" w:sz="4" w:space="0"/>
              <w:right w:val="single" w:color="auto" w:sz="4" w:space="0"/>
            </w:tcBorders>
            <w:noWrap/>
            <w:vAlign w:val="center"/>
          </w:tcPr>
          <w:p w14:paraId="08B628C5">
            <w:pPr>
              <w:widowControl/>
              <w:jc w:val="left"/>
              <w:rPr>
                <w:rFonts w:ascii="宋体" w:hAnsi="宋体"/>
                <w:color w:val="000000"/>
                <w:szCs w:val="21"/>
              </w:rPr>
            </w:pPr>
            <w:r>
              <w:rPr>
                <w:rFonts w:hint="eastAsia" w:ascii="宋体" w:hAnsi="宋体" w:cs="宋体"/>
                <w:color w:val="000000"/>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14:paraId="66E5C869">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78767D24">
            <w:pPr>
              <w:rPr>
                <w:rFonts w:ascii="宋体" w:hAnsi="宋体" w:cs="宋体"/>
                <w:color w:val="000000"/>
                <w:szCs w:val="21"/>
              </w:rPr>
            </w:pPr>
          </w:p>
        </w:tc>
      </w:tr>
      <w:tr w14:paraId="57A0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1B7D4DEF">
            <w:pPr>
              <w:jc w:val="center"/>
              <w:rPr>
                <w:rFonts w:ascii="宋体" w:hAnsi="宋体" w:cs="宋体"/>
                <w:color w:val="000000"/>
                <w:szCs w:val="21"/>
              </w:rPr>
            </w:pPr>
            <w:r>
              <w:rPr>
                <w:rFonts w:hint="eastAsia" w:ascii="宋体" w:hAnsi="宋体" w:cs="宋体"/>
                <w:color w:val="000000"/>
                <w:szCs w:val="21"/>
              </w:rPr>
              <w:t>3</w:t>
            </w:r>
          </w:p>
        </w:tc>
        <w:tc>
          <w:tcPr>
            <w:tcW w:w="1752" w:type="dxa"/>
            <w:tcBorders>
              <w:top w:val="single" w:color="auto" w:sz="4" w:space="0"/>
              <w:left w:val="single" w:color="auto" w:sz="4" w:space="0"/>
              <w:bottom w:val="single" w:color="auto" w:sz="4" w:space="0"/>
              <w:right w:val="single" w:color="auto" w:sz="4" w:space="0"/>
            </w:tcBorders>
            <w:noWrap/>
            <w:vAlign w:val="center"/>
          </w:tcPr>
          <w:p w14:paraId="2632B775">
            <w:pPr>
              <w:widowControl/>
              <w:jc w:val="center"/>
              <w:rPr>
                <w:rFonts w:ascii="宋体" w:hAnsi="宋体" w:cs="宋体"/>
                <w:color w:val="000000"/>
                <w:kern w:val="0"/>
                <w:szCs w:val="21"/>
              </w:rPr>
            </w:pPr>
            <w:r>
              <w:rPr>
                <w:rFonts w:hint="eastAsia" w:ascii="宋体" w:hAnsi="宋体" w:cs="宋体"/>
                <w:bCs/>
                <w:color w:val="000000"/>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noWrap/>
            <w:vAlign w:val="center"/>
          </w:tcPr>
          <w:p w14:paraId="7DA87507">
            <w:pPr>
              <w:widowControl/>
              <w:jc w:val="left"/>
              <w:rPr>
                <w:rFonts w:ascii="宋体" w:hAnsi="宋体" w:cs="宋体"/>
                <w:color w:val="000000"/>
                <w:szCs w:val="21"/>
              </w:rPr>
            </w:pPr>
            <w:r>
              <w:rPr>
                <w:rFonts w:hint="eastAsia" w:ascii="宋体" w:hAnsi="宋体" w:cs="宋体"/>
                <w:color w:val="000000"/>
                <w:szCs w:val="21"/>
              </w:rPr>
              <w:t>供应商不得</w:t>
            </w:r>
            <w:r>
              <w:rPr>
                <w:rFonts w:hint="eastAsia" w:ascii="宋体" w:hAnsi="宋体" w:cs="宋体"/>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noWrap/>
            <w:vAlign w:val="center"/>
          </w:tcPr>
          <w:p w14:paraId="4900A267">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29C141EA">
            <w:pPr>
              <w:rPr>
                <w:rFonts w:ascii="宋体" w:hAnsi="宋体" w:cs="宋体"/>
                <w:color w:val="000000"/>
                <w:szCs w:val="21"/>
              </w:rPr>
            </w:pPr>
          </w:p>
        </w:tc>
      </w:tr>
      <w:tr w14:paraId="51D2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07DE0E00">
            <w:pPr>
              <w:jc w:val="center"/>
              <w:rPr>
                <w:rFonts w:ascii="宋体" w:hAnsi="宋体" w:cs="宋体"/>
                <w:color w:val="000000"/>
                <w:szCs w:val="21"/>
              </w:rPr>
            </w:pPr>
            <w:r>
              <w:rPr>
                <w:rFonts w:hint="eastAsia" w:ascii="宋体" w:hAnsi="宋体" w:cs="宋体"/>
                <w:color w:val="000000"/>
                <w:szCs w:val="21"/>
              </w:rPr>
              <w:t>4</w:t>
            </w:r>
          </w:p>
        </w:tc>
        <w:tc>
          <w:tcPr>
            <w:tcW w:w="1752" w:type="dxa"/>
            <w:tcBorders>
              <w:top w:val="single" w:color="auto" w:sz="4" w:space="0"/>
              <w:left w:val="single" w:color="auto" w:sz="4" w:space="0"/>
              <w:bottom w:val="single" w:color="auto" w:sz="4" w:space="0"/>
              <w:right w:val="single" w:color="auto" w:sz="4" w:space="0"/>
            </w:tcBorders>
            <w:noWrap/>
            <w:vAlign w:val="center"/>
          </w:tcPr>
          <w:p w14:paraId="3F48FBF4">
            <w:pPr>
              <w:widowControl/>
              <w:jc w:val="center"/>
              <w:rPr>
                <w:rFonts w:ascii="宋体" w:hAnsi="宋体" w:cs="宋体"/>
                <w:color w:val="000000"/>
                <w:kern w:val="0"/>
                <w:szCs w:val="21"/>
              </w:rPr>
            </w:pPr>
            <w:r>
              <w:rPr>
                <w:rFonts w:hint="eastAsia" w:ascii="宋体" w:hAnsi="宋体" w:cs="宋体"/>
                <w:color w:val="000000"/>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noWrap/>
            <w:vAlign w:val="center"/>
          </w:tcPr>
          <w:p w14:paraId="6A91A838">
            <w:pPr>
              <w:rPr>
                <w:rFonts w:ascii="宋体" w:hAnsi="宋体"/>
                <w:color w:val="000000"/>
              </w:rPr>
            </w:pPr>
            <w:r>
              <w:rPr>
                <w:rFonts w:hint="eastAsia" w:ascii="宋体" w:hAnsi="宋体"/>
                <w:color w:val="000000"/>
              </w:rPr>
              <w:t>提交响应文件截止之日起</w:t>
            </w:r>
            <w:r>
              <w:rPr>
                <w:rFonts w:hint="eastAsia" w:ascii="宋体" w:hAnsi="宋体"/>
                <w:color w:val="000000"/>
                <w:u w:val="single"/>
              </w:rPr>
              <w:t>60</w:t>
            </w:r>
            <w:r>
              <w:rPr>
                <w:rFonts w:hint="eastAsia" w:ascii="宋体" w:hAnsi="宋体"/>
                <w:color w:val="000000"/>
              </w:rPr>
              <w:t>个日历日</w:t>
            </w:r>
          </w:p>
        </w:tc>
        <w:tc>
          <w:tcPr>
            <w:tcW w:w="1560" w:type="dxa"/>
            <w:tcBorders>
              <w:top w:val="single" w:color="auto" w:sz="4" w:space="0"/>
              <w:left w:val="single" w:color="auto" w:sz="4" w:space="0"/>
              <w:bottom w:val="single" w:color="auto" w:sz="4" w:space="0"/>
              <w:right w:val="single" w:color="auto" w:sz="4" w:space="0"/>
            </w:tcBorders>
            <w:noWrap/>
            <w:vAlign w:val="center"/>
          </w:tcPr>
          <w:p w14:paraId="7D7C16CE">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77CCC47B">
            <w:pPr>
              <w:rPr>
                <w:rFonts w:ascii="宋体" w:hAnsi="宋体" w:cs="宋体"/>
                <w:color w:val="000000"/>
                <w:szCs w:val="21"/>
              </w:rPr>
            </w:pPr>
          </w:p>
        </w:tc>
      </w:tr>
      <w:tr w14:paraId="0B36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401748A3">
            <w:pPr>
              <w:jc w:val="center"/>
              <w:rPr>
                <w:rFonts w:ascii="宋体" w:hAnsi="宋体" w:cs="宋体"/>
                <w:color w:val="000000"/>
                <w:szCs w:val="21"/>
              </w:rPr>
            </w:pPr>
            <w:r>
              <w:rPr>
                <w:rFonts w:hint="eastAsia" w:ascii="宋体" w:hAnsi="宋体" w:cs="宋体"/>
                <w:color w:val="000000"/>
                <w:szCs w:val="21"/>
              </w:rPr>
              <w:t>5</w:t>
            </w:r>
          </w:p>
        </w:tc>
        <w:tc>
          <w:tcPr>
            <w:tcW w:w="1752" w:type="dxa"/>
            <w:tcBorders>
              <w:top w:val="single" w:color="auto" w:sz="4" w:space="0"/>
              <w:left w:val="single" w:color="auto" w:sz="4" w:space="0"/>
              <w:bottom w:val="single" w:color="auto" w:sz="4" w:space="0"/>
              <w:right w:val="single" w:color="auto" w:sz="4" w:space="0"/>
            </w:tcBorders>
            <w:noWrap/>
            <w:vAlign w:val="center"/>
          </w:tcPr>
          <w:p w14:paraId="53AD550E">
            <w:pPr>
              <w:widowControl/>
              <w:jc w:val="center"/>
              <w:rPr>
                <w:rFonts w:ascii="宋体" w:hAnsi="宋体" w:cs="宋体"/>
                <w:color w:val="000000"/>
                <w:kern w:val="0"/>
                <w:szCs w:val="21"/>
              </w:rPr>
            </w:pPr>
            <w:r>
              <w:rPr>
                <w:rFonts w:hint="eastAsia" w:ascii="宋体" w:hAnsi="宋体" w:cs="宋体"/>
                <w:color w:val="000000"/>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noWrap/>
            <w:vAlign w:val="center"/>
          </w:tcPr>
          <w:p w14:paraId="3304E52C">
            <w:pPr>
              <w:widowControl/>
              <w:jc w:val="left"/>
              <w:rPr>
                <w:rFonts w:ascii="宋体" w:hAnsi="宋体"/>
                <w:color w:val="000000"/>
                <w:szCs w:val="21"/>
              </w:rPr>
            </w:pPr>
            <w:r>
              <w:rPr>
                <w:rFonts w:hint="eastAsia" w:ascii="宋体" w:hAnsi="宋体" w:cs="宋体"/>
                <w:color w:val="000000"/>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noWrap/>
            <w:vAlign w:val="center"/>
          </w:tcPr>
          <w:p w14:paraId="7E4744D6">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6E280BAB">
            <w:pPr>
              <w:rPr>
                <w:rFonts w:ascii="宋体" w:hAnsi="宋体" w:cs="宋体"/>
                <w:color w:val="000000"/>
                <w:szCs w:val="21"/>
              </w:rPr>
            </w:pPr>
          </w:p>
        </w:tc>
      </w:tr>
      <w:tr w14:paraId="5247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0A633847">
            <w:pPr>
              <w:jc w:val="center"/>
              <w:rPr>
                <w:rFonts w:ascii="宋体" w:hAnsi="宋体" w:cs="宋体"/>
                <w:color w:val="000000"/>
                <w:szCs w:val="21"/>
              </w:rPr>
            </w:pPr>
            <w:r>
              <w:rPr>
                <w:rFonts w:hint="eastAsia" w:ascii="宋体" w:hAnsi="宋体" w:cs="宋体"/>
                <w:color w:val="000000"/>
                <w:szCs w:val="21"/>
              </w:rPr>
              <w:t>6</w:t>
            </w:r>
          </w:p>
        </w:tc>
        <w:tc>
          <w:tcPr>
            <w:tcW w:w="1752" w:type="dxa"/>
            <w:tcBorders>
              <w:top w:val="single" w:color="auto" w:sz="4" w:space="0"/>
              <w:left w:val="single" w:color="auto" w:sz="4" w:space="0"/>
              <w:bottom w:val="single" w:color="auto" w:sz="4" w:space="0"/>
              <w:right w:val="single" w:color="auto" w:sz="4" w:space="0"/>
            </w:tcBorders>
            <w:noWrap/>
            <w:vAlign w:val="center"/>
          </w:tcPr>
          <w:p w14:paraId="112C7AF7">
            <w:pPr>
              <w:widowControl/>
              <w:jc w:val="center"/>
              <w:rPr>
                <w:rFonts w:ascii="宋体" w:hAnsi="宋体" w:cs="宋体"/>
                <w:color w:val="000000"/>
                <w:kern w:val="0"/>
                <w:szCs w:val="21"/>
              </w:rPr>
            </w:pPr>
            <w:r>
              <w:rPr>
                <w:rFonts w:hint="eastAsia" w:ascii="宋体" w:hAnsi="宋体" w:cs="宋体"/>
                <w:color w:val="000000"/>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noWrap/>
            <w:vAlign w:val="center"/>
          </w:tcPr>
          <w:p w14:paraId="4674CCB1">
            <w:pPr>
              <w:widowControl/>
              <w:jc w:val="left"/>
              <w:rPr>
                <w:rFonts w:ascii="宋体" w:hAnsi="宋体"/>
                <w:color w:val="000000"/>
                <w:szCs w:val="21"/>
              </w:rPr>
            </w:pPr>
            <w:r>
              <w:rPr>
                <w:rFonts w:hint="eastAsia" w:ascii="宋体" w:hAnsi="宋体"/>
                <w:color w:val="000000"/>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noWrap/>
            <w:vAlign w:val="center"/>
          </w:tcPr>
          <w:p w14:paraId="45B3ED87">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26983432">
            <w:pPr>
              <w:rPr>
                <w:rFonts w:ascii="宋体" w:hAnsi="宋体" w:cs="宋体"/>
                <w:color w:val="000000"/>
                <w:szCs w:val="21"/>
              </w:rPr>
            </w:pPr>
          </w:p>
        </w:tc>
      </w:tr>
      <w:tr w14:paraId="7F65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09F4540A">
            <w:pPr>
              <w:jc w:val="center"/>
              <w:rPr>
                <w:rFonts w:ascii="宋体" w:hAnsi="宋体" w:cs="宋体"/>
                <w:color w:val="000000"/>
                <w:szCs w:val="21"/>
              </w:rPr>
            </w:pPr>
            <w:r>
              <w:rPr>
                <w:rFonts w:hint="eastAsia" w:ascii="宋体" w:hAnsi="宋体" w:cs="宋体"/>
                <w:color w:val="000000"/>
                <w:szCs w:val="21"/>
              </w:rPr>
              <w:t>7</w:t>
            </w:r>
          </w:p>
        </w:tc>
        <w:tc>
          <w:tcPr>
            <w:tcW w:w="1752" w:type="dxa"/>
            <w:tcBorders>
              <w:top w:val="single" w:color="auto" w:sz="4" w:space="0"/>
              <w:left w:val="single" w:color="auto" w:sz="4" w:space="0"/>
              <w:bottom w:val="single" w:color="auto" w:sz="4" w:space="0"/>
              <w:right w:val="single" w:color="auto" w:sz="4" w:space="0"/>
            </w:tcBorders>
            <w:noWrap/>
            <w:vAlign w:val="center"/>
          </w:tcPr>
          <w:p w14:paraId="4BA22EFE">
            <w:pPr>
              <w:widowControl/>
              <w:jc w:val="center"/>
              <w:rPr>
                <w:rFonts w:ascii="宋体" w:hAnsi="宋体" w:cs="宋体"/>
                <w:color w:val="000000"/>
                <w:kern w:val="0"/>
                <w:szCs w:val="21"/>
              </w:rPr>
            </w:pPr>
            <w:r>
              <w:rPr>
                <w:rFonts w:hint="eastAsia" w:ascii="宋体" w:hAnsi="宋体" w:cs="宋体"/>
                <w:color w:val="000000"/>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noWrap/>
            <w:vAlign w:val="center"/>
          </w:tcPr>
          <w:p w14:paraId="7740D90D">
            <w:pPr>
              <w:widowControl/>
              <w:jc w:val="left"/>
              <w:rPr>
                <w:rFonts w:ascii="宋体" w:hAnsi="宋体" w:cs="宋体"/>
                <w:color w:val="000000"/>
                <w:kern w:val="0"/>
                <w:szCs w:val="21"/>
              </w:rPr>
            </w:pPr>
            <w:r>
              <w:rPr>
                <w:rFonts w:hint="eastAsia" w:ascii="宋体" w:hAnsi="宋体"/>
                <w:color w:val="000000"/>
                <w:szCs w:val="21"/>
              </w:rPr>
              <w:t>供应商</w:t>
            </w:r>
            <w:r>
              <w:rPr>
                <w:rFonts w:ascii="宋体" w:hAnsi="宋体"/>
                <w:color w:val="000000"/>
                <w:szCs w:val="21"/>
              </w:rPr>
              <w:t>对所投采购包</w:t>
            </w:r>
            <w:r>
              <w:rPr>
                <w:rFonts w:hint="eastAsia" w:ascii="宋体" w:hAnsi="宋体"/>
                <w:color w:val="000000"/>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noWrap/>
            <w:vAlign w:val="center"/>
          </w:tcPr>
          <w:p w14:paraId="6F173983">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037C029B">
            <w:pPr>
              <w:rPr>
                <w:rFonts w:ascii="宋体" w:hAnsi="宋体" w:cs="宋体"/>
                <w:color w:val="000000"/>
                <w:szCs w:val="21"/>
              </w:rPr>
            </w:pPr>
          </w:p>
        </w:tc>
      </w:tr>
      <w:tr w14:paraId="73EB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54980F23">
            <w:pPr>
              <w:jc w:val="center"/>
              <w:rPr>
                <w:rFonts w:ascii="宋体" w:hAnsi="宋体" w:cs="宋体"/>
                <w:color w:val="000000"/>
                <w:szCs w:val="21"/>
              </w:rPr>
            </w:pPr>
            <w:r>
              <w:rPr>
                <w:rFonts w:hint="eastAsia" w:ascii="宋体" w:hAnsi="宋体" w:cs="宋体"/>
                <w:color w:val="000000"/>
                <w:szCs w:val="21"/>
              </w:rPr>
              <w:t>8</w:t>
            </w:r>
          </w:p>
        </w:tc>
        <w:tc>
          <w:tcPr>
            <w:tcW w:w="1752" w:type="dxa"/>
            <w:tcBorders>
              <w:top w:val="single" w:color="auto" w:sz="4" w:space="0"/>
              <w:left w:val="single" w:color="auto" w:sz="4" w:space="0"/>
              <w:bottom w:val="single" w:color="auto" w:sz="4" w:space="0"/>
              <w:right w:val="single" w:color="auto" w:sz="4" w:space="0"/>
            </w:tcBorders>
            <w:noWrap/>
            <w:vAlign w:val="center"/>
          </w:tcPr>
          <w:p w14:paraId="77C617B3">
            <w:pPr>
              <w:jc w:val="center"/>
              <w:rPr>
                <w:color w:val="000000"/>
              </w:rPr>
            </w:pPr>
            <w:r>
              <w:rPr>
                <w:rFonts w:hint="eastAsia"/>
                <w:color w:val="000000"/>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noWrap/>
            <w:vAlign w:val="center"/>
          </w:tcPr>
          <w:p w14:paraId="120C6690">
            <w:pPr>
              <w:rPr>
                <w:color w:val="000000"/>
              </w:rPr>
            </w:pPr>
            <w:r>
              <w:rPr>
                <w:rFonts w:hint="eastAsia"/>
                <w:color w:val="000000"/>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noWrap/>
            <w:vAlign w:val="center"/>
          </w:tcPr>
          <w:p w14:paraId="6E1945E4">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793CAA61">
            <w:pPr>
              <w:rPr>
                <w:rFonts w:ascii="宋体" w:hAnsi="宋体" w:cs="宋体"/>
                <w:color w:val="000000"/>
                <w:szCs w:val="21"/>
              </w:rPr>
            </w:pPr>
          </w:p>
        </w:tc>
      </w:tr>
      <w:tr w14:paraId="7A2E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5D8F47AA">
            <w:pPr>
              <w:jc w:val="center"/>
              <w:rPr>
                <w:rFonts w:ascii="宋体" w:hAnsi="宋体" w:cs="宋体"/>
                <w:color w:val="000000"/>
                <w:szCs w:val="21"/>
              </w:rPr>
            </w:pPr>
            <w:r>
              <w:rPr>
                <w:rFonts w:hint="eastAsia" w:ascii="宋体" w:hAnsi="宋体" w:cs="宋体"/>
                <w:color w:val="000000"/>
                <w:szCs w:val="21"/>
              </w:rPr>
              <w:t>9</w:t>
            </w:r>
          </w:p>
        </w:tc>
        <w:tc>
          <w:tcPr>
            <w:tcW w:w="1752" w:type="dxa"/>
            <w:tcBorders>
              <w:top w:val="single" w:color="auto" w:sz="4" w:space="0"/>
              <w:left w:val="single" w:color="auto" w:sz="4" w:space="0"/>
              <w:bottom w:val="single" w:color="auto" w:sz="4" w:space="0"/>
              <w:right w:val="single" w:color="auto" w:sz="4" w:space="0"/>
            </w:tcBorders>
            <w:noWrap/>
            <w:vAlign w:val="center"/>
          </w:tcPr>
          <w:p w14:paraId="083DDA7A">
            <w:pPr>
              <w:widowControl/>
              <w:jc w:val="center"/>
              <w:rPr>
                <w:rFonts w:ascii="宋体" w:hAnsi="宋体" w:cs="宋体"/>
                <w:color w:val="000000"/>
                <w:kern w:val="0"/>
                <w:szCs w:val="21"/>
              </w:rPr>
            </w:pPr>
            <w:r>
              <w:rPr>
                <w:rFonts w:hint="eastAsia" w:ascii="宋体" w:hAnsi="宋体"/>
                <w:color w:val="000000"/>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noWrap/>
            <w:vAlign w:val="center"/>
          </w:tcPr>
          <w:p w14:paraId="6B832158">
            <w:pPr>
              <w:widowControl/>
              <w:jc w:val="left"/>
              <w:rPr>
                <w:rFonts w:ascii="宋体" w:hAnsi="宋体" w:cs="宋体"/>
                <w:color w:val="000000"/>
                <w:kern w:val="0"/>
                <w:szCs w:val="21"/>
              </w:rPr>
            </w:pPr>
            <w:r>
              <w:rPr>
                <w:rFonts w:hint="eastAsia" w:ascii="宋体" w:hAnsi="宋体"/>
                <w:color w:val="000000"/>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noWrap/>
            <w:vAlign w:val="center"/>
          </w:tcPr>
          <w:p w14:paraId="31A52484">
            <w:pPr>
              <w:spacing w:line="480" w:lineRule="auto"/>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14:paraId="3887C068">
            <w:pPr>
              <w:rPr>
                <w:rFonts w:ascii="宋体" w:hAnsi="宋体" w:cs="宋体"/>
                <w:color w:val="000000"/>
                <w:szCs w:val="21"/>
              </w:rPr>
            </w:pPr>
          </w:p>
        </w:tc>
      </w:tr>
      <w:tr w14:paraId="398A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75D4E21C">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14:paraId="22445C65">
            <w:pPr>
              <w:widowControl/>
              <w:jc w:val="center"/>
              <w:rPr>
                <w:rFonts w:ascii="宋体" w:hAnsi="宋体" w:cs="宋体"/>
                <w:color w:val="000000"/>
                <w:kern w:val="0"/>
                <w:szCs w:val="21"/>
              </w:rPr>
            </w:pPr>
          </w:p>
        </w:tc>
        <w:tc>
          <w:tcPr>
            <w:tcW w:w="3826" w:type="dxa"/>
            <w:tcBorders>
              <w:top w:val="single" w:color="auto" w:sz="4" w:space="0"/>
              <w:left w:val="single" w:color="auto" w:sz="4" w:space="0"/>
              <w:bottom w:val="single" w:color="auto" w:sz="4" w:space="0"/>
              <w:right w:val="single" w:color="auto" w:sz="4" w:space="0"/>
            </w:tcBorders>
            <w:noWrap/>
            <w:vAlign w:val="center"/>
          </w:tcPr>
          <w:p w14:paraId="2DBA2BBB">
            <w:pPr>
              <w:widowControl/>
              <w:jc w:val="center"/>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74ADBEE5">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14:paraId="04D01787">
            <w:pPr>
              <w:rPr>
                <w:rFonts w:ascii="宋体" w:hAnsi="宋体" w:cs="宋体"/>
                <w:color w:val="000000"/>
                <w:szCs w:val="21"/>
              </w:rPr>
            </w:pPr>
          </w:p>
        </w:tc>
      </w:tr>
      <w:tr w14:paraId="1976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5C3A9377">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14:paraId="63EE20EB">
            <w:pPr>
              <w:pStyle w:val="12"/>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14:paraId="7691F8B3">
            <w:pPr>
              <w:jc w:val="cente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3627D24C">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14:paraId="09DCB839">
            <w:pPr>
              <w:rPr>
                <w:rFonts w:ascii="宋体" w:hAnsi="宋体" w:cs="宋体"/>
                <w:color w:val="000000"/>
                <w:szCs w:val="21"/>
              </w:rPr>
            </w:pPr>
          </w:p>
        </w:tc>
      </w:tr>
      <w:tr w14:paraId="1F2B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4983BCDD">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14:paraId="3BE4F233">
            <w:pPr>
              <w:pStyle w:val="12"/>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14:paraId="721F4F9E">
            <w:pP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3D75DAA">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14:paraId="1F86082B">
            <w:pPr>
              <w:rPr>
                <w:rFonts w:ascii="宋体" w:hAnsi="宋体" w:cs="宋体"/>
                <w:color w:val="000000"/>
                <w:szCs w:val="21"/>
              </w:rPr>
            </w:pPr>
          </w:p>
        </w:tc>
      </w:tr>
      <w:tr w14:paraId="1DCC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14:paraId="3803F13F">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14:paraId="388F0166">
            <w:pPr>
              <w:rPr>
                <w:rFonts w:ascii="宋体" w:hAnsi="宋体"/>
                <w:i/>
                <w:color w:val="000000"/>
                <w:szCs w:val="21"/>
                <w:u w:val="single"/>
              </w:rPr>
            </w:pPr>
          </w:p>
        </w:tc>
        <w:tc>
          <w:tcPr>
            <w:tcW w:w="3826" w:type="dxa"/>
            <w:tcBorders>
              <w:top w:val="single" w:color="auto" w:sz="4" w:space="0"/>
              <w:left w:val="single" w:color="auto" w:sz="4" w:space="0"/>
              <w:bottom w:val="single" w:color="auto" w:sz="4" w:space="0"/>
              <w:right w:val="single" w:color="auto" w:sz="4" w:space="0"/>
            </w:tcBorders>
            <w:noWrap/>
            <w:vAlign w:val="center"/>
          </w:tcPr>
          <w:p w14:paraId="298E369A">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noWrap/>
            <w:vAlign w:val="center"/>
          </w:tcPr>
          <w:p w14:paraId="023386E1">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14:paraId="55D710DE">
            <w:pPr>
              <w:rPr>
                <w:rFonts w:ascii="宋体" w:hAnsi="宋体" w:cs="宋体"/>
                <w:color w:val="000000"/>
                <w:szCs w:val="21"/>
              </w:rPr>
            </w:pPr>
          </w:p>
        </w:tc>
      </w:tr>
      <w:tr w14:paraId="0B86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23" w:type="dxa"/>
            <w:gridSpan w:val="5"/>
            <w:tcBorders>
              <w:top w:val="single" w:color="auto" w:sz="4" w:space="0"/>
              <w:left w:val="single" w:color="auto" w:sz="4" w:space="0"/>
              <w:bottom w:val="single" w:color="auto" w:sz="4" w:space="0"/>
              <w:right w:val="single" w:color="auto" w:sz="4" w:space="0"/>
            </w:tcBorders>
            <w:noWrap/>
            <w:vAlign w:val="center"/>
          </w:tcPr>
          <w:p w14:paraId="1FA4B0F1">
            <w:pPr>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r>
              <w:rPr>
                <w:rFonts w:hint="eastAsia" w:ascii="宋体" w:hAnsi="宋体"/>
                <w:b/>
                <w:color w:val="000000"/>
                <w:szCs w:val="21"/>
                <w:u w:val="single"/>
              </w:rPr>
              <w:tab/>
            </w:r>
          </w:p>
          <w:p w14:paraId="0AC42E27">
            <w:pPr>
              <w:rPr>
                <w:rFonts w:ascii="宋体" w:hAnsi="宋体" w:cs="宋体"/>
                <w:color w:val="000000"/>
                <w:szCs w:val="21"/>
              </w:rPr>
            </w:pPr>
            <w:r>
              <w:rPr>
                <w:rFonts w:hint="eastAsia" w:ascii="宋体" w:hAnsi="宋体"/>
                <w:b/>
                <w:color w:val="000000"/>
                <w:szCs w:val="21"/>
                <w:u w:val="single"/>
              </w:rPr>
              <w:t xml:space="preserve">供应商(盖单位章)：                                                     </w:t>
            </w:r>
          </w:p>
        </w:tc>
      </w:tr>
      <w:tr w14:paraId="5347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23" w:type="dxa"/>
            <w:gridSpan w:val="5"/>
            <w:tcBorders>
              <w:top w:val="single" w:color="auto" w:sz="4" w:space="0"/>
              <w:left w:val="single" w:color="auto" w:sz="4" w:space="0"/>
              <w:bottom w:val="single" w:color="auto" w:sz="4" w:space="0"/>
              <w:right w:val="single" w:color="auto" w:sz="4" w:space="0"/>
            </w:tcBorders>
            <w:noWrap/>
            <w:vAlign w:val="center"/>
          </w:tcPr>
          <w:p w14:paraId="456F31B0">
            <w:pPr>
              <w:rPr>
                <w:rFonts w:ascii="宋体" w:hAnsi="宋体"/>
                <w:color w:val="000000"/>
                <w:szCs w:val="21"/>
              </w:rPr>
            </w:pPr>
            <w:r>
              <w:rPr>
                <w:rFonts w:hint="eastAsia" w:ascii="宋体" w:hAnsi="宋体"/>
                <w:color w:val="000000"/>
                <w:szCs w:val="21"/>
              </w:rPr>
              <w:t>注：</w:t>
            </w:r>
          </w:p>
          <w:p w14:paraId="27C24F1E">
            <w:pPr>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供应商需按采购文件中对采购需求文档中的主要要求进行应答。</w:t>
            </w:r>
          </w:p>
          <w:p w14:paraId="5DCB6693">
            <w:pPr>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用“满足/不满足/”响应来表明该要求是否被满足。</w:t>
            </w:r>
          </w:p>
        </w:tc>
      </w:tr>
    </w:tbl>
    <w:p w14:paraId="4FEB69B6">
      <w:pPr>
        <w:pStyle w:val="9"/>
        <w:jc w:val="center"/>
        <w:rPr>
          <w:rFonts w:ascii="宋体" w:hAnsi="宋体" w:eastAsia="宋体" w:cs="宋体"/>
          <w:b/>
          <w:kern w:val="2"/>
          <w:szCs w:val="28"/>
        </w:rPr>
      </w:pPr>
    </w:p>
    <w:p w14:paraId="5FAC7C5A">
      <w:pPr>
        <w:spacing w:line="540" w:lineRule="atLeast"/>
        <w:jc w:val="center"/>
        <w:outlineLvl w:val="1"/>
        <w:rPr>
          <w:rFonts w:ascii="宋体" w:hAnsi="宋体"/>
          <w:b/>
          <w:color w:val="000000"/>
          <w:sz w:val="28"/>
          <w:szCs w:val="28"/>
        </w:rPr>
      </w:pPr>
      <w:r>
        <w:rPr>
          <w:rFonts w:hint="eastAsia" w:ascii="宋体" w:hAnsi="宋体"/>
          <w:b/>
          <w:color w:val="000000"/>
          <w:sz w:val="28"/>
          <w:szCs w:val="28"/>
        </w:rPr>
        <w:t>六、商务条款偏离表（格式）</w:t>
      </w:r>
    </w:p>
    <w:p w14:paraId="75EEE9C0">
      <w:pPr>
        <w:rPr>
          <w:rFonts w:ascii="宋体" w:hAnsi="宋体" w:cs="宋体"/>
          <w:b/>
          <w:color w:val="000000"/>
          <w:szCs w:val="21"/>
        </w:rPr>
      </w:pPr>
    </w:p>
    <w:p w14:paraId="33D6C8F4">
      <w:pPr>
        <w:spacing w:line="360" w:lineRule="auto"/>
        <w:rPr>
          <w:rFonts w:ascii="宋体" w:hAnsi="宋体"/>
          <w:b/>
          <w:color w:val="000000"/>
          <w:sz w:val="24"/>
        </w:rPr>
      </w:pPr>
    </w:p>
    <w:p w14:paraId="51170142">
      <w:pPr>
        <w:spacing w:line="360" w:lineRule="auto"/>
        <w:jc w:val="center"/>
        <w:rPr>
          <w:rFonts w:ascii="宋体" w:hAnsi="宋体"/>
          <w:b/>
          <w:color w:val="000000"/>
          <w:szCs w:val="21"/>
        </w:rPr>
      </w:pPr>
    </w:p>
    <w:p w14:paraId="50525F74">
      <w:pPr>
        <w:pStyle w:val="25"/>
        <w:ind w:firstLine="210"/>
      </w:pPr>
    </w:p>
    <w:p w14:paraId="317E1914"/>
    <w:p w14:paraId="3C1B5D79">
      <w:pPr>
        <w:spacing w:line="540" w:lineRule="atLeast"/>
        <w:jc w:val="center"/>
        <w:outlineLvl w:val="1"/>
        <w:rPr>
          <w:rFonts w:ascii="宋体" w:hAnsi="宋体"/>
          <w:b/>
          <w:color w:val="000000"/>
          <w:sz w:val="28"/>
          <w:szCs w:val="28"/>
        </w:rPr>
      </w:pPr>
      <w:r>
        <w:rPr>
          <w:rFonts w:hint="eastAsia" w:ascii="宋体" w:hAnsi="宋体"/>
          <w:b/>
          <w:color w:val="000000"/>
          <w:sz w:val="28"/>
          <w:szCs w:val="28"/>
        </w:rPr>
        <w:t>七、投标（响应）分项报价表（格式）</w:t>
      </w:r>
    </w:p>
    <w:tbl>
      <w:tblPr>
        <w:tblStyle w:val="27"/>
        <w:tblpPr w:leftFromText="180" w:rightFromText="180" w:vertAnchor="text" w:horzAnchor="margin" w:tblpXSpec="center" w:tblpY="318"/>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2835"/>
        <w:gridCol w:w="851"/>
        <w:gridCol w:w="850"/>
        <w:gridCol w:w="851"/>
        <w:gridCol w:w="919"/>
      </w:tblGrid>
      <w:tr w14:paraId="26BF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14:paraId="10E412CE">
            <w:pPr>
              <w:spacing w:line="360" w:lineRule="auto"/>
              <w:jc w:val="center"/>
              <w:rPr>
                <w:rFonts w:ascii="宋体" w:hAnsi="宋体" w:cs="宋体"/>
                <w:szCs w:val="21"/>
              </w:rPr>
            </w:pPr>
            <w:r>
              <w:rPr>
                <w:rFonts w:hint="eastAsia" w:ascii="宋体" w:hAnsi="宋体" w:cs="宋体"/>
                <w:szCs w:val="21"/>
              </w:rPr>
              <w:t>项目编号</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14:paraId="358CC6E4">
            <w:pPr>
              <w:spacing w:line="360" w:lineRule="auto"/>
              <w:rPr>
                <w:rFonts w:ascii="宋体" w:hAnsi="宋体" w:cs="宋体"/>
                <w:szCs w:val="21"/>
              </w:rPr>
            </w:pPr>
          </w:p>
        </w:tc>
      </w:tr>
      <w:tr w14:paraId="0D3A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14:paraId="007A01D1">
            <w:pPr>
              <w:spacing w:line="360" w:lineRule="auto"/>
              <w:jc w:val="center"/>
              <w:rPr>
                <w:rFonts w:ascii="宋体" w:hAnsi="宋体" w:cs="宋体"/>
                <w:szCs w:val="21"/>
              </w:rPr>
            </w:pPr>
            <w:r>
              <w:rPr>
                <w:rFonts w:hint="eastAsia" w:ascii="宋体" w:hAnsi="宋体" w:cs="宋体"/>
                <w:szCs w:val="21"/>
              </w:rPr>
              <w:t>项目名称</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14:paraId="300946B4">
            <w:pPr>
              <w:spacing w:line="360" w:lineRule="auto"/>
              <w:rPr>
                <w:rFonts w:ascii="宋体" w:hAnsi="宋体" w:cs="宋体"/>
                <w:szCs w:val="21"/>
              </w:rPr>
            </w:pPr>
          </w:p>
        </w:tc>
      </w:tr>
      <w:tr w14:paraId="6EBC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75" w:type="dxa"/>
            <w:tcBorders>
              <w:top w:val="single" w:color="auto" w:sz="4" w:space="0"/>
              <w:left w:val="single" w:color="auto" w:sz="4" w:space="0"/>
              <w:right w:val="single" w:color="auto" w:sz="4" w:space="0"/>
            </w:tcBorders>
            <w:noWrap/>
            <w:vAlign w:val="center"/>
          </w:tcPr>
          <w:p w14:paraId="587D02B9">
            <w:pPr>
              <w:jc w:val="center"/>
              <w:rPr>
                <w:rFonts w:ascii="宋体" w:hAnsi="宋体"/>
                <w:szCs w:val="21"/>
              </w:rPr>
            </w:pPr>
            <w:r>
              <w:rPr>
                <w:rFonts w:hint="eastAsia" w:ascii="宋体" w:hAnsi="宋体"/>
                <w:szCs w:val="21"/>
              </w:rPr>
              <w:t>序号</w:t>
            </w:r>
          </w:p>
        </w:tc>
        <w:tc>
          <w:tcPr>
            <w:tcW w:w="2977" w:type="dxa"/>
            <w:tcBorders>
              <w:top w:val="single" w:color="auto" w:sz="4" w:space="0"/>
              <w:left w:val="single" w:color="auto" w:sz="4" w:space="0"/>
              <w:right w:val="single" w:color="auto" w:sz="4" w:space="0"/>
            </w:tcBorders>
            <w:noWrap/>
            <w:vAlign w:val="center"/>
          </w:tcPr>
          <w:p w14:paraId="5DD141F6">
            <w:pPr>
              <w:jc w:val="center"/>
              <w:rPr>
                <w:rFonts w:ascii="宋体" w:hAnsi="宋体"/>
                <w:szCs w:val="21"/>
              </w:rPr>
            </w:pPr>
            <w:r>
              <w:rPr>
                <w:rFonts w:hint="eastAsia" w:ascii="宋体" w:hAnsi="宋体"/>
                <w:szCs w:val="21"/>
              </w:rPr>
              <w:t>分项名称</w:t>
            </w:r>
          </w:p>
          <w:p w14:paraId="5EF0ACEE">
            <w:pPr>
              <w:jc w:val="center"/>
              <w:rPr>
                <w:rFonts w:ascii="宋体" w:hAnsi="宋体"/>
                <w:szCs w:val="21"/>
              </w:rPr>
            </w:pPr>
            <w:r>
              <w:rPr>
                <w:rFonts w:hint="eastAsia" w:ascii="宋体" w:hAnsi="宋体"/>
                <w:szCs w:val="21"/>
              </w:rPr>
              <w:t>（品目）</w:t>
            </w:r>
          </w:p>
        </w:tc>
        <w:tc>
          <w:tcPr>
            <w:tcW w:w="2835" w:type="dxa"/>
            <w:tcBorders>
              <w:top w:val="single" w:color="auto" w:sz="4" w:space="0"/>
              <w:left w:val="single" w:color="auto" w:sz="4" w:space="0"/>
              <w:right w:val="single" w:color="auto" w:sz="4" w:space="0"/>
            </w:tcBorders>
            <w:noWrap/>
            <w:vAlign w:val="center"/>
          </w:tcPr>
          <w:p w14:paraId="4571969A">
            <w:pPr>
              <w:jc w:val="center"/>
              <w:rPr>
                <w:rFonts w:ascii="宋体" w:hAnsi="宋体"/>
                <w:szCs w:val="21"/>
              </w:rPr>
            </w:pPr>
            <w:r>
              <w:rPr>
                <w:rFonts w:hint="eastAsia" w:ascii="宋体" w:hAnsi="宋体"/>
                <w:szCs w:val="21"/>
              </w:rPr>
              <w:t>相关说明</w:t>
            </w:r>
          </w:p>
          <w:p w14:paraId="7ED26475">
            <w:pPr>
              <w:jc w:val="center"/>
              <w:rPr>
                <w:rFonts w:ascii="宋体" w:hAnsi="宋体"/>
                <w:szCs w:val="21"/>
              </w:rPr>
            </w:pPr>
            <w:r>
              <w:rPr>
                <w:rFonts w:hint="eastAsia" w:ascii="宋体" w:hAnsi="宋体"/>
                <w:szCs w:val="21"/>
              </w:rPr>
              <w:t>（服务中的有关说明等）</w:t>
            </w:r>
          </w:p>
        </w:tc>
        <w:tc>
          <w:tcPr>
            <w:tcW w:w="851" w:type="dxa"/>
            <w:tcBorders>
              <w:top w:val="single" w:color="auto" w:sz="4" w:space="0"/>
              <w:left w:val="single" w:color="auto" w:sz="4" w:space="0"/>
              <w:right w:val="single" w:color="auto" w:sz="4" w:space="0"/>
            </w:tcBorders>
            <w:noWrap/>
            <w:vAlign w:val="center"/>
          </w:tcPr>
          <w:p w14:paraId="23F01BC9">
            <w:pPr>
              <w:jc w:val="center"/>
              <w:rPr>
                <w:rFonts w:ascii="宋体" w:hAnsi="宋体"/>
                <w:szCs w:val="21"/>
              </w:rPr>
            </w:pPr>
            <w:r>
              <w:rPr>
                <w:rFonts w:hint="eastAsia" w:ascii="宋体" w:hAnsi="宋体"/>
                <w:szCs w:val="21"/>
              </w:rPr>
              <w:t>数量</w:t>
            </w:r>
          </w:p>
        </w:tc>
        <w:tc>
          <w:tcPr>
            <w:tcW w:w="850" w:type="dxa"/>
            <w:tcBorders>
              <w:top w:val="single" w:color="auto" w:sz="4" w:space="0"/>
              <w:left w:val="single" w:color="auto" w:sz="4" w:space="0"/>
              <w:right w:val="single" w:color="auto" w:sz="4" w:space="0"/>
            </w:tcBorders>
            <w:noWrap/>
            <w:vAlign w:val="center"/>
          </w:tcPr>
          <w:p w14:paraId="1279EFA6">
            <w:pPr>
              <w:jc w:val="center"/>
              <w:rPr>
                <w:rFonts w:ascii="宋体" w:hAnsi="宋体"/>
                <w:szCs w:val="21"/>
              </w:rPr>
            </w:pPr>
            <w:r>
              <w:rPr>
                <w:rFonts w:hint="eastAsia" w:ascii="宋体" w:hAnsi="宋体"/>
                <w:szCs w:val="21"/>
              </w:rPr>
              <w:t>单价</w:t>
            </w:r>
          </w:p>
        </w:tc>
        <w:tc>
          <w:tcPr>
            <w:tcW w:w="851" w:type="dxa"/>
            <w:tcBorders>
              <w:top w:val="single" w:color="auto" w:sz="4" w:space="0"/>
              <w:left w:val="single" w:color="auto" w:sz="4" w:space="0"/>
              <w:right w:val="single" w:color="auto" w:sz="4" w:space="0"/>
            </w:tcBorders>
            <w:noWrap/>
            <w:vAlign w:val="center"/>
          </w:tcPr>
          <w:p w14:paraId="2DF33D07">
            <w:pPr>
              <w:jc w:val="center"/>
              <w:rPr>
                <w:rFonts w:ascii="宋体" w:hAnsi="宋体"/>
                <w:szCs w:val="21"/>
              </w:rPr>
            </w:pPr>
            <w:r>
              <w:rPr>
                <w:rFonts w:hint="eastAsia" w:ascii="宋体" w:hAnsi="宋体"/>
                <w:szCs w:val="21"/>
              </w:rPr>
              <w:t>总价</w:t>
            </w:r>
          </w:p>
        </w:tc>
        <w:tc>
          <w:tcPr>
            <w:tcW w:w="919" w:type="dxa"/>
            <w:tcBorders>
              <w:left w:val="single" w:color="auto" w:sz="4" w:space="0"/>
              <w:right w:val="single" w:color="auto" w:sz="4" w:space="0"/>
            </w:tcBorders>
            <w:noWrap/>
            <w:vAlign w:val="center"/>
          </w:tcPr>
          <w:p w14:paraId="6B89D80E">
            <w:pPr>
              <w:jc w:val="center"/>
              <w:rPr>
                <w:rFonts w:ascii="宋体" w:hAnsi="宋体"/>
                <w:szCs w:val="21"/>
              </w:rPr>
            </w:pPr>
            <w:r>
              <w:rPr>
                <w:rFonts w:hint="eastAsia" w:ascii="宋体" w:hAnsi="宋体"/>
                <w:szCs w:val="21"/>
              </w:rPr>
              <w:t>备注</w:t>
            </w:r>
          </w:p>
        </w:tc>
      </w:tr>
      <w:tr w14:paraId="002C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852924E">
            <w:pPr>
              <w:rPr>
                <w:rFonts w:ascii="宋体" w:hAnsi="宋体"/>
                <w:i/>
                <w:szCs w:val="21"/>
              </w:rPr>
            </w:pPr>
            <w:r>
              <w:rPr>
                <w:rFonts w:hint="eastAsia" w:ascii="宋体" w:hAnsi="宋体"/>
                <w:i/>
                <w:szCs w:val="21"/>
              </w:rPr>
              <w:t>1</w:t>
            </w:r>
          </w:p>
        </w:tc>
        <w:tc>
          <w:tcPr>
            <w:tcW w:w="2977" w:type="dxa"/>
            <w:tcBorders>
              <w:top w:val="single" w:color="auto" w:sz="4" w:space="0"/>
              <w:left w:val="single" w:color="auto" w:sz="4" w:space="0"/>
              <w:bottom w:val="single" w:color="auto" w:sz="4" w:space="0"/>
              <w:right w:val="single" w:color="auto" w:sz="4" w:space="0"/>
            </w:tcBorders>
            <w:noWrap/>
            <w:vAlign w:val="center"/>
          </w:tcPr>
          <w:p w14:paraId="6E02280A">
            <w:pPr>
              <w:jc w:val="left"/>
              <w:rPr>
                <w:rFonts w:ascii="宋体" w:hAnsi="宋体"/>
                <w:i/>
                <w:szCs w:val="21"/>
              </w:rPr>
            </w:pPr>
            <w:r>
              <w:rPr>
                <w:rFonts w:hint="eastAsia" w:ascii="宋体" w:hAnsi="宋体"/>
                <w:i/>
                <w:szCs w:val="21"/>
              </w:rPr>
              <w:t>分部分项工程</w:t>
            </w:r>
          </w:p>
        </w:tc>
        <w:tc>
          <w:tcPr>
            <w:tcW w:w="2835" w:type="dxa"/>
            <w:tcBorders>
              <w:top w:val="single" w:color="auto" w:sz="4" w:space="0"/>
              <w:left w:val="single" w:color="auto" w:sz="4" w:space="0"/>
              <w:bottom w:val="single" w:color="auto" w:sz="4" w:space="0"/>
              <w:right w:val="single" w:color="auto" w:sz="4" w:space="0"/>
            </w:tcBorders>
            <w:noWrap/>
            <w:vAlign w:val="center"/>
          </w:tcPr>
          <w:p w14:paraId="0C0010E2">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F0B95AB">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DC4ECDA">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8789B2B">
            <w:pPr>
              <w:rPr>
                <w:i/>
                <w:u w:val="single"/>
              </w:rPr>
            </w:pPr>
          </w:p>
        </w:tc>
        <w:tc>
          <w:tcPr>
            <w:tcW w:w="919" w:type="dxa"/>
            <w:tcBorders>
              <w:left w:val="single" w:color="auto" w:sz="4" w:space="0"/>
              <w:right w:val="single" w:color="auto" w:sz="4" w:space="0"/>
            </w:tcBorders>
            <w:noWrap/>
            <w:vAlign w:val="center"/>
          </w:tcPr>
          <w:p w14:paraId="6BCE7582">
            <w:pPr>
              <w:rPr>
                <w:i/>
                <w:u w:val="single"/>
              </w:rPr>
            </w:pPr>
          </w:p>
        </w:tc>
      </w:tr>
      <w:tr w14:paraId="169D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7F592EC">
            <w:pPr>
              <w:rPr>
                <w:rFonts w:ascii="宋体" w:hAnsi="宋体"/>
                <w:i/>
                <w:szCs w:val="21"/>
              </w:rPr>
            </w:pPr>
            <w:r>
              <w:rPr>
                <w:rFonts w:hint="eastAsia" w:ascii="宋体" w:hAnsi="宋体"/>
                <w:i/>
                <w:szCs w:val="21"/>
              </w:rPr>
              <w:t>1.1</w:t>
            </w:r>
          </w:p>
        </w:tc>
        <w:tc>
          <w:tcPr>
            <w:tcW w:w="2977" w:type="dxa"/>
            <w:tcBorders>
              <w:top w:val="single" w:color="auto" w:sz="4" w:space="0"/>
              <w:left w:val="single" w:color="auto" w:sz="4" w:space="0"/>
              <w:bottom w:val="single" w:color="auto" w:sz="4" w:space="0"/>
              <w:right w:val="single" w:color="auto" w:sz="4" w:space="0"/>
            </w:tcBorders>
            <w:noWrap/>
            <w:vAlign w:val="center"/>
          </w:tcPr>
          <w:p w14:paraId="015F7454">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14:paraId="7207252E">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C7B62B9">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3617815">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FA1DF3C">
            <w:pPr>
              <w:rPr>
                <w:i/>
                <w:u w:val="single"/>
              </w:rPr>
            </w:pPr>
          </w:p>
        </w:tc>
        <w:tc>
          <w:tcPr>
            <w:tcW w:w="919" w:type="dxa"/>
            <w:tcBorders>
              <w:left w:val="single" w:color="auto" w:sz="4" w:space="0"/>
              <w:right w:val="single" w:color="auto" w:sz="4" w:space="0"/>
            </w:tcBorders>
            <w:noWrap/>
            <w:vAlign w:val="center"/>
          </w:tcPr>
          <w:p w14:paraId="266C6CF8">
            <w:pPr>
              <w:rPr>
                <w:i/>
                <w:u w:val="single"/>
              </w:rPr>
            </w:pPr>
          </w:p>
        </w:tc>
      </w:tr>
      <w:tr w14:paraId="525A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1C12A6E">
            <w:pPr>
              <w:rPr>
                <w:rFonts w:ascii="宋体" w:hAnsi="宋体"/>
                <w:i/>
                <w:szCs w:val="21"/>
              </w:rPr>
            </w:pPr>
            <w:r>
              <w:rPr>
                <w:rFonts w:hint="eastAsia" w:ascii="宋体" w:hAnsi="宋体"/>
                <w:i/>
                <w:szCs w:val="21"/>
              </w:rPr>
              <w:t>1.2</w:t>
            </w:r>
          </w:p>
        </w:tc>
        <w:tc>
          <w:tcPr>
            <w:tcW w:w="2977" w:type="dxa"/>
            <w:tcBorders>
              <w:top w:val="single" w:color="auto" w:sz="4" w:space="0"/>
              <w:left w:val="single" w:color="auto" w:sz="4" w:space="0"/>
              <w:bottom w:val="single" w:color="auto" w:sz="4" w:space="0"/>
              <w:right w:val="single" w:color="auto" w:sz="4" w:space="0"/>
            </w:tcBorders>
            <w:noWrap/>
            <w:vAlign w:val="center"/>
          </w:tcPr>
          <w:p w14:paraId="32FFAFB8">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14:paraId="571AEBCB">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5E6A559">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C96D853">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8D2D9C2">
            <w:pPr>
              <w:rPr>
                <w:i/>
                <w:u w:val="single"/>
              </w:rPr>
            </w:pPr>
          </w:p>
        </w:tc>
        <w:tc>
          <w:tcPr>
            <w:tcW w:w="919" w:type="dxa"/>
            <w:tcBorders>
              <w:left w:val="single" w:color="auto" w:sz="4" w:space="0"/>
              <w:right w:val="single" w:color="auto" w:sz="4" w:space="0"/>
            </w:tcBorders>
            <w:noWrap/>
            <w:vAlign w:val="center"/>
          </w:tcPr>
          <w:p w14:paraId="17852123">
            <w:pPr>
              <w:rPr>
                <w:i/>
                <w:u w:val="single"/>
              </w:rPr>
            </w:pPr>
          </w:p>
        </w:tc>
      </w:tr>
      <w:tr w14:paraId="7887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A589F21">
            <w:pPr>
              <w:rPr>
                <w:rFonts w:ascii="宋体" w:hAnsi="宋体"/>
                <w:i/>
                <w:szCs w:val="21"/>
              </w:rPr>
            </w:pPr>
            <w:r>
              <w:rPr>
                <w:rFonts w:hint="eastAsia" w:ascii="宋体" w:hAnsi="宋体"/>
                <w:i/>
                <w:szCs w:val="21"/>
              </w:rPr>
              <w:t>1.3</w:t>
            </w:r>
          </w:p>
        </w:tc>
        <w:tc>
          <w:tcPr>
            <w:tcW w:w="2977" w:type="dxa"/>
            <w:tcBorders>
              <w:top w:val="single" w:color="auto" w:sz="4" w:space="0"/>
              <w:left w:val="single" w:color="auto" w:sz="4" w:space="0"/>
              <w:bottom w:val="single" w:color="auto" w:sz="4" w:space="0"/>
              <w:right w:val="single" w:color="auto" w:sz="4" w:space="0"/>
            </w:tcBorders>
            <w:noWrap/>
            <w:vAlign w:val="center"/>
          </w:tcPr>
          <w:p w14:paraId="5EE9EB01">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14:paraId="06B08663">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A83A1B3">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6799FAB">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5571E1E">
            <w:pPr>
              <w:rPr>
                <w:i/>
                <w:u w:val="single"/>
              </w:rPr>
            </w:pPr>
          </w:p>
        </w:tc>
        <w:tc>
          <w:tcPr>
            <w:tcW w:w="919" w:type="dxa"/>
            <w:tcBorders>
              <w:left w:val="single" w:color="auto" w:sz="4" w:space="0"/>
              <w:right w:val="single" w:color="auto" w:sz="4" w:space="0"/>
            </w:tcBorders>
            <w:noWrap/>
            <w:vAlign w:val="center"/>
          </w:tcPr>
          <w:p w14:paraId="532E5016">
            <w:pPr>
              <w:rPr>
                <w:i/>
                <w:u w:val="single"/>
              </w:rPr>
            </w:pPr>
          </w:p>
        </w:tc>
      </w:tr>
      <w:tr w14:paraId="24F4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022EC17">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14:paraId="0EAD6536">
            <w:pPr>
              <w:jc w:val="center"/>
              <w:rPr>
                <w:rFonts w:ascii="宋体" w:hAnsi="宋体"/>
                <w:szCs w:val="21"/>
              </w:rPr>
            </w:pPr>
          </w:p>
        </w:tc>
        <w:tc>
          <w:tcPr>
            <w:tcW w:w="2835" w:type="dxa"/>
            <w:tcBorders>
              <w:left w:val="single" w:color="auto" w:sz="4" w:space="0"/>
              <w:right w:val="single" w:color="auto" w:sz="4" w:space="0"/>
            </w:tcBorders>
            <w:noWrap/>
            <w:vAlign w:val="center"/>
          </w:tcPr>
          <w:p w14:paraId="57E43EA4">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505F76C">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2BAD6242">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85F2F87">
            <w:pPr>
              <w:rPr>
                <w:i/>
                <w:u w:val="single"/>
              </w:rPr>
            </w:pPr>
          </w:p>
        </w:tc>
        <w:tc>
          <w:tcPr>
            <w:tcW w:w="919" w:type="dxa"/>
            <w:tcBorders>
              <w:left w:val="single" w:color="auto" w:sz="4" w:space="0"/>
              <w:right w:val="single" w:color="auto" w:sz="4" w:space="0"/>
            </w:tcBorders>
            <w:noWrap/>
            <w:vAlign w:val="center"/>
          </w:tcPr>
          <w:p w14:paraId="0DA9FFF2">
            <w:pPr>
              <w:rPr>
                <w:i/>
                <w:u w:val="single"/>
              </w:rPr>
            </w:pPr>
          </w:p>
        </w:tc>
      </w:tr>
      <w:tr w14:paraId="604A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2FED042">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14:paraId="79F16256">
            <w:pPr>
              <w:rPr>
                <w:rFonts w:ascii="宋体" w:hAnsi="宋体"/>
                <w:i/>
                <w:szCs w:val="21"/>
              </w:rPr>
            </w:pPr>
          </w:p>
        </w:tc>
        <w:tc>
          <w:tcPr>
            <w:tcW w:w="2835" w:type="dxa"/>
            <w:tcBorders>
              <w:left w:val="single" w:color="auto" w:sz="4" w:space="0"/>
              <w:right w:val="single" w:color="auto" w:sz="4" w:space="0"/>
            </w:tcBorders>
            <w:noWrap/>
            <w:vAlign w:val="center"/>
          </w:tcPr>
          <w:p w14:paraId="0BBDAFEF">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E56E900">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67EC40C">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3BF33A1">
            <w:pPr>
              <w:rPr>
                <w:i/>
                <w:u w:val="single"/>
              </w:rPr>
            </w:pPr>
          </w:p>
        </w:tc>
        <w:tc>
          <w:tcPr>
            <w:tcW w:w="919" w:type="dxa"/>
            <w:tcBorders>
              <w:left w:val="single" w:color="auto" w:sz="4" w:space="0"/>
              <w:right w:val="single" w:color="auto" w:sz="4" w:space="0"/>
            </w:tcBorders>
            <w:noWrap/>
            <w:vAlign w:val="center"/>
          </w:tcPr>
          <w:p w14:paraId="7C2980F6">
            <w:pPr>
              <w:rPr>
                <w:i/>
                <w:u w:val="single"/>
              </w:rPr>
            </w:pPr>
          </w:p>
        </w:tc>
      </w:tr>
      <w:tr w14:paraId="2FFE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5C435A6">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14:paraId="6CFE39A6">
            <w:pPr>
              <w:rPr>
                <w:rFonts w:ascii="宋体" w:hAnsi="宋体"/>
                <w:i/>
                <w:szCs w:val="21"/>
              </w:rPr>
            </w:pPr>
          </w:p>
        </w:tc>
        <w:tc>
          <w:tcPr>
            <w:tcW w:w="2835" w:type="dxa"/>
            <w:tcBorders>
              <w:left w:val="single" w:color="auto" w:sz="4" w:space="0"/>
              <w:right w:val="single" w:color="auto" w:sz="4" w:space="0"/>
            </w:tcBorders>
            <w:noWrap/>
            <w:vAlign w:val="center"/>
          </w:tcPr>
          <w:p w14:paraId="22383700">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5A9024F">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DB9AA1F">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E786150">
            <w:pPr>
              <w:rPr>
                <w:i/>
                <w:u w:val="single"/>
              </w:rPr>
            </w:pPr>
          </w:p>
        </w:tc>
        <w:tc>
          <w:tcPr>
            <w:tcW w:w="919" w:type="dxa"/>
            <w:tcBorders>
              <w:left w:val="single" w:color="auto" w:sz="4" w:space="0"/>
              <w:right w:val="single" w:color="auto" w:sz="4" w:space="0"/>
            </w:tcBorders>
            <w:noWrap/>
            <w:vAlign w:val="center"/>
          </w:tcPr>
          <w:p w14:paraId="6D54DFA4">
            <w:pPr>
              <w:rPr>
                <w:i/>
                <w:u w:val="single"/>
              </w:rPr>
            </w:pPr>
          </w:p>
        </w:tc>
      </w:tr>
      <w:tr w14:paraId="39B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643DEF0">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14:paraId="1E4B35A3">
            <w:pPr>
              <w:rPr>
                <w:rFonts w:ascii="宋体" w:hAnsi="宋体"/>
                <w:i/>
                <w:szCs w:val="21"/>
              </w:rPr>
            </w:pPr>
          </w:p>
        </w:tc>
        <w:tc>
          <w:tcPr>
            <w:tcW w:w="2835" w:type="dxa"/>
            <w:tcBorders>
              <w:left w:val="single" w:color="auto" w:sz="4" w:space="0"/>
              <w:right w:val="single" w:color="auto" w:sz="4" w:space="0"/>
            </w:tcBorders>
            <w:noWrap/>
            <w:vAlign w:val="center"/>
          </w:tcPr>
          <w:p w14:paraId="37FE28C2">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E718412">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67C052E">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FD74CDA">
            <w:pPr>
              <w:rPr>
                <w:i/>
                <w:u w:val="single"/>
              </w:rPr>
            </w:pPr>
          </w:p>
        </w:tc>
        <w:tc>
          <w:tcPr>
            <w:tcW w:w="919" w:type="dxa"/>
            <w:tcBorders>
              <w:left w:val="single" w:color="auto" w:sz="4" w:space="0"/>
              <w:right w:val="single" w:color="auto" w:sz="4" w:space="0"/>
            </w:tcBorders>
            <w:noWrap/>
            <w:vAlign w:val="center"/>
          </w:tcPr>
          <w:p w14:paraId="2C10A93F">
            <w:pPr>
              <w:rPr>
                <w:i/>
                <w:u w:val="single"/>
              </w:rPr>
            </w:pPr>
          </w:p>
        </w:tc>
      </w:tr>
      <w:tr w14:paraId="68B8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B35E845">
            <w:pPr>
              <w:rPr>
                <w:rFonts w:ascii="宋体" w:hAnsi="宋体"/>
                <w:i/>
                <w:szCs w:val="21"/>
              </w:rPr>
            </w:pPr>
            <w:r>
              <w:rPr>
                <w:rFonts w:hint="eastAsia" w:ascii="宋体" w:hAnsi="宋体"/>
                <w:i/>
                <w:szCs w:val="21"/>
              </w:rPr>
              <w:t>2</w:t>
            </w:r>
          </w:p>
        </w:tc>
        <w:tc>
          <w:tcPr>
            <w:tcW w:w="2977" w:type="dxa"/>
            <w:tcBorders>
              <w:top w:val="single" w:color="auto" w:sz="4" w:space="0"/>
              <w:left w:val="single" w:color="auto" w:sz="4" w:space="0"/>
              <w:bottom w:val="single" w:color="auto" w:sz="4" w:space="0"/>
              <w:right w:val="single" w:color="auto" w:sz="4" w:space="0"/>
            </w:tcBorders>
            <w:noWrap/>
            <w:vAlign w:val="center"/>
          </w:tcPr>
          <w:p w14:paraId="1ED6D90D">
            <w:pPr>
              <w:rPr>
                <w:rFonts w:ascii="宋体" w:hAnsi="宋体"/>
                <w:i/>
                <w:szCs w:val="21"/>
              </w:rPr>
            </w:pPr>
            <w:r>
              <w:rPr>
                <w:rFonts w:hint="eastAsia" w:ascii="宋体" w:hAnsi="宋体"/>
                <w:i/>
                <w:szCs w:val="21"/>
              </w:rPr>
              <w:t>措施项目</w:t>
            </w:r>
          </w:p>
        </w:tc>
        <w:tc>
          <w:tcPr>
            <w:tcW w:w="2835" w:type="dxa"/>
            <w:tcBorders>
              <w:left w:val="single" w:color="auto" w:sz="4" w:space="0"/>
              <w:right w:val="single" w:color="auto" w:sz="4" w:space="0"/>
            </w:tcBorders>
            <w:noWrap/>
            <w:vAlign w:val="center"/>
          </w:tcPr>
          <w:p w14:paraId="61770C2E">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191FA60">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BB5CBB3">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C0BAA2E">
            <w:pPr>
              <w:rPr>
                <w:i/>
                <w:u w:val="single"/>
              </w:rPr>
            </w:pPr>
          </w:p>
        </w:tc>
        <w:tc>
          <w:tcPr>
            <w:tcW w:w="919" w:type="dxa"/>
            <w:tcBorders>
              <w:left w:val="single" w:color="auto" w:sz="4" w:space="0"/>
              <w:right w:val="single" w:color="auto" w:sz="4" w:space="0"/>
            </w:tcBorders>
            <w:noWrap/>
            <w:vAlign w:val="center"/>
          </w:tcPr>
          <w:p w14:paraId="0A1B07F2">
            <w:pPr>
              <w:rPr>
                <w:i/>
                <w:u w:val="single"/>
              </w:rPr>
            </w:pPr>
          </w:p>
        </w:tc>
      </w:tr>
      <w:tr w14:paraId="6129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38989C7">
            <w:pPr>
              <w:rPr>
                <w:rFonts w:ascii="宋体" w:hAnsi="宋体"/>
                <w:i/>
                <w:szCs w:val="21"/>
              </w:rPr>
            </w:pPr>
            <w:r>
              <w:rPr>
                <w:rFonts w:hint="eastAsia" w:ascii="宋体" w:hAnsi="宋体"/>
                <w:i/>
                <w:szCs w:val="21"/>
              </w:rPr>
              <w:t>2.1</w:t>
            </w:r>
          </w:p>
        </w:tc>
        <w:tc>
          <w:tcPr>
            <w:tcW w:w="2977" w:type="dxa"/>
            <w:tcBorders>
              <w:top w:val="single" w:color="auto" w:sz="4" w:space="0"/>
              <w:left w:val="single" w:color="auto" w:sz="4" w:space="0"/>
              <w:bottom w:val="single" w:color="auto" w:sz="4" w:space="0"/>
              <w:right w:val="single" w:color="auto" w:sz="4" w:space="0"/>
            </w:tcBorders>
            <w:noWrap/>
            <w:vAlign w:val="center"/>
          </w:tcPr>
          <w:p w14:paraId="1D94D9CF">
            <w:pPr>
              <w:rPr>
                <w:rFonts w:ascii="宋体" w:hAnsi="宋体"/>
                <w:i/>
                <w:szCs w:val="21"/>
              </w:rPr>
            </w:pPr>
            <w:r>
              <w:rPr>
                <w:rFonts w:hint="eastAsia" w:ascii="宋体" w:hAnsi="宋体"/>
                <w:i/>
                <w:szCs w:val="21"/>
              </w:rPr>
              <w:t>其中：安全文明施工费</w:t>
            </w:r>
          </w:p>
        </w:tc>
        <w:tc>
          <w:tcPr>
            <w:tcW w:w="2835" w:type="dxa"/>
            <w:tcBorders>
              <w:left w:val="single" w:color="auto" w:sz="4" w:space="0"/>
              <w:right w:val="single" w:color="auto" w:sz="4" w:space="0"/>
            </w:tcBorders>
            <w:noWrap/>
            <w:vAlign w:val="center"/>
          </w:tcPr>
          <w:p w14:paraId="014C9334">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C1D6A25">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2FBA0D3">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E3C7154">
            <w:pPr>
              <w:rPr>
                <w:i/>
                <w:u w:val="single"/>
              </w:rPr>
            </w:pPr>
          </w:p>
        </w:tc>
        <w:tc>
          <w:tcPr>
            <w:tcW w:w="919" w:type="dxa"/>
            <w:tcBorders>
              <w:left w:val="single" w:color="auto" w:sz="4" w:space="0"/>
              <w:right w:val="single" w:color="auto" w:sz="4" w:space="0"/>
            </w:tcBorders>
            <w:noWrap/>
            <w:vAlign w:val="center"/>
          </w:tcPr>
          <w:p w14:paraId="67297592">
            <w:pPr>
              <w:rPr>
                <w:i/>
                <w:u w:val="single"/>
              </w:rPr>
            </w:pPr>
          </w:p>
        </w:tc>
      </w:tr>
      <w:tr w14:paraId="4A9B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8B3A744">
            <w:pPr>
              <w:rPr>
                <w:rFonts w:ascii="宋体" w:hAnsi="宋体"/>
                <w:i/>
                <w:szCs w:val="21"/>
              </w:rPr>
            </w:pPr>
            <w:r>
              <w:rPr>
                <w:rFonts w:hint="eastAsia" w:ascii="宋体" w:hAnsi="宋体"/>
                <w:i/>
                <w:szCs w:val="21"/>
              </w:rPr>
              <w:t>3</w:t>
            </w:r>
          </w:p>
        </w:tc>
        <w:tc>
          <w:tcPr>
            <w:tcW w:w="2977" w:type="dxa"/>
            <w:tcBorders>
              <w:top w:val="single" w:color="auto" w:sz="4" w:space="0"/>
              <w:left w:val="single" w:color="auto" w:sz="4" w:space="0"/>
              <w:bottom w:val="single" w:color="auto" w:sz="4" w:space="0"/>
              <w:right w:val="single" w:color="auto" w:sz="4" w:space="0"/>
            </w:tcBorders>
            <w:noWrap/>
            <w:vAlign w:val="center"/>
          </w:tcPr>
          <w:p w14:paraId="41704419">
            <w:pPr>
              <w:rPr>
                <w:rFonts w:ascii="宋体" w:hAnsi="宋体"/>
                <w:i/>
                <w:szCs w:val="21"/>
              </w:rPr>
            </w:pPr>
            <w:r>
              <w:rPr>
                <w:rFonts w:hint="eastAsia" w:ascii="宋体" w:hAnsi="宋体"/>
                <w:i/>
                <w:szCs w:val="21"/>
              </w:rPr>
              <w:t>其他项目</w:t>
            </w:r>
          </w:p>
        </w:tc>
        <w:tc>
          <w:tcPr>
            <w:tcW w:w="2835" w:type="dxa"/>
            <w:tcBorders>
              <w:left w:val="single" w:color="auto" w:sz="4" w:space="0"/>
              <w:right w:val="single" w:color="auto" w:sz="4" w:space="0"/>
            </w:tcBorders>
            <w:noWrap/>
            <w:vAlign w:val="center"/>
          </w:tcPr>
          <w:p w14:paraId="162A700C">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DCEBFA3">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772AE54">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52DB1EF">
            <w:pPr>
              <w:rPr>
                <w:i/>
                <w:u w:val="single"/>
              </w:rPr>
            </w:pPr>
          </w:p>
        </w:tc>
        <w:tc>
          <w:tcPr>
            <w:tcW w:w="919" w:type="dxa"/>
            <w:tcBorders>
              <w:left w:val="single" w:color="auto" w:sz="4" w:space="0"/>
              <w:right w:val="single" w:color="auto" w:sz="4" w:space="0"/>
            </w:tcBorders>
            <w:noWrap/>
            <w:vAlign w:val="center"/>
          </w:tcPr>
          <w:p w14:paraId="2CDDA60D">
            <w:pPr>
              <w:rPr>
                <w:i/>
                <w:u w:val="single"/>
              </w:rPr>
            </w:pPr>
          </w:p>
        </w:tc>
      </w:tr>
      <w:tr w14:paraId="3E80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23CD925">
            <w:pPr>
              <w:rPr>
                <w:rFonts w:ascii="宋体" w:hAnsi="宋体"/>
                <w:i/>
                <w:szCs w:val="21"/>
              </w:rPr>
            </w:pPr>
            <w:r>
              <w:rPr>
                <w:rFonts w:hint="eastAsia" w:ascii="宋体" w:hAnsi="宋体"/>
                <w:i/>
                <w:szCs w:val="21"/>
              </w:rPr>
              <w:t>3.1</w:t>
            </w:r>
          </w:p>
        </w:tc>
        <w:tc>
          <w:tcPr>
            <w:tcW w:w="2977" w:type="dxa"/>
            <w:tcBorders>
              <w:top w:val="single" w:color="auto" w:sz="4" w:space="0"/>
              <w:left w:val="single" w:color="auto" w:sz="4" w:space="0"/>
              <w:bottom w:val="single" w:color="auto" w:sz="4" w:space="0"/>
              <w:right w:val="single" w:color="auto" w:sz="4" w:space="0"/>
            </w:tcBorders>
            <w:noWrap/>
            <w:vAlign w:val="center"/>
          </w:tcPr>
          <w:p w14:paraId="61B54B2A">
            <w:pPr>
              <w:rPr>
                <w:rFonts w:ascii="宋体" w:hAnsi="宋体"/>
                <w:i/>
                <w:szCs w:val="21"/>
              </w:rPr>
            </w:pPr>
            <w:r>
              <w:rPr>
                <w:rFonts w:hint="eastAsia" w:ascii="宋体" w:hAnsi="宋体"/>
                <w:i/>
                <w:szCs w:val="21"/>
              </w:rPr>
              <w:t>其中：暂列金额</w:t>
            </w:r>
          </w:p>
        </w:tc>
        <w:tc>
          <w:tcPr>
            <w:tcW w:w="2835" w:type="dxa"/>
            <w:tcBorders>
              <w:left w:val="single" w:color="auto" w:sz="4" w:space="0"/>
              <w:right w:val="single" w:color="auto" w:sz="4" w:space="0"/>
            </w:tcBorders>
            <w:noWrap/>
            <w:vAlign w:val="center"/>
          </w:tcPr>
          <w:p w14:paraId="294F02C8">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94A702F">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3A7D832">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8290825">
            <w:pPr>
              <w:rPr>
                <w:i/>
                <w:u w:val="single"/>
              </w:rPr>
            </w:pPr>
          </w:p>
        </w:tc>
        <w:tc>
          <w:tcPr>
            <w:tcW w:w="919" w:type="dxa"/>
            <w:tcBorders>
              <w:left w:val="single" w:color="auto" w:sz="4" w:space="0"/>
              <w:right w:val="single" w:color="auto" w:sz="4" w:space="0"/>
            </w:tcBorders>
            <w:noWrap/>
            <w:vAlign w:val="center"/>
          </w:tcPr>
          <w:p w14:paraId="7FEC42BC">
            <w:pPr>
              <w:rPr>
                <w:i/>
                <w:u w:val="single"/>
              </w:rPr>
            </w:pPr>
          </w:p>
        </w:tc>
      </w:tr>
      <w:tr w14:paraId="516D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F416C7E">
            <w:pPr>
              <w:rPr>
                <w:rFonts w:ascii="宋体" w:hAnsi="宋体"/>
                <w:i/>
                <w:szCs w:val="21"/>
              </w:rPr>
            </w:pPr>
            <w:r>
              <w:rPr>
                <w:rFonts w:hint="eastAsia" w:ascii="宋体" w:hAnsi="宋体"/>
                <w:i/>
                <w:szCs w:val="21"/>
              </w:rPr>
              <w:t>3.2</w:t>
            </w:r>
          </w:p>
        </w:tc>
        <w:tc>
          <w:tcPr>
            <w:tcW w:w="2977" w:type="dxa"/>
            <w:tcBorders>
              <w:top w:val="single" w:color="auto" w:sz="4" w:space="0"/>
              <w:left w:val="single" w:color="auto" w:sz="4" w:space="0"/>
              <w:bottom w:val="single" w:color="auto" w:sz="4" w:space="0"/>
              <w:right w:val="single" w:color="auto" w:sz="4" w:space="0"/>
            </w:tcBorders>
            <w:noWrap/>
            <w:vAlign w:val="center"/>
          </w:tcPr>
          <w:p w14:paraId="3380007B">
            <w:pPr>
              <w:rPr>
                <w:rFonts w:ascii="宋体" w:hAnsi="宋体"/>
                <w:i/>
                <w:szCs w:val="21"/>
              </w:rPr>
            </w:pPr>
            <w:r>
              <w:rPr>
                <w:rFonts w:hint="eastAsia" w:ascii="宋体" w:hAnsi="宋体"/>
                <w:i/>
                <w:szCs w:val="21"/>
              </w:rPr>
              <w:t>其中：专业工程暂估价</w:t>
            </w:r>
          </w:p>
        </w:tc>
        <w:tc>
          <w:tcPr>
            <w:tcW w:w="2835" w:type="dxa"/>
            <w:tcBorders>
              <w:left w:val="single" w:color="auto" w:sz="4" w:space="0"/>
              <w:right w:val="single" w:color="auto" w:sz="4" w:space="0"/>
            </w:tcBorders>
            <w:noWrap/>
            <w:vAlign w:val="center"/>
          </w:tcPr>
          <w:p w14:paraId="2676E97A">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8956F8B">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CD9C007">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FA3CF00">
            <w:pPr>
              <w:rPr>
                <w:i/>
                <w:u w:val="single"/>
              </w:rPr>
            </w:pPr>
          </w:p>
        </w:tc>
        <w:tc>
          <w:tcPr>
            <w:tcW w:w="919" w:type="dxa"/>
            <w:tcBorders>
              <w:left w:val="single" w:color="auto" w:sz="4" w:space="0"/>
              <w:right w:val="single" w:color="auto" w:sz="4" w:space="0"/>
            </w:tcBorders>
            <w:noWrap/>
            <w:vAlign w:val="center"/>
          </w:tcPr>
          <w:p w14:paraId="4F3EEF90">
            <w:pPr>
              <w:rPr>
                <w:i/>
                <w:u w:val="single"/>
              </w:rPr>
            </w:pPr>
          </w:p>
        </w:tc>
      </w:tr>
      <w:tr w14:paraId="4182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5F33EA4">
            <w:pPr>
              <w:rPr>
                <w:rFonts w:ascii="宋体" w:hAnsi="宋体"/>
                <w:i/>
                <w:szCs w:val="21"/>
              </w:rPr>
            </w:pPr>
            <w:r>
              <w:rPr>
                <w:rFonts w:hint="eastAsia" w:ascii="宋体" w:hAnsi="宋体"/>
                <w:i/>
                <w:szCs w:val="21"/>
              </w:rPr>
              <w:t>3.3</w:t>
            </w:r>
          </w:p>
        </w:tc>
        <w:tc>
          <w:tcPr>
            <w:tcW w:w="2977" w:type="dxa"/>
            <w:tcBorders>
              <w:top w:val="single" w:color="auto" w:sz="4" w:space="0"/>
              <w:left w:val="single" w:color="auto" w:sz="4" w:space="0"/>
              <w:bottom w:val="single" w:color="auto" w:sz="4" w:space="0"/>
              <w:right w:val="single" w:color="auto" w:sz="4" w:space="0"/>
            </w:tcBorders>
            <w:noWrap/>
            <w:vAlign w:val="center"/>
          </w:tcPr>
          <w:p w14:paraId="587223D0">
            <w:pPr>
              <w:rPr>
                <w:rFonts w:ascii="宋体" w:hAnsi="宋体"/>
                <w:i/>
                <w:szCs w:val="21"/>
              </w:rPr>
            </w:pPr>
            <w:r>
              <w:rPr>
                <w:rFonts w:hint="eastAsia" w:ascii="宋体" w:hAnsi="宋体"/>
                <w:i/>
                <w:szCs w:val="21"/>
              </w:rPr>
              <w:t>其中：计日工</w:t>
            </w:r>
          </w:p>
        </w:tc>
        <w:tc>
          <w:tcPr>
            <w:tcW w:w="2835" w:type="dxa"/>
            <w:tcBorders>
              <w:left w:val="single" w:color="auto" w:sz="4" w:space="0"/>
              <w:right w:val="single" w:color="auto" w:sz="4" w:space="0"/>
            </w:tcBorders>
            <w:noWrap/>
            <w:vAlign w:val="center"/>
          </w:tcPr>
          <w:p w14:paraId="40EE84ED">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8BB1809">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4C8E48D">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82C7738">
            <w:pPr>
              <w:rPr>
                <w:i/>
                <w:u w:val="single"/>
              </w:rPr>
            </w:pPr>
          </w:p>
        </w:tc>
        <w:tc>
          <w:tcPr>
            <w:tcW w:w="919" w:type="dxa"/>
            <w:tcBorders>
              <w:left w:val="single" w:color="auto" w:sz="4" w:space="0"/>
              <w:right w:val="single" w:color="auto" w:sz="4" w:space="0"/>
            </w:tcBorders>
            <w:noWrap/>
            <w:vAlign w:val="center"/>
          </w:tcPr>
          <w:p w14:paraId="725351BC">
            <w:pPr>
              <w:rPr>
                <w:i/>
                <w:u w:val="single"/>
              </w:rPr>
            </w:pPr>
          </w:p>
        </w:tc>
      </w:tr>
      <w:tr w14:paraId="1BCD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BD7F333">
            <w:pPr>
              <w:rPr>
                <w:rFonts w:ascii="宋体" w:hAnsi="宋体"/>
                <w:i/>
                <w:szCs w:val="21"/>
              </w:rPr>
            </w:pPr>
            <w:r>
              <w:rPr>
                <w:rFonts w:hint="eastAsia" w:ascii="宋体" w:hAnsi="宋体"/>
                <w:i/>
                <w:szCs w:val="21"/>
              </w:rPr>
              <w:t>3.4</w:t>
            </w:r>
          </w:p>
        </w:tc>
        <w:tc>
          <w:tcPr>
            <w:tcW w:w="2977" w:type="dxa"/>
            <w:tcBorders>
              <w:top w:val="single" w:color="auto" w:sz="4" w:space="0"/>
              <w:left w:val="single" w:color="auto" w:sz="4" w:space="0"/>
              <w:bottom w:val="single" w:color="auto" w:sz="4" w:space="0"/>
              <w:right w:val="single" w:color="auto" w:sz="4" w:space="0"/>
            </w:tcBorders>
            <w:noWrap/>
            <w:vAlign w:val="center"/>
          </w:tcPr>
          <w:p w14:paraId="4DE45723">
            <w:pPr>
              <w:rPr>
                <w:rFonts w:ascii="宋体" w:hAnsi="宋体"/>
                <w:i/>
                <w:szCs w:val="21"/>
              </w:rPr>
            </w:pPr>
            <w:r>
              <w:rPr>
                <w:rFonts w:hint="eastAsia" w:ascii="宋体" w:hAnsi="宋体"/>
                <w:i/>
                <w:szCs w:val="21"/>
              </w:rPr>
              <w:t>其中：总承包服务费</w:t>
            </w:r>
          </w:p>
        </w:tc>
        <w:tc>
          <w:tcPr>
            <w:tcW w:w="2835" w:type="dxa"/>
            <w:tcBorders>
              <w:left w:val="single" w:color="auto" w:sz="4" w:space="0"/>
              <w:right w:val="single" w:color="auto" w:sz="4" w:space="0"/>
            </w:tcBorders>
            <w:noWrap/>
            <w:vAlign w:val="center"/>
          </w:tcPr>
          <w:p w14:paraId="59215138">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5804FC3">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640C9FF">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1CF2D7A">
            <w:pPr>
              <w:rPr>
                <w:i/>
                <w:u w:val="single"/>
              </w:rPr>
            </w:pPr>
          </w:p>
        </w:tc>
        <w:tc>
          <w:tcPr>
            <w:tcW w:w="919" w:type="dxa"/>
            <w:tcBorders>
              <w:left w:val="single" w:color="auto" w:sz="4" w:space="0"/>
              <w:right w:val="single" w:color="auto" w:sz="4" w:space="0"/>
            </w:tcBorders>
            <w:noWrap/>
            <w:vAlign w:val="center"/>
          </w:tcPr>
          <w:p w14:paraId="3ED18AE7">
            <w:pPr>
              <w:rPr>
                <w:i/>
                <w:u w:val="single"/>
              </w:rPr>
            </w:pPr>
          </w:p>
        </w:tc>
      </w:tr>
      <w:tr w14:paraId="63E9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061EE72">
            <w:pPr>
              <w:rPr>
                <w:rFonts w:ascii="宋体" w:hAnsi="宋体"/>
                <w:i/>
                <w:szCs w:val="21"/>
              </w:rPr>
            </w:pPr>
            <w:r>
              <w:rPr>
                <w:rFonts w:hint="eastAsia" w:ascii="宋体" w:hAnsi="宋体"/>
                <w:i/>
                <w:szCs w:val="21"/>
              </w:rPr>
              <w:t>4</w:t>
            </w:r>
          </w:p>
        </w:tc>
        <w:tc>
          <w:tcPr>
            <w:tcW w:w="2977" w:type="dxa"/>
            <w:tcBorders>
              <w:top w:val="single" w:color="auto" w:sz="4" w:space="0"/>
              <w:left w:val="single" w:color="auto" w:sz="4" w:space="0"/>
              <w:bottom w:val="single" w:color="auto" w:sz="4" w:space="0"/>
              <w:right w:val="single" w:color="auto" w:sz="4" w:space="0"/>
            </w:tcBorders>
            <w:noWrap/>
            <w:vAlign w:val="center"/>
          </w:tcPr>
          <w:p w14:paraId="5D1EDAF1">
            <w:pPr>
              <w:rPr>
                <w:rFonts w:ascii="宋体" w:hAnsi="宋体"/>
                <w:i/>
                <w:szCs w:val="21"/>
              </w:rPr>
            </w:pPr>
            <w:r>
              <w:rPr>
                <w:rFonts w:hint="eastAsia" w:ascii="宋体" w:hAnsi="宋体"/>
                <w:i/>
                <w:szCs w:val="21"/>
              </w:rPr>
              <w:t>规费</w:t>
            </w:r>
          </w:p>
        </w:tc>
        <w:tc>
          <w:tcPr>
            <w:tcW w:w="2835" w:type="dxa"/>
            <w:tcBorders>
              <w:left w:val="single" w:color="auto" w:sz="4" w:space="0"/>
              <w:right w:val="single" w:color="auto" w:sz="4" w:space="0"/>
            </w:tcBorders>
            <w:noWrap/>
            <w:vAlign w:val="center"/>
          </w:tcPr>
          <w:p w14:paraId="35D91AFE">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62F2F22">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DE73228">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C3EC31E">
            <w:pPr>
              <w:rPr>
                <w:i/>
                <w:u w:val="single"/>
              </w:rPr>
            </w:pPr>
          </w:p>
        </w:tc>
        <w:tc>
          <w:tcPr>
            <w:tcW w:w="919" w:type="dxa"/>
            <w:tcBorders>
              <w:left w:val="single" w:color="auto" w:sz="4" w:space="0"/>
              <w:right w:val="single" w:color="auto" w:sz="4" w:space="0"/>
            </w:tcBorders>
            <w:noWrap/>
            <w:vAlign w:val="center"/>
          </w:tcPr>
          <w:p w14:paraId="28DB9ECF">
            <w:pPr>
              <w:rPr>
                <w:i/>
                <w:u w:val="single"/>
              </w:rPr>
            </w:pPr>
          </w:p>
        </w:tc>
      </w:tr>
      <w:tr w14:paraId="42B0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3744726">
            <w:pPr>
              <w:rPr>
                <w:rFonts w:ascii="宋体" w:hAnsi="宋体"/>
                <w:i/>
                <w:szCs w:val="21"/>
              </w:rPr>
            </w:pPr>
            <w:r>
              <w:rPr>
                <w:rFonts w:hint="eastAsia" w:ascii="宋体" w:hAnsi="宋体"/>
                <w:i/>
                <w:szCs w:val="21"/>
              </w:rPr>
              <w:t>5</w:t>
            </w:r>
          </w:p>
        </w:tc>
        <w:tc>
          <w:tcPr>
            <w:tcW w:w="2977" w:type="dxa"/>
            <w:tcBorders>
              <w:top w:val="single" w:color="auto" w:sz="4" w:space="0"/>
              <w:left w:val="single" w:color="auto" w:sz="4" w:space="0"/>
              <w:bottom w:val="single" w:color="auto" w:sz="4" w:space="0"/>
              <w:right w:val="single" w:color="auto" w:sz="4" w:space="0"/>
            </w:tcBorders>
            <w:noWrap/>
            <w:vAlign w:val="center"/>
          </w:tcPr>
          <w:p w14:paraId="75D3E5D4">
            <w:pPr>
              <w:rPr>
                <w:rFonts w:ascii="宋体" w:hAnsi="宋体"/>
                <w:i/>
                <w:szCs w:val="21"/>
              </w:rPr>
            </w:pPr>
            <w:r>
              <w:rPr>
                <w:rFonts w:hint="eastAsia" w:ascii="宋体" w:hAnsi="宋体"/>
                <w:i/>
                <w:szCs w:val="21"/>
              </w:rPr>
              <w:t>税金</w:t>
            </w:r>
          </w:p>
        </w:tc>
        <w:tc>
          <w:tcPr>
            <w:tcW w:w="2835" w:type="dxa"/>
            <w:tcBorders>
              <w:left w:val="single" w:color="auto" w:sz="4" w:space="0"/>
              <w:right w:val="single" w:color="auto" w:sz="4" w:space="0"/>
            </w:tcBorders>
            <w:noWrap/>
            <w:vAlign w:val="center"/>
          </w:tcPr>
          <w:p w14:paraId="19DF1138">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2AF209A">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D545506">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48301C8">
            <w:pPr>
              <w:rPr>
                <w:i/>
                <w:u w:val="single"/>
              </w:rPr>
            </w:pPr>
          </w:p>
        </w:tc>
        <w:tc>
          <w:tcPr>
            <w:tcW w:w="919" w:type="dxa"/>
            <w:tcBorders>
              <w:left w:val="single" w:color="auto" w:sz="4" w:space="0"/>
              <w:bottom w:val="single" w:color="auto" w:sz="4" w:space="0"/>
              <w:right w:val="single" w:color="auto" w:sz="4" w:space="0"/>
            </w:tcBorders>
            <w:noWrap/>
            <w:vAlign w:val="center"/>
          </w:tcPr>
          <w:p w14:paraId="71160C3E">
            <w:pPr>
              <w:rPr>
                <w:i/>
                <w:u w:val="single"/>
              </w:rPr>
            </w:pPr>
          </w:p>
        </w:tc>
      </w:tr>
      <w:tr w14:paraId="0C8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FDB606E">
            <w:pPr>
              <w:rPr>
                <w:rFonts w:ascii="黑体" w:eastAsia="黑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14:paraId="4CE8A037">
            <w:pPr>
              <w:rPr>
                <w:i/>
                <w:szCs w:val="21"/>
              </w:rPr>
            </w:pPr>
          </w:p>
        </w:tc>
        <w:tc>
          <w:tcPr>
            <w:tcW w:w="2835" w:type="dxa"/>
            <w:tcBorders>
              <w:left w:val="single" w:color="auto" w:sz="4" w:space="0"/>
              <w:right w:val="single" w:color="auto" w:sz="4" w:space="0"/>
            </w:tcBorders>
            <w:noWrap/>
            <w:vAlign w:val="center"/>
          </w:tcPr>
          <w:p w14:paraId="0689C16F">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2638A72">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3848FD4">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344B77C">
            <w:pPr>
              <w:rPr>
                <w:i/>
                <w:u w:val="single"/>
              </w:rPr>
            </w:pPr>
          </w:p>
        </w:tc>
        <w:tc>
          <w:tcPr>
            <w:tcW w:w="919" w:type="dxa"/>
            <w:tcBorders>
              <w:left w:val="single" w:color="auto" w:sz="4" w:space="0"/>
              <w:bottom w:val="single" w:color="auto" w:sz="4" w:space="0"/>
              <w:right w:val="single" w:color="auto" w:sz="4" w:space="0"/>
            </w:tcBorders>
            <w:noWrap/>
            <w:vAlign w:val="center"/>
          </w:tcPr>
          <w:p w14:paraId="2ACE39B0">
            <w:pPr>
              <w:rPr>
                <w:i/>
                <w:u w:val="single"/>
              </w:rPr>
            </w:pPr>
          </w:p>
        </w:tc>
      </w:tr>
      <w:tr w14:paraId="3851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F19E739">
            <w:pPr>
              <w:rPr>
                <w:i/>
                <w:u w:val="single"/>
              </w:rPr>
            </w:pPr>
          </w:p>
        </w:tc>
        <w:tc>
          <w:tcPr>
            <w:tcW w:w="2977" w:type="dxa"/>
            <w:tcBorders>
              <w:top w:val="single" w:color="auto" w:sz="4" w:space="0"/>
              <w:left w:val="single" w:color="auto" w:sz="4" w:space="0"/>
              <w:bottom w:val="single" w:color="auto" w:sz="4" w:space="0"/>
              <w:right w:val="single" w:color="auto" w:sz="4" w:space="0"/>
            </w:tcBorders>
            <w:noWrap/>
            <w:vAlign w:val="center"/>
          </w:tcPr>
          <w:p w14:paraId="4CF7F884">
            <w:pPr>
              <w:rPr>
                <w:b/>
                <w:i/>
                <w:u w:val="single"/>
              </w:rPr>
            </w:pPr>
            <w:r>
              <w:rPr>
                <w:rFonts w:hint="eastAsia"/>
                <w:b/>
                <w:i/>
                <w:u w:val="single"/>
              </w:rPr>
              <w:t>以上</w:t>
            </w:r>
            <w:r>
              <w:rPr>
                <w:b/>
                <w:i/>
                <w:u w:val="single"/>
              </w:rPr>
              <w:t>仅</w:t>
            </w:r>
            <w:r>
              <w:rPr>
                <w:rFonts w:hint="eastAsia"/>
                <w:b/>
                <w:i/>
                <w:u w:val="single"/>
              </w:rPr>
              <w:t>示</w:t>
            </w:r>
            <w:r>
              <w:rPr>
                <w:b/>
                <w:i/>
                <w:u w:val="single"/>
              </w:rPr>
              <w:t>例</w:t>
            </w:r>
            <w:r>
              <w:rPr>
                <w:rFonts w:hint="eastAsia"/>
                <w:b/>
                <w:i/>
                <w:u w:val="single"/>
              </w:rPr>
              <w:t>如何填写，与投标内容无关</w:t>
            </w:r>
          </w:p>
        </w:tc>
        <w:tc>
          <w:tcPr>
            <w:tcW w:w="2835" w:type="dxa"/>
            <w:tcBorders>
              <w:left w:val="single" w:color="auto" w:sz="4" w:space="0"/>
              <w:right w:val="single" w:color="auto" w:sz="4" w:space="0"/>
            </w:tcBorders>
            <w:noWrap/>
            <w:vAlign w:val="center"/>
          </w:tcPr>
          <w:p w14:paraId="38EC70FD">
            <w:pPr>
              <w:rPr>
                <w:b/>
                <w:i/>
                <w:u w:val="single"/>
              </w:rPr>
            </w:pPr>
            <w:r>
              <w:rPr>
                <w:rFonts w:hint="eastAsia"/>
                <w:b/>
                <w:i/>
                <w:u w:val="single"/>
              </w:rPr>
              <w:t>行数不够，可按本表格式自行添加</w:t>
            </w:r>
          </w:p>
        </w:tc>
        <w:tc>
          <w:tcPr>
            <w:tcW w:w="851" w:type="dxa"/>
            <w:tcBorders>
              <w:top w:val="single" w:color="auto" w:sz="4" w:space="0"/>
              <w:left w:val="single" w:color="auto" w:sz="4" w:space="0"/>
              <w:bottom w:val="single" w:color="auto" w:sz="4" w:space="0"/>
              <w:right w:val="single" w:color="auto" w:sz="4" w:space="0"/>
            </w:tcBorders>
            <w:noWrap/>
            <w:vAlign w:val="center"/>
          </w:tcPr>
          <w:p w14:paraId="408FF786">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E2AD11A">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86528E3">
            <w:pPr>
              <w:rPr>
                <w:i/>
                <w:u w:val="single"/>
              </w:rPr>
            </w:pPr>
          </w:p>
        </w:tc>
        <w:tc>
          <w:tcPr>
            <w:tcW w:w="919" w:type="dxa"/>
            <w:tcBorders>
              <w:left w:val="single" w:color="auto" w:sz="4" w:space="0"/>
              <w:bottom w:val="single" w:color="auto" w:sz="4" w:space="0"/>
              <w:right w:val="single" w:color="auto" w:sz="4" w:space="0"/>
            </w:tcBorders>
            <w:noWrap/>
            <w:vAlign w:val="center"/>
          </w:tcPr>
          <w:p w14:paraId="26470E8E">
            <w:pPr>
              <w:rPr>
                <w:i/>
                <w:u w:val="single"/>
              </w:rPr>
            </w:pPr>
          </w:p>
        </w:tc>
      </w:tr>
      <w:tr w14:paraId="1A89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14:paraId="6AF6D48D">
            <w:pPr>
              <w:spacing w:line="480" w:lineRule="auto"/>
              <w:rPr>
                <w:rFonts w:ascii="宋体" w:hAnsi="宋体" w:cs="宋体"/>
              </w:rPr>
            </w:pPr>
            <w:r>
              <w:rPr>
                <w:rFonts w:hint="eastAsia" w:ascii="宋体" w:hAnsi="宋体"/>
                <w:b/>
              </w:rPr>
              <w:t>总价</w:t>
            </w:r>
            <w:r>
              <w:rPr>
                <w:rFonts w:hint="eastAsia" w:ascii="宋体" w:hAnsi="宋体" w:cs="宋体"/>
                <w:b/>
              </w:rPr>
              <w:t>（人民币）：</w:t>
            </w:r>
            <w:r>
              <w:rPr>
                <w:rFonts w:hint="eastAsia" w:ascii="宋体" w:hAnsi="宋体" w:cs="宋体"/>
                <w:b/>
                <w:szCs w:val="21"/>
                <w:u w:val="single"/>
              </w:rPr>
              <w:t xml:space="preserve">                元（小写）</w:t>
            </w:r>
            <w:r>
              <w:rPr>
                <w:rFonts w:hint="eastAsia" w:ascii="宋体" w:hAnsi="宋体"/>
                <w:b/>
                <w:szCs w:val="21"/>
                <w:u w:val="single"/>
              </w:rPr>
              <w:t>。</w:t>
            </w:r>
          </w:p>
        </w:tc>
      </w:tr>
      <w:tr w14:paraId="6B7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14:paraId="39F852A8">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14:paraId="47575DA7">
            <w:pPr>
              <w:spacing w:line="360" w:lineRule="auto"/>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14:paraId="4495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14:paraId="0361F529">
            <w:pPr>
              <w:spacing w:line="360" w:lineRule="auto"/>
              <w:ind w:firstLine="420" w:firstLineChars="200"/>
            </w:pPr>
            <w:r>
              <w:rPr>
                <w:rFonts w:hint="eastAsia"/>
              </w:rPr>
              <w:t>注：1.如果本表与报价一览表（报价表）内容不一致的，以报价一览表（报价表）内容为准。</w:t>
            </w:r>
          </w:p>
          <w:p w14:paraId="1C4490A1">
            <w:pPr>
              <w:spacing w:line="360" w:lineRule="auto"/>
              <w:ind w:firstLine="840" w:firstLineChars="400"/>
            </w:pPr>
            <w:r>
              <w:rPr>
                <w:rFonts w:hint="eastAsia"/>
              </w:rPr>
              <w:t>2.如果不提供详细分项报价将视为没有实质性响应招标文件。</w:t>
            </w:r>
          </w:p>
          <w:p w14:paraId="2394AA8F">
            <w:pPr>
              <w:spacing w:line="360" w:lineRule="auto"/>
              <w:ind w:firstLine="840" w:firstLineChars="400"/>
            </w:pPr>
            <w:r>
              <w:rPr>
                <w:rFonts w:hint="eastAsia"/>
              </w:rPr>
              <w:t>3.上述各项的详细分项报价，可以另页描述。</w:t>
            </w:r>
          </w:p>
          <w:p w14:paraId="4927EA8D">
            <w:pPr>
              <w:spacing w:line="360" w:lineRule="auto"/>
              <w:ind w:firstLine="840" w:firstLineChars="400"/>
            </w:pPr>
            <w:r>
              <w:rPr>
                <w:rFonts w:hint="eastAsia"/>
              </w:rPr>
              <w:t>4.如果投标人认为需要，可以每种品目填写一份该表。</w:t>
            </w:r>
          </w:p>
          <w:p w14:paraId="025E5C6A">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14:paraId="6CAB26EF">
      <w:pPr>
        <w:widowControl/>
        <w:spacing w:line="360" w:lineRule="auto"/>
        <w:jc w:val="left"/>
        <w:rPr>
          <w:rFonts w:ascii="宋体" w:hAnsi="宋体" w:cs="宋体"/>
          <w:b/>
          <w:color w:val="000000"/>
          <w:sz w:val="28"/>
          <w:szCs w:val="28"/>
        </w:rPr>
        <w:sectPr>
          <w:headerReference r:id="rId4" w:type="default"/>
          <w:footerReference r:id="rId5" w:type="default"/>
          <w:pgSz w:w="11906" w:h="16838"/>
          <w:pgMar w:top="1134" w:right="1077" w:bottom="1418" w:left="1191" w:header="851" w:footer="992" w:gutter="0"/>
          <w:cols w:space="720" w:num="1"/>
          <w:docGrid w:type="lines" w:linePitch="312" w:charSpace="0"/>
        </w:sectPr>
      </w:pPr>
    </w:p>
    <w:p w14:paraId="7D30EC9B">
      <w:pPr>
        <w:keepNext/>
        <w:keepLines/>
        <w:shd w:val="clear" w:color="auto" w:fill="FFFFFF"/>
        <w:snapToGrid w:val="0"/>
        <w:spacing w:before="260" w:after="260" w:line="480" w:lineRule="auto"/>
        <w:ind w:firstLine="136"/>
        <w:jc w:val="center"/>
        <w:rPr>
          <w:b/>
          <w:color w:val="000000"/>
          <w:sz w:val="32"/>
          <w:szCs w:val="20"/>
        </w:rPr>
      </w:pPr>
      <w:bookmarkStart w:id="289" w:name="_Toc21271"/>
      <w:bookmarkStart w:id="290" w:name="_Toc11137"/>
      <w:r>
        <w:rPr>
          <w:rFonts w:hint="eastAsia" w:ascii="新宋体" w:hAnsi="新宋体" w:eastAsia="新宋体"/>
          <w:b/>
          <w:color w:val="000000"/>
          <w:sz w:val="32"/>
          <w:szCs w:val="20"/>
        </w:rPr>
        <w:t>工程量清单</w:t>
      </w:r>
      <w:bookmarkEnd w:id="289"/>
      <w:bookmarkEnd w:id="290"/>
    </w:p>
    <w:p w14:paraId="289489B4">
      <w:pPr>
        <w:spacing w:line="360" w:lineRule="auto"/>
        <w:ind w:firstLine="482" w:firstLineChars="200"/>
        <w:jc w:val="left"/>
        <w:rPr>
          <w:rFonts w:ascii="宋体" w:hAnsi="宋体" w:cs="宋体"/>
          <w:b/>
          <w:color w:val="000000"/>
          <w:sz w:val="36"/>
          <w:szCs w:val="28"/>
        </w:rPr>
      </w:pPr>
      <w:r>
        <w:rPr>
          <w:rFonts w:hint="eastAsia" w:ascii="宋体" w:hAnsi="宋体" w:cs="宋体"/>
          <w:b/>
          <w:color w:val="000000"/>
          <w:sz w:val="24"/>
          <w:szCs w:val="21"/>
          <w:u w:val="single"/>
        </w:rPr>
        <w:t>投标文件中须提供已标价工程量清单，供应商递交响应文件时须同时提供电子标书（U盘）一份（U盘中包含响应书面文件所有内容及已标价工程量清单电子文件，U盘表面加贴投标单位简称（建议单独装袋封装）。</w:t>
      </w:r>
    </w:p>
    <w:p w14:paraId="4F533A0B">
      <w:pPr>
        <w:pStyle w:val="33"/>
        <w:outlineLvl w:val="9"/>
        <w:rPr>
          <w:color w:val="000000"/>
        </w:rPr>
      </w:pPr>
    </w:p>
    <w:p w14:paraId="0981B663">
      <w:pPr>
        <w:pStyle w:val="35"/>
      </w:pPr>
    </w:p>
    <w:p w14:paraId="189D5861">
      <w:pPr>
        <w:rPr>
          <w:color w:val="000000"/>
        </w:rPr>
      </w:pPr>
    </w:p>
    <w:p w14:paraId="1CB68340">
      <w:pPr>
        <w:pStyle w:val="9"/>
        <w:rPr>
          <w:color w:val="000000"/>
        </w:rPr>
      </w:pPr>
    </w:p>
    <w:p w14:paraId="712D3212">
      <w:pPr>
        <w:pStyle w:val="33"/>
        <w:outlineLvl w:val="9"/>
        <w:rPr>
          <w:color w:val="000000"/>
        </w:rPr>
      </w:pPr>
    </w:p>
    <w:p w14:paraId="73C15B8F">
      <w:pPr>
        <w:pStyle w:val="35"/>
      </w:pPr>
    </w:p>
    <w:p w14:paraId="5985FADD">
      <w:pPr>
        <w:rPr>
          <w:color w:val="000000"/>
        </w:rPr>
      </w:pPr>
    </w:p>
    <w:p w14:paraId="05A6E382">
      <w:pPr>
        <w:pStyle w:val="9"/>
        <w:rPr>
          <w:color w:val="000000"/>
        </w:rPr>
      </w:pPr>
    </w:p>
    <w:p w14:paraId="04D78CFC">
      <w:pPr>
        <w:pStyle w:val="33"/>
        <w:outlineLvl w:val="9"/>
        <w:rPr>
          <w:color w:val="000000"/>
        </w:rPr>
      </w:pPr>
    </w:p>
    <w:p w14:paraId="2932E05B">
      <w:pPr>
        <w:pStyle w:val="35"/>
      </w:pPr>
    </w:p>
    <w:p w14:paraId="540DB707">
      <w:pPr>
        <w:rPr>
          <w:color w:val="000000"/>
        </w:rPr>
      </w:pPr>
    </w:p>
    <w:p w14:paraId="47ED7469">
      <w:pPr>
        <w:pStyle w:val="9"/>
        <w:rPr>
          <w:color w:val="000000"/>
        </w:rPr>
      </w:pPr>
    </w:p>
    <w:p w14:paraId="249249B8">
      <w:pPr>
        <w:pStyle w:val="33"/>
        <w:outlineLvl w:val="9"/>
        <w:rPr>
          <w:color w:val="000000"/>
        </w:rPr>
      </w:pPr>
    </w:p>
    <w:p w14:paraId="48DE5D52">
      <w:pPr>
        <w:pStyle w:val="35"/>
      </w:pPr>
    </w:p>
    <w:p w14:paraId="230FBA91">
      <w:pPr>
        <w:rPr>
          <w:color w:val="000000"/>
        </w:rPr>
      </w:pPr>
    </w:p>
    <w:p w14:paraId="5C18D637">
      <w:pPr>
        <w:pStyle w:val="9"/>
        <w:rPr>
          <w:color w:val="000000"/>
        </w:rPr>
      </w:pPr>
    </w:p>
    <w:p w14:paraId="006BD853">
      <w:pPr>
        <w:pStyle w:val="33"/>
        <w:outlineLvl w:val="9"/>
        <w:rPr>
          <w:color w:val="000000"/>
        </w:rPr>
      </w:pPr>
    </w:p>
    <w:p w14:paraId="612873D0">
      <w:pPr>
        <w:pStyle w:val="35"/>
      </w:pPr>
    </w:p>
    <w:p w14:paraId="548A107D">
      <w:pPr>
        <w:rPr>
          <w:color w:val="000000"/>
        </w:rPr>
      </w:pPr>
    </w:p>
    <w:p w14:paraId="736AF538">
      <w:pPr>
        <w:pStyle w:val="9"/>
        <w:rPr>
          <w:color w:val="000000"/>
        </w:rPr>
      </w:pPr>
    </w:p>
    <w:p w14:paraId="1AA79EDF">
      <w:pPr>
        <w:pStyle w:val="33"/>
        <w:outlineLvl w:val="9"/>
        <w:rPr>
          <w:color w:val="000000"/>
        </w:rPr>
      </w:pPr>
    </w:p>
    <w:p w14:paraId="404414AE">
      <w:pPr>
        <w:pStyle w:val="35"/>
      </w:pPr>
    </w:p>
    <w:p w14:paraId="4C85F30D">
      <w:pPr>
        <w:rPr>
          <w:color w:val="000000"/>
        </w:rPr>
      </w:pPr>
    </w:p>
    <w:p w14:paraId="188839B2">
      <w:pPr>
        <w:pStyle w:val="35"/>
        <w:ind w:firstLine="420"/>
      </w:pPr>
    </w:p>
    <w:p w14:paraId="385BBF5D"/>
    <w:p w14:paraId="354C1286">
      <w:pPr>
        <w:pStyle w:val="9"/>
      </w:pPr>
    </w:p>
    <w:p w14:paraId="06041BB4">
      <w:pPr>
        <w:pStyle w:val="33"/>
        <w:outlineLvl w:val="9"/>
      </w:pPr>
    </w:p>
    <w:p w14:paraId="67375D3E">
      <w:pPr>
        <w:pStyle w:val="35"/>
      </w:pPr>
    </w:p>
    <w:p w14:paraId="11405B20"/>
    <w:p w14:paraId="6BB4662A">
      <w:pPr>
        <w:spacing w:line="540" w:lineRule="atLeast"/>
        <w:jc w:val="center"/>
        <w:outlineLvl w:val="1"/>
        <w:rPr>
          <w:rFonts w:ascii="宋体" w:hAnsi="宋体"/>
          <w:b/>
          <w:color w:val="000000"/>
          <w:sz w:val="28"/>
          <w:szCs w:val="28"/>
        </w:rPr>
      </w:pPr>
      <w:r>
        <w:rPr>
          <w:rFonts w:hint="eastAsia" w:ascii="宋体" w:hAnsi="宋体"/>
          <w:b/>
          <w:color w:val="000000"/>
          <w:sz w:val="28"/>
          <w:szCs w:val="28"/>
        </w:rPr>
        <w:t>八、技术规格（采购需求）偏离表</w:t>
      </w:r>
    </w:p>
    <w:tbl>
      <w:tblPr>
        <w:tblStyle w:val="27"/>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14:paraId="4C5B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14:paraId="305833C6">
            <w:pPr>
              <w:spacing w:line="360" w:lineRule="auto"/>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14:paraId="61861393">
            <w:pPr>
              <w:spacing w:line="360" w:lineRule="auto"/>
              <w:rPr>
                <w:rFonts w:ascii="宋体" w:hAnsi="宋体" w:cs="宋体"/>
                <w:color w:val="000000"/>
                <w:szCs w:val="21"/>
              </w:rPr>
            </w:pPr>
          </w:p>
        </w:tc>
      </w:tr>
      <w:tr w14:paraId="45F7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14:paraId="44BDB176">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14:paraId="1A4A6168">
            <w:pPr>
              <w:spacing w:line="360" w:lineRule="auto"/>
              <w:rPr>
                <w:rFonts w:ascii="宋体" w:hAnsi="宋体" w:cs="宋体"/>
                <w:color w:val="000000"/>
                <w:szCs w:val="21"/>
              </w:rPr>
            </w:pPr>
          </w:p>
        </w:tc>
      </w:tr>
      <w:tr w14:paraId="01C3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519B3069">
            <w:pPr>
              <w:spacing w:line="360" w:lineRule="auto"/>
              <w:jc w:val="center"/>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noWrap/>
            <w:vAlign w:val="center"/>
          </w:tcPr>
          <w:p w14:paraId="57E4FDF1">
            <w:pPr>
              <w:spacing w:line="360" w:lineRule="auto"/>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noWrap/>
            <w:vAlign w:val="center"/>
          </w:tcPr>
          <w:p w14:paraId="0EE9F847">
            <w:pPr>
              <w:spacing w:line="360" w:lineRule="auto"/>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noWrap/>
            <w:vAlign w:val="center"/>
          </w:tcPr>
          <w:p w14:paraId="11D8854A">
            <w:pPr>
              <w:spacing w:line="360" w:lineRule="auto"/>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noWrap/>
            <w:vAlign w:val="center"/>
          </w:tcPr>
          <w:p w14:paraId="16F164D0">
            <w:pPr>
              <w:spacing w:line="360" w:lineRule="auto"/>
              <w:jc w:val="center"/>
              <w:rPr>
                <w:rFonts w:ascii="宋体" w:hAnsi="宋体"/>
                <w:color w:val="000000"/>
                <w:szCs w:val="21"/>
              </w:rPr>
            </w:pPr>
            <w:r>
              <w:rPr>
                <w:rFonts w:hint="eastAsia" w:ascii="宋体" w:hAnsi="宋体"/>
                <w:color w:val="000000"/>
                <w:szCs w:val="21"/>
              </w:rPr>
              <w:t>偏离说明</w:t>
            </w:r>
          </w:p>
        </w:tc>
      </w:tr>
      <w:tr w14:paraId="5537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28292EC8">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3E979FB1">
            <w:pPr>
              <w:rPr>
                <w:i/>
                <w:color w:val="000000"/>
                <w:u w:val="single"/>
              </w:rPr>
            </w:pPr>
            <w:r>
              <w:rPr>
                <w:rFonts w:hint="eastAsia"/>
                <w:i/>
                <w:color w:val="000000"/>
                <w:u w:val="single"/>
              </w:rPr>
              <w:t>例：“</w:t>
            </w:r>
            <w:r>
              <w:rPr>
                <w:i/>
                <w:color w:val="000000"/>
                <w:u w:val="single"/>
              </w:rPr>
              <w:t>服务方式</w:t>
            </w:r>
            <w:r>
              <w:rPr>
                <w:rFonts w:hint="eastAsia"/>
                <w:i/>
                <w:color w:val="000000"/>
                <w:u w:val="single"/>
              </w:rPr>
              <w:t>”</w:t>
            </w:r>
          </w:p>
          <w:p w14:paraId="0471C174">
            <w:pPr>
              <w:rPr>
                <w:i/>
                <w:color w:val="000000"/>
                <w:u w:val="single"/>
              </w:rPr>
            </w:pPr>
            <w:r>
              <w:rPr>
                <w:i/>
                <w:color w:val="000000"/>
                <w:u w:val="single"/>
              </w:rPr>
              <w:t>（注：仅</w:t>
            </w:r>
            <w:r>
              <w:rPr>
                <w:rFonts w:hint="eastAsia"/>
                <w:i/>
                <w:color w:val="000000"/>
                <w:u w:val="single"/>
              </w:rPr>
              <w:t>示</w:t>
            </w:r>
            <w:r>
              <w:rPr>
                <w:i/>
                <w:color w:val="000000"/>
                <w:u w:val="single"/>
              </w:rPr>
              <w:t>例</w:t>
            </w:r>
            <w:r>
              <w:rPr>
                <w:rFonts w:hint="eastAsia"/>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noWrap/>
            <w:vAlign w:val="center"/>
          </w:tcPr>
          <w:p w14:paraId="6F90CA43">
            <w:pPr>
              <w:rPr>
                <w:i/>
                <w:color w:val="000000"/>
                <w:u w:val="single"/>
              </w:rPr>
            </w:pPr>
            <w:r>
              <w:rPr>
                <w:rFonts w:hint="eastAsia"/>
                <w:i/>
                <w:color w:val="000000"/>
                <w:u w:val="single"/>
              </w:rPr>
              <w:t>例：“须提供驻场服务”</w:t>
            </w:r>
          </w:p>
        </w:tc>
        <w:tc>
          <w:tcPr>
            <w:tcW w:w="2365" w:type="dxa"/>
            <w:tcBorders>
              <w:top w:val="single" w:color="auto" w:sz="4" w:space="0"/>
              <w:left w:val="single" w:color="auto" w:sz="4" w:space="0"/>
              <w:bottom w:val="single" w:color="auto" w:sz="4" w:space="0"/>
              <w:right w:val="single" w:color="auto" w:sz="4" w:space="0"/>
            </w:tcBorders>
            <w:noWrap/>
            <w:vAlign w:val="center"/>
          </w:tcPr>
          <w:p w14:paraId="624FE88C">
            <w:pPr>
              <w:rPr>
                <w:i/>
                <w:color w:val="000000"/>
                <w:u w:val="single"/>
              </w:rPr>
            </w:pPr>
            <w:r>
              <w:rPr>
                <w:rFonts w:hint="eastAsia"/>
                <w:i/>
                <w:color w:val="000000"/>
                <w:u w:val="single"/>
              </w:rPr>
              <w:t>例1：“提供驻场服务人中3名……”；</w:t>
            </w:r>
          </w:p>
          <w:p w14:paraId="54948ED8">
            <w:pPr>
              <w:rPr>
                <w:i/>
                <w:color w:val="000000"/>
                <w:u w:val="single"/>
              </w:rPr>
            </w:pPr>
            <w:r>
              <w:rPr>
                <w:rFonts w:hint="eastAsia"/>
                <w:i/>
                <w:color w:val="000000"/>
                <w:u w:val="single"/>
              </w:rPr>
              <w:t>例2：“详见投标文件第55页”</w:t>
            </w:r>
          </w:p>
        </w:tc>
        <w:tc>
          <w:tcPr>
            <w:tcW w:w="1560" w:type="dxa"/>
            <w:tcBorders>
              <w:top w:val="single" w:color="auto" w:sz="4" w:space="0"/>
              <w:left w:val="single" w:color="auto" w:sz="4" w:space="0"/>
              <w:bottom w:val="single" w:color="auto" w:sz="4" w:space="0"/>
              <w:right w:val="single" w:color="auto" w:sz="4" w:space="0"/>
            </w:tcBorders>
            <w:noWrap/>
            <w:vAlign w:val="center"/>
          </w:tcPr>
          <w:p w14:paraId="598802A3">
            <w:pPr>
              <w:jc w:val="center"/>
              <w:rPr>
                <w:i/>
                <w:color w:val="000000"/>
                <w:u w:val="single"/>
              </w:rPr>
            </w:pPr>
            <w:r>
              <w:rPr>
                <w:i/>
                <w:color w:val="000000"/>
                <w:u w:val="single"/>
              </w:rPr>
              <w:t>满足/不满足/部分满足</w:t>
            </w:r>
          </w:p>
        </w:tc>
      </w:tr>
      <w:tr w14:paraId="3709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1D8282BC">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228EFC45">
            <w:pPr>
              <w:rPr>
                <w:b/>
                <w:i/>
                <w:color w:val="000000"/>
                <w:u w:val="single"/>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14EC90A4">
            <w:pPr>
              <w:rPr>
                <w:b/>
                <w:i/>
                <w:color w:val="000000"/>
                <w:u w:val="single"/>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159E0DDE">
            <w:pPr>
              <w:rPr>
                <w:i/>
                <w:color w:val="000000"/>
                <w:u w:val="single"/>
              </w:rPr>
            </w:pPr>
            <w:r>
              <w:rPr>
                <w:rFonts w:hint="eastAsia"/>
                <w:i/>
                <w:color w:val="000000"/>
                <w:u w:val="single"/>
              </w:rPr>
              <w:t>可另页详述（应答），</w:t>
            </w:r>
          </w:p>
          <w:p w14:paraId="61D6DD30">
            <w:pPr>
              <w:rPr>
                <w:b/>
                <w:i/>
                <w:color w:val="000000"/>
                <w:u w:val="single"/>
              </w:rPr>
            </w:pPr>
            <w:r>
              <w:rPr>
                <w:rFonts w:hint="eastAsia"/>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noWrap/>
            <w:vAlign w:val="center"/>
          </w:tcPr>
          <w:p w14:paraId="12580603">
            <w:pPr>
              <w:rPr>
                <w:b/>
                <w:i/>
                <w:color w:val="000000"/>
                <w:u w:val="single"/>
              </w:rPr>
            </w:pPr>
          </w:p>
        </w:tc>
      </w:tr>
      <w:tr w14:paraId="38C1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2FC3F922">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7496A2F9">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5FD6AF28">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539288F1">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03ABC2C">
            <w:pPr>
              <w:rPr>
                <w:color w:val="000000"/>
              </w:rPr>
            </w:pPr>
          </w:p>
        </w:tc>
      </w:tr>
      <w:tr w14:paraId="3287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39E4ECE1">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681A1DF1">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19FAF0E9">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1B315454">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563EB2C">
            <w:pPr>
              <w:rPr>
                <w:color w:val="000000"/>
              </w:rPr>
            </w:pPr>
          </w:p>
        </w:tc>
      </w:tr>
      <w:tr w14:paraId="15B5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58F903B3">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5D7D926B">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7D2F5053">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755D8FBE">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01D7A68">
            <w:pPr>
              <w:rPr>
                <w:color w:val="000000"/>
              </w:rPr>
            </w:pPr>
          </w:p>
        </w:tc>
      </w:tr>
      <w:tr w14:paraId="27A6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3D5C1004">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58354234">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725265FD">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2D65B277">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1010A1A4">
            <w:pPr>
              <w:rPr>
                <w:color w:val="000000"/>
              </w:rPr>
            </w:pPr>
          </w:p>
        </w:tc>
      </w:tr>
      <w:tr w14:paraId="4F0D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0717503F">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4AEB01A0">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2DFF7A47">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19854C94">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2DACBDEB">
            <w:pPr>
              <w:rPr>
                <w:color w:val="000000"/>
              </w:rPr>
            </w:pPr>
          </w:p>
        </w:tc>
      </w:tr>
      <w:tr w14:paraId="113F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086BB7DB">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2A43BEFC">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3ECDCEAB">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0C0136EA">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7BBDE114">
            <w:pPr>
              <w:rPr>
                <w:color w:val="000000"/>
              </w:rPr>
            </w:pPr>
          </w:p>
        </w:tc>
      </w:tr>
      <w:tr w14:paraId="73CD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4A0B6C17">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235821AC">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2B8FDBE9">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382946D1">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2B79354C">
            <w:pPr>
              <w:rPr>
                <w:color w:val="000000"/>
              </w:rPr>
            </w:pPr>
          </w:p>
        </w:tc>
      </w:tr>
      <w:tr w14:paraId="53CC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3BFCBEEC">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3D2B0989">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5C60BE17">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5E049F22">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0CDCDB4">
            <w:pPr>
              <w:rPr>
                <w:color w:val="000000"/>
              </w:rPr>
            </w:pPr>
          </w:p>
        </w:tc>
      </w:tr>
      <w:tr w14:paraId="40B2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466D1F28">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305C1A99">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035C4ED2">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7A41FDF5">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1133B47C">
            <w:pPr>
              <w:rPr>
                <w:color w:val="000000"/>
              </w:rPr>
            </w:pPr>
          </w:p>
        </w:tc>
      </w:tr>
      <w:tr w14:paraId="281C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00D7D09B">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44D39244">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43B0E239">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14:paraId="3BBD5CAB">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7A50464C">
            <w:pPr>
              <w:rPr>
                <w:color w:val="000000"/>
              </w:rPr>
            </w:pPr>
          </w:p>
        </w:tc>
      </w:tr>
      <w:tr w14:paraId="4661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14:paraId="44575FCA">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14:paraId="03D64E03">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noWrap/>
            <w:vAlign w:val="center"/>
          </w:tcPr>
          <w:p w14:paraId="140BF5DF">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noWrap/>
            <w:vAlign w:val="center"/>
          </w:tcPr>
          <w:p w14:paraId="6DAAED25">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36B5F197">
            <w:pPr>
              <w:spacing w:line="360" w:lineRule="auto"/>
              <w:rPr>
                <w:rFonts w:ascii="宋体" w:hAnsi="宋体" w:cs="宋体"/>
                <w:color w:val="000000"/>
                <w:szCs w:val="21"/>
              </w:rPr>
            </w:pPr>
          </w:p>
        </w:tc>
      </w:tr>
      <w:tr w14:paraId="4E4D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14:paraId="3B73B19B">
            <w:pPr>
              <w:spacing w:line="360" w:lineRule="auto"/>
              <w:ind w:firstLine="420" w:firstLineChars="200"/>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14:paraId="5111D0A4">
            <w:pPr>
              <w:spacing w:line="360" w:lineRule="auto"/>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14:paraId="724E9FBA">
            <w:pPr>
              <w:spacing w:line="360" w:lineRule="auto"/>
              <w:rPr>
                <w:rFonts w:ascii="宋体" w:hAnsi="宋体" w:cs="宋体"/>
                <w:color w:val="000000"/>
                <w:szCs w:val="21"/>
              </w:rPr>
            </w:pPr>
            <w:r>
              <w:rPr>
                <w:rFonts w:hint="eastAsia" w:ascii="宋体" w:hAnsi="宋体"/>
                <w:b/>
                <w:color w:val="000000"/>
                <w:szCs w:val="21"/>
                <w:u w:val="single"/>
              </w:rPr>
              <w:t xml:space="preserve">供应商(盖单位章)：                                 </w:t>
            </w:r>
          </w:p>
        </w:tc>
      </w:tr>
      <w:tr w14:paraId="3B9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14:paraId="25992887">
            <w:pPr>
              <w:ind w:firstLine="420" w:firstLineChars="200"/>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14:paraId="52AAA204">
            <w:pPr>
              <w:ind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14:paraId="33B90ECA">
            <w:pPr>
              <w:ind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tbl>
    <w:p w14:paraId="2E5D8A16">
      <w:pPr>
        <w:pStyle w:val="33"/>
        <w:ind w:left="0" w:firstLine="0"/>
        <w:outlineLvl w:val="9"/>
        <w:rPr>
          <w:color w:val="000000"/>
          <w:sz w:val="21"/>
          <w:szCs w:val="21"/>
        </w:rPr>
        <w:sectPr>
          <w:pgSz w:w="11906" w:h="16838"/>
          <w:pgMar w:top="1440" w:right="1080" w:bottom="1440" w:left="1080" w:header="851" w:footer="992" w:gutter="0"/>
          <w:cols w:space="720" w:num="1"/>
          <w:docGrid w:type="lines" w:linePitch="312" w:charSpace="0"/>
        </w:sectPr>
      </w:pPr>
    </w:p>
    <w:p w14:paraId="5B0C6E79">
      <w:pPr>
        <w:jc w:val="center"/>
        <w:rPr>
          <w:rFonts w:ascii="宋体" w:hAnsi="宋体" w:cs="宋体"/>
          <w:b/>
          <w:color w:val="000000"/>
          <w:szCs w:val="21"/>
        </w:rPr>
      </w:pPr>
    </w:p>
    <w:p w14:paraId="3B90D36B">
      <w:pPr>
        <w:spacing w:line="540" w:lineRule="atLeast"/>
        <w:jc w:val="center"/>
        <w:outlineLvl w:val="1"/>
        <w:rPr>
          <w:rFonts w:ascii="宋体" w:hAnsi="宋体"/>
          <w:b/>
          <w:color w:val="000000"/>
          <w:sz w:val="28"/>
          <w:szCs w:val="28"/>
        </w:rPr>
      </w:pPr>
      <w:bookmarkStart w:id="291" w:name="_Toc2655"/>
      <w:bookmarkStart w:id="292" w:name="_Toc899"/>
      <w:r>
        <w:rPr>
          <w:rFonts w:hint="eastAsia" w:ascii="宋体" w:hAnsi="宋体"/>
          <w:b/>
          <w:color w:val="000000"/>
          <w:sz w:val="28"/>
          <w:szCs w:val="28"/>
        </w:rPr>
        <w:t>九、拟投入本项目人员一览表</w:t>
      </w:r>
      <w:bookmarkEnd w:id="291"/>
      <w:bookmarkEnd w:id="292"/>
    </w:p>
    <w:tbl>
      <w:tblPr>
        <w:tblStyle w:val="27"/>
        <w:tblW w:w="0" w:type="auto"/>
        <w:jc w:val="center"/>
        <w:tblLayout w:type="fixed"/>
        <w:tblCellMar>
          <w:top w:w="0" w:type="dxa"/>
          <w:left w:w="0" w:type="dxa"/>
          <w:bottom w:w="0" w:type="dxa"/>
          <w:right w:w="0" w:type="dxa"/>
        </w:tblCellMar>
      </w:tblPr>
      <w:tblGrid>
        <w:gridCol w:w="902"/>
        <w:gridCol w:w="902"/>
        <w:gridCol w:w="902"/>
        <w:gridCol w:w="902"/>
        <w:gridCol w:w="1047"/>
        <w:gridCol w:w="898"/>
        <w:gridCol w:w="973"/>
        <w:gridCol w:w="729"/>
        <w:gridCol w:w="805"/>
      </w:tblGrid>
      <w:tr w14:paraId="4C513F1D">
        <w:tblPrEx>
          <w:tblCellMar>
            <w:top w:w="0" w:type="dxa"/>
            <w:left w:w="0" w:type="dxa"/>
            <w:bottom w:w="0" w:type="dxa"/>
            <w:right w:w="0" w:type="dxa"/>
          </w:tblCellMar>
        </w:tblPrEx>
        <w:trPr>
          <w:trHeight w:val="536"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14:paraId="7EF7CB2E">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职务</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14:paraId="239C8985">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姓名</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14:paraId="04B86289">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职称</w:t>
            </w:r>
          </w:p>
        </w:tc>
        <w:tc>
          <w:tcPr>
            <w:tcW w:w="902" w:type="dxa"/>
            <w:vMerge w:val="restart"/>
            <w:tcBorders>
              <w:top w:val="single" w:color="000000" w:sz="4" w:space="0"/>
              <w:left w:val="single" w:color="000000" w:sz="4" w:space="0"/>
              <w:right w:val="single" w:color="auto" w:sz="4" w:space="0"/>
            </w:tcBorders>
            <w:vAlign w:val="center"/>
          </w:tcPr>
          <w:p w14:paraId="11422BC6">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年龄</w:t>
            </w:r>
          </w:p>
        </w:tc>
        <w:tc>
          <w:tcPr>
            <w:tcW w:w="3647" w:type="dxa"/>
            <w:gridSpan w:val="4"/>
            <w:tcBorders>
              <w:top w:val="single" w:color="000000" w:sz="4" w:space="0"/>
              <w:left w:val="single" w:color="auto" w:sz="4" w:space="0"/>
              <w:bottom w:val="single" w:color="000000" w:sz="4" w:space="0"/>
              <w:right w:val="single" w:color="000000" w:sz="4" w:space="0"/>
            </w:tcBorders>
            <w:vAlign w:val="center"/>
          </w:tcPr>
          <w:p w14:paraId="789FA478">
            <w:pPr>
              <w:autoSpaceDE w:val="0"/>
              <w:autoSpaceDN w:val="0"/>
              <w:adjustRightInd w:val="0"/>
              <w:spacing w:before="50"/>
              <w:ind w:right="97"/>
              <w:jc w:val="center"/>
              <w:rPr>
                <w:rFonts w:ascii="宋体" w:hAnsi="宋体" w:cs="宋体"/>
                <w:b/>
                <w:color w:val="000000"/>
                <w:spacing w:val="1"/>
                <w:kern w:val="0"/>
                <w:szCs w:val="21"/>
              </w:rPr>
            </w:pPr>
            <w:r>
              <w:rPr>
                <w:rFonts w:hint="eastAsia" w:ascii="宋体" w:hAnsi="宋体" w:cs="宋体"/>
                <w:b/>
                <w:color w:val="000000"/>
                <w:spacing w:val="1"/>
                <w:kern w:val="0"/>
                <w:szCs w:val="21"/>
              </w:rPr>
              <w:t>执业或职业资格证明</w:t>
            </w:r>
          </w:p>
        </w:tc>
        <w:tc>
          <w:tcPr>
            <w:tcW w:w="805" w:type="dxa"/>
            <w:vMerge w:val="restart"/>
            <w:tcBorders>
              <w:top w:val="single" w:color="000000" w:sz="4" w:space="0"/>
              <w:left w:val="single" w:color="000000" w:sz="4" w:space="0"/>
              <w:right w:val="single" w:color="000000" w:sz="4" w:space="0"/>
            </w:tcBorders>
            <w:vAlign w:val="center"/>
          </w:tcPr>
          <w:p w14:paraId="42402085">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备注</w:t>
            </w:r>
          </w:p>
        </w:tc>
      </w:tr>
      <w:tr w14:paraId="036A79E1">
        <w:tblPrEx>
          <w:tblCellMar>
            <w:top w:w="0" w:type="dxa"/>
            <w:left w:w="0" w:type="dxa"/>
            <w:bottom w:w="0" w:type="dxa"/>
            <w:right w:w="0" w:type="dxa"/>
          </w:tblCellMar>
        </w:tblPrEx>
        <w:trPr>
          <w:trHeight w:val="64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7F7F285E">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0BDEE8BF">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14:paraId="65C4B268">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left w:val="single" w:color="000000" w:sz="4" w:space="0"/>
              <w:bottom w:val="single" w:color="000000" w:sz="4" w:space="0"/>
              <w:right w:val="single" w:color="auto" w:sz="4" w:space="0"/>
            </w:tcBorders>
            <w:vAlign w:val="center"/>
          </w:tcPr>
          <w:p w14:paraId="69746DC0">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7FAC0D53">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证书名称</w:t>
            </w:r>
          </w:p>
        </w:tc>
        <w:tc>
          <w:tcPr>
            <w:tcW w:w="898" w:type="dxa"/>
            <w:tcBorders>
              <w:top w:val="single" w:color="000000" w:sz="4" w:space="0"/>
              <w:left w:val="single" w:color="000000" w:sz="4" w:space="0"/>
              <w:bottom w:val="single" w:color="000000" w:sz="4" w:space="0"/>
              <w:right w:val="single" w:color="000000" w:sz="4" w:space="0"/>
            </w:tcBorders>
            <w:vAlign w:val="center"/>
          </w:tcPr>
          <w:p w14:paraId="4D2744D7">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级别</w:t>
            </w:r>
          </w:p>
        </w:tc>
        <w:tc>
          <w:tcPr>
            <w:tcW w:w="973" w:type="dxa"/>
            <w:tcBorders>
              <w:top w:val="single" w:color="000000" w:sz="4" w:space="0"/>
              <w:left w:val="single" w:color="000000" w:sz="4" w:space="0"/>
              <w:bottom w:val="single" w:color="000000" w:sz="4" w:space="0"/>
              <w:right w:val="single" w:color="000000" w:sz="4" w:space="0"/>
            </w:tcBorders>
            <w:vAlign w:val="center"/>
          </w:tcPr>
          <w:p w14:paraId="7D8EEF7C">
            <w:pPr>
              <w:autoSpaceDE w:val="0"/>
              <w:autoSpaceDN w:val="0"/>
              <w:adjustRightInd w:val="0"/>
              <w:spacing w:before="49"/>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证号</w:t>
            </w:r>
          </w:p>
        </w:tc>
        <w:tc>
          <w:tcPr>
            <w:tcW w:w="729" w:type="dxa"/>
            <w:tcBorders>
              <w:top w:val="single" w:color="000000" w:sz="4" w:space="0"/>
              <w:left w:val="single" w:color="000000" w:sz="4" w:space="0"/>
              <w:bottom w:val="single" w:color="000000" w:sz="4" w:space="0"/>
              <w:right w:val="single" w:color="000000" w:sz="4" w:space="0"/>
            </w:tcBorders>
            <w:vAlign w:val="center"/>
          </w:tcPr>
          <w:p w14:paraId="2BE0C7E3">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专业</w:t>
            </w:r>
          </w:p>
        </w:tc>
        <w:tc>
          <w:tcPr>
            <w:tcW w:w="805" w:type="dxa"/>
            <w:vMerge w:val="continue"/>
            <w:tcBorders>
              <w:left w:val="single" w:color="000000" w:sz="4" w:space="0"/>
              <w:bottom w:val="single" w:color="000000" w:sz="4" w:space="0"/>
              <w:right w:val="single" w:color="000000" w:sz="4" w:space="0"/>
            </w:tcBorders>
            <w:vAlign w:val="center"/>
          </w:tcPr>
          <w:p w14:paraId="36B53568">
            <w:pPr>
              <w:autoSpaceDE w:val="0"/>
              <w:autoSpaceDN w:val="0"/>
              <w:adjustRightInd w:val="0"/>
              <w:ind w:right="97" w:firstLine="60" w:firstLineChars="28"/>
              <w:jc w:val="center"/>
              <w:rPr>
                <w:rFonts w:ascii="宋体" w:hAnsi="宋体" w:cs="宋体"/>
                <w:b/>
                <w:color w:val="000000"/>
                <w:spacing w:val="1"/>
                <w:kern w:val="0"/>
                <w:szCs w:val="21"/>
              </w:rPr>
            </w:pPr>
          </w:p>
        </w:tc>
      </w:tr>
      <w:tr w14:paraId="36CF9F5E">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4B366AB2">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7B3D689B">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7726736C">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34B053F4">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32BC7733">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29A0E169">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4066C6A9">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0A9FD883">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58AE79B8">
            <w:pPr>
              <w:autoSpaceDE w:val="0"/>
              <w:autoSpaceDN w:val="0"/>
              <w:adjustRightInd w:val="0"/>
              <w:spacing w:before="50"/>
              <w:ind w:right="97" w:firstLine="60" w:firstLineChars="28"/>
              <w:jc w:val="center"/>
              <w:rPr>
                <w:rFonts w:ascii="宋体" w:hAnsi="宋体" w:cs="宋体"/>
                <w:b/>
                <w:color w:val="000000"/>
                <w:spacing w:val="1"/>
                <w:kern w:val="0"/>
                <w:szCs w:val="21"/>
              </w:rPr>
            </w:pPr>
          </w:p>
        </w:tc>
      </w:tr>
      <w:tr w14:paraId="25EBB330">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595C40C4">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58663CC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97F5BA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18A2D36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6E58FB9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2CDF6C6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7B2684C6">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645C1EF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4E84F50E">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73A61C66">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1AD2231F">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193E204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834972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5A7645D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0B3B9F8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6D1C238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665A6A1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3B4BFAE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2CDBF13F">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00D27A97">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7C1B6F3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0F18F18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57DF71B0">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5CA1D591">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0BB73BB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4ED4CD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7A847DDC">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2DEE7E38">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304C6BB5">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3A4EBD0C">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4294F438">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09C68B7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5B75B49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0F5E861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07BF80A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171EE528">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2814959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2A16B91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2553C476">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6D8F6972">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1F43719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2F67B74">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3F44C591">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2754025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5E527721">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5BC8D80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5478C71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15DA22B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75EA2303">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6946A93D">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3138BB0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2DDDBAC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75DC1CD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485F6D7F">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5BD21C31">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B910860">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68AE717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016AFFB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4F50C3E9">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22186ACD">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6A557181">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3C75DA3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0B55572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614CC82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48195C6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1B85C78F">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50B6FAE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21040F9C">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703AD05E">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39F38AF3">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6E3A5CA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740A413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D32DE1B">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299458B4">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07F6F44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50E8B17C">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2AA16C5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726FF2C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3C649134">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7AEBC7E6">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20D0D9C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3E49016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0D6CD81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6525464C">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3BEFF728">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1EE091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5221FCE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043D2F1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6FC77436">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42D44D14">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306B2416">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1F0F8A64">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7B3B410">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3F54B0D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28AB1FE3">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39D2D27C">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355F12D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2FA33D58">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5C10A25B">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38CE7E1E">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56381CA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02E1E17C">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60D23DA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54CDD16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7DB77EC6">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2C7F94D0">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39812AA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0EE282B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6AB7BE23">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1E3E6A68">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5BF89076">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2DEF5D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59A1F06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57FBAE6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21C92518">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05912FD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3748801F">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526C2CC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2AD11735">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3ADB6FD7">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65B2631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3CF0F0B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7A896A4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562520E9">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4B7A746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AFC9310">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3D21D627">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051C46B2">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00615F16">
            <w:pPr>
              <w:autoSpaceDE w:val="0"/>
              <w:autoSpaceDN w:val="0"/>
              <w:adjustRightInd w:val="0"/>
              <w:spacing w:before="50"/>
              <w:ind w:right="97" w:firstLine="59" w:firstLineChars="28"/>
              <w:jc w:val="center"/>
              <w:rPr>
                <w:rFonts w:ascii="宋体" w:hAnsi="宋体" w:cs="宋体"/>
                <w:color w:val="000000"/>
                <w:spacing w:val="1"/>
                <w:kern w:val="0"/>
                <w:szCs w:val="21"/>
              </w:rPr>
            </w:pPr>
          </w:p>
        </w:tc>
      </w:tr>
      <w:tr w14:paraId="47D11605">
        <w:tblPrEx>
          <w:tblCellMar>
            <w:top w:w="0" w:type="dxa"/>
            <w:left w:w="0" w:type="dxa"/>
            <w:bottom w:w="0" w:type="dxa"/>
            <w:right w:w="0" w:type="dxa"/>
          </w:tblCellMar>
        </w:tblPrEx>
        <w:trPr>
          <w:trHeight w:val="54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14:paraId="66C29D6E">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10C7697D">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14:paraId="479378A1">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14:paraId="2CEA03B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5865640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52EC2064">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2F61F065">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14:paraId="4E51D6DA">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14:paraId="40B87639">
            <w:pPr>
              <w:autoSpaceDE w:val="0"/>
              <w:autoSpaceDN w:val="0"/>
              <w:adjustRightInd w:val="0"/>
              <w:spacing w:before="50"/>
              <w:ind w:right="97" w:firstLine="59" w:firstLineChars="28"/>
              <w:jc w:val="center"/>
              <w:rPr>
                <w:rFonts w:ascii="宋体" w:hAnsi="宋体" w:cs="宋体"/>
                <w:color w:val="000000"/>
                <w:spacing w:val="1"/>
                <w:kern w:val="0"/>
                <w:szCs w:val="21"/>
              </w:rPr>
            </w:pPr>
          </w:p>
        </w:tc>
      </w:tr>
    </w:tbl>
    <w:p w14:paraId="2882369C">
      <w:pPr>
        <w:spacing w:line="360" w:lineRule="auto"/>
        <w:jc w:val="left"/>
        <w:rPr>
          <w:rFonts w:ascii="宋体" w:hAnsi="宋体" w:cs="宋体"/>
          <w:color w:val="000000"/>
          <w:szCs w:val="21"/>
        </w:rPr>
      </w:pPr>
    </w:p>
    <w:p w14:paraId="5972AACC">
      <w:pPr>
        <w:spacing w:line="360" w:lineRule="auto"/>
        <w:jc w:val="left"/>
        <w:rPr>
          <w:rFonts w:ascii="宋体" w:hAnsi="宋体" w:cs="宋体"/>
          <w:color w:val="000000"/>
          <w:szCs w:val="21"/>
        </w:rPr>
      </w:pPr>
    </w:p>
    <w:p w14:paraId="51CAEFA9">
      <w:pPr>
        <w:spacing w:line="360" w:lineRule="auto"/>
        <w:jc w:val="left"/>
        <w:rPr>
          <w:rFonts w:ascii="宋体" w:hAnsi="宋体" w:cs="宋体"/>
          <w:color w:val="000000"/>
          <w:szCs w:val="21"/>
        </w:rPr>
      </w:pPr>
      <w:r>
        <w:rPr>
          <w:rFonts w:hint="eastAsia" w:ascii="宋体" w:hAnsi="宋体" w:cs="宋体"/>
          <w:color w:val="000000"/>
          <w:szCs w:val="21"/>
        </w:rPr>
        <w:t>注：后附拟投入本项目人员相关材料复印件。</w:t>
      </w:r>
    </w:p>
    <w:p w14:paraId="2C093B0F">
      <w:pPr>
        <w:autoSpaceDE w:val="0"/>
        <w:autoSpaceDN w:val="0"/>
        <w:adjustRightInd w:val="0"/>
        <w:spacing w:line="360" w:lineRule="auto"/>
        <w:jc w:val="left"/>
        <w:rPr>
          <w:rFonts w:ascii="宋体" w:hAnsi="宋体" w:cs="宋体"/>
          <w:color w:val="000000"/>
          <w:kern w:val="0"/>
          <w:szCs w:val="21"/>
        </w:rPr>
      </w:pPr>
    </w:p>
    <w:p w14:paraId="74050B8D">
      <w:pPr>
        <w:spacing w:line="360" w:lineRule="auto"/>
        <w:ind w:left="2520" w:leftChars="1200"/>
        <w:rPr>
          <w:rFonts w:ascii="宋体" w:hAnsi="宋体" w:cs="宋体"/>
          <w:color w:val="000000"/>
          <w:szCs w:val="21"/>
        </w:rPr>
      </w:pPr>
      <w:r>
        <w:rPr>
          <w:rFonts w:hint="eastAsia" w:ascii="宋体" w:hAnsi="宋体" w:cs="宋体"/>
          <w:color w:val="000000"/>
          <w:szCs w:val="21"/>
        </w:rPr>
        <w:t>供应商名称：（加盖单位公章）</w:t>
      </w:r>
    </w:p>
    <w:p w14:paraId="47D08046">
      <w:pPr>
        <w:spacing w:line="360" w:lineRule="auto"/>
        <w:ind w:left="2520" w:leftChars="1200"/>
        <w:rPr>
          <w:rFonts w:ascii="宋体" w:hAnsi="宋体" w:cs="宋体"/>
          <w:color w:val="000000"/>
          <w:kern w:val="0"/>
          <w:szCs w:val="21"/>
        </w:rPr>
      </w:pPr>
      <w:r>
        <w:rPr>
          <w:rFonts w:hint="eastAsia" w:ascii="宋体" w:hAnsi="宋体" w:cs="宋体"/>
          <w:color w:val="000000"/>
          <w:szCs w:val="21"/>
        </w:rPr>
        <w:t>法定代表人或其委托代理人：（签字或盖章）</w:t>
      </w:r>
    </w:p>
    <w:p w14:paraId="7E42ED83">
      <w:pPr>
        <w:autoSpaceDE w:val="0"/>
        <w:autoSpaceDN w:val="0"/>
        <w:adjustRightInd w:val="0"/>
        <w:spacing w:line="360" w:lineRule="auto"/>
        <w:ind w:left="2520" w:leftChars="1200" w:right="481" w:rightChars="229"/>
        <w:rPr>
          <w:rFonts w:ascii="宋体" w:hAnsi="宋体" w:cs="宋体"/>
          <w:color w:val="000000"/>
          <w:kern w:val="0"/>
          <w:szCs w:val="21"/>
        </w:rPr>
      </w:pPr>
      <w:r>
        <w:rPr>
          <w:rFonts w:hint="eastAsia" w:ascii="宋体" w:hAnsi="宋体" w:cs="宋体"/>
          <w:color w:val="000000"/>
          <w:kern w:val="0"/>
          <w:szCs w:val="21"/>
        </w:rPr>
        <w:t>日    期：年月日</w:t>
      </w:r>
    </w:p>
    <w:p w14:paraId="3A15DE67">
      <w:pPr>
        <w:jc w:val="center"/>
        <w:rPr>
          <w:rFonts w:ascii="宋体" w:hAnsi="宋体" w:cs="宋体"/>
          <w:b/>
          <w:color w:val="000000"/>
          <w:sz w:val="28"/>
          <w:szCs w:val="28"/>
        </w:rPr>
      </w:pPr>
    </w:p>
    <w:p w14:paraId="26B653D2">
      <w:pPr>
        <w:pStyle w:val="12"/>
      </w:pPr>
    </w:p>
    <w:p w14:paraId="6D207861">
      <w:pPr>
        <w:pStyle w:val="6"/>
        <w:jc w:val="center"/>
        <w:rPr>
          <w:sz w:val="24"/>
        </w:rPr>
      </w:pPr>
      <w:bookmarkStart w:id="293" w:name="_Toc21846"/>
      <w:bookmarkStart w:id="294" w:name="_Toc18588"/>
      <w:r>
        <w:rPr>
          <w:rFonts w:hint="eastAsia"/>
        </w:rPr>
        <w:t>投标人基本情况表</w:t>
      </w:r>
      <w:bookmarkEnd w:id="293"/>
      <w:bookmarkEnd w:id="294"/>
    </w:p>
    <w:tbl>
      <w:tblPr>
        <w:tblStyle w:val="27"/>
        <w:tblW w:w="0" w:type="auto"/>
        <w:jc w:val="center"/>
        <w:tblLayout w:type="fixed"/>
        <w:tblCellMar>
          <w:top w:w="0" w:type="dxa"/>
          <w:left w:w="0" w:type="dxa"/>
          <w:bottom w:w="0" w:type="dxa"/>
          <w:right w:w="0" w:type="dxa"/>
        </w:tblCellMar>
      </w:tblPr>
      <w:tblGrid>
        <w:gridCol w:w="1485"/>
        <w:gridCol w:w="900"/>
        <w:gridCol w:w="1021"/>
        <w:gridCol w:w="993"/>
        <w:gridCol w:w="285"/>
        <w:gridCol w:w="195"/>
        <w:gridCol w:w="1246"/>
        <w:gridCol w:w="260"/>
        <w:gridCol w:w="709"/>
        <w:gridCol w:w="1416"/>
      </w:tblGrid>
      <w:tr w14:paraId="1A384244">
        <w:tblPrEx>
          <w:tblCellMar>
            <w:top w:w="0" w:type="dxa"/>
            <w:left w:w="0" w:type="dxa"/>
            <w:bottom w:w="0" w:type="dxa"/>
            <w:right w:w="0" w:type="dxa"/>
          </w:tblCellMar>
        </w:tblPrEx>
        <w:trPr>
          <w:trHeight w:val="567" w:hRule="atLeast"/>
          <w:jc w:val="center"/>
        </w:trPr>
        <w:tc>
          <w:tcPr>
            <w:tcW w:w="14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A3CEDF">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投标人名称</w:t>
            </w:r>
          </w:p>
        </w:tc>
        <w:tc>
          <w:tcPr>
            <w:tcW w:w="7025" w:type="dxa"/>
            <w:gridSpan w:val="9"/>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C58F4CF">
            <w:pPr>
              <w:widowControl/>
              <w:jc w:val="left"/>
              <w:rPr>
                <w:rFonts w:ascii="宋体" w:hAnsi="宋体" w:cs="宋体"/>
                <w:kern w:val="0"/>
                <w:szCs w:val="21"/>
              </w:rPr>
            </w:pPr>
          </w:p>
        </w:tc>
      </w:tr>
      <w:tr w14:paraId="3F0E1F17">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02252AF">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注册地址</w:t>
            </w:r>
          </w:p>
        </w:tc>
        <w:tc>
          <w:tcPr>
            <w:tcW w:w="3394"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0B9256FC">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AABCD66">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邮政编码</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9A4A98E">
            <w:pPr>
              <w:widowControl/>
              <w:jc w:val="left"/>
              <w:rPr>
                <w:rFonts w:ascii="宋体" w:hAnsi="宋体" w:cs="宋体"/>
                <w:kern w:val="0"/>
                <w:szCs w:val="21"/>
              </w:rPr>
            </w:pPr>
          </w:p>
        </w:tc>
      </w:tr>
      <w:tr w14:paraId="0D08B7CF">
        <w:tblPrEx>
          <w:tblCellMar>
            <w:top w:w="0" w:type="dxa"/>
            <w:left w:w="0" w:type="dxa"/>
            <w:bottom w:w="0" w:type="dxa"/>
            <w:right w:w="0" w:type="dxa"/>
          </w:tblCellMar>
        </w:tblPrEx>
        <w:trPr>
          <w:trHeight w:val="567" w:hRule="atLeast"/>
          <w:jc w:val="center"/>
        </w:trPr>
        <w:tc>
          <w:tcPr>
            <w:tcW w:w="148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05686E">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联系方式</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46C6383">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联系人</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7EBAB081">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87690C">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 话</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FD203A9">
            <w:pPr>
              <w:widowControl/>
              <w:jc w:val="left"/>
              <w:rPr>
                <w:rFonts w:ascii="宋体" w:hAnsi="宋体" w:cs="宋体"/>
                <w:kern w:val="0"/>
                <w:szCs w:val="21"/>
              </w:rPr>
            </w:pPr>
          </w:p>
        </w:tc>
      </w:tr>
      <w:tr w14:paraId="10E9D682">
        <w:tblPrEx>
          <w:tblCellMar>
            <w:top w:w="0" w:type="dxa"/>
            <w:left w:w="0" w:type="dxa"/>
            <w:bottom w:w="0" w:type="dxa"/>
            <w:right w:w="0" w:type="dxa"/>
          </w:tblCellMar>
        </w:tblPrEx>
        <w:trPr>
          <w:trHeight w:val="567" w:hRule="atLeast"/>
          <w:jc w:val="center"/>
        </w:trPr>
        <w:tc>
          <w:tcPr>
            <w:tcW w:w="1485" w:type="dxa"/>
            <w:vMerge w:val="continue"/>
            <w:tcBorders>
              <w:top w:val="nil"/>
              <w:left w:val="single" w:color="auto" w:sz="8" w:space="0"/>
              <w:bottom w:val="single" w:color="auto" w:sz="8" w:space="0"/>
              <w:right w:val="single" w:color="auto" w:sz="8" w:space="0"/>
            </w:tcBorders>
            <w:noWrap/>
            <w:vAlign w:val="center"/>
          </w:tcPr>
          <w:p w14:paraId="675E6022">
            <w:pPr>
              <w:widowControl/>
              <w:jc w:val="left"/>
              <w:rPr>
                <w:rFonts w:ascii="宋体" w:hAnsi="宋体" w:cs="宋体"/>
                <w:kern w:val="0"/>
                <w:szCs w:val="21"/>
              </w:rPr>
            </w:pP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6FC02E">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传 真</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64335C48">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14C0BCE">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网 址</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D879316">
            <w:pPr>
              <w:widowControl/>
              <w:jc w:val="left"/>
              <w:rPr>
                <w:rFonts w:ascii="宋体" w:hAnsi="宋体" w:cs="宋体"/>
                <w:kern w:val="0"/>
                <w:szCs w:val="21"/>
              </w:rPr>
            </w:pPr>
          </w:p>
        </w:tc>
      </w:tr>
      <w:tr w14:paraId="530D331E">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B428C58">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组织结构</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14:paraId="724D11F4">
            <w:pPr>
              <w:widowControl/>
              <w:jc w:val="left"/>
              <w:rPr>
                <w:rFonts w:ascii="宋体" w:hAnsi="宋体" w:cs="宋体"/>
                <w:kern w:val="0"/>
                <w:szCs w:val="21"/>
              </w:rPr>
            </w:pPr>
          </w:p>
        </w:tc>
      </w:tr>
      <w:tr w14:paraId="4CC40805">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A54AE4">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法定代表人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8B42B86">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7D3844">
            <w:pPr>
              <w:widowControl/>
              <w:jc w:val="left"/>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8C4925A">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72A1361">
            <w:pPr>
              <w:widowControl/>
              <w:jc w:val="left"/>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B19F54">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3EE517">
            <w:pPr>
              <w:widowControl/>
              <w:jc w:val="left"/>
              <w:rPr>
                <w:rFonts w:ascii="宋体" w:hAnsi="宋体" w:cs="宋体"/>
                <w:kern w:val="0"/>
                <w:szCs w:val="21"/>
              </w:rPr>
            </w:pPr>
          </w:p>
        </w:tc>
      </w:tr>
      <w:tr w14:paraId="3EE911DE">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434FB9">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技术负责人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2FD352">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A737EF0">
            <w:pPr>
              <w:widowControl/>
              <w:jc w:val="left"/>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7482EA7">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4900CE5">
            <w:pPr>
              <w:widowControl/>
              <w:jc w:val="left"/>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A8AD5E">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395C33A">
            <w:pPr>
              <w:widowControl/>
              <w:jc w:val="left"/>
              <w:rPr>
                <w:rFonts w:ascii="宋体" w:hAnsi="宋体" w:cs="宋体"/>
                <w:kern w:val="0"/>
                <w:szCs w:val="21"/>
              </w:rPr>
            </w:pPr>
          </w:p>
        </w:tc>
      </w:tr>
      <w:tr w14:paraId="72B361A1">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CF4A1E">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成立时间</w:t>
            </w:r>
          </w:p>
        </w:tc>
        <w:tc>
          <w:tcPr>
            <w:tcW w:w="192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37989D1">
            <w:pPr>
              <w:widowControl/>
              <w:jc w:val="left"/>
              <w:rPr>
                <w:rFonts w:ascii="宋体" w:hAnsi="宋体" w:cs="宋体"/>
                <w:kern w:val="0"/>
                <w:szCs w:val="21"/>
              </w:rPr>
            </w:pPr>
          </w:p>
        </w:tc>
        <w:tc>
          <w:tcPr>
            <w:tcW w:w="5104"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BA7E3A7">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员工总人数：</w:t>
            </w:r>
          </w:p>
        </w:tc>
      </w:tr>
      <w:tr w14:paraId="3D52A970">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AEDB32">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企业资质等级</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2DA9C0">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3AC66CD">
            <w:pPr>
              <w:widowControl/>
              <w:jc w:val="left"/>
              <w:rPr>
                <w:rFonts w:ascii="宋体" w:hAnsi="宋体" w:cs="宋体"/>
                <w:kern w:val="0"/>
                <w:szCs w:val="21"/>
              </w:rPr>
            </w:pPr>
          </w:p>
        </w:tc>
        <w:tc>
          <w:tcPr>
            <w:tcW w:w="993"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59FFD79">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其中</w:t>
            </w: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4D4FED03">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项目经理</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729A7C2">
            <w:pPr>
              <w:widowControl/>
              <w:jc w:val="left"/>
              <w:rPr>
                <w:rFonts w:ascii="宋体" w:hAnsi="宋体" w:cs="宋体"/>
                <w:kern w:val="0"/>
                <w:szCs w:val="21"/>
              </w:rPr>
            </w:pPr>
          </w:p>
        </w:tc>
      </w:tr>
      <w:tr w14:paraId="49668921">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14:paraId="5B87A6CC">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营业执照号</w:t>
            </w:r>
          </w:p>
        </w:tc>
        <w:tc>
          <w:tcPr>
            <w:tcW w:w="900" w:type="dxa"/>
            <w:tcBorders>
              <w:top w:val="nil"/>
              <w:left w:val="nil"/>
              <w:bottom w:val="single" w:color="auto" w:sz="8" w:space="0"/>
              <w:right w:val="single" w:color="auto" w:sz="8" w:space="0"/>
            </w:tcBorders>
            <w:noWrap/>
            <w:vAlign w:val="center"/>
          </w:tcPr>
          <w:p w14:paraId="6B857D9E">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14:paraId="3D4C8CBA">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14:paraId="66DBF82D">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4405E75F">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高级职称人员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C0D78BA">
            <w:pPr>
              <w:widowControl/>
              <w:jc w:val="left"/>
              <w:rPr>
                <w:rFonts w:ascii="宋体" w:hAnsi="宋体" w:cs="宋体"/>
                <w:kern w:val="0"/>
                <w:szCs w:val="21"/>
              </w:rPr>
            </w:pPr>
          </w:p>
        </w:tc>
      </w:tr>
      <w:tr w14:paraId="784483D7">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14:paraId="78561F49">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注册资金</w:t>
            </w:r>
          </w:p>
        </w:tc>
        <w:tc>
          <w:tcPr>
            <w:tcW w:w="900" w:type="dxa"/>
            <w:tcBorders>
              <w:top w:val="nil"/>
              <w:left w:val="nil"/>
              <w:bottom w:val="single" w:color="auto" w:sz="8" w:space="0"/>
              <w:right w:val="single" w:color="auto" w:sz="8" w:space="0"/>
            </w:tcBorders>
            <w:noWrap/>
            <w:vAlign w:val="center"/>
          </w:tcPr>
          <w:p w14:paraId="3EA85BBE">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14:paraId="7114D026">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14:paraId="05D6F98A">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6F7918E2">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中级职称人员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C148F70">
            <w:pPr>
              <w:widowControl/>
              <w:jc w:val="left"/>
              <w:rPr>
                <w:rFonts w:ascii="宋体" w:hAnsi="宋体" w:cs="宋体"/>
                <w:kern w:val="0"/>
                <w:szCs w:val="21"/>
              </w:rPr>
            </w:pPr>
          </w:p>
        </w:tc>
      </w:tr>
      <w:tr w14:paraId="12CA2524">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14:paraId="36E04DEF">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开户银行</w:t>
            </w:r>
          </w:p>
        </w:tc>
        <w:tc>
          <w:tcPr>
            <w:tcW w:w="900" w:type="dxa"/>
            <w:tcBorders>
              <w:top w:val="nil"/>
              <w:left w:val="nil"/>
              <w:bottom w:val="single" w:color="auto" w:sz="8" w:space="0"/>
              <w:right w:val="single" w:color="auto" w:sz="8" w:space="0"/>
            </w:tcBorders>
            <w:noWrap/>
            <w:vAlign w:val="center"/>
          </w:tcPr>
          <w:p w14:paraId="6B1DA883">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14:paraId="56858995">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14:paraId="47172C99">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6891C3D6">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初级职称人员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2BDA963">
            <w:pPr>
              <w:widowControl/>
              <w:jc w:val="left"/>
              <w:rPr>
                <w:rFonts w:ascii="宋体" w:hAnsi="宋体" w:cs="宋体"/>
                <w:kern w:val="0"/>
                <w:szCs w:val="21"/>
              </w:rPr>
            </w:pPr>
          </w:p>
        </w:tc>
      </w:tr>
      <w:tr w14:paraId="030CDE8D">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14:paraId="6F9C49D4">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账号</w:t>
            </w:r>
          </w:p>
        </w:tc>
        <w:tc>
          <w:tcPr>
            <w:tcW w:w="900" w:type="dxa"/>
            <w:tcBorders>
              <w:top w:val="nil"/>
              <w:left w:val="nil"/>
              <w:bottom w:val="single" w:color="auto" w:sz="8" w:space="0"/>
              <w:right w:val="single" w:color="auto" w:sz="8" w:space="0"/>
            </w:tcBorders>
            <w:noWrap/>
            <w:vAlign w:val="center"/>
          </w:tcPr>
          <w:p w14:paraId="4E137534">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14:paraId="2632B3ED">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14:paraId="4B035403">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79DCFAED">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 工</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4A9EA9F">
            <w:pPr>
              <w:widowControl/>
              <w:jc w:val="left"/>
              <w:rPr>
                <w:rFonts w:ascii="宋体" w:hAnsi="宋体" w:cs="宋体"/>
                <w:kern w:val="0"/>
                <w:szCs w:val="21"/>
              </w:rPr>
            </w:pPr>
          </w:p>
        </w:tc>
      </w:tr>
      <w:tr w14:paraId="718407D9">
        <w:tblPrEx>
          <w:tblCellMar>
            <w:top w:w="0" w:type="dxa"/>
            <w:left w:w="0" w:type="dxa"/>
            <w:bottom w:w="0" w:type="dxa"/>
            <w:right w:w="0" w:type="dxa"/>
          </w:tblCellMar>
        </w:tblPrEx>
        <w:trPr>
          <w:trHeight w:val="2172"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0B8337">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经营范围</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14:paraId="6E1159EA">
            <w:pPr>
              <w:widowControl/>
              <w:jc w:val="left"/>
              <w:rPr>
                <w:rFonts w:ascii="宋体" w:hAnsi="宋体" w:cs="宋体"/>
                <w:kern w:val="0"/>
                <w:szCs w:val="21"/>
              </w:rPr>
            </w:pPr>
          </w:p>
        </w:tc>
      </w:tr>
      <w:tr w14:paraId="78E49F83">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39957B">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备注</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14:paraId="63EF285C">
            <w:pPr>
              <w:widowControl/>
              <w:jc w:val="left"/>
              <w:rPr>
                <w:rFonts w:ascii="宋体" w:hAnsi="宋体" w:cs="宋体"/>
                <w:kern w:val="0"/>
                <w:szCs w:val="21"/>
              </w:rPr>
            </w:pPr>
          </w:p>
        </w:tc>
      </w:tr>
    </w:tbl>
    <w:p w14:paraId="77B670AA">
      <w:pPr>
        <w:widowControl/>
        <w:shd w:val="clear" w:color="auto" w:fill="FFFFFF"/>
        <w:snapToGrid w:val="0"/>
        <w:spacing w:before="100" w:beforeAutospacing="1" w:after="100" w:afterAutospacing="1" w:line="360" w:lineRule="auto"/>
        <w:rPr>
          <w:rFonts w:ascii="新宋体" w:hAnsi="新宋体" w:eastAsia="新宋体" w:cs="宋体"/>
          <w:b/>
          <w:bCs/>
          <w:kern w:val="0"/>
          <w:sz w:val="28"/>
          <w:szCs w:val="28"/>
        </w:rPr>
      </w:pPr>
    </w:p>
    <w:p w14:paraId="2C9E45B0">
      <w:pPr>
        <w:widowControl/>
        <w:shd w:val="clear" w:color="auto" w:fill="FFFFFF"/>
        <w:snapToGrid w:val="0"/>
        <w:spacing w:before="100" w:beforeAutospacing="1" w:after="100" w:afterAutospacing="1" w:line="360" w:lineRule="auto"/>
        <w:rPr>
          <w:rFonts w:ascii="新宋体" w:hAnsi="新宋体" w:eastAsia="新宋体" w:cs="宋体"/>
          <w:b/>
          <w:bCs/>
          <w:kern w:val="0"/>
          <w:sz w:val="28"/>
          <w:szCs w:val="28"/>
        </w:rPr>
      </w:pPr>
    </w:p>
    <w:p w14:paraId="68FC9F7D">
      <w:pPr>
        <w:pStyle w:val="9"/>
      </w:pPr>
    </w:p>
    <w:p w14:paraId="0163D903">
      <w:pPr>
        <w:pStyle w:val="12"/>
      </w:pPr>
    </w:p>
    <w:p w14:paraId="5CB918B5">
      <w:pPr>
        <w:pStyle w:val="12"/>
      </w:pPr>
    </w:p>
    <w:p w14:paraId="6BC0FE01">
      <w:pPr>
        <w:pStyle w:val="6"/>
        <w:jc w:val="center"/>
        <w:rPr>
          <w:rFonts w:ascii="宋体"/>
          <w:sz w:val="24"/>
        </w:rPr>
      </w:pPr>
      <w:bookmarkStart w:id="295" w:name="_Toc1038"/>
      <w:bookmarkStart w:id="296" w:name="_Toc2710"/>
      <w:r>
        <w:rPr>
          <w:rFonts w:hint="eastAsia"/>
        </w:rPr>
        <w:t>投标人近年完成的类似项目情况表</w:t>
      </w:r>
      <w:bookmarkEnd w:id="295"/>
      <w:bookmarkEnd w:id="296"/>
    </w:p>
    <w:tbl>
      <w:tblPr>
        <w:tblStyle w:val="27"/>
        <w:tblW w:w="0" w:type="auto"/>
        <w:jc w:val="center"/>
        <w:tblLayout w:type="fixed"/>
        <w:tblCellMar>
          <w:top w:w="0" w:type="dxa"/>
          <w:left w:w="0" w:type="dxa"/>
          <w:bottom w:w="0" w:type="dxa"/>
          <w:right w:w="0" w:type="dxa"/>
        </w:tblCellMar>
      </w:tblPr>
      <w:tblGrid>
        <w:gridCol w:w="2411"/>
        <w:gridCol w:w="6094"/>
      </w:tblGrid>
      <w:tr w14:paraId="278E7638">
        <w:tblPrEx>
          <w:tblCellMar>
            <w:top w:w="0" w:type="dxa"/>
            <w:left w:w="0" w:type="dxa"/>
            <w:bottom w:w="0" w:type="dxa"/>
            <w:right w:w="0" w:type="dxa"/>
          </w:tblCellMar>
        </w:tblPrEx>
        <w:trPr>
          <w:trHeight w:val="624" w:hRule="atLeast"/>
          <w:jc w:val="center"/>
        </w:trPr>
        <w:tc>
          <w:tcPr>
            <w:tcW w:w="241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7531D5">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项目名称</w:t>
            </w:r>
          </w:p>
        </w:tc>
        <w:tc>
          <w:tcPr>
            <w:tcW w:w="60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B2A0D3F">
            <w:pPr>
              <w:widowControl/>
              <w:jc w:val="left"/>
              <w:rPr>
                <w:rFonts w:ascii="宋体" w:hAnsi="宋体" w:cs="宋体"/>
                <w:kern w:val="0"/>
                <w:szCs w:val="21"/>
              </w:rPr>
            </w:pPr>
          </w:p>
        </w:tc>
      </w:tr>
      <w:tr w14:paraId="3F6B59A9">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9D20428">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项目所在地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08ED291">
            <w:pPr>
              <w:widowControl/>
              <w:jc w:val="left"/>
              <w:rPr>
                <w:rFonts w:ascii="宋体" w:hAnsi="宋体" w:cs="宋体"/>
                <w:kern w:val="0"/>
                <w:szCs w:val="21"/>
              </w:rPr>
            </w:pPr>
          </w:p>
        </w:tc>
      </w:tr>
      <w:tr w14:paraId="12CFFCFD">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C579A3">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发包人名称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954E229">
            <w:pPr>
              <w:widowControl/>
              <w:jc w:val="left"/>
              <w:rPr>
                <w:rFonts w:ascii="宋体" w:hAnsi="宋体" w:cs="宋体"/>
                <w:kern w:val="0"/>
                <w:szCs w:val="21"/>
              </w:rPr>
            </w:pPr>
          </w:p>
        </w:tc>
      </w:tr>
      <w:tr w14:paraId="4470F02E">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68EBFA">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发包人地址</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F7F584">
            <w:pPr>
              <w:widowControl/>
              <w:jc w:val="left"/>
              <w:rPr>
                <w:rFonts w:ascii="宋体" w:hAnsi="宋体" w:cs="宋体"/>
                <w:kern w:val="0"/>
                <w:szCs w:val="21"/>
              </w:rPr>
            </w:pPr>
          </w:p>
        </w:tc>
      </w:tr>
      <w:tr w14:paraId="3E6CD6C7">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5561C38">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发包人联系人及电话</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C32D54">
            <w:pPr>
              <w:widowControl/>
              <w:jc w:val="left"/>
              <w:rPr>
                <w:rFonts w:ascii="宋体" w:hAnsi="宋体" w:cs="宋体"/>
                <w:kern w:val="0"/>
                <w:szCs w:val="21"/>
              </w:rPr>
            </w:pPr>
          </w:p>
        </w:tc>
      </w:tr>
      <w:tr w14:paraId="0E4CC915">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9D8F8D">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合同价格</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5C04FDD">
            <w:pPr>
              <w:widowControl/>
              <w:jc w:val="left"/>
              <w:rPr>
                <w:rFonts w:ascii="宋体" w:hAnsi="宋体" w:cs="宋体"/>
                <w:kern w:val="0"/>
                <w:szCs w:val="21"/>
              </w:rPr>
            </w:pPr>
          </w:p>
        </w:tc>
      </w:tr>
      <w:tr w14:paraId="05F281B9">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057DFDB">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开工日期</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E57973">
            <w:pPr>
              <w:widowControl/>
              <w:jc w:val="left"/>
              <w:rPr>
                <w:rFonts w:ascii="宋体" w:hAnsi="宋体" w:cs="宋体"/>
                <w:kern w:val="0"/>
                <w:szCs w:val="21"/>
              </w:rPr>
            </w:pPr>
          </w:p>
        </w:tc>
      </w:tr>
      <w:tr w14:paraId="58CFA41C">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716BCD">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竣工日期</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D5612D">
            <w:pPr>
              <w:widowControl/>
              <w:jc w:val="left"/>
              <w:rPr>
                <w:rFonts w:ascii="宋体" w:hAnsi="宋体" w:cs="宋体"/>
                <w:kern w:val="0"/>
                <w:szCs w:val="21"/>
              </w:rPr>
            </w:pPr>
          </w:p>
        </w:tc>
      </w:tr>
      <w:tr w14:paraId="1A1FD640">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6A552B">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承担的工作</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B992C2">
            <w:pPr>
              <w:widowControl/>
              <w:jc w:val="left"/>
              <w:rPr>
                <w:rFonts w:ascii="宋体" w:hAnsi="宋体" w:cs="宋体"/>
                <w:kern w:val="0"/>
                <w:szCs w:val="21"/>
              </w:rPr>
            </w:pPr>
          </w:p>
        </w:tc>
      </w:tr>
      <w:tr w14:paraId="51E275E4">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9B15D48">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工程质量</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19F835">
            <w:pPr>
              <w:widowControl/>
              <w:jc w:val="left"/>
              <w:rPr>
                <w:rFonts w:ascii="宋体" w:hAnsi="宋体" w:cs="宋体"/>
                <w:kern w:val="0"/>
                <w:szCs w:val="21"/>
              </w:rPr>
            </w:pPr>
          </w:p>
        </w:tc>
      </w:tr>
      <w:tr w14:paraId="4E2C6E1D">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030049">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项目经理</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BA1F2C">
            <w:pPr>
              <w:widowControl/>
              <w:jc w:val="left"/>
              <w:rPr>
                <w:rFonts w:ascii="宋体" w:hAnsi="宋体" w:cs="宋体"/>
                <w:kern w:val="0"/>
                <w:szCs w:val="21"/>
              </w:rPr>
            </w:pPr>
          </w:p>
        </w:tc>
      </w:tr>
      <w:tr w14:paraId="3822F094">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3D231A5">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技术负责人</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2AA1CB">
            <w:pPr>
              <w:widowControl/>
              <w:jc w:val="left"/>
              <w:rPr>
                <w:rFonts w:ascii="宋体" w:hAnsi="宋体" w:cs="宋体"/>
                <w:kern w:val="0"/>
                <w:szCs w:val="21"/>
              </w:rPr>
            </w:pPr>
          </w:p>
        </w:tc>
      </w:tr>
      <w:tr w14:paraId="04F25CA4">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CC85141">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总监理工程师及电话</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BF618EC">
            <w:pPr>
              <w:widowControl/>
              <w:jc w:val="left"/>
              <w:rPr>
                <w:rFonts w:ascii="宋体" w:hAnsi="宋体" w:cs="宋体"/>
                <w:kern w:val="0"/>
                <w:szCs w:val="21"/>
              </w:rPr>
            </w:pPr>
          </w:p>
        </w:tc>
      </w:tr>
      <w:tr w14:paraId="770FC743">
        <w:tblPrEx>
          <w:tblCellMar>
            <w:top w:w="0" w:type="dxa"/>
            <w:left w:w="0" w:type="dxa"/>
            <w:bottom w:w="0" w:type="dxa"/>
            <w:right w:w="0" w:type="dxa"/>
          </w:tblCellMar>
        </w:tblPrEx>
        <w:trPr>
          <w:trHeight w:val="1587"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65DEA3">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项目描述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2F35A4">
            <w:pPr>
              <w:widowControl/>
              <w:jc w:val="left"/>
              <w:rPr>
                <w:rFonts w:ascii="宋体" w:hAnsi="宋体" w:cs="宋体"/>
                <w:kern w:val="0"/>
                <w:szCs w:val="21"/>
              </w:rPr>
            </w:pPr>
          </w:p>
        </w:tc>
      </w:tr>
      <w:tr w14:paraId="7BD356FB">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FB94E8">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工程获奖情况</w:t>
            </w:r>
            <w:r>
              <w:rPr>
                <w:rFonts w:ascii="宋体" w:hAnsi="宋体" w:cs="宋体"/>
                <w:kern w:val="0"/>
                <w:szCs w:val="21"/>
              </w:rPr>
              <w:t>(</w:t>
            </w:r>
            <w:r>
              <w:rPr>
                <w:rFonts w:hint="eastAsia" w:ascii="新宋体" w:hAnsi="新宋体" w:eastAsia="新宋体" w:cs="宋体"/>
                <w:kern w:val="0"/>
                <w:szCs w:val="21"/>
              </w:rPr>
              <w:t>请注明证书编号</w:t>
            </w:r>
            <w:r>
              <w:rPr>
                <w:rFonts w:ascii="宋体" w:hAnsi="宋体" w:cs="宋体"/>
                <w:kern w:val="0"/>
                <w:szCs w:val="21"/>
              </w:rPr>
              <w:t>)</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430487">
            <w:pPr>
              <w:widowControl/>
              <w:jc w:val="left"/>
              <w:rPr>
                <w:rFonts w:ascii="宋体" w:hAnsi="宋体" w:cs="宋体"/>
                <w:kern w:val="0"/>
                <w:szCs w:val="21"/>
              </w:rPr>
            </w:pPr>
          </w:p>
        </w:tc>
      </w:tr>
      <w:tr w14:paraId="70903F26">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A79C55">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备注</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EFFFBF">
            <w:pPr>
              <w:widowControl/>
              <w:jc w:val="left"/>
              <w:rPr>
                <w:rFonts w:ascii="宋体" w:hAnsi="宋体" w:cs="宋体"/>
                <w:kern w:val="0"/>
                <w:szCs w:val="21"/>
              </w:rPr>
            </w:pPr>
          </w:p>
        </w:tc>
      </w:tr>
    </w:tbl>
    <w:p w14:paraId="73A8EFEE">
      <w:pPr>
        <w:jc w:val="center"/>
        <w:rPr>
          <w:rFonts w:ascii="宋体" w:hAnsi="宋体" w:cs="宋体"/>
          <w:b/>
          <w:sz w:val="28"/>
          <w:szCs w:val="28"/>
        </w:rPr>
      </w:pPr>
    </w:p>
    <w:p w14:paraId="04DA0EBE">
      <w:pPr>
        <w:widowControl/>
        <w:shd w:val="clear" w:color="auto" w:fill="FFFFFF"/>
        <w:snapToGrid w:val="0"/>
        <w:spacing w:before="100" w:beforeAutospacing="1" w:after="100" w:afterAutospacing="1" w:line="360" w:lineRule="auto"/>
        <w:jc w:val="center"/>
        <w:rPr>
          <w:rFonts w:ascii="新宋体" w:hAnsi="新宋体" w:eastAsia="新宋体" w:cs="宋体"/>
          <w:b/>
          <w:bCs/>
          <w:kern w:val="0"/>
          <w:sz w:val="28"/>
          <w:szCs w:val="28"/>
        </w:rPr>
      </w:pPr>
    </w:p>
    <w:p w14:paraId="20C781EC">
      <w:pPr>
        <w:pStyle w:val="9"/>
      </w:pPr>
    </w:p>
    <w:p w14:paraId="12E577C0">
      <w:pPr>
        <w:pStyle w:val="6"/>
        <w:jc w:val="center"/>
      </w:pPr>
      <w:bookmarkStart w:id="297" w:name="_Toc25342"/>
      <w:bookmarkStart w:id="298" w:name="_Toc18427"/>
      <w:r>
        <w:rPr>
          <w:rFonts w:hint="eastAsia"/>
        </w:rPr>
        <w:t>项目经理简历表</w:t>
      </w:r>
      <w:bookmarkEnd w:id="297"/>
      <w:bookmarkEnd w:id="298"/>
    </w:p>
    <w:p w14:paraId="54A781B4">
      <w:pPr>
        <w:widowControl/>
        <w:shd w:val="clear" w:color="auto" w:fill="FFFFFF"/>
        <w:snapToGrid w:val="0"/>
        <w:spacing w:before="312" w:after="156" w:line="360" w:lineRule="auto"/>
        <w:jc w:val="center"/>
        <w:rPr>
          <w:rFonts w:ascii="宋体" w:hAnsi="宋体" w:cs="宋体"/>
          <w:kern w:val="0"/>
          <w:sz w:val="28"/>
        </w:rPr>
      </w:pPr>
      <w:r>
        <w:rPr>
          <w:rFonts w:hint="eastAsia" w:ascii="黑体" w:hAnsi="黑体" w:eastAsia="黑体" w:cs="宋体"/>
          <w:kern w:val="0"/>
          <w:sz w:val="28"/>
        </w:rPr>
        <w:t>附1：项目经理简历表</w:t>
      </w:r>
    </w:p>
    <w:tbl>
      <w:tblPr>
        <w:tblStyle w:val="27"/>
        <w:tblW w:w="0" w:type="auto"/>
        <w:jc w:val="center"/>
        <w:tblLayout w:type="fixed"/>
        <w:tblCellMar>
          <w:top w:w="0" w:type="dxa"/>
          <w:left w:w="0" w:type="dxa"/>
          <w:bottom w:w="0" w:type="dxa"/>
          <w:right w:w="0" w:type="dxa"/>
        </w:tblCellMar>
      </w:tblPr>
      <w:tblGrid>
        <w:gridCol w:w="1081"/>
        <w:gridCol w:w="1023"/>
        <w:gridCol w:w="1124"/>
        <w:gridCol w:w="1263"/>
        <w:gridCol w:w="1822"/>
        <w:gridCol w:w="2101"/>
      </w:tblGrid>
      <w:tr w14:paraId="1255BBE9">
        <w:tblPrEx>
          <w:tblCellMar>
            <w:top w:w="0" w:type="dxa"/>
            <w:left w:w="0" w:type="dxa"/>
            <w:bottom w:w="0" w:type="dxa"/>
            <w:right w:w="0" w:type="dxa"/>
          </w:tblCellMar>
        </w:tblPrEx>
        <w:trPr>
          <w:trHeight w:val="454" w:hRule="atLeast"/>
          <w:jc w:val="center"/>
        </w:trPr>
        <w:tc>
          <w:tcPr>
            <w:tcW w:w="10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A22194">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姓 名</w:t>
            </w:r>
          </w:p>
        </w:tc>
        <w:tc>
          <w:tcPr>
            <w:tcW w:w="10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345ECA4">
            <w:pPr>
              <w:widowControl/>
              <w:jc w:val="left"/>
              <w:rPr>
                <w:rFonts w:ascii="宋体" w:hAnsi="宋体" w:cs="宋体"/>
                <w:kern w:val="0"/>
                <w:szCs w:val="21"/>
              </w:rPr>
            </w:pPr>
          </w:p>
        </w:tc>
        <w:tc>
          <w:tcPr>
            <w:tcW w:w="11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67A20E7">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年 龄</w:t>
            </w:r>
          </w:p>
        </w:tc>
        <w:tc>
          <w:tcPr>
            <w:tcW w:w="126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DA864F0">
            <w:pPr>
              <w:widowControl/>
              <w:jc w:val="left"/>
              <w:rPr>
                <w:rFonts w:ascii="宋体" w:hAnsi="宋体" w:cs="宋体"/>
                <w:kern w:val="0"/>
                <w:szCs w:val="21"/>
              </w:rPr>
            </w:pPr>
          </w:p>
        </w:tc>
        <w:tc>
          <w:tcPr>
            <w:tcW w:w="182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3563B4E">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学历</w:t>
            </w:r>
          </w:p>
        </w:tc>
        <w:tc>
          <w:tcPr>
            <w:tcW w:w="210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2984796">
            <w:pPr>
              <w:widowControl/>
              <w:jc w:val="left"/>
              <w:rPr>
                <w:rFonts w:ascii="宋体" w:hAnsi="宋体" w:cs="宋体"/>
                <w:kern w:val="0"/>
                <w:szCs w:val="21"/>
              </w:rPr>
            </w:pPr>
          </w:p>
        </w:tc>
      </w:tr>
      <w:tr w14:paraId="6BCE10E6">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3C243D7">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职 称</w:t>
            </w: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D32F8E">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0FBA734">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职 务</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1A419B4">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73EFF8">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拟在本工程任职</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54563B5">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项目经理</w:t>
            </w:r>
          </w:p>
        </w:tc>
      </w:tr>
      <w:tr w14:paraId="181A5DC6">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3456DD6">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注册建造师执业资格等级</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765DB8D">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级</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22C9A7">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建造师专业</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545873">
            <w:pPr>
              <w:widowControl/>
              <w:jc w:val="left"/>
              <w:rPr>
                <w:rFonts w:ascii="宋体" w:hAnsi="宋体" w:cs="宋体"/>
                <w:kern w:val="0"/>
                <w:szCs w:val="21"/>
              </w:rPr>
            </w:pPr>
          </w:p>
        </w:tc>
      </w:tr>
      <w:tr w14:paraId="190B036D">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A81CB83">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安全生产考核合格证书</w:t>
            </w:r>
          </w:p>
        </w:tc>
        <w:tc>
          <w:tcPr>
            <w:tcW w:w="518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AC9785E">
            <w:pPr>
              <w:widowControl/>
              <w:jc w:val="left"/>
              <w:rPr>
                <w:rFonts w:ascii="宋体" w:hAnsi="宋体" w:cs="宋体"/>
                <w:kern w:val="0"/>
                <w:szCs w:val="21"/>
              </w:rPr>
            </w:pPr>
          </w:p>
        </w:tc>
      </w:tr>
      <w:tr w14:paraId="01996832">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CF8027">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毕业学校</w:t>
            </w:r>
          </w:p>
        </w:tc>
        <w:tc>
          <w:tcPr>
            <w:tcW w:w="7333"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4F853591">
            <w:pPr>
              <w:widowControl/>
              <w:spacing w:before="100" w:beforeAutospacing="1" w:after="100" w:afterAutospacing="1" w:line="360" w:lineRule="auto"/>
              <w:ind w:firstLine="840"/>
              <w:jc w:val="left"/>
              <w:rPr>
                <w:rFonts w:ascii="宋体" w:hAnsi="宋体" w:cs="宋体"/>
                <w:kern w:val="0"/>
                <w:szCs w:val="21"/>
              </w:rPr>
            </w:pPr>
            <w:r>
              <w:rPr>
                <w:rFonts w:hint="eastAsia" w:ascii="新宋体" w:hAnsi="新宋体" w:eastAsia="新宋体" w:cs="宋体"/>
                <w:kern w:val="0"/>
                <w:szCs w:val="21"/>
              </w:rPr>
              <w:t>年毕业于 学校 专业</w:t>
            </w:r>
          </w:p>
        </w:tc>
      </w:tr>
      <w:tr w14:paraId="67739041">
        <w:tblPrEx>
          <w:tblCellMar>
            <w:top w:w="0" w:type="dxa"/>
            <w:left w:w="0" w:type="dxa"/>
            <w:bottom w:w="0" w:type="dxa"/>
            <w:right w:w="0" w:type="dxa"/>
          </w:tblCellMar>
        </w:tblPrEx>
        <w:trPr>
          <w:trHeight w:val="454"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B90BEC">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主要工作经历</w:t>
            </w:r>
          </w:p>
        </w:tc>
      </w:tr>
      <w:tr w14:paraId="72B84939">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D4ECC9D">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时 间</w:t>
            </w:r>
          </w:p>
        </w:tc>
        <w:tc>
          <w:tcPr>
            <w:tcW w:w="341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2BD8F8E">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参加过的类似项目名称</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F8A9E3">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工程概况说明</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0EE9E3">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发包人及联系电话</w:t>
            </w:r>
          </w:p>
        </w:tc>
      </w:tr>
      <w:tr w14:paraId="035F117F">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D072A1">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FFB8A87">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55CF37">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920FBE">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7EA1F2C">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8D5412">
            <w:pPr>
              <w:widowControl/>
              <w:jc w:val="left"/>
              <w:rPr>
                <w:rFonts w:ascii="宋体" w:hAnsi="宋体" w:cs="宋体"/>
                <w:kern w:val="0"/>
                <w:szCs w:val="21"/>
              </w:rPr>
            </w:pPr>
          </w:p>
        </w:tc>
      </w:tr>
      <w:tr w14:paraId="6F49359B">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0B28A75">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B2517E">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E57F20">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9E5AC9">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FEDBC6">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F6E3B64">
            <w:pPr>
              <w:widowControl/>
              <w:jc w:val="left"/>
              <w:rPr>
                <w:rFonts w:ascii="宋体" w:hAnsi="宋体" w:cs="宋体"/>
                <w:kern w:val="0"/>
                <w:szCs w:val="21"/>
              </w:rPr>
            </w:pPr>
          </w:p>
        </w:tc>
      </w:tr>
      <w:tr w14:paraId="4328EA2E">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3E5BD5">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48D5D1">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C29FA16">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D4B5F6">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52DCC1B">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E8BCDA">
            <w:pPr>
              <w:widowControl/>
              <w:jc w:val="left"/>
              <w:rPr>
                <w:rFonts w:ascii="宋体" w:hAnsi="宋体" w:cs="宋体"/>
                <w:kern w:val="0"/>
                <w:szCs w:val="21"/>
              </w:rPr>
            </w:pPr>
          </w:p>
        </w:tc>
      </w:tr>
      <w:tr w14:paraId="4A1E9F48">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844A09">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FFF6F35">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A05B77">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991943">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F1E405">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FB3272">
            <w:pPr>
              <w:widowControl/>
              <w:jc w:val="left"/>
              <w:rPr>
                <w:rFonts w:ascii="宋体" w:hAnsi="宋体" w:cs="宋体"/>
                <w:kern w:val="0"/>
                <w:szCs w:val="21"/>
              </w:rPr>
            </w:pPr>
          </w:p>
        </w:tc>
      </w:tr>
      <w:tr w14:paraId="3091EF6B">
        <w:tblPrEx>
          <w:tblCellMar>
            <w:top w:w="0" w:type="dxa"/>
            <w:left w:w="0" w:type="dxa"/>
            <w:bottom w:w="0" w:type="dxa"/>
            <w:right w:w="0" w:type="dxa"/>
          </w:tblCellMar>
        </w:tblPrEx>
        <w:trPr>
          <w:trHeight w:val="1350"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3C2FDA4">
            <w:pPr>
              <w:widowControl/>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是否有在建工程情况：</w:t>
            </w:r>
          </w:p>
        </w:tc>
      </w:tr>
    </w:tbl>
    <w:p w14:paraId="6156FDC1">
      <w:pPr>
        <w:rPr>
          <w:rFonts w:ascii="宋体" w:hAnsi="宋体" w:cs="宋体"/>
          <w:b/>
          <w:sz w:val="28"/>
          <w:szCs w:val="28"/>
        </w:rPr>
      </w:pPr>
    </w:p>
    <w:p w14:paraId="41A25902">
      <w:pPr>
        <w:pStyle w:val="9"/>
        <w:rPr>
          <w:rFonts w:ascii="宋体" w:hAnsi="宋体" w:cs="宋体"/>
          <w:b/>
          <w:szCs w:val="28"/>
        </w:rPr>
      </w:pPr>
    </w:p>
    <w:p w14:paraId="2B093B93">
      <w:pPr>
        <w:pStyle w:val="33"/>
        <w:outlineLvl w:val="9"/>
        <w:rPr>
          <w:rFonts w:ascii="宋体" w:cs="宋体"/>
          <w:b/>
          <w:sz w:val="28"/>
          <w:szCs w:val="28"/>
        </w:rPr>
      </w:pPr>
    </w:p>
    <w:p w14:paraId="64012FCE">
      <w:pPr>
        <w:pStyle w:val="35"/>
        <w:ind w:firstLine="562"/>
        <w:rPr>
          <w:b/>
          <w:color w:val="auto"/>
          <w:sz w:val="28"/>
          <w:szCs w:val="28"/>
        </w:rPr>
      </w:pPr>
    </w:p>
    <w:p w14:paraId="624192EE">
      <w:pPr>
        <w:rPr>
          <w:rFonts w:ascii="宋体" w:hAnsi="宋体" w:cs="宋体"/>
          <w:b/>
          <w:sz w:val="28"/>
          <w:szCs w:val="28"/>
        </w:rPr>
      </w:pPr>
    </w:p>
    <w:p w14:paraId="1CF64303">
      <w:pPr>
        <w:pStyle w:val="9"/>
        <w:rPr>
          <w:rFonts w:ascii="宋体" w:hAnsi="宋体" w:cs="宋体"/>
          <w:b/>
          <w:szCs w:val="28"/>
        </w:rPr>
      </w:pPr>
    </w:p>
    <w:p w14:paraId="69438C55">
      <w:pPr>
        <w:pStyle w:val="33"/>
        <w:outlineLvl w:val="9"/>
        <w:rPr>
          <w:rFonts w:ascii="宋体" w:cs="宋体"/>
          <w:b/>
          <w:sz w:val="28"/>
          <w:szCs w:val="28"/>
        </w:rPr>
      </w:pPr>
    </w:p>
    <w:p w14:paraId="124721B5">
      <w:pPr>
        <w:pStyle w:val="35"/>
        <w:rPr>
          <w:color w:val="auto"/>
        </w:rPr>
      </w:pPr>
    </w:p>
    <w:p w14:paraId="17E6E10D">
      <w:pPr>
        <w:widowControl/>
        <w:shd w:val="clear" w:color="auto" w:fill="FFFFFF"/>
        <w:snapToGrid w:val="0"/>
        <w:spacing w:before="312" w:after="156" w:line="360" w:lineRule="auto"/>
        <w:jc w:val="center"/>
        <w:rPr>
          <w:rFonts w:ascii="黑体" w:hAnsi="黑体" w:eastAsia="黑体" w:cs="宋体"/>
          <w:kern w:val="0"/>
          <w:sz w:val="28"/>
        </w:rPr>
      </w:pPr>
    </w:p>
    <w:p w14:paraId="400EDAAA">
      <w:pPr>
        <w:widowControl/>
        <w:shd w:val="clear" w:color="auto" w:fill="FFFFFF"/>
        <w:snapToGrid w:val="0"/>
        <w:spacing w:before="312" w:after="156" w:line="360" w:lineRule="auto"/>
        <w:jc w:val="center"/>
        <w:rPr>
          <w:rFonts w:ascii="黑体" w:hAnsi="黑体" w:eastAsia="黑体" w:cs="宋体"/>
          <w:kern w:val="0"/>
          <w:sz w:val="28"/>
        </w:rPr>
      </w:pPr>
      <w:r>
        <w:rPr>
          <w:rFonts w:hint="eastAsia" w:ascii="黑体" w:hAnsi="黑体" w:eastAsia="黑体" w:cs="宋体"/>
          <w:kern w:val="0"/>
          <w:sz w:val="28"/>
        </w:rPr>
        <w:t>附2：项目经理类似工程和获奖工程情况简表</w:t>
      </w:r>
    </w:p>
    <w:tbl>
      <w:tblPr>
        <w:tblStyle w:val="27"/>
        <w:tblW w:w="0" w:type="auto"/>
        <w:jc w:val="center"/>
        <w:tblLayout w:type="fixed"/>
        <w:tblCellMar>
          <w:top w:w="0" w:type="dxa"/>
          <w:left w:w="0" w:type="dxa"/>
          <w:bottom w:w="0" w:type="dxa"/>
          <w:right w:w="0" w:type="dxa"/>
        </w:tblCellMar>
      </w:tblPr>
      <w:tblGrid>
        <w:gridCol w:w="1647"/>
        <w:gridCol w:w="7201"/>
      </w:tblGrid>
      <w:tr w14:paraId="1D8B79AB">
        <w:tblPrEx>
          <w:tblCellMar>
            <w:top w:w="0" w:type="dxa"/>
            <w:left w:w="0" w:type="dxa"/>
            <w:bottom w:w="0" w:type="dxa"/>
            <w:right w:w="0" w:type="dxa"/>
          </w:tblCellMar>
        </w:tblPrEx>
        <w:trPr>
          <w:trHeight w:val="549" w:hRule="atLeast"/>
          <w:jc w:val="center"/>
        </w:trPr>
        <w:tc>
          <w:tcPr>
            <w:tcW w:w="1647" w:type="dxa"/>
            <w:tcBorders>
              <w:top w:val="single" w:color="auto" w:sz="12" w:space="0"/>
              <w:left w:val="single" w:color="auto" w:sz="12" w:space="0"/>
              <w:bottom w:val="single" w:color="auto" w:sz="8" w:space="0"/>
              <w:right w:val="single" w:color="auto" w:sz="8" w:space="0"/>
            </w:tcBorders>
            <w:noWrap/>
            <w:tcMar>
              <w:top w:w="0" w:type="dxa"/>
              <w:left w:w="28" w:type="dxa"/>
              <w:bottom w:w="0" w:type="dxa"/>
              <w:right w:w="28" w:type="dxa"/>
            </w:tcMar>
            <w:vAlign w:val="center"/>
          </w:tcPr>
          <w:p w14:paraId="522A5BC4">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合同号</w:t>
            </w:r>
          </w:p>
        </w:tc>
        <w:tc>
          <w:tcPr>
            <w:tcW w:w="7201" w:type="dxa"/>
            <w:tcBorders>
              <w:top w:val="single" w:color="auto" w:sz="12" w:space="0"/>
              <w:left w:val="nil"/>
              <w:bottom w:val="single" w:color="auto" w:sz="8" w:space="0"/>
              <w:right w:val="single" w:color="auto" w:sz="12" w:space="0"/>
            </w:tcBorders>
            <w:noWrap/>
            <w:tcMar>
              <w:top w:w="0" w:type="dxa"/>
              <w:left w:w="28" w:type="dxa"/>
              <w:bottom w:w="0" w:type="dxa"/>
              <w:right w:w="28" w:type="dxa"/>
            </w:tcMar>
            <w:vAlign w:val="center"/>
          </w:tcPr>
          <w:p w14:paraId="068E9880">
            <w:pPr>
              <w:widowControl/>
              <w:jc w:val="left"/>
              <w:rPr>
                <w:rFonts w:ascii="宋体" w:hAnsi="宋体" w:cs="宋体"/>
                <w:kern w:val="0"/>
                <w:szCs w:val="21"/>
              </w:rPr>
            </w:pPr>
          </w:p>
        </w:tc>
      </w:tr>
      <w:tr w14:paraId="2ADAA291">
        <w:tblPrEx>
          <w:tblCellMar>
            <w:top w:w="0" w:type="dxa"/>
            <w:left w:w="0" w:type="dxa"/>
            <w:bottom w:w="0" w:type="dxa"/>
            <w:right w:w="0" w:type="dxa"/>
          </w:tblCellMar>
        </w:tblPrEx>
        <w:trPr>
          <w:trHeight w:val="614"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09BB4DE3">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工程名称</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14:paraId="7B88F270">
            <w:pPr>
              <w:widowControl/>
              <w:jc w:val="left"/>
              <w:rPr>
                <w:rFonts w:ascii="宋体" w:hAnsi="宋体" w:cs="宋体"/>
                <w:kern w:val="0"/>
                <w:szCs w:val="21"/>
              </w:rPr>
            </w:pPr>
          </w:p>
        </w:tc>
      </w:tr>
      <w:tr w14:paraId="45B043BB">
        <w:tblPrEx>
          <w:tblCellMar>
            <w:top w:w="0" w:type="dxa"/>
            <w:left w:w="0" w:type="dxa"/>
            <w:bottom w:w="0" w:type="dxa"/>
            <w:right w:w="0" w:type="dxa"/>
          </w:tblCellMar>
        </w:tblPrEx>
        <w:trPr>
          <w:trHeight w:val="605"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1907EBAF">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工程地址</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14:paraId="4606E418">
            <w:pPr>
              <w:widowControl/>
              <w:jc w:val="left"/>
              <w:rPr>
                <w:rFonts w:ascii="宋体" w:hAnsi="宋体" w:cs="宋体"/>
                <w:kern w:val="0"/>
                <w:szCs w:val="21"/>
              </w:rPr>
            </w:pPr>
          </w:p>
        </w:tc>
      </w:tr>
      <w:tr w14:paraId="2CF34167">
        <w:tblPrEx>
          <w:tblCellMar>
            <w:top w:w="0" w:type="dxa"/>
            <w:left w:w="0" w:type="dxa"/>
            <w:bottom w:w="0" w:type="dxa"/>
            <w:right w:w="0" w:type="dxa"/>
          </w:tblCellMar>
        </w:tblPrEx>
        <w:trPr>
          <w:trHeight w:val="613"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45157706">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建设单位名称</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14:paraId="085F3DFC">
            <w:pPr>
              <w:widowControl/>
              <w:jc w:val="left"/>
              <w:rPr>
                <w:rFonts w:ascii="宋体" w:hAnsi="宋体" w:cs="宋体"/>
                <w:kern w:val="0"/>
                <w:szCs w:val="21"/>
              </w:rPr>
            </w:pPr>
          </w:p>
        </w:tc>
      </w:tr>
      <w:tr w14:paraId="5E633598">
        <w:tblPrEx>
          <w:tblCellMar>
            <w:top w:w="0" w:type="dxa"/>
            <w:left w:w="0" w:type="dxa"/>
            <w:bottom w:w="0" w:type="dxa"/>
            <w:right w:w="0" w:type="dxa"/>
          </w:tblCellMar>
        </w:tblPrEx>
        <w:trPr>
          <w:trHeight w:val="765" w:hRule="atLeast"/>
          <w:jc w:val="center"/>
        </w:trPr>
        <w:tc>
          <w:tcPr>
            <w:tcW w:w="8848" w:type="dxa"/>
            <w:gridSpan w:val="2"/>
            <w:tcBorders>
              <w:top w:val="nil"/>
              <w:left w:val="single" w:color="auto" w:sz="12" w:space="0"/>
              <w:bottom w:val="single" w:color="auto" w:sz="8" w:space="0"/>
              <w:right w:val="single" w:color="auto" w:sz="12" w:space="0"/>
            </w:tcBorders>
            <w:noWrap/>
            <w:tcMar>
              <w:top w:w="0" w:type="dxa"/>
              <w:left w:w="28" w:type="dxa"/>
              <w:bottom w:w="0" w:type="dxa"/>
              <w:right w:w="28" w:type="dxa"/>
            </w:tcMar>
          </w:tcPr>
          <w:p w14:paraId="2B4C347B">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建设单位地址</w:t>
            </w:r>
            <w:r>
              <w:rPr>
                <w:rFonts w:ascii="宋体" w:hAnsi="宋体" w:cs="宋体"/>
                <w:kern w:val="0"/>
                <w:szCs w:val="21"/>
              </w:rPr>
              <w:t>(</w:t>
            </w:r>
            <w:r>
              <w:rPr>
                <w:rFonts w:hint="eastAsia" w:ascii="新宋体" w:hAnsi="新宋体" w:eastAsia="新宋体" w:cs="宋体"/>
                <w:kern w:val="0"/>
                <w:szCs w:val="21"/>
              </w:rPr>
              <w:t>请详细说明发包人联系电话及联系人</w:t>
            </w:r>
            <w:r>
              <w:rPr>
                <w:rFonts w:ascii="宋体" w:hAnsi="宋体" w:cs="宋体"/>
                <w:kern w:val="0"/>
                <w:szCs w:val="21"/>
              </w:rPr>
              <w:t>)</w:t>
            </w:r>
            <w:r>
              <w:rPr>
                <w:rFonts w:hint="eastAsia" w:ascii="新宋体" w:hAnsi="新宋体" w:eastAsia="新宋体" w:cs="宋体"/>
                <w:kern w:val="0"/>
                <w:szCs w:val="21"/>
              </w:rPr>
              <w:t>：</w:t>
            </w:r>
          </w:p>
        </w:tc>
      </w:tr>
      <w:tr w14:paraId="3FAFED84">
        <w:tblPrEx>
          <w:tblCellMar>
            <w:top w:w="0" w:type="dxa"/>
            <w:left w:w="0" w:type="dxa"/>
            <w:bottom w:w="0" w:type="dxa"/>
            <w:right w:w="0" w:type="dxa"/>
          </w:tblCellMar>
        </w:tblPrEx>
        <w:trPr>
          <w:trHeight w:val="1210" w:hRule="atLeast"/>
          <w:jc w:val="center"/>
        </w:trPr>
        <w:tc>
          <w:tcPr>
            <w:tcW w:w="8848" w:type="dxa"/>
            <w:gridSpan w:val="2"/>
            <w:tcBorders>
              <w:top w:val="nil"/>
              <w:left w:val="single" w:color="auto" w:sz="12" w:space="0"/>
              <w:bottom w:val="single" w:color="auto" w:sz="8" w:space="0"/>
              <w:right w:val="single" w:color="auto" w:sz="12" w:space="0"/>
            </w:tcBorders>
            <w:noWrap/>
            <w:tcMar>
              <w:top w:w="0" w:type="dxa"/>
              <w:left w:w="28" w:type="dxa"/>
              <w:bottom w:w="0" w:type="dxa"/>
              <w:right w:w="28" w:type="dxa"/>
            </w:tcMar>
          </w:tcPr>
          <w:p w14:paraId="668876CB">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与投标申请人所申请的合同相类似的工程性质和特点</w:t>
            </w:r>
          </w:p>
          <w:p w14:paraId="0BE30A1E">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(请详细说明所承担的合同工程内容，如规模、长度、跨度、层数、结构、特殊施工工艺等等)</w:t>
            </w:r>
          </w:p>
        </w:tc>
      </w:tr>
      <w:tr w14:paraId="79FC40DC">
        <w:tblPrEx>
          <w:tblCellMar>
            <w:top w:w="0" w:type="dxa"/>
            <w:left w:w="0" w:type="dxa"/>
            <w:bottom w:w="0" w:type="dxa"/>
            <w:right w:w="0" w:type="dxa"/>
          </w:tblCellMar>
        </w:tblPrEx>
        <w:trPr>
          <w:trHeight w:val="601"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38B02FB4">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合同总价</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14:paraId="217248AF">
            <w:pPr>
              <w:widowControl/>
              <w:jc w:val="left"/>
              <w:rPr>
                <w:rFonts w:ascii="宋体" w:hAnsi="宋体" w:cs="宋体"/>
                <w:kern w:val="0"/>
                <w:szCs w:val="21"/>
              </w:rPr>
            </w:pPr>
          </w:p>
        </w:tc>
      </w:tr>
      <w:tr w14:paraId="7488BA13">
        <w:tblPrEx>
          <w:tblCellMar>
            <w:top w:w="0" w:type="dxa"/>
            <w:left w:w="0" w:type="dxa"/>
            <w:bottom w:w="0" w:type="dxa"/>
            <w:right w:w="0" w:type="dxa"/>
          </w:tblCellMar>
        </w:tblPrEx>
        <w:trPr>
          <w:trHeight w:val="601"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7432E555">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工程规模</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14:paraId="24BDF506">
            <w:pPr>
              <w:widowControl/>
              <w:jc w:val="left"/>
              <w:rPr>
                <w:rFonts w:ascii="宋体" w:hAnsi="宋体" w:cs="宋体"/>
                <w:kern w:val="0"/>
                <w:szCs w:val="21"/>
              </w:rPr>
            </w:pPr>
          </w:p>
        </w:tc>
      </w:tr>
      <w:tr w14:paraId="42E365FB">
        <w:tblPrEx>
          <w:tblCellMar>
            <w:top w:w="0" w:type="dxa"/>
            <w:left w:w="0" w:type="dxa"/>
            <w:bottom w:w="0" w:type="dxa"/>
            <w:right w:w="0" w:type="dxa"/>
          </w:tblCellMar>
        </w:tblPrEx>
        <w:trPr>
          <w:trHeight w:val="611"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35D44505">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合同授予时间</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14:paraId="31FB1D04">
            <w:pPr>
              <w:widowControl/>
              <w:jc w:val="left"/>
              <w:rPr>
                <w:rFonts w:ascii="宋体" w:hAnsi="宋体" w:cs="宋体"/>
                <w:kern w:val="0"/>
                <w:szCs w:val="21"/>
              </w:rPr>
            </w:pPr>
          </w:p>
        </w:tc>
      </w:tr>
      <w:tr w14:paraId="3FC9E659">
        <w:tblPrEx>
          <w:tblCellMar>
            <w:top w:w="0" w:type="dxa"/>
            <w:left w:w="0" w:type="dxa"/>
            <w:bottom w:w="0" w:type="dxa"/>
            <w:right w:w="0" w:type="dxa"/>
          </w:tblCellMar>
        </w:tblPrEx>
        <w:trPr>
          <w:trHeight w:val="611"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0DDAACCB">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质量情况</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14:paraId="0A415951">
            <w:pPr>
              <w:widowControl/>
              <w:jc w:val="left"/>
              <w:rPr>
                <w:rFonts w:ascii="宋体" w:hAnsi="宋体" w:cs="宋体"/>
                <w:kern w:val="0"/>
                <w:szCs w:val="21"/>
              </w:rPr>
            </w:pPr>
          </w:p>
        </w:tc>
      </w:tr>
      <w:tr w14:paraId="40A93F46">
        <w:tblPrEx>
          <w:tblCellMar>
            <w:top w:w="0" w:type="dxa"/>
            <w:left w:w="0" w:type="dxa"/>
            <w:bottom w:w="0" w:type="dxa"/>
            <w:right w:w="0" w:type="dxa"/>
          </w:tblCellMar>
        </w:tblPrEx>
        <w:trPr>
          <w:trHeight w:val="601"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76ADB777">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开竣工日期</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14:paraId="255E6EB6">
            <w:pPr>
              <w:widowControl/>
              <w:jc w:val="left"/>
              <w:rPr>
                <w:rFonts w:ascii="宋体" w:hAnsi="宋体" w:cs="宋体"/>
                <w:kern w:val="0"/>
                <w:szCs w:val="21"/>
              </w:rPr>
            </w:pPr>
          </w:p>
        </w:tc>
      </w:tr>
      <w:tr w14:paraId="2113B234">
        <w:tblPrEx>
          <w:tblCellMar>
            <w:top w:w="0" w:type="dxa"/>
            <w:left w:w="0" w:type="dxa"/>
            <w:bottom w:w="0" w:type="dxa"/>
            <w:right w:w="0" w:type="dxa"/>
          </w:tblCellMar>
        </w:tblPrEx>
        <w:trPr>
          <w:trHeight w:val="1348" w:hRule="atLeast"/>
          <w:jc w:val="center"/>
        </w:trPr>
        <w:tc>
          <w:tcPr>
            <w:tcW w:w="1647"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14:paraId="02DFA0C6">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工程获奖情况</w:t>
            </w:r>
            <w:r>
              <w:rPr>
                <w:rFonts w:ascii="宋体" w:hAnsi="宋体" w:cs="宋体"/>
                <w:kern w:val="0"/>
                <w:szCs w:val="21"/>
              </w:rPr>
              <w:t>(</w:t>
            </w:r>
            <w:r>
              <w:rPr>
                <w:rFonts w:hint="eastAsia" w:ascii="新宋体" w:hAnsi="新宋体" w:eastAsia="新宋体" w:cs="宋体"/>
                <w:kern w:val="0"/>
                <w:szCs w:val="21"/>
              </w:rPr>
              <w:t>请注明证书编号</w:t>
            </w:r>
            <w:r>
              <w:rPr>
                <w:rFonts w:ascii="宋体" w:hAnsi="宋体" w:cs="宋体"/>
                <w:kern w:val="0"/>
                <w:szCs w:val="21"/>
              </w:rPr>
              <w:t>)</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14:paraId="60088F4C">
            <w:pPr>
              <w:widowControl/>
              <w:jc w:val="center"/>
              <w:rPr>
                <w:rFonts w:ascii="宋体" w:hAnsi="宋体" w:cs="宋体"/>
                <w:kern w:val="0"/>
                <w:szCs w:val="21"/>
              </w:rPr>
            </w:pPr>
          </w:p>
        </w:tc>
      </w:tr>
      <w:tr w14:paraId="1C9B3875">
        <w:tblPrEx>
          <w:tblCellMar>
            <w:top w:w="0" w:type="dxa"/>
            <w:left w:w="0" w:type="dxa"/>
            <w:bottom w:w="0" w:type="dxa"/>
            <w:right w:w="0" w:type="dxa"/>
          </w:tblCellMar>
        </w:tblPrEx>
        <w:trPr>
          <w:trHeight w:val="1347" w:hRule="atLeast"/>
          <w:jc w:val="center"/>
        </w:trPr>
        <w:tc>
          <w:tcPr>
            <w:tcW w:w="1647" w:type="dxa"/>
            <w:tcBorders>
              <w:top w:val="nil"/>
              <w:left w:val="single" w:color="auto" w:sz="12" w:space="0"/>
              <w:bottom w:val="single" w:color="auto" w:sz="12" w:space="0"/>
              <w:right w:val="single" w:color="auto" w:sz="8" w:space="0"/>
            </w:tcBorders>
            <w:noWrap/>
            <w:tcMar>
              <w:top w:w="0" w:type="dxa"/>
              <w:left w:w="28" w:type="dxa"/>
              <w:bottom w:w="0" w:type="dxa"/>
              <w:right w:w="28" w:type="dxa"/>
            </w:tcMar>
            <w:vAlign w:val="center"/>
          </w:tcPr>
          <w:p w14:paraId="6BFAA41E">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备注</w:t>
            </w:r>
          </w:p>
        </w:tc>
        <w:tc>
          <w:tcPr>
            <w:tcW w:w="7201" w:type="dxa"/>
            <w:tcBorders>
              <w:top w:val="nil"/>
              <w:left w:val="nil"/>
              <w:bottom w:val="single" w:color="auto" w:sz="12" w:space="0"/>
              <w:right w:val="single" w:color="auto" w:sz="12" w:space="0"/>
            </w:tcBorders>
            <w:noWrap/>
            <w:tcMar>
              <w:top w:w="0" w:type="dxa"/>
              <w:left w:w="28" w:type="dxa"/>
              <w:bottom w:w="0" w:type="dxa"/>
              <w:right w:w="28" w:type="dxa"/>
            </w:tcMar>
          </w:tcPr>
          <w:p w14:paraId="1D7374F3">
            <w:pPr>
              <w:widowControl/>
              <w:jc w:val="left"/>
              <w:rPr>
                <w:rFonts w:ascii="宋体" w:hAnsi="宋体" w:cs="宋体"/>
                <w:kern w:val="0"/>
                <w:szCs w:val="21"/>
              </w:rPr>
            </w:pPr>
          </w:p>
        </w:tc>
      </w:tr>
    </w:tbl>
    <w:p w14:paraId="026C04B3">
      <w:pPr>
        <w:jc w:val="center"/>
        <w:rPr>
          <w:rFonts w:ascii="宋体" w:hAnsi="宋体" w:cs="宋体"/>
          <w:b/>
          <w:color w:val="000000"/>
          <w:sz w:val="28"/>
          <w:szCs w:val="28"/>
        </w:rPr>
      </w:pPr>
    </w:p>
    <w:p w14:paraId="67CF020C">
      <w:pPr>
        <w:jc w:val="center"/>
        <w:rPr>
          <w:rFonts w:ascii="宋体" w:hAnsi="宋体" w:cs="宋体"/>
          <w:b/>
          <w:color w:val="000000"/>
          <w:sz w:val="28"/>
          <w:szCs w:val="28"/>
        </w:rPr>
      </w:pPr>
    </w:p>
    <w:p w14:paraId="3D89C2E7">
      <w:pPr>
        <w:jc w:val="center"/>
        <w:rPr>
          <w:rFonts w:ascii="宋体" w:hAnsi="宋体" w:cs="宋体"/>
          <w:b/>
          <w:color w:val="000000"/>
          <w:sz w:val="28"/>
          <w:szCs w:val="28"/>
        </w:rPr>
      </w:pPr>
    </w:p>
    <w:p w14:paraId="228D2B82">
      <w:pPr>
        <w:widowControl/>
        <w:shd w:val="clear" w:color="auto" w:fill="FFFFFF"/>
        <w:snapToGrid w:val="0"/>
        <w:spacing w:before="312" w:after="156" w:line="360" w:lineRule="auto"/>
        <w:jc w:val="center"/>
        <w:rPr>
          <w:rFonts w:ascii="宋体" w:hAnsi="宋体" w:cs="宋体"/>
          <w:b/>
          <w:kern w:val="0"/>
          <w:szCs w:val="21"/>
        </w:rPr>
      </w:pPr>
      <w:bookmarkStart w:id="299" w:name="_Toc15827"/>
    </w:p>
    <w:p w14:paraId="100E8385">
      <w:pPr>
        <w:jc w:val="center"/>
        <w:outlineLvl w:val="1"/>
        <w:rPr>
          <w:rFonts w:ascii="宋体" w:hAnsi="宋体" w:cs="宋体"/>
          <w:b/>
          <w:color w:val="000000"/>
          <w:sz w:val="28"/>
          <w:szCs w:val="28"/>
        </w:rPr>
      </w:pPr>
      <w:r>
        <w:rPr>
          <w:rFonts w:hint="eastAsia" w:ascii="宋体" w:hAnsi="宋体" w:cs="宋体"/>
          <w:b/>
          <w:color w:val="000000"/>
          <w:sz w:val="28"/>
          <w:szCs w:val="28"/>
        </w:rPr>
        <w:t>十、</w:t>
      </w:r>
      <w:r>
        <w:rPr>
          <w:rFonts w:hint="eastAsia" w:ascii="宋体" w:hAnsi="宋体"/>
          <w:b/>
          <w:color w:val="000000"/>
          <w:sz w:val="28"/>
          <w:szCs w:val="28"/>
        </w:rPr>
        <w:t>投标（响应）文件的</w:t>
      </w:r>
      <w:r>
        <w:rPr>
          <w:rFonts w:hint="eastAsia" w:ascii="宋体" w:hAnsi="宋体" w:cs="宋体"/>
          <w:b/>
          <w:color w:val="000000"/>
          <w:sz w:val="28"/>
          <w:szCs w:val="28"/>
        </w:rPr>
        <w:t>其它内容</w:t>
      </w:r>
      <w:bookmarkEnd w:id="299"/>
    </w:p>
    <w:p w14:paraId="18C41E54">
      <w:pPr>
        <w:spacing w:line="360" w:lineRule="auto"/>
        <w:jc w:val="center"/>
        <w:rPr>
          <w:rFonts w:ascii="宋体" w:hAnsi="宋体" w:cs="宋体"/>
          <w:b/>
          <w:color w:val="000000"/>
          <w:sz w:val="28"/>
          <w:szCs w:val="28"/>
        </w:rPr>
      </w:pPr>
      <w:bookmarkStart w:id="300" w:name="_Toc23450"/>
      <w:r>
        <w:rPr>
          <w:rFonts w:hint="eastAsia" w:ascii="宋体" w:hAnsi="宋体" w:cs="宋体"/>
          <w:b/>
          <w:color w:val="000000"/>
          <w:sz w:val="28"/>
          <w:szCs w:val="28"/>
        </w:rPr>
        <w:t>证明投标标的的合格性和符合采购文件规定的技术文件</w:t>
      </w:r>
      <w:r>
        <w:rPr>
          <w:rFonts w:hint="eastAsia" w:ascii="宋体" w:hAnsi="宋体"/>
          <w:b/>
          <w:color w:val="000000"/>
          <w:sz w:val="28"/>
          <w:szCs w:val="28"/>
        </w:rPr>
        <w:t>等</w:t>
      </w:r>
      <w:bookmarkEnd w:id="300"/>
    </w:p>
    <w:p w14:paraId="1DDA152F">
      <w:pPr>
        <w:spacing w:line="360" w:lineRule="auto"/>
        <w:jc w:val="center"/>
        <w:rPr>
          <w:rFonts w:ascii="宋体" w:hAnsi="宋体" w:cs="宋体"/>
          <w:color w:val="000000"/>
          <w:sz w:val="28"/>
          <w:szCs w:val="28"/>
        </w:rPr>
      </w:pPr>
      <w:bookmarkStart w:id="301" w:name="_Toc30692"/>
      <w:r>
        <w:rPr>
          <w:rFonts w:hint="eastAsia" w:ascii="宋体" w:hAnsi="宋体" w:cs="宋体"/>
          <w:color w:val="000000"/>
          <w:sz w:val="28"/>
          <w:szCs w:val="28"/>
        </w:rPr>
        <w:t>（包括但不限于:采购文件要求及供应商认为应当提供相关</w:t>
      </w:r>
      <w:r>
        <w:rPr>
          <w:rFonts w:hint="eastAsia" w:ascii="宋体" w:hAnsi="宋体"/>
          <w:color w:val="000000"/>
          <w:sz w:val="28"/>
          <w:szCs w:val="28"/>
        </w:rPr>
        <w:t>文件</w:t>
      </w:r>
      <w:r>
        <w:rPr>
          <w:rFonts w:hint="eastAsia" w:ascii="宋体" w:hAnsi="宋体" w:cs="宋体"/>
          <w:color w:val="000000"/>
          <w:sz w:val="28"/>
          <w:szCs w:val="28"/>
        </w:rPr>
        <w:t>等）</w:t>
      </w:r>
      <w:bookmarkEnd w:id="301"/>
    </w:p>
    <w:p w14:paraId="77D414C6">
      <w:pPr>
        <w:spacing w:line="240" w:lineRule="exact"/>
        <w:jc w:val="center"/>
        <w:rPr>
          <w:rFonts w:ascii="宋体" w:hAnsi="宋体" w:cs="宋体"/>
          <w:color w:val="000000"/>
          <w:szCs w:val="21"/>
        </w:rPr>
      </w:pPr>
    </w:p>
    <w:p w14:paraId="259F08BA">
      <w:pPr>
        <w:spacing w:line="480" w:lineRule="auto"/>
        <w:ind w:firstLine="632" w:firstLineChars="300"/>
        <w:rPr>
          <w:rFonts w:ascii="宋体" w:hAnsi="宋体" w:cs="宋体"/>
          <w:b/>
          <w:bCs/>
          <w:color w:val="000000"/>
          <w:szCs w:val="21"/>
        </w:rPr>
      </w:pPr>
      <w:r>
        <w:rPr>
          <w:rFonts w:hint="eastAsia" w:ascii="宋体" w:hAnsi="宋体" w:cs="宋体"/>
          <w:b/>
          <w:bCs/>
          <w:color w:val="000000"/>
          <w:szCs w:val="21"/>
        </w:rPr>
        <w:t>附表一：</w:t>
      </w:r>
    </w:p>
    <w:p w14:paraId="7D8DB8FB">
      <w:pPr>
        <w:spacing w:line="80" w:lineRule="atLeast"/>
        <w:rPr>
          <w:rFonts w:ascii="宋体" w:hAnsi="宋体"/>
          <w:color w:val="00000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7306"/>
      </w:tblGrid>
      <w:tr w14:paraId="0595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35" w:type="dxa"/>
            <w:vAlign w:val="center"/>
          </w:tcPr>
          <w:p w14:paraId="4BD7D85A">
            <w:pPr>
              <w:spacing w:line="480" w:lineRule="auto"/>
              <w:jc w:val="center"/>
              <w:rPr>
                <w:rFonts w:ascii="宋体" w:hAnsi="宋体" w:cs="宋体"/>
                <w:b/>
                <w:bCs/>
                <w:color w:val="000000"/>
                <w:szCs w:val="21"/>
              </w:rPr>
            </w:pPr>
            <w:r>
              <w:rPr>
                <w:rFonts w:hint="eastAsia" w:ascii="宋体" w:hAnsi="宋体" w:cs="宋体"/>
                <w:b/>
                <w:bCs/>
                <w:color w:val="000000"/>
                <w:szCs w:val="21"/>
              </w:rPr>
              <w:t>项目名称</w:t>
            </w:r>
          </w:p>
        </w:tc>
        <w:tc>
          <w:tcPr>
            <w:tcW w:w="7306" w:type="dxa"/>
            <w:vAlign w:val="center"/>
          </w:tcPr>
          <w:p w14:paraId="51C28DD2">
            <w:pPr>
              <w:spacing w:line="480" w:lineRule="auto"/>
              <w:jc w:val="center"/>
              <w:rPr>
                <w:rFonts w:ascii="宋体" w:hAnsi="宋体" w:cs="宋体"/>
                <w:b/>
                <w:bCs/>
                <w:color w:val="000000"/>
                <w:szCs w:val="21"/>
              </w:rPr>
            </w:pPr>
            <w:r>
              <w:rPr>
                <w:rFonts w:hint="eastAsia" w:ascii="宋体" w:hAnsi="宋体" w:cs="宋体"/>
                <w:b/>
                <w:bCs/>
                <w:color w:val="000000"/>
                <w:szCs w:val="21"/>
              </w:rPr>
              <w:t>江苏医药职业学院康养实训中心改造项目</w:t>
            </w:r>
          </w:p>
        </w:tc>
      </w:tr>
      <w:tr w14:paraId="318C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14:paraId="5E20DECA">
            <w:pPr>
              <w:spacing w:line="480" w:lineRule="auto"/>
              <w:jc w:val="center"/>
              <w:rPr>
                <w:rFonts w:ascii="宋体" w:hAnsi="宋体" w:cs="宋体"/>
                <w:b/>
                <w:bCs/>
                <w:color w:val="000000"/>
                <w:szCs w:val="21"/>
              </w:rPr>
            </w:pPr>
            <w:r>
              <w:rPr>
                <w:rFonts w:hint="eastAsia" w:ascii="宋体" w:hAnsi="宋体" w:cs="宋体"/>
                <w:b/>
                <w:bCs/>
                <w:color w:val="000000"/>
                <w:szCs w:val="21"/>
              </w:rPr>
              <w:t>工期</w:t>
            </w:r>
          </w:p>
        </w:tc>
        <w:tc>
          <w:tcPr>
            <w:tcW w:w="7306" w:type="dxa"/>
            <w:vAlign w:val="center"/>
          </w:tcPr>
          <w:p w14:paraId="06729DB7">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 xml:space="preserve">             </w:t>
            </w:r>
            <w:r>
              <w:rPr>
                <w:rFonts w:hint="eastAsia" w:ascii="宋体" w:hAnsi="宋体" w:cs="宋体"/>
                <w:b/>
                <w:bCs/>
                <w:color w:val="000000"/>
                <w:szCs w:val="21"/>
              </w:rPr>
              <w:t>日历天</w:t>
            </w:r>
          </w:p>
        </w:tc>
      </w:tr>
      <w:tr w14:paraId="3B53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14:paraId="14F5E2E4">
            <w:pPr>
              <w:spacing w:line="480" w:lineRule="auto"/>
              <w:jc w:val="center"/>
              <w:rPr>
                <w:rFonts w:ascii="宋体" w:hAnsi="宋体" w:cs="宋体"/>
                <w:b/>
                <w:bCs/>
                <w:color w:val="000000"/>
                <w:szCs w:val="21"/>
              </w:rPr>
            </w:pPr>
            <w:r>
              <w:rPr>
                <w:rFonts w:hint="eastAsia" w:ascii="宋体" w:hAnsi="宋体" w:cs="宋体"/>
                <w:b/>
                <w:bCs/>
                <w:color w:val="000000"/>
                <w:szCs w:val="21"/>
              </w:rPr>
              <w:t>工程保修期</w:t>
            </w:r>
          </w:p>
        </w:tc>
        <w:tc>
          <w:tcPr>
            <w:tcW w:w="7306" w:type="dxa"/>
            <w:vAlign w:val="center"/>
          </w:tcPr>
          <w:p w14:paraId="499F7065">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 xml:space="preserve">            </w:t>
            </w:r>
            <w:r>
              <w:rPr>
                <w:rFonts w:hint="eastAsia" w:ascii="宋体" w:hAnsi="宋体" w:cs="宋体"/>
                <w:b/>
                <w:bCs/>
                <w:color w:val="000000"/>
                <w:szCs w:val="21"/>
              </w:rPr>
              <w:t>年</w:t>
            </w:r>
          </w:p>
        </w:tc>
      </w:tr>
    </w:tbl>
    <w:p w14:paraId="56765FCB">
      <w:pPr>
        <w:spacing w:line="240" w:lineRule="exact"/>
        <w:jc w:val="center"/>
        <w:rPr>
          <w:rFonts w:ascii="宋体" w:hAnsi="宋体" w:cs="宋体"/>
          <w:color w:val="000000"/>
          <w:szCs w:val="21"/>
        </w:rPr>
      </w:pPr>
    </w:p>
    <w:p w14:paraId="014260A8">
      <w:pPr>
        <w:spacing w:line="480" w:lineRule="auto"/>
        <w:ind w:firstLine="632" w:firstLineChars="300"/>
        <w:rPr>
          <w:rFonts w:ascii="宋体" w:hAnsi="宋体" w:cs="宋体"/>
          <w:b/>
          <w:bCs/>
          <w:color w:val="000000"/>
          <w:szCs w:val="21"/>
        </w:rPr>
      </w:pPr>
    </w:p>
    <w:p w14:paraId="2270A96B">
      <w:pPr>
        <w:spacing w:line="480" w:lineRule="auto"/>
        <w:ind w:firstLine="632" w:firstLineChars="300"/>
        <w:rPr>
          <w:rFonts w:ascii="宋体" w:hAnsi="宋体" w:cs="宋体"/>
          <w:b/>
          <w:bCs/>
          <w:color w:val="000000"/>
          <w:szCs w:val="21"/>
        </w:rPr>
      </w:pPr>
    </w:p>
    <w:p w14:paraId="496F512B">
      <w:pPr>
        <w:spacing w:line="480" w:lineRule="auto"/>
        <w:ind w:firstLine="632" w:firstLineChars="300"/>
        <w:rPr>
          <w:rFonts w:ascii="宋体" w:hAnsi="宋体" w:cs="宋体"/>
          <w:b/>
          <w:bCs/>
          <w:color w:val="000000"/>
          <w:szCs w:val="21"/>
        </w:rPr>
      </w:pPr>
    </w:p>
    <w:p w14:paraId="094C512A">
      <w:pPr>
        <w:spacing w:line="480" w:lineRule="auto"/>
        <w:ind w:firstLine="632" w:firstLineChars="300"/>
        <w:rPr>
          <w:rFonts w:ascii="宋体" w:hAnsi="宋体" w:cs="宋体"/>
          <w:b/>
          <w:bCs/>
          <w:color w:val="000000"/>
          <w:szCs w:val="21"/>
        </w:rPr>
      </w:pPr>
    </w:p>
    <w:p w14:paraId="2AC1872F">
      <w:pPr>
        <w:spacing w:line="480" w:lineRule="auto"/>
        <w:ind w:firstLine="632" w:firstLineChars="300"/>
        <w:rPr>
          <w:rFonts w:ascii="宋体" w:hAnsi="宋体" w:cs="宋体"/>
          <w:b/>
          <w:bCs/>
          <w:color w:val="000000"/>
          <w:szCs w:val="21"/>
        </w:rPr>
      </w:pPr>
    </w:p>
    <w:p w14:paraId="164408F3">
      <w:pPr>
        <w:spacing w:line="480" w:lineRule="auto"/>
        <w:ind w:firstLine="632" w:firstLineChars="300"/>
        <w:rPr>
          <w:rFonts w:ascii="宋体" w:hAnsi="宋体" w:cs="宋体"/>
          <w:b/>
          <w:bCs/>
          <w:color w:val="000000"/>
          <w:szCs w:val="21"/>
        </w:rPr>
      </w:pPr>
    </w:p>
    <w:p w14:paraId="5DAAA93C">
      <w:pPr>
        <w:spacing w:line="480" w:lineRule="auto"/>
        <w:ind w:firstLine="632" w:firstLineChars="300"/>
        <w:rPr>
          <w:rFonts w:ascii="宋体" w:hAnsi="宋体" w:cs="宋体"/>
          <w:b/>
          <w:bCs/>
          <w:color w:val="000000"/>
          <w:szCs w:val="21"/>
        </w:rPr>
      </w:pPr>
    </w:p>
    <w:p w14:paraId="244AE166">
      <w:pPr>
        <w:spacing w:line="480" w:lineRule="auto"/>
        <w:ind w:firstLine="632" w:firstLineChars="300"/>
        <w:rPr>
          <w:rFonts w:ascii="宋体" w:hAnsi="宋体" w:cs="宋体"/>
          <w:b/>
          <w:bCs/>
          <w:color w:val="000000"/>
          <w:szCs w:val="21"/>
        </w:rPr>
      </w:pPr>
    </w:p>
    <w:p w14:paraId="3B3CFC50">
      <w:pPr>
        <w:spacing w:line="480" w:lineRule="auto"/>
        <w:ind w:firstLine="632" w:firstLineChars="300"/>
        <w:rPr>
          <w:rFonts w:ascii="宋体" w:hAnsi="宋体" w:cs="宋体"/>
          <w:b/>
          <w:bCs/>
          <w:color w:val="000000"/>
          <w:szCs w:val="21"/>
        </w:rPr>
      </w:pPr>
    </w:p>
    <w:p w14:paraId="1D3F8F28">
      <w:pPr>
        <w:spacing w:line="480" w:lineRule="auto"/>
        <w:ind w:firstLine="632" w:firstLineChars="300"/>
        <w:rPr>
          <w:rFonts w:ascii="宋体" w:hAnsi="宋体" w:cs="宋体"/>
          <w:b/>
          <w:bCs/>
          <w:color w:val="000000"/>
          <w:szCs w:val="21"/>
        </w:rPr>
      </w:pPr>
    </w:p>
    <w:p w14:paraId="397A3E41">
      <w:pPr>
        <w:spacing w:line="480" w:lineRule="auto"/>
        <w:ind w:firstLine="632" w:firstLineChars="300"/>
        <w:rPr>
          <w:rFonts w:ascii="宋体" w:hAnsi="宋体" w:cs="宋体"/>
          <w:b/>
          <w:bCs/>
          <w:color w:val="000000"/>
          <w:szCs w:val="21"/>
        </w:rPr>
      </w:pPr>
    </w:p>
    <w:p w14:paraId="7D23E1DA">
      <w:pPr>
        <w:spacing w:line="480" w:lineRule="auto"/>
        <w:ind w:firstLine="632" w:firstLineChars="300"/>
        <w:rPr>
          <w:rFonts w:ascii="宋体" w:hAnsi="宋体" w:cs="宋体"/>
          <w:b/>
          <w:bCs/>
          <w:color w:val="000000"/>
          <w:szCs w:val="21"/>
        </w:rPr>
      </w:pPr>
    </w:p>
    <w:p w14:paraId="3ABEA67E">
      <w:pPr>
        <w:spacing w:line="480" w:lineRule="auto"/>
        <w:ind w:firstLine="632" w:firstLineChars="300"/>
        <w:rPr>
          <w:rFonts w:ascii="宋体" w:hAnsi="宋体" w:cs="宋体"/>
          <w:b/>
          <w:bCs/>
          <w:color w:val="000000"/>
          <w:szCs w:val="21"/>
        </w:rPr>
      </w:pPr>
    </w:p>
    <w:p w14:paraId="3364ADB3">
      <w:pPr>
        <w:spacing w:line="480" w:lineRule="auto"/>
        <w:ind w:firstLine="632" w:firstLineChars="300"/>
        <w:rPr>
          <w:rFonts w:ascii="宋体" w:hAnsi="宋体" w:cs="宋体"/>
          <w:b/>
          <w:bCs/>
          <w:color w:val="000000"/>
          <w:szCs w:val="21"/>
        </w:rPr>
      </w:pPr>
    </w:p>
    <w:p w14:paraId="4205098F">
      <w:pPr>
        <w:spacing w:line="480" w:lineRule="auto"/>
        <w:ind w:firstLine="632" w:firstLineChars="300"/>
        <w:rPr>
          <w:rFonts w:ascii="宋体" w:hAnsi="宋体" w:cs="宋体"/>
          <w:b/>
          <w:bCs/>
          <w:color w:val="000000"/>
          <w:szCs w:val="21"/>
        </w:rPr>
      </w:pPr>
    </w:p>
    <w:p w14:paraId="09A8700C">
      <w:pPr>
        <w:spacing w:line="480" w:lineRule="auto"/>
        <w:rPr>
          <w:rFonts w:ascii="宋体" w:hAnsi="宋体" w:cs="宋体"/>
          <w:b/>
          <w:bCs/>
          <w:color w:val="000000"/>
          <w:szCs w:val="21"/>
        </w:rPr>
      </w:pPr>
      <w:r>
        <w:rPr>
          <w:rFonts w:hint="eastAsia" w:ascii="宋体" w:hAnsi="宋体" w:cs="宋体"/>
          <w:b/>
          <w:bCs/>
          <w:color w:val="000000"/>
          <w:szCs w:val="21"/>
        </w:rPr>
        <w:t>附表二：主要材料品牌表</w:t>
      </w:r>
    </w:p>
    <w:tbl>
      <w:tblPr>
        <w:tblStyle w:val="27"/>
        <w:tblW w:w="9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1827"/>
        <w:gridCol w:w="2213"/>
        <w:gridCol w:w="2526"/>
        <w:gridCol w:w="2234"/>
      </w:tblGrid>
      <w:tr w14:paraId="0513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719" w:type="dxa"/>
            <w:tcBorders>
              <w:top w:val="single" w:color="000000" w:sz="4" w:space="0"/>
              <w:left w:val="single" w:color="000000" w:sz="4" w:space="0"/>
              <w:bottom w:val="single" w:color="auto" w:sz="4" w:space="0"/>
              <w:right w:val="single" w:color="auto" w:sz="4" w:space="0"/>
            </w:tcBorders>
            <w:vAlign w:val="center"/>
          </w:tcPr>
          <w:p w14:paraId="03A95CA7">
            <w:pPr>
              <w:jc w:val="center"/>
              <w:rPr>
                <w:rFonts w:cs="宋体"/>
                <w:b/>
                <w:bCs/>
              </w:rPr>
            </w:pPr>
            <w:r>
              <w:rPr>
                <w:rFonts w:hint="eastAsia" w:cs="宋体"/>
                <w:b/>
                <w:bCs/>
              </w:rPr>
              <w:t>序号</w:t>
            </w:r>
          </w:p>
        </w:tc>
        <w:tc>
          <w:tcPr>
            <w:tcW w:w="1827" w:type="dxa"/>
            <w:tcBorders>
              <w:top w:val="single" w:color="000000" w:sz="4" w:space="0"/>
              <w:left w:val="single" w:color="auto" w:sz="4" w:space="0"/>
              <w:bottom w:val="single" w:color="auto" w:sz="4" w:space="0"/>
              <w:right w:val="single" w:color="000000" w:sz="4" w:space="0"/>
            </w:tcBorders>
            <w:vAlign w:val="center"/>
          </w:tcPr>
          <w:p w14:paraId="4A0460AC">
            <w:pPr>
              <w:jc w:val="center"/>
              <w:rPr>
                <w:rFonts w:cs="宋体"/>
                <w:b/>
                <w:bCs/>
              </w:rPr>
            </w:pPr>
            <w:r>
              <w:rPr>
                <w:rFonts w:hint="eastAsia" w:cs="宋体"/>
                <w:b/>
                <w:bCs/>
              </w:rPr>
              <w:t>材料设备名称</w:t>
            </w:r>
          </w:p>
        </w:tc>
        <w:tc>
          <w:tcPr>
            <w:tcW w:w="2213" w:type="dxa"/>
            <w:tcBorders>
              <w:top w:val="single" w:color="000000" w:sz="4" w:space="0"/>
              <w:left w:val="single" w:color="000000" w:sz="4" w:space="0"/>
              <w:bottom w:val="single" w:color="auto" w:sz="4" w:space="0"/>
              <w:right w:val="single" w:color="000000" w:sz="4" w:space="0"/>
            </w:tcBorders>
            <w:vAlign w:val="center"/>
          </w:tcPr>
          <w:p w14:paraId="0D2E1BBC">
            <w:pPr>
              <w:jc w:val="center"/>
              <w:rPr>
                <w:rFonts w:cs="宋体"/>
                <w:b/>
                <w:bCs/>
              </w:rPr>
            </w:pPr>
            <w:r>
              <w:rPr>
                <w:rFonts w:hint="eastAsia" w:cs="宋体"/>
                <w:b/>
                <w:bCs/>
              </w:rPr>
              <w:t>材料主要性能要求</w:t>
            </w:r>
          </w:p>
        </w:tc>
        <w:tc>
          <w:tcPr>
            <w:tcW w:w="2526" w:type="dxa"/>
            <w:tcBorders>
              <w:top w:val="single" w:color="000000" w:sz="4" w:space="0"/>
              <w:left w:val="single" w:color="000000" w:sz="4" w:space="0"/>
              <w:bottom w:val="single" w:color="auto" w:sz="4" w:space="0"/>
              <w:right w:val="single" w:color="000000" w:sz="4" w:space="0"/>
            </w:tcBorders>
            <w:vAlign w:val="center"/>
          </w:tcPr>
          <w:p w14:paraId="6842D0C1">
            <w:pPr>
              <w:jc w:val="center"/>
              <w:rPr>
                <w:rFonts w:cs="宋体"/>
                <w:b/>
                <w:bCs/>
              </w:rPr>
            </w:pPr>
            <w:r>
              <w:rPr>
                <w:rFonts w:hint="eastAsia" w:cs="宋体"/>
                <w:b/>
                <w:bCs/>
              </w:rPr>
              <w:t>招标人推荐品牌</w:t>
            </w:r>
          </w:p>
        </w:tc>
        <w:tc>
          <w:tcPr>
            <w:tcW w:w="2234" w:type="dxa"/>
            <w:tcBorders>
              <w:top w:val="single" w:color="000000" w:sz="4" w:space="0"/>
              <w:left w:val="single" w:color="000000" w:sz="4" w:space="0"/>
              <w:bottom w:val="single" w:color="auto" w:sz="4" w:space="0"/>
              <w:right w:val="single" w:color="000000" w:sz="4" w:space="0"/>
            </w:tcBorders>
            <w:vAlign w:val="center"/>
          </w:tcPr>
          <w:p w14:paraId="3FBF0821">
            <w:pPr>
              <w:jc w:val="center"/>
              <w:rPr>
                <w:rFonts w:cs="宋体"/>
                <w:b/>
                <w:bCs/>
              </w:rPr>
            </w:pPr>
            <w:r>
              <w:rPr>
                <w:rFonts w:hint="eastAsia" w:cs="宋体"/>
                <w:b/>
                <w:bCs/>
              </w:rPr>
              <w:t>投标人选用品牌</w:t>
            </w:r>
          </w:p>
        </w:tc>
      </w:tr>
      <w:tr w14:paraId="5E64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719" w:type="dxa"/>
            <w:tcBorders>
              <w:top w:val="single" w:color="000000" w:sz="4" w:space="0"/>
              <w:left w:val="single" w:color="000000" w:sz="4" w:space="0"/>
              <w:bottom w:val="single" w:color="000000" w:sz="4" w:space="0"/>
              <w:right w:val="single" w:color="auto" w:sz="4" w:space="0"/>
            </w:tcBorders>
            <w:vAlign w:val="center"/>
          </w:tcPr>
          <w:p w14:paraId="43B50BA8">
            <w:pPr>
              <w:jc w:val="center"/>
              <w:rPr>
                <w:rFonts w:cs="宋体"/>
                <w:szCs w:val="21"/>
              </w:rPr>
            </w:pPr>
            <w:r>
              <w:rPr>
                <w:rFonts w:hint="eastAsia" w:cs="宋体"/>
                <w:szCs w:val="21"/>
              </w:rPr>
              <w:t>1</w:t>
            </w:r>
          </w:p>
        </w:tc>
        <w:tc>
          <w:tcPr>
            <w:tcW w:w="1827" w:type="dxa"/>
            <w:tcBorders>
              <w:top w:val="single" w:color="000000" w:sz="4" w:space="0"/>
              <w:left w:val="single" w:color="auto" w:sz="4" w:space="0"/>
              <w:bottom w:val="single" w:color="000000" w:sz="4" w:space="0"/>
              <w:right w:val="single" w:color="000000" w:sz="4" w:space="0"/>
            </w:tcBorders>
            <w:vAlign w:val="center"/>
          </w:tcPr>
          <w:p w14:paraId="49995B79">
            <w:pPr>
              <w:widowControl/>
              <w:jc w:val="center"/>
              <w:rPr>
                <w:rFonts w:cs="宋体"/>
                <w:kern w:val="0"/>
                <w:szCs w:val="21"/>
              </w:rPr>
            </w:pPr>
            <w:r>
              <w:rPr>
                <w:rFonts w:hint="eastAsia" w:cs="宋体"/>
                <w:kern w:val="0"/>
                <w:szCs w:val="21"/>
              </w:rPr>
              <w:t>乳胶漆</w:t>
            </w:r>
          </w:p>
        </w:tc>
        <w:tc>
          <w:tcPr>
            <w:tcW w:w="2213" w:type="dxa"/>
            <w:tcBorders>
              <w:top w:val="single" w:color="000000" w:sz="4" w:space="0"/>
              <w:left w:val="single" w:color="000000" w:sz="4" w:space="0"/>
              <w:bottom w:val="single" w:color="000000" w:sz="4" w:space="0"/>
              <w:right w:val="single" w:color="000000" w:sz="4" w:space="0"/>
            </w:tcBorders>
            <w:vAlign w:val="center"/>
          </w:tcPr>
          <w:p w14:paraId="4E071C1B">
            <w:pPr>
              <w:widowControl/>
              <w:jc w:val="center"/>
              <w:rPr>
                <w:rFonts w:cs="宋体"/>
                <w:szCs w:val="21"/>
              </w:rPr>
            </w:pPr>
            <w:r>
              <w:rPr>
                <w:rFonts w:hint="eastAsia" w:cs="宋体"/>
                <w:szCs w:val="21"/>
              </w:rPr>
              <w:t>合格品及其以上等级，环保等级达E1级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6F3F23ED">
            <w:pPr>
              <w:widowControl/>
              <w:jc w:val="center"/>
              <w:rPr>
                <w:rFonts w:cs="宋体"/>
                <w:szCs w:val="21"/>
              </w:rPr>
            </w:pPr>
            <w:r>
              <w:rPr>
                <w:rFonts w:hint="eastAsia" w:cs="宋体"/>
                <w:szCs w:val="21"/>
              </w:rPr>
              <w:t>立邦、多乐士、华润、三棵树</w:t>
            </w:r>
          </w:p>
        </w:tc>
        <w:tc>
          <w:tcPr>
            <w:tcW w:w="2234" w:type="dxa"/>
            <w:tcBorders>
              <w:top w:val="single" w:color="000000" w:sz="4" w:space="0"/>
              <w:left w:val="single" w:color="000000" w:sz="4" w:space="0"/>
              <w:bottom w:val="single" w:color="000000" w:sz="4" w:space="0"/>
              <w:right w:val="single" w:color="000000" w:sz="4" w:space="0"/>
            </w:tcBorders>
          </w:tcPr>
          <w:p w14:paraId="6D208A1E">
            <w:pPr>
              <w:widowControl/>
              <w:jc w:val="center"/>
              <w:rPr>
                <w:rFonts w:cs="宋体"/>
                <w:szCs w:val="21"/>
              </w:rPr>
            </w:pPr>
          </w:p>
        </w:tc>
      </w:tr>
      <w:tr w14:paraId="3FAF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3CE06E0E">
            <w:pPr>
              <w:jc w:val="center"/>
              <w:rPr>
                <w:rFonts w:cs="宋体"/>
                <w:szCs w:val="21"/>
              </w:rPr>
            </w:pPr>
            <w:r>
              <w:rPr>
                <w:rFonts w:hint="eastAsia" w:cs="宋体"/>
                <w:szCs w:val="21"/>
              </w:rPr>
              <w:t>2</w:t>
            </w:r>
          </w:p>
        </w:tc>
        <w:tc>
          <w:tcPr>
            <w:tcW w:w="1827" w:type="dxa"/>
            <w:tcBorders>
              <w:top w:val="single" w:color="000000" w:sz="4" w:space="0"/>
              <w:left w:val="single" w:color="000000" w:sz="4" w:space="0"/>
              <w:bottom w:val="single" w:color="000000" w:sz="4" w:space="0"/>
              <w:right w:val="single" w:color="000000" w:sz="4" w:space="0"/>
            </w:tcBorders>
            <w:vAlign w:val="center"/>
          </w:tcPr>
          <w:p w14:paraId="591E9937">
            <w:pPr>
              <w:widowControl/>
              <w:jc w:val="center"/>
              <w:rPr>
                <w:rFonts w:cs="新宋体"/>
                <w:kern w:val="0"/>
                <w:szCs w:val="21"/>
              </w:rPr>
            </w:pPr>
            <w:r>
              <w:rPr>
                <w:rFonts w:hint="eastAsia" w:cs="新宋体"/>
                <w:kern w:val="0"/>
                <w:szCs w:val="21"/>
              </w:rPr>
              <w:t>PVC</w:t>
            </w:r>
          </w:p>
        </w:tc>
        <w:tc>
          <w:tcPr>
            <w:tcW w:w="2213" w:type="dxa"/>
            <w:tcBorders>
              <w:top w:val="single" w:color="000000" w:sz="4" w:space="0"/>
              <w:left w:val="single" w:color="000000" w:sz="4" w:space="0"/>
              <w:bottom w:val="single" w:color="000000" w:sz="4" w:space="0"/>
              <w:right w:val="single" w:color="000000" w:sz="4" w:space="0"/>
            </w:tcBorders>
            <w:vAlign w:val="center"/>
          </w:tcPr>
          <w:p w14:paraId="3E360AB6">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33973DD8">
            <w:pPr>
              <w:jc w:val="center"/>
              <w:rPr>
                <w:rFonts w:cs="宋体"/>
                <w:szCs w:val="21"/>
              </w:rPr>
            </w:pPr>
            <w:r>
              <w:fldChar w:fldCharType="begin"/>
            </w:r>
            <w:r>
              <w:instrText xml:space="preserve"> HYPERLINK "https://www.chinapp.com/brand/6513" \t "https://cn.bing.com/_blank" </w:instrText>
            </w:r>
            <w:r>
              <w:fldChar w:fldCharType="separate"/>
            </w:r>
            <w:r>
              <w:rPr>
                <w:szCs w:val="21"/>
              </w:rPr>
              <w:t>洁福、得嘉、博尔福</w:t>
            </w:r>
            <w:r>
              <w:rPr>
                <w:szCs w:val="21"/>
              </w:rPr>
              <w:fldChar w:fldCharType="end"/>
            </w:r>
          </w:p>
        </w:tc>
        <w:tc>
          <w:tcPr>
            <w:tcW w:w="2234" w:type="dxa"/>
            <w:tcBorders>
              <w:top w:val="single" w:color="000000" w:sz="4" w:space="0"/>
              <w:left w:val="single" w:color="000000" w:sz="4" w:space="0"/>
              <w:bottom w:val="single" w:color="000000" w:sz="4" w:space="0"/>
              <w:right w:val="single" w:color="000000" w:sz="4" w:space="0"/>
            </w:tcBorders>
          </w:tcPr>
          <w:p w14:paraId="366F97E2">
            <w:pPr>
              <w:jc w:val="center"/>
              <w:rPr>
                <w:rFonts w:cs="宋体"/>
                <w:szCs w:val="21"/>
              </w:rPr>
            </w:pPr>
          </w:p>
        </w:tc>
      </w:tr>
      <w:tr w14:paraId="30304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6FBC3D80">
            <w:pPr>
              <w:jc w:val="center"/>
              <w:rPr>
                <w:rFonts w:cs="宋体"/>
                <w:szCs w:val="21"/>
              </w:rPr>
            </w:pPr>
            <w:r>
              <w:rPr>
                <w:rFonts w:hint="eastAsia" w:cs="宋体"/>
                <w:szCs w:val="21"/>
              </w:rPr>
              <w:t>3</w:t>
            </w:r>
          </w:p>
        </w:tc>
        <w:tc>
          <w:tcPr>
            <w:tcW w:w="1827" w:type="dxa"/>
            <w:tcBorders>
              <w:top w:val="single" w:color="000000" w:sz="4" w:space="0"/>
              <w:left w:val="single" w:color="000000" w:sz="4" w:space="0"/>
              <w:bottom w:val="single" w:color="000000" w:sz="4" w:space="0"/>
              <w:right w:val="single" w:color="000000" w:sz="4" w:space="0"/>
            </w:tcBorders>
            <w:vAlign w:val="center"/>
          </w:tcPr>
          <w:p w14:paraId="43C19070">
            <w:pPr>
              <w:jc w:val="center"/>
              <w:rPr>
                <w:szCs w:val="21"/>
              </w:rPr>
            </w:pPr>
            <w:r>
              <w:rPr>
                <w:rFonts w:hint="eastAsia"/>
                <w:szCs w:val="21"/>
              </w:rPr>
              <w:t>铝合金格栅</w:t>
            </w:r>
          </w:p>
        </w:tc>
        <w:tc>
          <w:tcPr>
            <w:tcW w:w="2213" w:type="dxa"/>
            <w:tcBorders>
              <w:top w:val="single" w:color="000000" w:sz="4" w:space="0"/>
              <w:left w:val="single" w:color="000000" w:sz="4" w:space="0"/>
              <w:bottom w:val="single" w:color="000000" w:sz="4" w:space="0"/>
              <w:right w:val="single" w:color="000000" w:sz="4" w:space="0"/>
            </w:tcBorders>
            <w:vAlign w:val="center"/>
          </w:tcPr>
          <w:p w14:paraId="499487CC">
            <w:pPr>
              <w:widowControl/>
              <w:jc w:val="center"/>
              <w:rPr>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53DCA643">
            <w:pPr>
              <w:widowControl/>
              <w:jc w:val="center"/>
              <w:rPr>
                <w:szCs w:val="21"/>
              </w:rPr>
            </w:pPr>
            <w:r>
              <w:rPr>
                <w:rFonts w:hint="eastAsia"/>
                <w:szCs w:val="21"/>
              </w:rPr>
              <w:t>顶上、奇力、奥普</w:t>
            </w:r>
          </w:p>
        </w:tc>
        <w:tc>
          <w:tcPr>
            <w:tcW w:w="2234" w:type="dxa"/>
            <w:tcBorders>
              <w:top w:val="single" w:color="000000" w:sz="4" w:space="0"/>
              <w:left w:val="single" w:color="000000" w:sz="4" w:space="0"/>
              <w:bottom w:val="single" w:color="000000" w:sz="4" w:space="0"/>
              <w:right w:val="single" w:color="000000" w:sz="4" w:space="0"/>
            </w:tcBorders>
          </w:tcPr>
          <w:p w14:paraId="4F6A262C">
            <w:pPr>
              <w:widowControl/>
              <w:jc w:val="center"/>
              <w:rPr>
                <w:szCs w:val="21"/>
              </w:rPr>
            </w:pPr>
          </w:p>
        </w:tc>
      </w:tr>
      <w:tr w14:paraId="0D06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59B71D1C">
            <w:pPr>
              <w:jc w:val="center"/>
              <w:rPr>
                <w:rFonts w:cs="宋体"/>
                <w:szCs w:val="21"/>
              </w:rPr>
            </w:pPr>
            <w:r>
              <w:rPr>
                <w:rFonts w:hint="eastAsia" w:cs="宋体"/>
                <w:szCs w:val="21"/>
              </w:rPr>
              <w:t>4</w:t>
            </w:r>
          </w:p>
        </w:tc>
        <w:tc>
          <w:tcPr>
            <w:tcW w:w="1827" w:type="dxa"/>
            <w:tcBorders>
              <w:top w:val="single" w:color="000000" w:sz="4" w:space="0"/>
              <w:left w:val="single" w:color="000000" w:sz="4" w:space="0"/>
              <w:bottom w:val="single" w:color="000000" w:sz="4" w:space="0"/>
              <w:right w:val="single" w:color="000000" w:sz="4" w:space="0"/>
            </w:tcBorders>
            <w:vAlign w:val="center"/>
          </w:tcPr>
          <w:p w14:paraId="349FB800">
            <w:pPr>
              <w:jc w:val="center"/>
              <w:rPr>
                <w:szCs w:val="21"/>
              </w:rPr>
            </w:pPr>
            <w:r>
              <w:rPr>
                <w:rFonts w:hint="eastAsia" w:cs="宋体"/>
                <w:szCs w:val="21"/>
              </w:rPr>
              <w:t>木质门</w:t>
            </w:r>
          </w:p>
        </w:tc>
        <w:tc>
          <w:tcPr>
            <w:tcW w:w="2213" w:type="dxa"/>
            <w:tcBorders>
              <w:top w:val="single" w:color="000000" w:sz="4" w:space="0"/>
              <w:left w:val="single" w:color="000000" w:sz="4" w:space="0"/>
              <w:bottom w:val="single" w:color="000000" w:sz="4" w:space="0"/>
              <w:right w:val="single" w:color="000000" w:sz="4" w:space="0"/>
            </w:tcBorders>
            <w:vAlign w:val="center"/>
          </w:tcPr>
          <w:p w14:paraId="6D899A80">
            <w:pPr>
              <w:widowControl/>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089F6FCA">
            <w:pPr>
              <w:jc w:val="center"/>
              <w:rPr>
                <w:szCs w:val="21"/>
              </w:rPr>
            </w:pPr>
            <w:r>
              <w:rPr>
                <w:rFonts w:hint="eastAsia" w:cs="宋体"/>
                <w:szCs w:val="21"/>
              </w:rPr>
              <w:t>欧铂尼、TATA、美心</w:t>
            </w:r>
          </w:p>
        </w:tc>
        <w:tc>
          <w:tcPr>
            <w:tcW w:w="2234" w:type="dxa"/>
            <w:tcBorders>
              <w:top w:val="single" w:color="000000" w:sz="4" w:space="0"/>
              <w:left w:val="single" w:color="000000" w:sz="4" w:space="0"/>
              <w:bottom w:val="single" w:color="000000" w:sz="4" w:space="0"/>
              <w:right w:val="single" w:color="000000" w:sz="4" w:space="0"/>
            </w:tcBorders>
          </w:tcPr>
          <w:p w14:paraId="3B748BE4">
            <w:pPr>
              <w:widowControl/>
              <w:jc w:val="center"/>
              <w:rPr>
                <w:szCs w:val="21"/>
              </w:rPr>
            </w:pPr>
          </w:p>
        </w:tc>
      </w:tr>
      <w:tr w14:paraId="6DA8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54D5E6AA">
            <w:pPr>
              <w:jc w:val="center"/>
              <w:rPr>
                <w:rFonts w:cs="宋体"/>
                <w:szCs w:val="21"/>
              </w:rPr>
            </w:pPr>
            <w:r>
              <w:rPr>
                <w:rFonts w:hint="eastAsia" w:cs="宋体"/>
                <w:szCs w:val="21"/>
              </w:rPr>
              <w:t>5</w:t>
            </w:r>
          </w:p>
        </w:tc>
        <w:tc>
          <w:tcPr>
            <w:tcW w:w="1827" w:type="dxa"/>
            <w:tcBorders>
              <w:top w:val="single" w:color="000000" w:sz="4" w:space="0"/>
              <w:left w:val="single" w:color="000000" w:sz="4" w:space="0"/>
              <w:bottom w:val="single" w:color="000000" w:sz="4" w:space="0"/>
              <w:right w:val="single" w:color="000000" w:sz="4" w:space="0"/>
            </w:tcBorders>
            <w:vAlign w:val="center"/>
          </w:tcPr>
          <w:p w14:paraId="18082B7D">
            <w:pPr>
              <w:jc w:val="center"/>
              <w:rPr>
                <w:rFonts w:cs="宋体"/>
                <w:szCs w:val="21"/>
              </w:rPr>
            </w:pPr>
            <w:r>
              <w:rPr>
                <w:rFonts w:hint="eastAsia"/>
                <w:szCs w:val="21"/>
              </w:rPr>
              <w:t>纸面石膏板</w:t>
            </w:r>
          </w:p>
        </w:tc>
        <w:tc>
          <w:tcPr>
            <w:tcW w:w="2213" w:type="dxa"/>
            <w:tcBorders>
              <w:top w:val="single" w:color="000000" w:sz="4" w:space="0"/>
              <w:left w:val="single" w:color="000000" w:sz="4" w:space="0"/>
              <w:bottom w:val="single" w:color="000000" w:sz="4" w:space="0"/>
              <w:right w:val="single" w:color="000000" w:sz="4" w:space="0"/>
            </w:tcBorders>
            <w:vAlign w:val="center"/>
          </w:tcPr>
          <w:p w14:paraId="7E213009">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2AF774D8">
            <w:pPr>
              <w:jc w:val="center"/>
              <w:rPr>
                <w:szCs w:val="21"/>
              </w:rPr>
            </w:pPr>
            <w:r>
              <w:rPr>
                <w:rFonts w:hint="eastAsia"/>
                <w:szCs w:val="21"/>
              </w:rPr>
              <w:t>优时吉博罗、龙牌、可耐福、圣戈班</w:t>
            </w:r>
          </w:p>
        </w:tc>
        <w:tc>
          <w:tcPr>
            <w:tcW w:w="2234" w:type="dxa"/>
            <w:tcBorders>
              <w:top w:val="single" w:color="000000" w:sz="4" w:space="0"/>
              <w:left w:val="single" w:color="000000" w:sz="4" w:space="0"/>
              <w:bottom w:val="single" w:color="000000" w:sz="4" w:space="0"/>
              <w:right w:val="single" w:color="000000" w:sz="4" w:space="0"/>
            </w:tcBorders>
          </w:tcPr>
          <w:p w14:paraId="06B28C65">
            <w:pPr>
              <w:widowControl/>
              <w:jc w:val="center"/>
              <w:rPr>
                <w:szCs w:val="21"/>
              </w:rPr>
            </w:pPr>
          </w:p>
        </w:tc>
      </w:tr>
      <w:tr w14:paraId="4CEDB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4D8CDD65">
            <w:pPr>
              <w:jc w:val="center"/>
              <w:rPr>
                <w:rFonts w:cs="宋体"/>
                <w:szCs w:val="21"/>
              </w:rPr>
            </w:pPr>
            <w:r>
              <w:rPr>
                <w:rFonts w:hint="eastAsia" w:cs="宋体"/>
                <w:szCs w:val="21"/>
              </w:rPr>
              <w:t>6</w:t>
            </w:r>
          </w:p>
        </w:tc>
        <w:tc>
          <w:tcPr>
            <w:tcW w:w="1827" w:type="dxa"/>
            <w:tcBorders>
              <w:top w:val="single" w:color="000000" w:sz="4" w:space="0"/>
              <w:left w:val="single" w:color="000000" w:sz="4" w:space="0"/>
              <w:bottom w:val="single" w:color="000000" w:sz="4" w:space="0"/>
              <w:right w:val="single" w:color="000000" w:sz="4" w:space="0"/>
            </w:tcBorders>
            <w:vAlign w:val="center"/>
          </w:tcPr>
          <w:p w14:paraId="6CB9D0A1">
            <w:pPr>
              <w:jc w:val="center"/>
              <w:rPr>
                <w:rFonts w:cs="宋体"/>
                <w:szCs w:val="21"/>
              </w:rPr>
            </w:pPr>
            <w:r>
              <w:rPr>
                <w:szCs w:val="21"/>
              </w:rPr>
              <w:t>轻钢龙骨</w:t>
            </w:r>
          </w:p>
        </w:tc>
        <w:tc>
          <w:tcPr>
            <w:tcW w:w="2213" w:type="dxa"/>
            <w:tcBorders>
              <w:top w:val="single" w:color="000000" w:sz="4" w:space="0"/>
              <w:left w:val="single" w:color="000000" w:sz="4" w:space="0"/>
              <w:bottom w:val="single" w:color="000000" w:sz="4" w:space="0"/>
              <w:right w:val="single" w:color="000000" w:sz="4" w:space="0"/>
            </w:tcBorders>
            <w:vAlign w:val="center"/>
          </w:tcPr>
          <w:p w14:paraId="51A7A35E">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238107F0">
            <w:pPr>
              <w:jc w:val="center"/>
              <w:rPr>
                <w:szCs w:val="21"/>
              </w:rPr>
            </w:pPr>
            <w:r>
              <w:rPr>
                <w:rFonts w:hint="eastAsia"/>
                <w:szCs w:val="21"/>
              </w:rPr>
              <w:t>博罗拉法基、龙牌、可耐福、圣戈班</w:t>
            </w:r>
          </w:p>
        </w:tc>
        <w:tc>
          <w:tcPr>
            <w:tcW w:w="2234" w:type="dxa"/>
            <w:tcBorders>
              <w:top w:val="single" w:color="000000" w:sz="4" w:space="0"/>
              <w:left w:val="single" w:color="000000" w:sz="4" w:space="0"/>
              <w:bottom w:val="single" w:color="000000" w:sz="4" w:space="0"/>
              <w:right w:val="single" w:color="000000" w:sz="4" w:space="0"/>
            </w:tcBorders>
          </w:tcPr>
          <w:p w14:paraId="750B60A0">
            <w:pPr>
              <w:widowControl/>
              <w:jc w:val="center"/>
              <w:rPr>
                <w:szCs w:val="21"/>
              </w:rPr>
            </w:pPr>
          </w:p>
        </w:tc>
      </w:tr>
      <w:tr w14:paraId="7DF2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1C111A34">
            <w:pPr>
              <w:jc w:val="center"/>
              <w:rPr>
                <w:rFonts w:cs="宋体"/>
                <w:szCs w:val="21"/>
              </w:rPr>
            </w:pPr>
            <w:r>
              <w:rPr>
                <w:rFonts w:cs="宋体"/>
                <w:szCs w:val="21"/>
              </w:rPr>
              <w:t>7</w:t>
            </w:r>
          </w:p>
        </w:tc>
        <w:tc>
          <w:tcPr>
            <w:tcW w:w="1827" w:type="dxa"/>
            <w:tcBorders>
              <w:top w:val="single" w:color="000000" w:sz="4" w:space="0"/>
              <w:left w:val="single" w:color="000000" w:sz="4" w:space="0"/>
              <w:bottom w:val="single" w:color="000000" w:sz="4" w:space="0"/>
              <w:right w:val="single" w:color="000000" w:sz="4" w:space="0"/>
            </w:tcBorders>
            <w:vAlign w:val="center"/>
          </w:tcPr>
          <w:p w14:paraId="052AE752">
            <w:pPr>
              <w:jc w:val="center"/>
              <w:rPr>
                <w:rFonts w:cs="宋体"/>
                <w:szCs w:val="21"/>
              </w:rPr>
            </w:pPr>
            <w:r>
              <w:rPr>
                <w:rFonts w:hint="eastAsia" w:cs="宋体"/>
                <w:szCs w:val="21"/>
              </w:rPr>
              <w:t>电线电缆</w:t>
            </w:r>
          </w:p>
        </w:tc>
        <w:tc>
          <w:tcPr>
            <w:tcW w:w="2213" w:type="dxa"/>
            <w:tcBorders>
              <w:top w:val="single" w:color="000000" w:sz="4" w:space="0"/>
              <w:left w:val="single" w:color="000000" w:sz="4" w:space="0"/>
              <w:bottom w:val="single" w:color="000000" w:sz="4" w:space="0"/>
              <w:right w:val="single" w:color="000000" w:sz="4" w:space="0"/>
            </w:tcBorders>
            <w:vAlign w:val="center"/>
          </w:tcPr>
          <w:p w14:paraId="1C15E200">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4950E275">
            <w:pPr>
              <w:jc w:val="center"/>
              <w:rPr>
                <w:rFonts w:cs="宋体"/>
                <w:szCs w:val="21"/>
              </w:rPr>
            </w:pPr>
            <w:r>
              <w:rPr>
                <w:rFonts w:hint="eastAsia" w:cs="宋体"/>
                <w:szCs w:val="21"/>
              </w:rPr>
              <w:t>远东、江南、上上</w:t>
            </w:r>
          </w:p>
        </w:tc>
        <w:tc>
          <w:tcPr>
            <w:tcW w:w="2234" w:type="dxa"/>
            <w:tcBorders>
              <w:top w:val="single" w:color="000000" w:sz="4" w:space="0"/>
              <w:left w:val="single" w:color="000000" w:sz="4" w:space="0"/>
              <w:bottom w:val="single" w:color="000000" w:sz="4" w:space="0"/>
              <w:right w:val="single" w:color="000000" w:sz="4" w:space="0"/>
            </w:tcBorders>
          </w:tcPr>
          <w:p w14:paraId="62F3AA7B">
            <w:pPr>
              <w:widowControl/>
              <w:jc w:val="center"/>
              <w:rPr>
                <w:szCs w:val="21"/>
              </w:rPr>
            </w:pPr>
          </w:p>
        </w:tc>
      </w:tr>
      <w:tr w14:paraId="2259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1DA866F6">
            <w:pPr>
              <w:jc w:val="center"/>
              <w:rPr>
                <w:rFonts w:cs="宋体"/>
                <w:szCs w:val="21"/>
              </w:rPr>
            </w:pPr>
            <w:r>
              <w:rPr>
                <w:rFonts w:cs="宋体"/>
                <w:szCs w:val="21"/>
              </w:rPr>
              <w:t>8</w:t>
            </w:r>
          </w:p>
        </w:tc>
        <w:tc>
          <w:tcPr>
            <w:tcW w:w="1827" w:type="dxa"/>
            <w:tcBorders>
              <w:top w:val="single" w:color="000000" w:sz="4" w:space="0"/>
              <w:left w:val="single" w:color="000000" w:sz="4" w:space="0"/>
              <w:bottom w:val="single" w:color="000000" w:sz="4" w:space="0"/>
              <w:right w:val="single" w:color="000000" w:sz="4" w:space="0"/>
            </w:tcBorders>
            <w:vAlign w:val="center"/>
          </w:tcPr>
          <w:p w14:paraId="02845227">
            <w:pPr>
              <w:jc w:val="center"/>
              <w:rPr>
                <w:rFonts w:cs="宋体"/>
                <w:szCs w:val="21"/>
              </w:rPr>
            </w:pPr>
            <w:r>
              <w:rPr>
                <w:rFonts w:hint="eastAsia" w:cs="宋体"/>
                <w:szCs w:val="21"/>
              </w:rPr>
              <w:t>开关、插座</w:t>
            </w:r>
          </w:p>
        </w:tc>
        <w:tc>
          <w:tcPr>
            <w:tcW w:w="2213" w:type="dxa"/>
            <w:tcBorders>
              <w:top w:val="single" w:color="000000" w:sz="4" w:space="0"/>
              <w:left w:val="single" w:color="000000" w:sz="4" w:space="0"/>
              <w:bottom w:val="single" w:color="000000" w:sz="4" w:space="0"/>
              <w:right w:val="single" w:color="000000" w:sz="4" w:space="0"/>
            </w:tcBorders>
            <w:vAlign w:val="center"/>
          </w:tcPr>
          <w:p w14:paraId="7DB8EFE4">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5F57849A">
            <w:pPr>
              <w:jc w:val="center"/>
              <w:rPr>
                <w:rFonts w:cs="宋体"/>
                <w:szCs w:val="21"/>
              </w:rPr>
            </w:pPr>
            <w:r>
              <w:rPr>
                <w:rFonts w:hint="eastAsia" w:cs="宋体"/>
                <w:szCs w:val="21"/>
              </w:rPr>
              <w:t>ABB、施耐德、西门子</w:t>
            </w:r>
          </w:p>
        </w:tc>
        <w:tc>
          <w:tcPr>
            <w:tcW w:w="2234" w:type="dxa"/>
            <w:tcBorders>
              <w:top w:val="single" w:color="000000" w:sz="4" w:space="0"/>
              <w:left w:val="single" w:color="000000" w:sz="4" w:space="0"/>
              <w:bottom w:val="single" w:color="000000" w:sz="4" w:space="0"/>
              <w:right w:val="single" w:color="000000" w:sz="4" w:space="0"/>
            </w:tcBorders>
          </w:tcPr>
          <w:p w14:paraId="743EF69F">
            <w:pPr>
              <w:widowControl/>
              <w:jc w:val="center"/>
              <w:rPr>
                <w:szCs w:val="21"/>
              </w:rPr>
            </w:pPr>
          </w:p>
        </w:tc>
      </w:tr>
      <w:tr w14:paraId="00E02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2D267936">
            <w:pPr>
              <w:jc w:val="center"/>
              <w:rPr>
                <w:rFonts w:cs="宋体"/>
                <w:szCs w:val="21"/>
              </w:rPr>
            </w:pPr>
            <w:r>
              <w:rPr>
                <w:rFonts w:cs="宋体"/>
                <w:szCs w:val="21"/>
              </w:rPr>
              <w:t>9</w:t>
            </w:r>
          </w:p>
        </w:tc>
        <w:tc>
          <w:tcPr>
            <w:tcW w:w="1827" w:type="dxa"/>
            <w:tcBorders>
              <w:top w:val="single" w:color="000000" w:sz="4" w:space="0"/>
              <w:left w:val="single" w:color="000000" w:sz="4" w:space="0"/>
              <w:bottom w:val="single" w:color="000000" w:sz="4" w:space="0"/>
              <w:right w:val="single" w:color="000000" w:sz="4" w:space="0"/>
            </w:tcBorders>
            <w:vAlign w:val="center"/>
          </w:tcPr>
          <w:p w14:paraId="13EF3160">
            <w:pPr>
              <w:jc w:val="center"/>
              <w:rPr>
                <w:rFonts w:cs="宋体"/>
                <w:szCs w:val="21"/>
              </w:rPr>
            </w:pPr>
            <w:r>
              <w:rPr>
                <w:rFonts w:hint="eastAsia" w:cs="宋体"/>
                <w:szCs w:val="21"/>
              </w:rPr>
              <w:t>灯具</w:t>
            </w:r>
          </w:p>
        </w:tc>
        <w:tc>
          <w:tcPr>
            <w:tcW w:w="2213" w:type="dxa"/>
            <w:tcBorders>
              <w:top w:val="single" w:color="000000" w:sz="4" w:space="0"/>
              <w:left w:val="single" w:color="000000" w:sz="4" w:space="0"/>
              <w:bottom w:val="single" w:color="000000" w:sz="4" w:space="0"/>
              <w:right w:val="single" w:color="000000" w:sz="4" w:space="0"/>
            </w:tcBorders>
            <w:vAlign w:val="center"/>
          </w:tcPr>
          <w:p w14:paraId="0D51361E">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5260DA81">
            <w:pPr>
              <w:jc w:val="center"/>
              <w:rPr>
                <w:rFonts w:cs="宋体"/>
                <w:szCs w:val="21"/>
              </w:rPr>
            </w:pPr>
            <w:r>
              <w:rPr>
                <w:rFonts w:hint="eastAsia" w:cs="宋体"/>
                <w:szCs w:val="21"/>
              </w:rPr>
              <w:t>雷士、欧普、飞利浦、松下</w:t>
            </w:r>
          </w:p>
        </w:tc>
        <w:tc>
          <w:tcPr>
            <w:tcW w:w="2234" w:type="dxa"/>
            <w:tcBorders>
              <w:top w:val="single" w:color="000000" w:sz="4" w:space="0"/>
              <w:left w:val="single" w:color="000000" w:sz="4" w:space="0"/>
              <w:bottom w:val="single" w:color="000000" w:sz="4" w:space="0"/>
              <w:right w:val="single" w:color="000000" w:sz="4" w:space="0"/>
            </w:tcBorders>
          </w:tcPr>
          <w:p w14:paraId="7D3C970F">
            <w:pPr>
              <w:widowControl/>
              <w:jc w:val="center"/>
              <w:rPr>
                <w:szCs w:val="21"/>
              </w:rPr>
            </w:pPr>
          </w:p>
        </w:tc>
      </w:tr>
      <w:tr w14:paraId="7547C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648CDF8D">
            <w:pPr>
              <w:jc w:val="center"/>
              <w:rPr>
                <w:rFonts w:cs="宋体"/>
                <w:szCs w:val="21"/>
              </w:rPr>
            </w:pPr>
            <w:r>
              <w:rPr>
                <w:rFonts w:hint="eastAsia" w:cs="宋体"/>
                <w:szCs w:val="21"/>
              </w:rPr>
              <w:t>1</w:t>
            </w:r>
            <w:r>
              <w:rPr>
                <w:rFonts w:cs="宋体"/>
                <w:szCs w:val="21"/>
              </w:rPr>
              <w:t>0</w:t>
            </w:r>
          </w:p>
        </w:tc>
        <w:tc>
          <w:tcPr>
            <w:tcW w:w="1827" w:type="dxa"/>
            <w:tcBorders>
              <w:top w:val="single" w:color="000000" w:sz="4" w:space="0"/>
              <w:left w:val="single" w:color="000000" w:sz="4" w:space="0"/>
              <w:bottom w:val="single" w:color="000000" w:sz="4" w:space="0"/>
              <w:right w:val="single" w:color="000000" w:sz="4" w:space="0"/>
            </w:tcBorders>
            <w:vAlign w:val="center"/>
          </w:tcPr>
          <w:p w14:paraId="2DF00B33">
            <w:pPr>
              <w:jc w:val="center"/>
              <w:rPr>
                <w:rFonts w:cs="宋体"/>
                <w:szCs w:val="21"/>
              </w:rPr>
            </w:pPr>
            <w:r>
              <w:rPr>
                <w:rFonts w:hint="eastAsia" w:cs="宋体"/>
                <w:szCs w:val="21"/>
              </w:rPr>
              <w:t>电线管</w:t>
            </w:r>
          </w:p>
        </w:tc>
        <w:tc>
          <w:tcPr>
            <w:tcW w:w="2213" w:type="dxa"/>
            <w:tcBorders>
              <w:top w:val="single" w:color="000000" w:sz="4" w:space="0"/>
              <w:left w:val="single" w:color="000000" w:sz="4" w:space="0"/>
              <w:bottom w:val="single" w:color="000000" w:sz="4" w:space="0"/>
              <w:right w:val="single" w:color="000000" w:sz="4" w:space="0"/>
            </w:tcBorders>
            <w:vAlign w:val="center"/>
          </w:tcPr>
          <w:p w14:paraId="5FDB8658">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7B5CE8A5">
            <w:pPr>
              <w:jc w:val="center"/>
              <w:rPr>
                <w:rFonts w:cs="宋体"/>
                <w:szCs w:val="21"/>
              </w:rPr>
            </w:pPr>
            <w:r>
              <w:rPr>
                <w:rFonts w:hint="eastAsia" w:cs="宋体"/>
                <w:szCs w:val="21"/>
              </w:rPr>
              <w:t>公元、中财、联塑、日丰</w:t>
            </w:r>
          </w:p>
        </w:tc>
        <w:tc>
          <w:tcPr>
            <w:tcW w:w="2234" w:type="dxa"/>
            <w:tcBorders>
              <w:top w:val="single" w:color="000000" w:sz="4" w:space="0"/>
              <w:left w:val="single" w:color="000000" w:sz="4" w:space="0"/>
              <w:bottom w:val="single" w:color="000000" w:sz="4" w:space="0"/>
              <w:right w:val="single" w:color="000000" w:sz="4" w:space="0"/>
            </w:tcBorders>
          </w:tcPr>
          <w:p w14:paraId="59D62526">
            <w:pPr>
              <w:widowControl/>
              <w:jc w:val="center"/>
              <w:rPr>
                <w:szCs w:val="21"/>
              </w:rPr>
            </w:pPr>
          </w:p>
        </w:tc>
      </w:tr>
      <w:tr w14:paraId="37D5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2BB13A88">
            <w:pPr>
              <w:jc w:val="center"/>
              <w:rPr>
                <w:rFonts w:cs="宋体"/>
                <w:szCs w:val="21"/>
              </w:rPr>
            </w:pPr>
            <w:r>
              <w:rPr>
                <w:rFonts w:hint="eastAsia" w:cs="宋体"/>
                <w:szCs w:val="21"/>
              </w:rPr>
              <w:t>1</w:t>
            </w:r>
            <w:r>
              <w:rPr>
                <w:rFonts w:cs="宋体"/>
                <w:szCs w:val="21"/>
              </w:rPr>
              <w:t>1</w:t>
            </w:r>
          </w:p>
        </w:tc>
        <w:tc>
          <w:tcPr>
            <w:tcW w:w="1827" w:type="dxa"/>
            <w:tcBorders>
              <w:top w:val="single" w:color="000000" w:sz="4" w:space="0"/>
              <w:left w:val="single" w:color="000000" w:sz="4" w:space="0"/>
              <w:bottom w:val="single" w:color="000000" w:sz="4" w:space="0"/>
              <w:right w:val="single" w:color="000000" w:sz="4" w:space="0"/>
            </w:tcBorders>
            <w:vAlign w:val="center"/>
          </w:tcPr>
          <w:p w14:paraId="021580AA">
            <w:pPr>
              <w:jc w:val="center"/>
              <w:rPr>
                <w:rFonts w:cs="宋体"/>
                <w:szCs w:val="21"/>
              </w:rPr>
            </w:pPr>
            <w:r>
              <w:rPr>
                <w:rFonts w:hint="eastAsia"/>
                <w:szCs w:val="21"/>
              </w:rPr>
              <w:t>配电箱和内元器件</w:t>
            </w:r>
          </w:p>
        </w:tc>
        <w:tc>
          <w:tcPr>
            <w:tcW w:w="2213" w:type="dxa"/>
            <w:tcBorders>
              <w:top w:val="single" w:color="000000" w:sz="4" w:space="0"/>
              <w:left w:val="single" w:color="000000" w:sz="4" w:space="0"/>
              <w:bottom w:val="single" w:color="000000" w:sz="4" w:space="0"/>
              <w:right w:val="single" w:color="000000" w:sz="4" w:space="0"/>
            </w:tcBorders>
            <w:vAlign w:val="center"/>
          </w:tcPr>
          <w:p w14:paraId="4EBFF779">
            <w:pPr>
              <w:jc w:val="center"/>
              <w:rPr>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06946686">
            <w:pPr>
              <w:jc w:val="center"/>
              <w:rPr>
                <w:szCs w:val="21"/>
              </w:rPr>
            </w:pPr>
            <w:r>
              <w:rPr>
                <w:rFonts w:hint="eastAsia"/>
                <w:szCs w:val="21"/>
              </w:rPr>
              <w:t>施耐德、ABB、西门子</w:t>
            </w:r>
          </w:p>
        </w:tc>
        <w:tc>
          <w:tcPr>
            <w:tcW w:w="2234" w:type="dxa"/>
            <w:tcBorders>
              <w:top w:val="single" w:color="000000" w:sz="4" w:space="0"/>
              <w:left w:val="single" w:color="000000" w:sz="4" w:space="0"/>
              <w:bottom w:val="single" w:color="000000" w:sz="4" w:space="0"/>
              <w:right w:val="single" w:color="000000" w:sz="4" w:space="0"/>
            </w:tcBorders>
          </w:tcPr>
          <w:p w14:paraId="6FB6CCA7">
            <w:pPr>
              <w:widowControl/>
              <w:jc w:val="center"/>
              <w:rPr>
                <w:szCs w:val="21"/>
              </w:rPr>
            </w:pPr>
          </w:p>
        </w:tc>
      </w:tr>
      <w:tr w14:paraId="5248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5D1A7E93">
            <w:pPr>
              <w:jc w:val="center"/>
              <w:rPr>
                <w:rFonts w:cs="宋体"/>
                <w:szCs w:val="21"/>
              </w:rPr>
            </w:pPr>
            <w:r>
              <w:rPr>
                <w:rFonts w:hint="eastAsia" w:cs="宋体"/>
                <w:szCs w:val="21"/>
              </w:rPr>
              <w:t>12</w:t>
            </w:r>
          </w:p>
        </w:tc>
        <w:tc>
          <w:tcPr>
            <w:tcW w:w="1827" w:type="dxa"/>
            <w:tcBorders>
              <w:top w:val="single" w:color="000000" w:sz="4" w:space="0"/>
              <w:left w:val="single" w:color="000000" w:sz="4" w:space="0"/>
              <w:bottom w:val="single" w:color="000000" w:sz="4" w:space="0"/>
              <w:right w:val="single" w:color="000000" w:sz="4" w:space="0"/>
            </w:tcBorders>
            <w:vAlign w:val="center"/>
          </w:tcPr>
          <w:p w14:paraId="09B3AD96">
            <w:pPr>
              <w:jc w:val="center"/>
              <w:rPr>
                <w:szCs w:val="21"/>
              </w:rPr>
            </w:pPr>
            <w:r>
              <w:rPr>
                <w:rFonts w:hint="eastAsia"/>
                <w:szCs w:val="21"/>
              </w:rPr>
              <w:t>综合布线系统</w:t>
            </w:r>
          </w:p>
        </w:tc>
        <w:tc>
          <w:tcPr>
            <w:tcW w:w="2213" w:type="dxa"/>
            <w:tcBorders>
              <w:top w:val="single" w:color="000000" w:sz="4" w:space="0"/>
              <w:left w:val="single" w:color="000000" w:sz="4" w:space="0"/>
              <w:bottom w:val="single" w:color="000000" w:sz="4" w:space="0"/>
              <w:right w:val="single" w:color="000000" w:sz="4" w:space="0"/>
            </w:tcBorders>
            <w:vAlign w:val="center"/>
          </w:tcPr>
          <w:p w14:paraId="0C467F7A">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0FFA0567">
            <w:pPr>
              <w:jc w:val="center"/>
              <w:rPr>
                <w:szCs w:val="21"/>
              </w:rPr>
            </w:pPr>
            <w:r>
              <w:rPr>
                <w:rFonts w:hint="eastAsia"/>
                <w:szCs w:val="21"/>
              </w:rPr>
              <w:t>一舟、普联、康普</w:t>
            </w:r>
          </w:p>
        </w:tc>
        <w:tc>
          <w:tcPr>
            <w:tcW w:w="2234" w:type="dxa"/>
            <w:tcBorders>
              <w:top w:val="single" w:color="000000" w:sz="4" w:space="0"/>
              <w:left w:val="single" w:color="000000" w:sz="4" w:space="0"/>
              <w:bottom w:val="single" w:color="000000" w:sz="4" w:space="0"/>
              <w:right w:val="single" w:color="000000" w:sz="4" w:space="0"/>
            </w:tcBorders>
          </w:tcPr>
          <w:p w14:paraId="6134D389">
            <w:pPr>
              <w:widowControl/>
              <w:jc w:val="center"/>
              <w:rPr>
                <w:szCs w:val="21"/>
              </w:rPr>
            </w:pPr>
          </w:p>
        </w:tc>
      </w:tr>
      <w:tr w14:paraId="1454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73C14D96">
            <w:pPr>
              <w:jc w:val="center"/>
              <w:rPr>
                <w:rFonts w:cs="宋体"/>
                <w:szCs w:val="21"/>
              </w:rPr>
            </w:pPr>
            <w:r>
              <w:rPr>
                <w:rFonts w:hint="eastAsia" w:cs="宋体"/>
                <w:szCs w:val="21"/>
              </w:rPr>
              <w:t>13</w:t>
            </w:r>
          </w:p>
        </w:tc>
        <w:tc>
          <w:tcPr>
            <w:tcW w:w="1827" w:type="dxa"/>
            <w:tcBorders>
              <w:top w:val="single" w:color="000000" w:sz="4" w:space="0"/>
              <w:left w:val="single" w:color="000000" w:sz="4" w:space="0"/>
              <w:bottom w:val="single" w:color="000000" w:sz="4" w:space="0"/>
              <w:right w:val="single" w:color="000000" w:sz="4" w:space="0"/>
            </w:tcBorders>
            <w:vAlign w:val="center"/>
          </w:tcPr>
          <w:p w14:paraId="21BFEE97">
            <w:pPr>
              <w:widowControl/>
              <w:jc w:val="center"/>
              <w:rPr>
                <w:rFonts w:cs="宋体"/>
                <w:kern w:val="0"/>
                <w:szCs w:val="21"/>
              </w:rPr>
            </w:pPr>
            <w:r>
              <w:rPr>
                <w:rFonts w:hint="eastAsia" w:cs="宋体"/>
                <w:kern w:val="0"/>
                <w:szCs w:val="21"/>
              </w:rPr>
              <w:t>碳晶板</w:t>
            </w:r>
          </w:p>
        </w:tc>
        <w:tc>
          <w:tcPr>
            <w:tcW w:w="2213" w:type="dxa"/>
            <w:tcBorders>
              <w:top w:val="single" w:color="000000" w:sz="4" w:space="0"/>
              <w:left w:val="single" w:color="000000" w:sz="4" w:space="0"/>
              <w:bottom w:val="single" w:color="000000" w:sz="4" w:space="0"/>
              <w:right w:val="single" w:color="000000" w:sz="4" w:space="0"/>
            </w:tcBorders>
            <w:vAlign w:val="center"/>
          </w:tcPr>
          <w:p w14:paraId="60F35B94">
            <w:pPr>
              <w:jc w:val="center"/>
              <w:rPr>
                <w:rFonts w:cs="宋体"/>
                <w:szCs w:val="21"/>
              </w:rPr>
            </w:pPr>
            <w:r>
              <w:rPr>
                <w:rFonts w:hint="eastAsia" w:cs="宋体"/>
                <w:szCs w:val="21"/>
              </w:rPr>
              <w:t>合格品及其以上等级</w:t>
            </w:r>
          </w:p>
        </w:tc>
        <w:tc>
          <w:tcPr>
            <w:tcW w:w="2526" w:type="dxa"/>
            <w:tcBorders>
              <w:top w:val="single" w:color="000000" w:sz="4" w:space="0"/>
              <w:left w:val="single" w:color="000000" w:sz="4" w:space="0"/>
              <w:bottom w:val="single" w:color="000000" w:sz="4" w:space="0"/>
              <w:right w:val="single" w:color="000000" w:sz="4" w:space="0"/>
            </w:tcBorders>
            <w:vAlign w:val="center"/>
          </w:tcPr>
          <w:p w14:paraId="12F4FDF2">
            <w:pPr>
              <w:jc w:val="center"/>
              <w:rPr>
                <w:rFonts w:cs="宋体"/>
                <w:szCs w:val="21"/>
              </w:rPr>
            </w:pPr>
            <w:r>
              <w:rPr>
                <w:rFonts w:hint="eastAsia" w:cs="宋体"/>
                <w:szCs w:val="21"/>
              </w:rPr>
              <w:t>莫干山、兔宝宝、千年舟</w:t>
            </w:r>
          </w:p>
        </w:tc>
        <w:tc>
          <w:tcPr>
            <w:tcW w:w="2234" w:type="dxa"/>
            <w:tcBorders>
              <w:top w:val="single" w:color="000000" w:sz="4" w:space="0"/>
              <w:left w:val="single" w:color="000000" w:sz="4" w:space="0"/>
              <w:bottom w:val="single" w:color="000000" w:sz="4" w:space="0"/>
              <w:right w:val="single" w:color="000000" w:sz="4" w:space="0"/>
            </w:tcBorders>
          </w:tcPr>
          <w:p w14:paraId="3078FC06">
            <w:pPr>
              <w:jc w:val="center"/>
              <w:rPr>
                <w:rFonts w:cs="宋体"/>
                <w:szCs w:val="21"/>
              </w:rPr>
            </w:pPr>
          </w:p>
        </w:tc>
      </w:tr>
    </w:tbl>
    <w:p w14:paraId="556B71B9">
      <w:pPr>
        <w:spacing w:line="276" w:lineRule="auto"/>
        <w:jc w:val="left"/>
        <w:rPr>
          <w:rFonts w:cs="宋体"/>
          <w:b/>
          <w:bCs/>
          <w:szCs w:val="21"/>
        </w:rPr>
      </w:pPr>
      <w:r>
        <w:rPr>
          <w:rFonts w:hint="eastAsia" w:cs="宋体"/>
          <w:b/>
          <w:bCs/>
          <w:szCs w:val="21"/>
        </w:rPr>
        <w:t>注：</w:t>
      </w:r>
    </w:p>
    <w:p w14:paraId="3C846B66">
      <w:pPr>
        <w:spacing w:line="400" w:lineRule="exact"/>
        <w:ind w:firstLine="422" w:firstLineChars="200"/>
        <w:jc w:val="left"/>
        <w:rPr>
          <w:rFonts w:cs="宋体"/>
          <w:b/>
          <w:bCs/>
          <w:szCs w:val="21"/>
        </w:rPr>
      </w:pPr>
      <w:r>
        <w:rPr>
          <w:rFonts w:hint="eastAsia" w:cs="宋体"/>
          <w:b/>
          <w:bCs/>
          <w:szCs w:val="21"/>
        </w:rPr>
        <w:t>1、以上材料在进场前须经建设单位和设计单位认可，建设单位有权在颜色、样式、用量、材质、配置等方面做出适当调整，但价格不予调整。</w:t>
      </w:r>
    </w:p>
    <w:p w14:paraId="4F389C9A">
      <w:pPr>
        <w:spacing w:line="400" w:lineRule="exact"/>
        <w:ind w:firstLine="422" w:firstLineChars="200"/>
        <w:jc w:val="left"/>
        <w:rPr>
          <w:rFonts w:cs="宋体"/>
          <w:b/>
          <w:bCs/>
          <w:color w:val="FF0000"/>
          <w:szCs w:val="21"/>
        </w:rPr>
      </w:pPr>
      <w:r>
        <w:rPr>
          <w:rFonts w:hint="eastAsia" w:cs="宋体"/>
          <w:b/>
          <w:bCs/>
          <w:szCs w:val="21"/>
        </w:rPr>
        <w:t>2、投标人投标时需选择某一具体品牌。如投标人采用推荐品牌以外的其他产品供货的，质量和性能等技术指标必须优于或者相当于推荐品牌。一旦中标，中标人不得以任何理由更换推荐品牌,并于领取中标通知书后三天内向建设单位提供样品，经建设单位认可后方可签订合同。</w:t>
      </w:r>
    </w:p>
    <w:p w14:paraId="7195C388">
      <w:pPr>
        <w:rPr>
          <w:rFonts w:ascii="宋体" w:hAnsi="宋体"/>
          <w:color w:val="000000"/>
        </w:rPr>
      </w:pPr>
    </w:p>
    <w:p w14:paraId="74032426">
      <w:pPr>
        <w:pStyle w:val="19"/>
        <w:ind w:left="3360" w:firstLine="210"/>
      </w:pPr>
    </w:p>
    <w:p w14:paraId="4E693984">
      <w:pPr>
        <w:rPr>
          <w:rFonts w:ascii="宋体" w:hAnsi="宋体"/>
          <w:color w:val="000000"/>
        </w:rPr>
      </w:pPr>
    </w:p>
    <w:p w14:paraId="48BBC204">
      <w:pPr>
        <w:spacing w:line="360" w:lineRule="auto"/>
        <w:jc w:val="center"/>
        <w:rPr>
          <w:rFonts w:ascii="宋体" w:hAnsi="宋体" w:cs="宋体"/>
          <w:b/>
          <w:szCs w:val="21"/>
        </w:rPr>
      </w:pPr>
    </w:p>
    <w:p w14:paraId="3A30A270">
      <w:pPr>
        <w:snapToGrid w:val="0"/>
        <w:spacing w:line="360" w:lineRule="auto"/>
        <w:ind w:firstLine="527" w:firstLineChars="250"/>
        <w:rPr>
          <w:rFonts w:ascii="宋体" w:hAnsi="宋体" w:cs="宋体"/>
          <w:b/>
          <w:color w:val="auto"/>
          <w:szCs w:val="21"/>
        </w:rPr>
      </w:pPr>
      <w:r>
        <w:rPr>
          <w:rFonts w:hint="eastAsia" w:asciiTheme="minorEastAsia" w:hAnsiTheme="minorEastAsia" w:eastAsiaTheme="minorEastAsia" w:cstheme="minorEastAsia"/>
          <w:b/>
          <w:bCs/>
          <w:color w:val="auto"/>
          <w:szCs w:val="21"/>
        </w:rPr>
        <w:t>注：本项目专门面向中小企业采购，不再对小型和微型企业服务给予价格扣除；中小企业参加政府采购活动，须出具《政府采购促进中小企业发展管理办法》规定的《中小企业声明函》（请从财政部官方网站下载。以财政部官方网站公布的为准），投标人未出具《中小企业声明函》的，按无效处理。</w:t>
      </w:r>
    </w:p>
    <w:p w14:paraId="7FC2BAC4">
      <w:pPr>
        <w:spacing w:line="480" w:lineRule="auto"/>
        <w:jc w:val="center"/>
        <w:rPr>
          <w:rFonts w:hint="eastAsia" w:ascii="宋体" w:hAnsi="宋体" w:cs="宋体"/>
          <w:b/>
          <w:bCs/>
          <w:color w:val="000000"/>
          <w:szCs w:val="21"/>
          <w:u w:val="single"/>
        </w:rPr>
      </w:pPr>
    </w:p>
    <w:p w14:paraId="5886BD52">
      <w:pPr>
        <w:pStyle w:val="2"/>
        <w:rPr>
          <w:rFonts w:hint="eastAsia"/>
        </w:rPr>
      </w:pPr>
    </w:p>
    <w:p w14:paraId="042C54D9">
      <w:pPr>
        <w:pStyle w:val="2"/>
        <w:rPr>
          <w:rFonts w:hint="eastAsia"/>
        </w:rPr>
      </w:pPr>
    </w:p>
    <w:p w14:paraId="37AD42FD">
      <w:pPr>
        <w:pStyle w:val="2"/>
      </w:pPr>
    </w:p>
    <w:p w14:paraId="12EB9844">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本采购文件至此，以下空白。感谢您对我们工作的支持。</w:t>
      </w:r>
    </w:p>
    <w:p w14:paraId="6512EB13"/>
    <w:p w14:paraId="319A00AB">
      <w:pPr>
        <w:rPr>
          <w:rFonts w:ascii="宋体" w:hAnsi="宋体"/>
          <w:b/>
          <w:color w:val="000000"/>
          <w:sz w:val="28"/>
          <w:szCs w:val="28"/>
        </w:rPr>
      </w:pPr>
    </w:p>
    <w:sectPr>
      <w:headerReference r:id="rId6" w:type="default"/>
      <w:footerReference r:id="rId7" w:type="default"/>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9FEA">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19</w:t>
    </w:r>
    <w:r>
      <w:rPr>
        <w:rFonts w:ascii="宋体" w:hAnsi="宋体"/>
        <w:b/>
        <w:color w:val="000000"/>
        <w:szCs w:val="21"/>
      </w:rPr>
      <w:fldChar w:fldCharType="end"/>
    </w:r>
    <w:r>
      <w:rPr>
        <w:rFonts w:hint="eastAsia"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3F1D">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53</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5C7C">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4363D">
    <w:pPr>
      <w:rPr>
        <w:szCs w:val="21"/>
        <w:u w:val="single"/>
      </w:rPr>
    </w:pPr>
    <w:r>
      <w:rPr>
        <w:rFonts w:hint="eastAsia"/>
        <w:szCs w:val="21"/>
        <w:u w:val="single"/>
      </w:rPr>
      <w:t xml:space="preserve">                                    术业有专攻、政采有阳光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D7D5">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DEE3"/>
    <w:multiLevelType w:val="singleLevel"/>
    <w:tmpl w:val="0019DEE3"/>
    <w:lvl w:ilvl="0" w:tentative="0">
      <w:start w:val="1"/>
      <w:numFmt w:val="chineseCounting"/>
      <w:suff w:val="space"/>
      <w:lvlText w:val="第%1章"/>
      <w:lvlJc w:val="left"/>
      <w:rPr>
        <w:rFonts w:hint="eastAsia"/>
      </w:rPr>
    </w:lvl>
  </w:abstractNum>
  <w:abstractNum w:abstractNumId="1">
    <w:nsid w:val="2CAE8B67"/>
    <w:multiLevelType w:val="singleLevel"/>
    <w:tmpl w:val="2CAE8B67"/>
    <w:lvl w:ilvl="0" w:tentative="0">
      <w:start w:val="5"/>
      <w:numFmt w:val="chineseCounting"/>
      <w:suff w:val="nothing"/>
      <w:lvlText w:val="%1、"/>
      <w:lvlJc w:val="left"/>
      <w:rPr>
        <w:rFonts w:hint="eastAsia"/>
      </w:rPr>
    </w:lvl>
  </w:abstractNum>
  <w:abstractNum w:abstractNumId="2">
    <w:nsid w:val="4AE22F17"/>
    <w:multiLevelType w:val="singleLevel"/>
    <w:tmpl w:val="4AE22F17"/>
    <w:lvl w:ilvl="0" w:tentative="0">
      <w:start w:val="2"/>
      <w:numFmt w:val="chineseCounting"/>
      <w:suff w:val="space"/>
      <w:lvlText w:val="第%1项"/>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05FDA"/>
    <w:rsid w:val="00023AE2"/>
    <w:rsid w:val="000275B9"/>
    <w:rsid w:val="000316B8"/>
    <w:rsid w:val="00034000"/>
    <w:rsid w:val="00036B07"/>
    <w:rsid w:val="00041E63"/>
    <w:rsid w:val="000439E7"/>
    <w:rsid w:val="00046A2D"/>
    <w:rsid w:val="00071B8E"/>
    <w:rsid w:val="00081B72"/>
    <w:rsid w:val="00082625"/>
    <w:rsid w:val="000851B2"/>
    <w:rsid w:val="00085646"/>
    <w:rsid w:val="0008597E"/>
    <w:rsid w:val="00091652"/>
    <w:rsid w:val="00091C88"/>
    <w:rsid w:val="000A2297"/>
    <w:rsid w:val="000A53C7"/>
    <w:rsid w:val="000B4817"/>
    <w:rsid w:val="000B4A7A"/>
    <w:rsid w:val="000C53F2"/>
    <w:rsid w:val="000C625F"/>
    <w:rsid w:val="000D0124"/>
    <w:rsid w:val="000D31A9"/>
    <w:rsid w:val="000D51E0"/>
    <w:rsid w:val="000F1064"/>
    <w:rsid w:val="000F19FC"/>
    <w:rsid w:val="001000F5"/>
    <w:rsid w:val="00116683"/>
    <w:rsid w:val="00116AA0"/>
    <w:rsid w:val="00143410"/>
    <w:rsid w:val="001467EC"/>
    <w:rsid w:val="00150AD5"/>
    <w:rsid w:val="00154AAC"/>
    <w:rsid w:val="00172A18"/>
    <w:rsid w:val="001756B4"/>
    <w:rsid w:val="001814E7"/>
    <w:rsid w:val="00184034"/>
    <w:rsid w:val="001979B0"/>
    <w:rsid w:val="001A69B1"/>
    <w:rsid w:val="001A6E3C"/>
    <w:rsid w:val="001C0BC5"/>
    <w:rsid w:val="001C0E56"/>
    <w:rsid w:val="001E500B"/>
    <w:rsid w:val="001F31CE"/>
    <w:rsid w:val="001F64AD"/>
    <w:rsid w:val="001F720C"/>
    <w:rsid w:val="0020613E"/>
    <w:rsid w:val="00224128"/>
    <w:rsid w:val="002269D4"/>
    <w:rsid w:val="00234A27"/>
    <w:rsid w:val="00246233"/>
    <w:rsid w:val="00247964"/>
    <w:rsid w:val="00274219"/>
    <w:rsid w:val="00274234"/>
    <w:rsid w:val="002852DA"/>
    <w:rsid w:val="00285E01"/>
    <w:rsid w:val="002951E1"/>
    <w:rsid w:val="002A05CA"/>
    <w:rsid w:val="002A377A"/>
    <w:rsid w:val="002A3AD8"/>
    <w:rsid w:val="002A3F4A"/>
    <w:rsid w:val="002B41DE"/>
    <w:rsid w:val="002C2589"/>
    <w:rsid w:val="002D3B43"/>
    <w:rsid w:val="002E39CB"/>
    <w:rsid w:val="002E66A7"/>
    <w:rsid w:val="002F4571"/>
    <w:rsid w:val="002F5311"/>
    <w:rsid w:val="003002D2"/>
    <w:rsid w:val="00304E10"/>
    <w:rsid w:val="00305FBD"/>
    <w:rsid w:val="00311CCD"/>
    <w:rsid w:val="00312AE1"/>
    <w:rsid w:val="00327376"/>
    <w:rsid w:val="003303DC"/>
    <w:rsid w:val="003305FA"/>
    <w:rsid w:val="00341ED6"/>
    <w:rsid w:val="0034696A"/>
    <w:rsid w:val="003535F8"/>
    <w:rsid w:val="003550AC"/>
    <w:rsid w:val="003563FD"/>
    <w:rsid w:val="00364D57"/>
    <w:rsid w:val="00365845"/>
    <w:rsid w:val="00376AAD"/>
    <w:rsid w:val="00396429"/>
    <w:rsid w:val="00396D0E"/>
    <w:rsid w:val="00396DEE"/>
    <w:rsid w:val="003A2FD2"/>
    <w:rsid w:val="003A51C4"/>
    <w:rsid w:val="003B022D"/>
    <w:rsid w:val="003B44A6"/>
    <w:rsid w:val="003B6F35"/>
    <w:rsid w:val="003D670D"/>
    <w:rsid w:val="003D7E60"/>
    <w:rsid w:val="003E36A4"/>
    <w:rsid w:val="003E4A1B"/>
    <w:rsid w:val="003F2C20"/>
    <w:rsid w:val="003F3DFB"/>
    <w:rsid w:val="0040150C"/>
    <w:rsid w:val="0040274E"/>
    <w:rsid w:val="0040589F"/>
    <w:rsid w:val="004110F2"/>
    <w:rsid w:val="00414698"/>
    <w:rsid w:val="00423C6D"/>
    <w:rsid w:val="004266DA"/>
    <w:rsid w:val="00426ADE"/>
    <w:rsid w:val="00427431"/>
    <w:rsid w:val="004313ED"/>
    <w:rsid w:val="00434E6A"/>
    <w:rsid w:val="00435474"/>
    <w:rsid w:val="00436FD0"/>
    <w:rsid w:val="00440672"/>
    <w:rsid w:val="004479E5"/>
    <w:rsid w:val="0045397C"/>
    <w:rsid w:val="00453B69"/>
    <w:rsid w:val="00460AB1"/>
    <w:rsid w:val="004616BE"/>
    <w:rsid w:val="00465099"/>
    <w:rsid w:val="00473F8D"/>
    <w:rsid w:val="00483122"/>
    <w:rsid w:val="00493900"/>
    <w:rsid w:val="00495481"/>
    <w:rsid w:val="004B60F9"/>
    <w:rsid w:val="004B6EBB"/>
    <w:rsid w:val="004C5A40"/>
    <w:rsid w:val="004C7B41"/>
    <w:rsid w:val="004D068A"/>
    <w:rsid w:val="004E03CD"/>
    <w:rsid w:val="004E616D"/>
    <w:rsid w:val="004F3F79"/>
    <w:rsid w:val="004F69A5"/>
    <w:rsid w:val="0051278D"/>
    <w:rsid w:val="00521363"/>
    <w:rsid w:val="0052445A"/>
    <w:rsid w:val="00527906"/>
    <w:rsid w:val="00530752"/>
    <w:rsid w:val="00541A85"/>
    <w:rsid w:val="0054217F"/>
    <w:rsid w:val="00542988"/>
    <w:rsid w:val="005433AB"/>
    <w:rsid w:val="00545461"/>
    <w:rsid w:val="00546EDC"/>
    <w:rsid w:val="00555137"/>
    <w:rsid w:val="0055637C"/>
    <w:rsid w:val="00557262"/>
    <w:rsid w:val="00563A6B"/>
    <w:rsid w:val="00565C8E"/>
    <w:rsid w:val="00567379"/>
    <w:rsid w:val="00574BA8"/>
    <w:rsid w:val="00586ACD"/>
    <w:rsid w:val="0059165B"/>
    <w:rsid w:val="005A19CE"/>
    <w:rsid w:val="005A3F05"/>
    <w:rsid w:val="005A5813"/>
    <w:rsid w:val="005A77F1"/>
    <w:rsid w:val="005B0EC8"/>
    <w:rsid w:val="005C779F"/>
    <w:rsid w:val="005E7397"/>
    <w:rsid w:val="005F09CF"/>
    <w:rsid w:val="005F25FC"/>
    <w:rsid w:val="0061633E"/>
    <w:rsid w:val="00616591"/>
    <w:rsid w:val="0062008D"/>
    <w:rsid w:val="006208A0"/>
    <w:rsid w:val="006259B3"/>
    <w:rsid w:val="00627E6B"/>
    <w:rsid w:val="006432CA"/>
    <w:rsid w:val="00646C7C"/>
    <w:rsid w:val="006475C4"/>
    <w:rsid w:val="00647D65"/>
    <w:rsid w:val="006540DA"/>
    <w:rsid w:val="00654AFE"/>
    <w:rsid w:val="006558A6"/>
    <w:rsid w:val="0066593D"/>
    <w:rsid w:val="006718B2"/>
    <w:rsid w:val="00675CC3"/>
    <w:rsid w:val="006768C1"/>
    <w:rsid w:val="00694131"/>
    <w:rsid w:val="006A1B37"/>
    <w:rsid w:val="006A73E4"/>
    <w:rsid w:val="006A7A8F"/>
    <w:rsid w:val="006B3EBE"/>
    <w:rsid w:val="006C4E28"/>
    <w:rsid w:val="006C72BC"/>
    <w:rsid w:val="006D58EC"/>
    <w:rsid w:val="006D6351"/>
    <w:rsid w:val="006E10CB"/>
    <w:rsid w:val="006E56E0"/>
    <w:rsid w:val="006F0A27"/>
    <w:rsid w:val="00701372"/>
    <w:rsid w:val="00705FF9"/>
    <w:rsid w:val="00712758"/>
    <w:rsid w:val="0072221F"/>
    <w:rsid w:val="00727F5B"/>
    <w:rsid w:val="00735312"/>
    <w:rsid w:val="00752306"/>
    <w:rsid w:val="00754D1B"/>
    <w:rsid w:val="0076073D"/>
    <w:rsid w:val="00761733"/>
    <w:rsid w:val="007720C1"/>
    <w:rsid w:val="0077332A"/>
    <w:rsid w:val="00775CD2"/>
    <w:rsid w:val="00776047"/>
    <w:rsid w:val="00776058"/>
    <w:rsid w:val="007770DD"/>
    <w:rsid w:val="00780493"/>
    <w:rsid w:val="0078070D"/>
    <w:rsid w:val="00781373"/>
    <w:rsid w:val="00784788"/>
    <w:rsid w:val="00784EA9"/>
    <w:rsid w:val="007862F6"/>
    <w:rsid w:val="00790537"/>
    <w:rsid w:val="00792F91"/>
    <w:rsid w:val="007959C2"/>
    <w:rsid w:val="00797F83"/>
    <w:rsid w:val="007A0403"/>
    <w:rsid w:val="007A07A7"/>
    <w:rsid w:val="007A2FE6"/>
    <w:rsid w:val="007B6903"/>
    <w:rsid w:val="007C5601"/>
    <w:rsid w:val="007D011C"/>
    <w:rsid w:val="007D116B"/>
    <w:rsid w:val="007D3802"/>
    <w:rsid w:val="007D75C3"/>
    <w:rsid w:val="007E4B02"/>
    <w:rsid w:val="007E5501"/>
    <w:rsid w:val="007E790B"/>
    <w:rsid w:val="007F2B41"/>
    <w:rsid w:val="007F7916"/>
    <w:rsid w:val="0080783C"/>
    <w:rsid w:val="00807E4E"/>
    <w:rsid w:val="00811B26"/>
    <w:rsid w:val="008156D0"/>
    <w:rsid w:val="00817BC0"/>
    <w:rsid w:val="008208C7"/>
    <w:rsid w:val="00831D9A"/>
    <w:rsid w:val="00832BDC"/>
    <w:rsid w:val="008368D9"/>
    <w:rsid w:val="00845B0D"/>
    <w:rsid w:val="00847DE1"/>
    <w:rsid w:val="00856FAF"/>
    <w:rsid w:val="00863463"/>
    <w:rsid w:val="00881355"/>
    <w:rsid w:val="00884FF9"/>
    <w:rsid w:val="00890EE5"/>
    <w:rsid w:val="008911D9"/>
    <w:rsid w:val="008932D8"/>
    <w:rsid w:val="00895E46"/>
    <w:rsid w:val="008967CE"/>
    <w:rsid w:val="008A1149"/>
    <w:rsid w:val="008B3E6D"/>
    <w:rsid w:val="008C08A6"/>
    <w:rsid w:val="008D5CB7"/>
    <w:rsid w:val="008E0FC7"/>
    <w:rsid w:val="008E1482"/>
    <w:rsid w:val="008E1D7B"/>
    <w:rsid w:val="008E30FB"/>
    <w:rsid w:val="008F0B95"/>
    <w:rsid w:val="008F1806"/>
    <w:rsid w:val="008F7CB4"/>
    <w:rsid w:val="00906222"/>
    <w:rsid w:val="009070D7"/>
    <w:rsid w:val="0091066F"/>
    <w:rsid w:val="00914C32"/>
    <w:rsid w:val="00925CA5"/>
    <w:rsid w:val="00940AA8"/>
    <w:rsid w:val="00942D36"/>
    <w:rsid w:val="00952109"/>
    <w:rsid w:val="00957081"/>
    <w:rsid w:val="00970147"/>
    <w:rsid w:val="009777FB"/>
    <w:rsid w:val="0098087D"/>
    <w:rsid w:val="00997605"/>
    <w:rsid w:val="009C7CD4"/>
    <w:rsid w:val="009D16B6"/>
    <w:rsid w:val="009D226B"/>
    <w:rsid w:val="009D7531"/>
    <w:rsid w:val="009E0EBD"/>
    <w:rsid w:val="009E54DF"/>
    <w:rsid w:val="009E60FA"/>
    <w:rsid w:val="009F06B2"/>
    <w:rsid w:val="00A028AE"/>
    <w:rsid w:val="00A27E1A"/>
    <w:rsid w:val="00A33257"/>
    <w:rsid w:val="00A438CF"/>
    <w:rsid w:val="00A45F9D"/>
    <w:rsid w:val="00A566D5"/>
    <w:rsid w:val="00A603D0"/>
    <w:rsid w:val="00A645CB"/>
    <w:rsid w:val="00A67F48"/>
    <w:rsid w:val="00A7744D"/>
    <w:rsid w:val="00A81A6E"/>
    <w:rsid w:val="00A84C4D"/>
    <w:rsid w:val="00A914AD"/>
    <w:rsid w:val="00A962E3"/>
    <w:rsid w:val="00AA1A86"/>
    <w:rsid w:val="00AA2EF4"/>
    <w:rsid w:val="00AA536A"/>
    <w:rsid w:val="00AA7D21"/>
    <w:rsid w:val="00AB35EA"/>
    <w:rsid w:val="00AD309C"/>
    <w:rsid w:val="00AD7CF5"/>
    <w:rsid w:val="00AE4605"/>
    <w:rsid w:val="00AE660F"/>
    <w:rsid w:val="00AF28C5"/>
    <w:rsid w:val="00AF6A22"/>
    <w:rsid w:val="00B1375E"/>
    <w:rsid w:val="00B21298"/>
    <w:rsid w:val="00B2195F"/>
    <w:rsid w:val="00B36A4F"/>
    <w:rsid w:val="00B5460E"/>
    <w:rsid w:val="00B63F3A"/>
    <w:rsid w:val="00B655B7"/>
    <w:rsid w:val="00B7130A"/>
    <w:rsid w:val="00B80BC0"/>
    <w:rsid w:val="00B84AA7"/>
    <w:rsid w:val="00B87A8B"/>
    <w:rsid w:val="00B87F32"/>
    <w:rsid w:val="00B96F49"/>
    <w:rsid w:val="00BA1C5D"/>
    <w:rsid w:val="00BA2A2B"/>
    <w:rsid w:val="00BB2EE9"/>
    <w:rsid w:val="00BB43FE"/>
    <w:rsid w:val="00BC23E8"/>
    <w:rsid w:val="00BC2B21"/>
    <w:rsid w:val="00BE3458"/>
    <w:rsid w:val="00BE6EF2"/>
    <w:rsid w:val="00BF6C3A"/>
    <w:rsid w:val="00BF7932"/>
    <w:rsid w:val="00C027DF"/>
    <w:rsid w:val="00C03A49"/>
    <w:rsid w:val="00C13CBE"/>
    <w:rsid w:val="00C15F71"/>
    <w:rsid w:val="00C22B0E"/>
    <w:rsid w:val="00C26819"/>
    <w:rsid w:val="00C27489"/>
    <w:rsid w:val="00C42980"/>
    <w:rsid w:val="00C44AB2"/>
    <w:rsid w:val="00C536EE"/>
    <w:rsid w:val="00C55603"/>
    <w:rsid w:val="00C579A4"/>
    <w:rsid w:val="00C613FB"/>
    <w:rsid w:val="00C64C19"/>
    <w:rsid w:val="00C71DDA"/>
    <w:rsid w:val="00C7527B"/>
    <w:rsid w:val="00C763AC"/>
    <w:rsid w:val="00C9002B"/>
    <w:rsid w:val="00C94652"/>
    <w:rsid w:val="00C9625E"/>
    <w:rsid w:val="00CA0A5D"/>
    <w:rsid w:val="00CA1F46"/>
    <w:rsid w:val="00CA5DEE"/>
    <w:rsid w:val="00CB4723"/>
    <w:rsid w:val="00CB74BC"/>
    <w:rsid w:val="00CC57D5"/>
    <w:rsid w:val="00CD4CF7"/>
    <w:rsid w:val="00CF6BF6"/>
    <w:rsid w:val="00CF6C8C"/>
    <w:rsid w:val="00D02170"/>
    <w:rsid w:val="00D02320"/>
    <w:rsid w:val="00D02FD2"/>
    <w:rsid w:val="00D032A1"/>
    <w:rsid w:val="00D15007"/>
    <w:rsid w:val="00D169E3"/>
    <w:rsid w:val="00D22DDA"/>
    <w:rsid w:val="00D31AD7"/>
    <w:rsid w:val="00D415E4"/>
    <w:rsid w:val="00D46AA8"/>
    <w:rsid w:val="00D5688F"/>
    <w:rsid w:val="00D56F13"/>
    <w:rsid w:val="00D62393"/>
    <w:rsid w:val="00D67D98"/>
    <w:rsid w:val="00D71EB5"/>
    <w:rsid w:val="00D7446B"/>
    <w:rsid w:val="00D75EE6"/>
    <w:rsid w:val="00D81569"/>
    <w:rsid w:val="00DA1A24"/>
    <w:rsid w:val="00DA2290"/>
    <w:rsid w:val="00DA2629"/>
    <w:rsid w:val="00DA33D5"/>
    <w:rsid w:val="00DA787D"/>
    <w:rsid w:val="00DB74EE"/>
    <w:rsid w:val="00DC22D6"/>
    <w:rsid w:val="00DD1A8A"/>
    <w:rsid w:val="00DD4BCB"/>
    <w:rsid w:val="00DF2CF7"/>
    <w:rsid w:val="00E00E73"/>
    <w:rsid w:val="00E02E27"/>
    <w:rsid w:val="00E02EFD"/>
    <w:rsid w:val="00E15216"/>
    <w:rsid w:val="00E17E64"/>
    <w:rsid w:val="00E231A7"/>
    <w:rsid w:val="00E308CC"/>
    <w:rsid w:val="00E31848"/>
    <w:rsid w:val="00E322FB"/>
    <w:rsid w:val="00E32886"/>
    <w:rsid w:val="00E37F75"/>
    <w:rsid w:val="00E40880"/>
    <w:rsid w:val="00E425DE"/>
    <w:rsid w:val="00E50204"/>
    <w:rsid w:val="00E51046"/>
    <w:rsid w:val="00E53934"/>
    <w:rsid w:val="00E54D24"/>
    <w:rsid w:val="00E55E42"/>
    <w:rsid w:val="00E63694"/>
    <w:rsid w:val="00E67CC9"/>
    <w:rsid w:val="00E67E8E"/>
    <w:rsid w:val="00E72C5D"/>
    <w:rsid w:val="00E81CD8"/>
    <w:rsid w:val="00E82ECF"/>
    <w:rsid w:val="00E83862"/>
    <w:rsid w:val="00E8449F"/>
    <w:rsid w:val="00E93FBB"/>
    <w:rsid w:val="00EA1037"/>
    <w:rsid w:val="00EA2F2F"/>
    <w:rsid w:val="00EB00E5"/>
    <w:rsid w:val="00EB2252"/>
    <w:rsid w:val="00EB4F05"/>
    <w:rsid w:val="00EB560A"/>
    <w:rsid w:val="00EB5FF9"/>
    <w:rsid w:val="00EC0008"/>
    <w:rsid w:val="00EC40FB"/>
    <w:rsid w:val="00EC4AAC"/>
    <w:rsid w:val="00EC4C50"/>
    <w:rsid w:val="00EE276B"/>
    <w:rsid w:val="00EE47F7"/>
    <w:rsid w:val="00EE48D4"/>
    <w:rsid w:val="00EF3994"/>
    <w:rsid w:val="00EF3F0B"/>
    <w:rsid w:val="00F0096F"/>
    <w:rsid w:val="00F014CC"/>
    <w:rsid w:val="00F146D4"/>
    <w:rsid w:val="00F17454"/>
    <w:rsid w:val="00F174AF"/>
    <w:rsid w:val="00F1791D"/>
    <w:rsid w:val="00F21AAB"/>
    <w:rsid w:val="00F22FF2"/>
    <w:rsid w:val="00F27856"/>
    <w:rsid w:val="00F36BA7"/>
    <w:rsid w:val="00F36C45"/>
    <w:rsid w:val="00F47C77"/>
    <w:rsid w:val="00F53038"/>
    <w:rsid w:val="00F530CC"/>
    <w:rsid w:val="00F61750"/>
    <w:rsid w:val="00F63BB1"/>
    <w:rsid w:val="00F64770"/>
    <w:rsid w:val="00F71289"/>
    <w:rsid w:val="00F7210C"/>
    <w:rsid w:val="00F738A0"/>
    <w:rsid w:val="00F74729"/>
    <w:rsid w:val="00F771DD"/>
    <w:rsid w:val="00F8158C"/>
    <w:rsid w:val="00F913D4"/>
    <w:rsid w:val="00F95EA2"/>
    <w:rsid w:val="00F973C7"/>
    <w:rsid w:val="00FA0028"/>
    <w:rsid w:val="00FA3D79"/>
    <w:rsid w:val="00FB2763"/>
    <w:rsid w:val="00FB4D48"/>
    <w:rsid w:val="00FB7B0A"/>
    <w:rsid w:val="00FC0D61"/>
    <w:rsid w:val="00FD2CBB"/>
    <w:rsid w:val="00FE1D87"/>
    <w:rsid w:val="00FF6605"/>
    <w:rsid w:val="00FF708A"/>
    <w:rsid w:val="01141165"/>
    <w:rsid w:val="01227B80"/>
    <w:rsid w:val="01255120"/>
    <w:rsid w:val="015679D0"/>
    <w:rsid w:val="016A347B"/>
    <w:rsid w:val="01973B44"/>
    <w:rsid w:val="01B110AA"/>
    <w:rsid w:val="01C34939"/>
    <w:rsid w:val="01F36FCC"/>
    <w:rsid w:val="01FB40D3"/>
    <w:rsid w:val="020250AD"/>
    <w:rsid w:val="022278B2"/>
    <w:rsid w:val="02251150"/>
    <w:rsid w:val="0242356F"/>
    <w:rsid w:val="025A704C"/>
    <w:rsid w:val="026B1746"/>
    <w:rsid w:val="02705A59"/>
    <w:rsid w:val="02765728"/>
    <w:rsid w:val="027D0F8C"/>
    <w:rsid w:val="027F4D04"/>
    <w:rsid w:val="02837B03"/>
    <w:rsid w:val="02883D22"/>
    <w:rsid w:val="02EE1086"/>
    <w:rsid w:val="02FB6CDA"/>
    <w:rsid w:val="03012D45"/>
    <w:rsid w:val="03057289"/>
    <w:rsid w:val="031F2ECC"/>
    <w:rsid w:val="03675EC4"/>
    <w:rsid w:val="037F55BF"/>
    <w:rsid w:val="03A51506"/>
    <w:rsid w:val="03CF2906"/>
    <w:rsid w:val="03EC0177"/>
    <w:rsid w:val="03F079D9"/>
    <w:rsid w:val="03FB660C"/>
    <w:rsid w:val="040500AF"/>
    <w:rsid w:val="040C0819"/>
    <w:rsid w:val="041B280B"/>
    <w:rsid w:val="044262F7"/>
    <w:rsid w:val="044E1D39"/>
    <w:rsid w:val="0454692A"/>
    <w:rsid w:val="046046C1"/>
    <w:rsid w:val="04610B65"/>
    <w:rsid w:val="04670C6B"/>
    <w:rsid w:val="046930FC"/>
    <w:rsid w:val="0499464F"/>
    <w:rsid w:val="04B0389B"/>
    <w:rsid w:val="04B8274F"/>
    <w:rsid w:val="04B944C7"/>
    <w:rsid w:val="04C335CE"/>
    <w:rsid w:val="04C54360"/>
    <w:rsid w:val="052120A3"/>
    <w:rsid w:val="052676B9"/>
    <w:rsid w:val="05300538"/>
    <w:rsid w:val="053E4A03"/>
    <w:rsid w:val="054115C5"/>
    <w:rsid w:val="054933A7"/>
    <w:rsid w:val="05753047"/>
    <w:rsid w:val="05832D5D"/>
    <w:rsid w:val="059C656F"/>
    <w:rsid w:val="05A76A4C"/>
    <w:rsid w:val="05AA02EA"/>
    <w:rsid w:val="05DF2F6E"/>
    <w:rsid w:val="05EC3CFE"/>
    <w:rsid w:val="05F72E03"/>
    <w:rsid w:val="062365AE"/>
    <w:rsid w:val="06336531"/>
    <w:rsid w:val="06383B48"/>
    <w:rsid w:val="06417EB4"/>
    <w:rsid w:val="06450013"/>
    <w:rsid w:val="065A6526"/>
    <w:rsid w:val="06695AAF"/>
    <w:rsid w:val="066B5CCB"/>
    <w:rsid w:val="068E5516"/>
    <w:rsid w:val="069A210C"/>
    <w:rsid w:val="06A37B17"/>
    <w:rsid w:val="06A66D03"/>
    <w:rsid w:val="06B93983"/>
    <w:rsid w:val="06C947A0"/>
    <w:rsid w:val="06D43123"/>
    <w:rsid w:val="06D66EBD"/>
    <w:rsid w:val="06F061D0"/>
    <w:rsid w:val="070C4535"/>
    <w:rsid w:val="071719AF"/>
    <w:rsid w:val="07181283"/>
    <w:rsid w:val="07267138"/>
    <w:rsid w:val="07293490"/>
    <w:rsid w:val="073E518E"/>
    <w:rsid w:val="07512D0C"/>
    <w:rsid w:val="07571DAC"/>
    <w:rsid w:val="077D2FDF"/>
    <w:rsid w:val="079B25E0"/>
    <w:rsid w:val="07BC2556"/>
    <w:rsid w:val="07C40E9D"/>
    <w:rsid w:val="07D77390"/>
    <w:rsid w:val="07E163D5"/>
    <w:rsid w:val="07E212EE"/>
    <w:rsid w:val="07F46FEF"/>
    <w:rsid w:val="08070A00"/>
    <w:rsid w:val="083B791F"/>
    <w:rsid w:val="084847E4"/>
    <w:rsid w:val="084B0776"/>
    <w:rsid w:val="0865674A"/>
    <w:rsid w:val="08940143"/>
    <w:rsid w:val="08971C0E"/>
    <w:rsid w:val="089F7EAE"/>
    <w:rsid w:val="08AD3BAB"/>
    <w:rsid w:val="08B64722"/>
    <w:rsid w:val="08BA0844"/>
    <w:rsid w:val="08BA5C89"/>
    <w:rsid w:val="08CA0902"/>
    <w:rsid w:val="08CF4683"/>
    <w:rsid w:val="08D262A8"/>
    <w:rsid w:val="08EA41E4"/>
    <w:rsid w:val="08FF35C4"/>
    <w:rsid w:val="092C1016"/>
    <w:rsid w:val="093D2F14"/>
    <w:rsid w:val="094D16B8"/>
    <w:rsid w:val="094E3682"/>
    <w:rsid w:val="0962481E"/>
    <w:rsid w:val="097D7547"/>
    <w:rsid w:val="097D7E05"/>
    <w:rsid w:val="097E3AE5"/>
    <w:rsid w:val="0994055C"/>
    <w:rsid w:val="099472E7"/>
    <w:rsid w:val="0995137D"/>
    <w:rsid w:val="09A651D4"/>
    <w:rsid w:val="09A677DE"/>
    <w:rsid w:val="09CF2342"/>
    <w:rsid w:val="09D83256"/>
    <w:rsid w:val="09DA6CC4"/>
    <w:rsid w:val="09DE4A06"/>
    <w:rsid w:val="09E6794E"/>
    <w:rsid w:val="09FE4D70"/>
    <w:rsid w:val="0A2A11AD"/>
    <w:rsid w:val="0A595E3B"/>
    <w:rsid w:val="0A5B632D"/>
    <w:rsid w:val="0A6C019B"/>
    <w:rsid w:val="0A6D18E6"/>
    <w:rsid w:val="0A79472F"/>
    <w:rsid w:val="0A7E07AB"/>
    <w:rsid w:val="0A825C26"/>
    <w:rsid w:val="0A924098"/>
    <w:rsid w:val="0AA03A6A"/>
    <w:rsid w:val="0AC27AB4"/>
    <w:rsid w:val="0AFF4C34"/>
    <w:rsid w:val="0B1F2196"/>
    <w:rsid w:val="0B2428ED"/>
    <w:rsid w:val="0B3568A8"/>
    <w:rsid w:val="0B425F77"/>
    <w:rsid w:val="0B6161A3"/>
    <w:rsid w:val="0B776EC0"/>
    <w:rsid w:val="0B897DCB"/>
    <w:rsid w:val="0B980BE5"/>
    <w:rsid w:val="0BA31874"/>
    <w:rsid w:val="0BB717D7"/>
    <w:rsid w:val="0BC47C2C"/>
    <w:rsid w:val="0C1B5A9E"/>
    <w:rsid w:val="0C236700"/>
    <w:rsid w:val="0C25673D"/>
    <w:rsid w:val="0C291044"/>
    <w:rsid w:val="0C2A7A8F"/>
    <w:rsid w:val="0C2C7CAB"/>
    <w:rsid w:val="0C3923C8"/>
    <w:rsid w:val="0C3C259B"/>
    <w:rsid w:val="0C403DDB"/>
    <w:rsid w:val="0C41302A"/>
    <w:rsid w:val="0C4F1BEB"/>
    <w:rsid w:val="0C516F71"/>
    <w:rsid w:val="0C6F1945"/>
    <w:rsid w:val="0C782EF0"/>
    <w:rsid w:val="0CA05FA3"/>
    <w:rsid w:val="0CB136E8"/>
    <w:rsid w:val="0CB13789"/>
    <w:rsid w:val="0CC53C5B"/>
    <w:rsid w:val="0CCC4FEA"/>
    <w:rsid w:val="0CD90540"/>
    <w:rsid w:val="0D1129FD"/>
    <w:rsid w:val="0D183D8B"/>
    <w:rsid w:val="0D2564A8"/>
    <w:rsid w:val="0D335069"/>
    <w:rsid w:val="0D3F57BC"/>
    <w:rsid w:val="0D4C1C87"/>
    <w:rsid w:val="0D5C45C0"/>
    <w:rsid w:val="0D5D44B5"/>
    <w:rsid w:val="0D774F56"/>
    <w:rsid w:val="0D9A669A"/>
    <w:rsid w:val="0D9D0734"/>
    <w:rsid w:val="0DBD756F"/>
    <w:rsid w:val="0DC95E8B"/>
    <w:rsid w:val="0DD26630"/>
    <w:rsid w:val="0DE66142"/>
    <w:rsid w:val="0DE7680D"/>
    <w:rsid w:val="0DEB5944"/>
    <w:rsid w:val="0DED346A"/>
    <w:rsid w:val="0E010E09"/>
    <w:rsid w:val="0E03489D"/>
    <w:rsid w:val="0E0B7D94"/>
    <w:rsid w:val="0E146F9D"/>
    <w:rsid w:val="0E19425F"/>
    <w:rsid w:val="0E286250"/>
    <w:rsid w:val="0E39045D"/>
    <w:rsid w:val="0E3C3018"/>
    <w:rsid w:val="0E46051D"/>
    <w:rsid w:val="0E62296F"/>
    <w:rsid w:val="0E71409B"/>
    <w:rsid w:val="0E985859"/>
    <w:rsid w:val="0ED20405"/>
    <w:rsid w:val="0EDA2FEF"/>
    <w:rsid w:val="0EE228A3"/>
    <w:rsid w:val="0F083F8A"/>
    <w:rsid w:val="0F15222C"/>
    <w:rsid w:val="0F18046C"/>
    <w:rsid w:val="0F410148"/>
    <w:rsid w:val="0F475A3E"/>
    <w:rsid w:val="0F5B4403"/>
    <w:rsid w:val="0F7D306C"/>
    <w:rsid w:val="0F7F21A6"/>
    <w:rsid w:val="0F882BE7"/>
    <w:rsid w:val="0F8B1A2C"/>
    <w:rsid w:val="0F9A4F2B"/>
    <w:rsid w:val="0FAE09D7"/>
    <w:rsid w:val="0FB12275"/>
    <w:rsid w:val="0FB57FB7"/>
    <w:rsid w:val="0FC65D20"/>
    <w:rsid w:val="0FC72505"/>
    <w:rsid w:val="0FD04DF1"/>
    <w:rsid w:val="0FDC7F8A"/>
    <w:rsid w:val="10141182"/>
    <w:rsid w:val="10273790"/>
    <w:rsid w:val="10476E1D"/>
    <w:rsid w:val="104A6951"/>
    <w:rsid w:val="105D5D5A"/>
    <w:rsid w:val="107240FA"/>
    <w:rsid w:val="10795489"/>
    <w:rsid w:val="107C6D27"/>
    <w:rsid w:val="10AF4A06"/>
    <w:rsid w:val="10C167E4"/>
    <w:rsid w:val="10C763EA"/>
    <w:rsid w:val="10E87F18"/>
    <w:rsid w:val="10FD1C16"/>
    <w:rsid w:val="11116391"/>
    <w:rsid w:val="11164A85"/>
    <w:rsid w:val="111D5E14"/>
    <w:rsid w:val="11262D69"/>
    <w:rsid w:val="11271AB8"/>
    <w:rsid w:val="113849FC"/>
    <w:rsid w:val="114F61E9"/>
    <w:rsid w:val="11984976"/>
    <w:rsid w:val="11A007F3"/>
    <w:rsid w:val="11A46535"/>
    <w:rsid w:val="11AC0F46"/>
    <w:rsid w:val="11AE540E"/>
    <w:rsid w:val="11C73FD2"/>
    <w:rsid w:val="11CA48D8"/>
    <w:rsid w:val="11D21AE6"/>
    <w:rsid w:val="11D706B9"/>
    <w:rsid w:val="11F50CE9"/>
    <w:rsid w:val="11F823DD"/>
    <w:rsid w:val="12080872"/>
    <w:rsid w:val="12107727"/>
    <w:rsid w:val="12117DB8"/>
    <w:rsid w:val="121C02BE"/>
    <w:rsid w:val="121C431D"/>
    <w:rsid w:val="123C49C0"/>
    <w:rsid w:val="12423F8B"/>
    <w:rsid w:val="12687563"/>
    <w:rsid w:val="12754004"/>
    <w:rsid w:val="128B2877"/>
    <w:rsid w:val="12975631"/>
    <w:rsid w:val="1299771C"/>
    <w:rsid w:val="129C4AFB"/>
    <w:rsid w:val="12C16C73"/>
    <w:rsid w:val="12D06EB6"/>
    <w:rsid w:val="12E3308D"/>
    <w:rsid w:val="12F7648C"/>
    <w:rsid w:val="131E6243"/>
    <w:rsid w:val="133B4C77"/>
    <w:rsid w:val="13426191"/>
    <w:rsid w:val="1347361C"/>
    <w:rsid w:val="134E49AB"/>
    <w:rsid w:val="13660293"/>
    <w:rsid w:val="1368169B"/>
    <w:rsid w:val="136E6DFB"/>
    <w:rsid w:val="13710699"/>
    <w:rsid w:val="137B5074"/>
    <w:rsid w:val="13A445CA"/>
    <w:rsid w:val="13B47B12"/>
    <w:rsid w:val="13D44784"/>
    <w:rsid w:val="13EB3FA7"/>
    <w:rsid w:val="13F3192F"/>
    <w:rsid w:val="14076907"/>
    <w:rsid w:val="140F5871"/>
    <w:rsid w:val="14293706"/>
    <w:rsid w:val="144A5C2E"/>
    <w:rsid w:val="144B713C"/>
    <w:rsid w:val="145E2AD3"/>
    <w:rsid w:val="1466786F"/>
    <w:rsid w:val="14717E92"/>
    <w:rsid w:val="14724AB6"/>
    <w:rsid w:val="14810A3E"/>
    <w:rsid w:val="148B7538"/>
    <w:rsid w:val="148E3042"/>
    <w:rsid w:val="14997EA7"/>
    <w:rsid w:val="149F41D0"/>
    <w:rsid w:val="14C55CE2"/>
    <w:rsid w:val="14CA0061"/>
    <w:rsid w:val="14DA49C1"/>
    <w:rsid w:val="14ED2408"/>
    <w:rsid w:val="14F03EE3"/>
    <w:rsid w:val="151439D2"/>
    <w:rsid w:val="15211C4B"/>
    <w:rsid w:val="15324B8E"/>
    <w:rsid w:val="153320AA"/>
    <w:rsid w:val="153B5B4F"/>
    <w:rsid w:val="15443765"/>
    <w:rsid w:val="157D650A"/>
    <w:rsid w:val="157F578C"/>
    <w:rsid w:val="15866F2A"/>
    <w:rsid w:val="158E5868"/>
    <w:rsid w:val="15945E76"/>
    <w:rsid w:val="15A9411A"/>
    <w:rsid w:val="15C6392F"/>
    <w:rsid w:val="160A4F1B"/>
    <w:rsid w:val="160B6B83"/>
    <w:rsid w:val="160C6659"/>
    <w:rsid w:val="162A33A1"/>
    <w:rsid w:val="16341CFD"/>
    <w:rsid w:val="16393D39"/>
    <w:rsid w:val="167744DB"/>
    <w:rsid w:val="16826719"/>
    <w:rsid w:val="1683496B"/>
    <w:rsid w:val="16886814"/>
    <w:rsid w:val="16C84A74"/>
    <w:rsid w:val="16D27BE2"/>
    <w:rsid w:val="16D771C7"/>
    <w:rsid w:val="16E01DBD"/>
    <w:rsid w:val="171B0984"/>
    <w:rsid w:val="17261D73"/>
    <w:rsid w:val="17397720"/>
    <w:rsid w:val="17465999"/>
    <w:rsid w:val="17485BB5"/>
    <w:rsid w:val="174F7450"/>
    <w:rsid w:val="175F3493"/>
    <w:rsid w:val="177B16DD"/>
    <w:rsid w:val="179B1662"/>
    <w:rsid w:val="17AF1790"/>
    <w:rsid w:val="17B80644"/>
    <w:rsid w:val="17D01916"/>
    <w:rsid w:val="17DE3E23"/>
    <w:rsid w:val="17F35B20"/>
    <w:rsid w:val="17F77241"/>
    <w:rsid w:val="18021CD6"/>
    <w:rsid w:val="181B72DB"/>
    <w:rsid w:val="18203A26"/>
    <w:rsid w:val="184019AC"/>
    <w:rsid w:val="18407B66"/>
    <w:rsid w:val="18437C28"/>
    <w:rsid w:val="186662F2"/>
    <w:rsid w:val="188104BD"/>
    <w:rsid w:val="18860743"/>
    <w:rsid w:val="18965ABA"/>
    <w:rsid w:val="18B03A11"/>
    <w:rsid w:val="18C106AC"/>
    <w:rsid w:val="18C43019"/>
    <w:rsid w:val="18CC6CC2"/>
    <w:rsid w:val="18CE20EA"/>
    <w:rsid w:val="18CE7660"/>
    <w:rsid w:val="18E919B2"/>
    <w:rsid w:val="18F712F7"/>
    <w:rsid w:val="190E0811"/>
    <w:rsid w:val="191775ED"/>
    <w:rsid w:val="1926420A"/>
    <w:rsid w:val="19287A4C"/>
    <w:rsid w:val="193006AE"/>
    <w:rsid w:val="19422C35"/>
    <w:rsid w:val="19476AB2"/>
    <w:rsid w:val="19486114"/>
    <w:rsid w:val="196A2073"/>
    <w:rsid w:val="197A603E"/>
    <w:rsid w:val="199B1FCC"/>
    <w:rsid w:val="19AA66B3"/>
    <w:rsid w:val="19AC7DD1"/>
    <w:rsid w:val="19B25567"/>
    <w:rsid w:val="19FD67E3"/>
    <w:rsid w:val="1A02204B"/>
    <w:rsid w:val="1A07140F"/>
    <w:rsid w:val="1A154DA1"/>
    <w:rsid w:val="1A2056A9"/>
    <w:rsid w:val="1A347B93"/>
    <w:rsid w:val="1A497C7A"/>
    <w:rsid w:val="1A4C59BC"/>
    <w:rsid w:val="1A55652A"/>
    <w:rsid w:val="1A562397"/>
    <w:rsid w:val="1A6F38CC"/>
    <w:rsid w:val="1A864B29"/>
    <w:rsid w:val="1A9223BA"/>
    <w:rsid w:val="1A9A04D5"/>
    <w:rsid w:val="1AAB623F"/>
    <w:rsid w:val="1ABD41C4"/>
    <w:rsid w:val="1ACB068F"/>
    <w:rsid w:val="1ACD62A6"/>
    <w:rsid w:val="1B157B5C"/>
    <w:rsid w:val="1B1B17E0"/>
    <w:rsid w:val="1B2349D2"/>
    <w:rsid w:val="1B326960"/>
    <w:rsid w:val="1B373F76"/>
    <w:rsid w:val="1B59213E"/>
    <w:rsid w:val="1B6A4FBB"/>
    <w:rsid w:val="1B7C2C5F"/>
    <w:rsid w:val="1BA55384"/>
    <w:rsid w:val="1BAF1D5E"/>
    <w:rsid w:val="1BCC4A05"/>
    <w:rsid w:val="1BDB0DA5"/>
    <w:rsid w:val="1BDB2B53"/>
    <w:rsid w:val="1BE063BC"/>
    <w:rsid w:val="1C0E117B"/>
    <w:rsid w:val="1C321E98"/>
    <w:rsid w:val="1C784846"/>
    <w:rsid w:val="1C7C14FF"/>
    <w:rsid w:val="1C821221"/>
    <w:rsid w:val="1C881132"/>
    <w:rsid w:val="1C99525B"/>
    <w:rsid w:val="1CAB4C1C"/>
    <w:rsid w:val="1CB11952"/>
    <w:rsid w:val="1CCB1FF0"/>
    <w:rsid w:val="1CE1575A"/>
    <w:rsid w:val="1CEC6434"/>
    <w:rsid w:val="1CF2284B"/>
    <w:rsid w:val="1D1A3B4F"/>
    <w:rsid w:val="1D2F75FB"/>
    <w:rsid w:val="1D506B65"/>
    <w:rsid w:val="1D516351"/>
    <w:rsid w:val="1D5337BB"/>
    <w:rsid w:val="1D550375"/>
    <w:rsid w:val="1D570900"/>
    <w:rsid w:val="1D61352C"/>
    <w:rsid w:val="1D6A233A"/>
    <w:rsid w:val="1D8D4321"/>
    <w:rsid w:val="1D976F4E"/>
    <w:rsid w:val="1DCA1E79"/>
    <w:rsid w:val="1DCB2DDC"/>
    <w:rsid w:val="1DE33CD0"/>
    <w:rsid w:val="1DF223D6"/>
    <w:rsid w:val="1DFE701D"/>
    <w:rsid w:val="1E14059F"/>
    <w:rsid w:val="1E1B192D"/>
    <w:rsid w:val="1E205195"/>
    <w:rsid w:val="1E226631"/>
    <w:rsid w:val="1E262080"/>
    <w:rsid w:val="1E313FB3"/>
    <w:rsid w:val="1E4075E6"/>
    <w:rsid w:val="1E5B7F7C"/>
    <w:rsid w:val="1E6F6EC6"/>
    <w:rsid w:val="1E7B061E"/>
    <w:rsid w:val="1E8066E5"/>
    <w:rsid w:val="1E8219AC"/>
    <w:rsid w:val="1E854FF8"/>
    <w:rsid w:val="1E94348E"/>
    <w:rsid w:val="1EB3600A"/>
    <w:rsid w:val="1EC336C9"/>
    <w:rsid w:val="1ED470A1"/>
    <w:rsid w:val="1EDE6ADB"/>
    <w:rsid w:val="1EF64B18"/>
    <w:rsid w:val="1F01504A"/>
    <w:rsid w:val="1F1162C7"/>
    <w:rsid w:val="1F157FEC"/>
    <w:rsid w:val="1F244811"/>
    <w:rsid w:val="1F3543D1"/>
    <w:rsid w:val="1F386FFD"/>
    <w:rsid w:val="1F501341"/>
    <w:rsid w:val="1F552C1D"/>
    <w:rsid w:val="1F58358F"/>
    <w:rsid w:val="1F6F0CDC"/>
    <w:rsid w:val="1F721A21"/>
    <w:rsid w:val="1F852AAF"/>
    <w:rsid w:val="1F853F49"/>
    <w:rsid w:val="1FBA579B"/>
    <w:rsid w:val="1FCF29CF"/>
    <w:rsid w:val="1FFD287D"/>
    <w:rsid w:val="2000702C"/>
    <w:rsid w:val="20317AB3"/>
    <w:rsid w:val="20362A4E"/>
    <w:rsid w:val="206A094A"/>
    <w:rsid w:val="20763E47"/>
    <w:rsid w:val="2091237A"/>
    <w:rsid w:val="20A563AA"/>
    <w:rsid w:val="20AB655B"/>
    <w:rsid w:val="20BF0710"/>
    <w:rsid w:val="20C74A2E"/>
    <w:rsid w:val="20CC33B3"/>
    <w:rsid w:val="20CE2C87"/>
    <w:rsid w:val="20D66D3A"/>
    <w:rsid w:val="20DD55C0"/>
    <w:rsid w:val="20E029BA"/>
    <w:rsid w:val="2120725A"/>
    <w:rsid w:val="21256543"/>
    <w:rsid w:val="21286B8A"/>
    <w:rsid w:val="21290D39"/>
    <w:rsid w:val="2149055F"/>
    <w:rsid w:val="214C004F"/>
    <w:rsid w:val="215C0EAE"/>
    <w:rsid w:val="21670C2F"/>
    <w:rsid w:val="2178128D"/>
    <w:rsid w:val="21815F4B"/>
    <w:rsid w:val="21823A71"/>
    <w:rsid w:val="21863561"/>
    <w:rsid w:val="219E6AFD"/>
    <w:rsid w:val="21C108CE"/>
    <w:rsid w:val="21CB18BC"/>
    <w:rsid w:val="21F030D1"/>
    <w:rsid w:val="21F36C22"/>
    <w:rsid w:val="22156F08"/>
    <w:rsid w:val="222114DC"/>
    <w:rsid w:val="2221328A"/>
    <w:rsid w:val="224C4B12"/>
    <w:rsid w:val="224D3AFB"/>
    <w:rsid w:val="227B299A"/>
    <w:rsid w:val="228D0920"/>
    <w:rsid w:val="22921111"/>
    <w:rsid w:val="22934188"/>
    <w:rsid w:val="22A46395"/>
    <w:rsid w:val="22AE0FC2"/>
    <w:rsid w:val="22B32A8D"/>
    <w:rsid w:val="22B8599C"/>
    <w:rsid w:val="22C6199A"/>
    <w:rsid w:val="22C92FCC"/>
    <w:rsid w:val="22CC31F6"/>
    <w:rsid w:val="22CD7F3B"/>
    <w:rsid w:val="22D30A28"/>
    <w:rsid w:val="22DB48C8"/>
    <w:rsid w:val="22F340D5"/>
    <w:rsid w:val="22F62969"/>
    <w:rsid w:val="22F97D63"/>
    <w:rsid w:val="22FA160E"/>
    <w:rsid w:val="234C277D"/>
    <w:rsid w:val="23712C4B"/>
    <w:rsid w:val="238E2BA1"/>
    <w:rsid w:val="2393640A"/>
    <w:rsid w:val="23A71402"/>
    <w:rsid w:val="23AE66CF"/>
    <w:rsid w:val="23C10881"/>
    <w:rsid w:val="23DC7061"/>
    <w:rsid w:val="23F52C20"/>
    <w:rsid w:val="23FA0237"/>
    <w:rsid w:val="24084702"/>
    <w:rsid w:val="240D7F6A"/>
    <w:rsid w:val="24305BD0"/>
    <w:rsid w:val="244252F2"/>
    <w:rsid w:val="246456B0"/>
    <w:rsid w:val="2466617A"/>
    <w:rsid w:val="247022A7"/>
    <w:rsid w:val="249C309C"/>
    <w:rsid w:val="24A95308"/>
    <w:rsid w:val="24B672B1"/>
    <w:rsid w:val="24E862E1"/>
    <w:rsid w:val="24F26274"/>
    <w:rsid w:val="24F86524"/>
    <w:rsid w:val="250E4D5D"/>
    <w:rsid w:val="252A7D7C"/>
    <w:rsid w:val="253C1F85"/>
    <w:rsid w:val="254479BB"/>
    <w:rsid w:val="2556149D"/>
    <w:rsid w:val="255617B4"/>
    <w:rsid w:val="256E2CA0"/>
    <w:rsid w:val="25714529"/>
    <w:rsid w:val="25764776"/>
    <w:rsid w:val="257A620F"/>
    <w:rsid w:val="259F7FE3"/>
    <w:rsid w:val="25A8619C"/>
    <w:rsid w:val="25D564AB"/>
    <w:rsid w:val="25E20F82"/>
    <w:rsid w:val="25E47AF0"/>
    <w:rsid w:val="25E71733"/>
    <w:rsid w:val="25F34F3E"/>
    <w:rsid w:val="26040EF9"/>
    <w:rsid w:val="2604714B"/>
    <w:rsid w:val="26121868"/>
    <w:rsid w:val="262449BF"/>
    <w:rsid w:val="262D176D"/>
    <w:rsid w:val="262F5BC1"/>
    <w:rsid w:val="2634595C"/>
    <w:rsid w:val="26346C43"/>
    <w:rsid w:val="263F16B0"/>
    <w:rsid w:val="265C0D35"/>
    <w:rsid w:val="26606A77"/>
    <w:rsid w:val="2669103C"/>
    <w:rsid w:val="26763BCF"/>
    <w:rsid w:val="26793695"/>
    <w:rsid w:val="268409FF"/>
    <w:rsid w:val="269009DE"/>
    <w:rsid w:val="269F0C21"/>
    <w:rsid w:val="26B836F3"/>
    <w:rsid w:val="26BE5AD4"/>
    <w:rsid w:val="26CB02AF"/>
    <w:rsid w:val="26DD5EB5"/>
    <w:rsid w:val="26E44C79"/>
    <w:rsid w:val="26F31699"/>
    <w:rsid w:val="27007912"/>
    <w:rsid w:val="270A69E3"/>
    <w:rsid w:val="27117B86"/>
    <w:rsid w:val="27165388"/>
    <w:rsid w:val="271F3D3B"/>
    <w:rsid w:val="272445CF"/>
    <w:rsid w:val="272730F1"/>
    <w:rsid w:val="27291DCA"/>
    <w:rsid w:val="273C6CCC"/>
    <w:rsid w:val="273E043A"/>
    <w:rsid w:val="27430C56"/>
    <w:rsid w:val="27617631"/>
    <w:rsid w:val="276F1A45"/>
    <w:rsid w:val="279562D2"/>
    <w:rsid w:val="27D56FF1"/>
    <w:rsid w:val="27DD5EA5"/>
    <w:rsid w:val="27EF5E2F"/>
    <w:rsid w:val="2828082C"/>
    <w:rsid w:val="28387B79"/>
    <w:rsid w:val="284C442A"/>
    <w:rsid w:val="28727A72"/>
    <w:rsid w:val="28901037"/>
    <w:rsid w:val="289651BD"/>
    <w:rsid w:val="28AA5A71"/>
    <w:rsid w:val="28B577B6"/>
    <w:rsid w:val="28D81409"/>
    <w:rsid w:val="28E051EA"/>
    <w:rsid w:val="28E55011"/>
    <w:rsid w:val="28F107FE"/>
    <w:rsid w:val="2907142C"/>
    <w:rsid w:val="2912392D"/>
    <w:rsid w:val="29296022"/>
    <w:rsid w:val="294C5FAE"/>
    <w:rsid w:val="295959FF"/>
    <w:rsid w:val="297F5EFD"/>
    <w:rsid w:val="29802F8C"/>
    <w:rsid w:val="29A50C45"/>
    <w:rsid w:val="29AC1FD3"/>
    <w:rsid w:val="29BD1AEA"/>
    <w:rsid w:val="29CA4B8D"/>
    <w:rsid w:val="29EC0622"/>
    <w:rsid w:val="2A043BBD"/>
    <w:rsid w:val="2A047719"/>
    <w:rsid w:val="2A0E0598"/>
    <w:rsid w:val="2A100EEF"/>
    <w:rsid w:val="2A151926"/>
    <w:rsid w:val="2A28561B"/>
    <w:rsid w:val="2A44045E"/>
    <w:rsid w:val="2A486993"/>
    <w:rsid w:val="2A513ACE"/>
    <w:rsid w:val="2A5341FD"/>
    <w:rsid w:val="2A5F4D16"/>
    <w:rsid w:val="2A8D3BB3"/>
    <w:rsid w:val="2A9071FF"/>
    <w:rsid w:val="2A9133E6"/>
    <w:rsid w:val="2AAA2063"/>
    <w:rsid w:val="2AAB5086"/>
    <w:rsid w:val="2ABC4498"/>
    <w:rsid w:val="2AC80521"/>
    <w:rsid w:val="2AC8468D"/>
    <w:rsid w:val="2AD215C5"/>
    <w:rsid w:val="2AD43590"/>
    <w:rsid w:val="2AEE7399"/>
    <w:rsid w:val="2AF21C68"/>
    <w:rsid w:val="2B00796F"/>
    <w:rsid w:val="2B031B1F"/>
    <w:rsid w:val="2B03342D"/>
    <w:rsid w:val="2B585F6F"/>
    <w:rsid w:val="2B591CE7"/>
    <w:rsid w:val="2B771B53"/>
    <w:rsid w:val="2B772B27"/>
    <w:rsid w:val="2B7C6D8D"/>
    <w:rsid w:val="2B8723B0"/>
    <w:rsid w:val="2B8A48CA"/>
    <w:rsid w:val="2B8C5BD2"/>
    <w:rsid w:val="2BA9515B"/>
    <w:rsid w:val="2BB331A5"/>
    <w:rsid w:val="2BB72C49"/>
    <w:rsid w:val="2BC2163A"/>
    <w:rsid w:val="2BCF3D57"/>
    <w:rsid w:val="2BE041B6"/>
    <w:rsid w:val="2BEE68D3"/>
    <w:rsid w:val="2BFA5278"/>
    <w:rsid w:val="2C043A01"/>
    <w:rsid w:val="2C0C0B07"/>
    <w:rsid w:val="2C22032B"/>
    <w:rsid w:val="2C2B5431"/>
    <w:rsid w:val="2C2E4F21"/>
    <w:rsid w:val="2C5B55EB"/>
    <w:rsid w:val="2C672FBC"/>
    <w:rsid w:val="2C773DF0"/>
    <w:rsid w:val="2C7C3EDF"/>
    <w:rsid w:val="2C86549C"/>
    <w:rsid w:val="2C8B3FEE"/>
    <w:rsid w:val="2C8B5ED0"/>
    <w:rsid w:val="2CA647B0"/>
    <w:rsid w:val="2CAD6FBD"/>
    <w:rsid w:val="2CC338BC"/>
    <w:rsid w:val="2CEA52EC"/>
    <w:rsid w:val="2CED6B8B"/>
    <w:rsid w:val="2CFB12A7"/>
    <w:rsid w:val="2D00170E"/>
    <w:rsid w:val="2D0D0FDB"/>
    <w:rsid w:val="2D12214D"/>
    <w:rsid w:val="2D2D342B"/>
    <w:rsid w:val="2D3C71CA"/>
    <w:rsid w:val="2D4453D3"/>
    <w:rsid w:val="2D4C1B03"/>
    <w:rsid w:val="2D517119"/>
    <w:rsid w:val="2D68635B"/>
    <w:rsid w:val="2D6C5D01"/>
    <w:rsid w:val="2D7E3C87"/>
    <w:rsid w:val="2D855015"/>
    <w:rsid w:val="2D9E60D7"/>
    <w:rsid w:val="2DA3549B"/>
    <w:rsid w:val="2DFB239F"/>
    <w:rsid w:val="2DFD4010"/>
    <w:rsid w:val="2E0F48DF"/>
    <w:rsid w:val="2E1B5A55"/>
    <w:rsid w:val="2E2465DC"/>
    <w:rsid w:val="2E2C3D21"/>
    <w:rsid w:val="2E2D4A25"/>
    <w:rsid w:val="2E355A57"/>
    <w:rsid w:val="2E381630"/>
    <w:rsid w:val="2E3F3416"/>
    <w:rsid w:val="2E5F1A8F"/>
    <w:rsid w:val="2E6C3ADF"/>
    <w:rsid w:val="2E7A61FC"/>
    <w:rsid w:val="2E7C01C6"/>
    <w:rsid w:val="2E8535A2"/>
    <w:rsid w:val="2E890E4A"/>
    <w:rsid w:val="2E9C43C4"/>
    <w:rsid w:val="2EAA7A1E"/>
    <w:rsid w:val="2EC92CDF"/>
    <w:rsid w:val="2ED246EE"/>
    <w:rsid w:val="2ED51684"/>
    <w:rsid w:val="2EDA313F"/>
    <w:rsid w:val="2EFC4E63"/>
    <w:rsid w:val="2F300FB0"/>
    <w:rsid w:val="2F336EC0"/>
    <w:rsid w:val="2F3C7955"/>
    <w:rsid w:val="2F634EE2"/>
    <w:rsid w:val="2F8636C9"/>
    <w:rsid w:val="2F8B61E7"/>
    <w:rsid w:val="2FA15A0A"/>
    <w:rsid w:val="2FA93C74"/>
    <w:rsid w:val="2FAA7FCD"/>
    <w:rsid w:val="2FD268A1"/>
    <w:rsid w:val="2FDE4077"/>
    <w:rsid w:val="2FE04785"/>
    <w:rsid w:val="2FE75B13"/>
    <w:rsid w:val="2FED0C50"/>
    <w:rsid w:val="2FF76305"/>
    <w:rsid w:val="2FF81ACE"/>
    <w:rsid w:val="30032221"/>
    <w:rsid w:val="300466C5"/>
    <w:rsid w:val="300E150D"/>
    <w:rsid w:val="300E30A0"/>
    <w:rsid w:val="30110DE2"/>
    <w:rsid w:val="30123FFF"/>
    <w:rsid w:val="30180806"/>
    <w:rsid w:val="3034062C"/>
    <w:rsid w:val="305D7845"/>
    <w:rsid w:val="306F163B"/>
    <w:rsid w:val="30777DC4"/>
    <w:rsid w:val="30E107B4"/>
    <w:rsid w:val="30E738F1"/>
    <w:rsid w:val="31175F84"/>
    <w:rsid w:val="3126266B"/>
    <w:rsid w:val="312B2284"/>
    <w:rsid w:val="31556AAC"/>
    <w:rsid w:val="315A2315"/>
    <w:rsid w:val="31774904"/>
    <w:rsid w:val="31790FDA"/>
    <w:rsid w:val="31807FCD"/>
    <w:rsid w:val="31815AF3"/>
    <w:rsid w:val="31983647"/>
    <w:rsid w:val="319D3AE7"/>
    <w:rsid w:val="31AF440F"/>
    <w:rsid w:val="31B400AF"/>
    <w:rsid w:val="31B50B0C"/>
    <w:rsid w:val="31B8508B"/>
    <w:rsid w:val="31BA4166"/>
    <w:rsid w:val="31CD0D39"/>
    <w:rsid w:val="31D67BED"/>
    <w:rsid w:val="31D810C6"/>
    <w:rsid w:val="31E130B4"/>
    <w:rsid w:val="31E83DC4"/>
    <w:rsid w:val="31F55998"/>
    <w:rsid w:val="31FE0EF2"/>
    <w:rsid w:val="31FE335B"/>
    <w:rsid w:val="321B36E9"/>
    <w:rsid w:val="3229511D"/>
    <w:rsid w:val="322975DE"/>
    <w:rsid w:val="323D2338"/>
    <w:rsid w:val="32425283"/>
    <w:rsid w:val="326351F9"/>
    <w:rsid w:val="32666042"/>
    <w:rsid w:val="326E42CA"/>
    <w:rsid w:val="32725B2C"/>
    <w:rsid w:val="32773D06"/>
    <w:rsid w:val="327D275F"/>
    <w:rsid w:val="32821B23"/>
    <w:rsid w:val="329B4D38"/>
    <w:rsid w:val="329F4D04"/>
    <w:rsid w:val="32A7158A"/>
    <w:rsid w:val="32B10AC5"/>
    <w:rsid w:val="32B5388A"/>
    <w:rsid w:val="32E14A9C"/>
    <w:rsid w:val="32E225C2"/>
    <w:rsid w:val="330C5891"/>
    <w:rsid w:val="33311883"/>
    <w:rsid w:val="334119DE"/>
    <w:rsid w:val="33574D5E"/>
    <w:rsid w:val="33712D71"/>
    <w:rsid w:val="33801D40"/>
    <w:rsid w:val="338F3C47"/>
    <w:rsid w:val="33A063C1"/>
    <w:rsid w:val="33A71511"/>
    <w:rsid w:val="33B57CD6"/>
    <w:rsid w:val="33F829BD"/>
    <w:rsid w:val="341F6F52"/>
    <w:rsid w:val="3421711A"/>
    <w:rsid w:val="34325348"/>
    <w:rsid w:val="34346E4D"/>
    <w:rsid w:val="34357EA6"/>
    <w:rsid w:val="34473024"/>
    <w:rsid w:val="34480949"/>
    <w:rsid w:val="344A041F"/>
    <w:rsid w:val="345C0152"/>
    <w:rsid w:val="34884182"/>
    <w:rsid w:val="34930017"/>
    <w:rsid w:val="349B3370"/>
    <w:rsid w:val="34AE4E51"/>
    <w:rsid w:val="34D348B8"/>
    <w:rsid w:val="34D91EBE"/>
    <w:rsid w:val="34E22D4D"/>
    <w:rsid w:val="34E24A8D"/>
    <w:rsid w:val="3502033E"/>
    <w:rsid w:val="35026026"/>
    <w:rsid w:val="3502780C"/>
    <w:rsid w:val="350667E1"/>
    <w:rsid w:val="350F3ED7"/>
    <w:rsid w:val="35241A74"/>
    <w:rsid w:val="352B0250"/>
    <w:rsid w:val="35335357"/>
    <w:rsid w:val="353C06AF"/>
    <w:rsid w:val="35462B94"/>
    <w:rsid w:val="3550415A"/>
    <w:rsid w:val="355F7EFA"/>
    <w:rsid w:val="35603F38"/>
    <w:rsid w:val="35727C2D"/>
    <w:rsid w:val="35753BC1"/>
    <w:rsid w:val="35777939"/>
    <w:rsid w:val="35971C6B"/>
    <w:rsid w:val="35A85D44"/>
    <w:rsid w:val="35B04BF9"/>
    <w:rsid w:val="35B20971"/>
    <w:rsid w:val="35E1035F"/>
    <w:rsid w:val="35F7332A"/>
    <w:rsid w:val="35F965A0"/>
    <w:rsid w:val="361E7DB5"/>
    <w:rsid w:val="362A1B67"/>
    <w:rsid w:val="364C4922"/>
    <w:rsid w:val="36590DED"/>
    <w:rsid w:val="365B24AB"/>
    <w:rsid w:val="36B6623F"/>
    <w:rsid w:val="36C175C6"/>
    <w:rsid w:val="36EA0D42"/>
    <w:rsid w:val="370E7E29"/>
    <w:rsid w:val="3710594F"/>
    <w:rsid w:val="371600E9"/>
    <w:rsid w:val="372B50A7"/>
    <w:rsid w:val="373158C6"/>
    <w:rsid w:val="3736112E"/>
    <w:rsid w:val="37513B77"/>
    <w:rsid w:val="375A2988"/>
    <w:rsid w:val="375D1D0F"/>
    <w:rsid w:val="379C0A32"/>
    <w:rsid w:val="37A10C9D"/>
    <w:rsid w:val="37A20571"/>
    <w:rsid w:val="37CD674B"/>
    <w:rsid w:val="37DE5A4E"/>
    <w:rsid w:val="37F039D3"/>
    <w:rsid w:val="380B55F3"/>
    <w:rsid w:val="38251764"/>
    <w:rsid w:val="382A45EF"/>
    <w:rsid w:val="3864178A"/>
    <w:rsid w:val="38685317"/>
    <w:rsid w:val="388F4F9A"/>
    <w:rsid w:val="38991974"/>
    <w:rsid w:val="38A65E3F"/>
    <w:rsid w:val="38BE22E2"/>
    <w:rsid w:val="38D15CEB"/>
    <w:rsid w:val="38DD5D05"/>
    <w:rsid w:val="38E93E8B"/>
    <w:rsid w:val="39130EE6"/>
    <w:rsid w:val="3914724D"/>
    <w:rsid w:val="39251DC5"/>
    <w:rsid w:val="393755D6"/>
    <w:rsid w:val="39424D13"/>
    <w:rsid w:val="394D193A"/>
    <w:rsid w:val="395B4E7C"/>
    <w:rsid w:val="397D1296"/>
    <w:rsid w:val="397F6DBC"/>
    <w:rsid w:val="399402E8"/>
    <w:rsid w:val="399E0E42"/>
    <w:rsid w:val="39C63F2C"/>
    <w:rsid w:val="39CA4F29"/>
    <w:rsid w:val="39D4668B"/>
    <w:rsid w:val="39D52E79"/>
    <w:rsid w:val="39E210F9"/>
    <w:rsid w:val="39EC3D26"/>
    <w:rsid w:val="3A485400"/>
    <w:rsid w:val="3A4A561C"/>
    <w:rsid w:val="3A4A73CA"/>
    <w:rsid w:val="3A5913BB"/>
    <w:rsid w:val="3A601248"/>
    <w:rsid w:val="3A704957"/>
    <w:rsid w:val="3A762824"/>
    <w:rsid w:val="3A873793"/>
    <w:rsid w:val="3A95616C"/>
    <w:rsid w:val="3AA54031"/>
    <w:rsid w:val="3ABB3E24"/>
    <w:rsid w:val="3AD90A06"/>
    <w:rsid w:val="3AE80991"/>
    <w:rsid w:val="3AF31810"/>
    <w:rsid w:val="3AF923D7"/>
    <w:rsid w:val="3AFD55BB"/>
    <w:rsid w:val="3AFF613D"/>
    <w:rsid w:val="3B007A89"/>
    <w:rsid w:val="3B023801"/>
    <w:rsid w:val="3B084C2D"/>
    <w:rsid w:val="3B20012B"/>
    <w:rsid w:val="3B4F1D9F"/>
    <w:rsid w:val="3B5129DA"/>
    <w:rsid w:val="3B6348DA"/>
    <w:rsid w:val="3B8406BA"/>
    <w:rsid w:val="3B882551"/>
    <w:rsid w:val="3B8B1A48"/>
    <w:rsid w:val="3B8C1490"/>
    <w:rsid w:val="3BB32D4D"/>
    <w:rsid w:val="3BBA7C64"/>
    <w:rsid w:val="3BC13445"/>
    <w:rsid w:val="3BD2044D"/>
    <w:rsid w:val="3BD72EE0"/>
    <w:rsid w:val="3BDC6748"/>
    <w:rsid w:val="3C023A99"/>
    <w:rsid w:val="3C0E2679"/>
    <w:rsid w:val="3C3F2833"/>
    <w:rsid w:val="3C4D13F4"/>
    <w:rsid w:val="3C516CC1"/>
    <w:rsid w:val="3C5A58BF"/>
    <w:rsid w:val="3C5F1072"/>
    <w:rsid w:val="3C7076A7"/>
    <w:rsid w:val="3C9106F7"/>
    <w:rsid w:val="3C942B7F"/>
    <w:rsid w:val="3CD76F0F"/>
    <w:rsid w:val="3D000214"/>
    <w:rsid w:val="3D485717"/>
    <w:rsid w:val="3D582E2A"/>
    <w:rsid w:val="3D624A2B"/>
    <w:rsid w:val="3D7117EB"/>
    <w:rsid w:val="3D887584"/>
    <w:rsid w:val="3D941E11"/>
    <w:rsid w:val="3D9F17DB"/>
    <w:rsid w:val="3DB73753"/>
    <w:rsid w:val="3DED69EA"/>
    <w:rsid w:val="3DEE2870"/>
    <w:rsid w:val="3DF00DF6"/>
    <w:rsid w:val="3E032ABD"/>
    <w:rsid w:val="3E1A6821"/>
    <w:rsid w:val="3E2B7513"/>
    <w:rsid w:val="3E3D2DA2"/>
    <w:rsid w:val="3E5F0F6A"/>
    <w:rsid w:val="3E642A25"/>
    <w:rsid w:val="3E6A0E6E"/>
    <w:rsid w:val="3E6D3687"/>
    <w:rsid w:val="3E7341AD"/>
    <w:rsid w:val="3E854E75"/>
    <w:rsid w:val="3EA10BF2"/>
    <w:rsid w:val="3ED701A7"/>
    <w:rsid w:val="3EEB275F"/>
    <w:rsid w:val="3EFC2A5E"/>
    <w:rsid w:val="3F0062A9"/>
    <w:rsid w:val="3F110BCB"/>
    <w:rsid w:val="3F125FDD"/>
    <w:rsid w:val="3F1D32FF"/>
    <w:rsid w:val="3F312A4E"/>
    <w:rsid w:val="3F3C78B5"/>
    <w:rsid w:val="3F484CFB"/>
    <w:rsid w:val="3F487C50"/>
    <w:rsid w:val="3F4E170B"/>
    <w:rsid w:val="3F52465F"/>
    <w:rsid w:val="3F582DB4"/>
    <w:rsid w:val="3F5B4E1A"/>
    <w:rsid w:val="3F5C79A7"/>
    <w:rsid w:val="3F7D5B4C"/>
    <w:rsid w:val="3F7D78FA"/>
    <w:rsid w:val="3F7E275E"/>
    <w:rsid w:val="3FC574F3"/>
    <w:rsid w:val="3FD37851"/>
    <w:rsid w:val="3FDC5A97"/>
    <w:rsid w:val="3FEC4A80"/>
    <w:rsid w:val="3FFE510E"/>
    <w:rsid w:val="40026051"/>
    <w:rsid w:val="4010515C"/>
    <w:rsid w:val="401907F3"/>
    <w:rsid w:val="401E25EE"/>
    <w:rsid w:val="40272501"/>
    <w:rsid w:val="40416B7A"/>
    <w:rsid w:val="404C70FC"/>
    <w:rsid w:val="40503261"/>
    <w:rsid w:val="40752AFC"/>
    <w:rsid w:val="40755B94"/>
    <w:rsid w:val="40756BD0"/>
    <w:rsid w:val="408D1DBF"/>
    <w:rsid w:val="4093153B"/>
    <w:rsid w:val="40970E8F"/>
    <w:rsid w:val="40BE4471"/>
    <w:rsid w:val="40E45794"/>
    <w:rsid w:val="410B7187"/>
    <w:rsid w:val="41156AC3"/>
    <w:rsid w:val="41432F6C"/>
    <w:rsid w:val="414A5F02"/>
    <w:rsid w:val="41644DF5"/>
    <w:rsid w:val="41717932"/>
    <w:rsid w:val="41931657"/>
    <w:rsid w:val="419378A9"/>
    <w:rsid w:val="4197500C"/>
    <w:rsid w:val="41C10754"/>
    <w:rsid w:val="41C72FB2"/>
    <w:rsid w:val="41D061CE"/>
    <w:rsid w:val="41DD3D70"/>
    <w:rsid w:val="41EF4A6B"/>
    <w:rsid w:val="41F33FC2"/>
    <w:rsid w:val="41FD11C6"/>
    <w:rsid w:val="420460B1"/>
    <w:rsid w:val="42100EF9"/>
    <w:rsid w:val="421B4715"/>
    <w:rsid w:val="42201E72"/>
    <w:rsid w:val="42332E3A"/>
    <w:rsid w:val="423B584A"/>
    <w:rsid w:val="425C4AE5"/>
    <w:rsid w:val="42925DB2"/>
    <w:rsid w:val="42985594"/>
    <w:rsid w:val="42A15FF5"/>
    <w:rsid w:val="42C46549"/>
    <w:rsid w:val="42F02AD9"/>
    <w:rsid w:val="42F02E93"/>
    <w:rsid w:val="42FA5706"/>
    <w:rsid w:val="43087A30"/>
    <w:rsid w:val="43322CF2"/>
    <w:rsid w:val="436C6603"/>
    <w:rsid w:val="436D6668"/>
    <w:rsid w:val="437F22A3"/>
    <w:rsid w:val="438020AF"/>
    <w:rsid w:val="438C22CB"/>
    <w:rsid w:val="43B4601F"/>
    <w:rsid w:val="43B8019F"/>
    <w:rsid w:val="43C755E8"/>
    <w:rsid w:val="43CA332A"/>
    <w:rsid w:val="43D23F8D"/>
    <w:rsid w:val="43E42222"/>
    <w:rsid w:val="43E97E7C"/>
    <w:rsid w:val="43F32881"/>
    <w:rsid w:val="44242A3A"/>
    <w:rsid w:val="443133A9"/>
    <w:rsid w:val="44406DAA"/>
    <w:rsid w:val="445D368E"/>
    <w:rsid w:val="446C4D53"/>
    <w:rsid w:val="4473751E"/>
    <w:rsid w:val="44DB21F3"/>
    <w:rsid w:val="44F1580E"/>
    <w:rsid w:val="44F468B0"/>
    <w:rsid w:val="450E26B8"/>
    <w:rsid w:val="450F36EA"/>
    <w:rsid w:val="45123BD8"/>
    <w:rsid w:val="45207905"/>
    <w:rsid w:val="452D47A4"/>
    <w:rsid w:val="453E5BDD"/>
    <w:rsid w:val="453F2418"/>
    <w:rsid w:val="456652D4"/>
    <w:rsid w:val="4581664C"/>
    <w:rsid w:val="45837C34"/>
    <w:rsid w:val="458B5D94"/>
    <w:rsid w:val="458C7E36"/>
    <w:rsid w:val="459D4C65"/>
    <w:rsid w:val="45C344D5"/>
    <w:rsid w:val="46004DE1"/>
    <w:rsid w:val="460D0F18"/>
    <w:rsid w:val="462D0E5D"/>
    <w:rsid w:val="462F0DEF"/>
    <w:rsid w:val="466808A0"/>
    <w:rsid w:val="467852BF"/>
    <w:rsid w:val="469F0A9E"/>
    <w:rsid w:val="46A56BA1"/>
    <w:rsid w:val="46B522AF"/>
    <w:rsid w:val="46E666CD"/>
    <w:rsid w:val="46FD57C4"/>
    <w:rsid w:val="47002980"/>
    <w:rsid w:val="470B69A7"/>
    <w:rsid w:val="47262F6D"/>
    <w:rsid w:val="47332F94"/>
    <w:rsid w:val="4743767B"/>
    <w:rsid w:val="476D1B91"/>
    <w:rsid w:val="478B1022"/>
    <w:rsid w:val="478B3D72"/>
    <w:rsid w:val="478F28C0"/>
    <w:rsid w:val="47941C85"/>
    <w:rsid w:val="47961EA1"/>
    <w:rsid w:val="47A04ACD"/>
    <w:rsid w:val="47A83982"/>
    <w:rsid w:val="47B40579"/>
    <w:rsid w:val="47CB380C"/>
    <w:rsid w:val="47DB3D58"/>
    <w:rsid w:val="47FD6C65"/>
    <w:rsid w:val="48020765"/>
    <w:rsid w:val="48141018"/>
    <w:rsid w:val="482C45B3"/>
    <w:rsid w:val="487537DE"/>
    <w:rsid w:val="487D096B"/>
    <w:rsid w:val="48914416"/>
    <w:rsid w:val="48E36096"/>
    <w:rsid w:val="48F350D1"/>
    <w:rsid w:val="48FC3F85"/>
    <w:rsid w:val="490177EE"/>
    <w:rsid w:val="490337A2"/>
    <w:rsid w:val="4910358D"/>
    <w:rsid w:val="49170DBF"/>
    <w:rsid w:val="491A440C"/>
    <w:rsid w:val="493642ED"/>
    <w:rsid w:val="49463453"/>
    <w:rsid w:val="494E2307"/>
    <w:rsid w:val="49564E45"/>
    <w:rsid w:val="4970308C"/>
    <w:rsid w:val="49746212"/>
    <w:rsid w:val="49755AE6"/>
    <w:rsid w:val="49940662"/>
    <w:rsid w:val="49BE123B"/>
    <w:rsid w:val="49C5556E"/>
    <w:rsid w:val="49F654D9"/>
    <w:rsid w:val="4A1B1292"/>
    <w:rsid w:val="4A2B43F6"/>
    <w:rsid w:val="4A413C1A"/>
    <w:rsid w:val="4A4E5B36"/>
    <w:rsid w:val="4A5A33C8"/>
    <w:rsid w:val="4A7144FF"/>
    <w:rsid w:val="4A8330FE"/>
    <w:rsid w:val="4A873469"/>
    <w:rsid w:val="4A8913ED"/>
    <w:rsid w:val="4AAA5C63"/>
    <w:rsid w:val="4AB417BD"/>
    <w:rsid w:val="4ACF06BE"/>
    <w:rsid w:val="4ADD4937"/>
    <w:rsid w:val="4AEB582E"/>
    <w:rsid w:val="4AEC627C"/>
    <w:rsid w:val="4B045373"/>
    <w:rsid w:val="4B1D43D5"/>
    <w:rsid w:val="4B1E616B"/>
    <w:rsid w:val="4B241572"/>
    <w:rsid w:val="4B38501D"/>
    <w:rsid w:val="4B3E2818"/>
    <w:rsid w:val="4B5D7EA8"/>
    <w:rsid w:val="4B7A193D"/>
    <w:rsid w:val="4B7C23F1"/>
    <w:rsid w:val="4B7F0E9E"/>
    <w:rsid w:val="4B810772"/>
    <w:rsid w:val="4B976928"/>
    <w:rsid w:val="4BA10E14"/>
    <w:rsid w:val="4BAF2DEC"/>
    <w:rsid w:val="4BB050FB"/>
    <w:rsid w:val="4BB70638"/>
    <w:rsid w:val="4BBE0F3C"/>
    <w:rsid w:val="4BF278C5"/>
    <w:rsid w:val="4C1D4C9C"/>
    <w:rsid w:val="4C213D03"/>
    <w:rsid w:val="4C2E4820"/>
    <w:rsid w:val="4C2E5100"/>
    <w:rsid w:val="4C371778"/>
    <w:rsid w:val="4C37194B"/>
    <w:rsid w:val="4C51283A"/>
    <w:rsid w:val="4C60482B"/>
    <w:rsid w:val="4C6A4B20"/>
    <w:rsid w:val="4C72455F"/>
    <w:rsid w:val="4C7D362F"/>
    <w:rsid w:val="4C7F267A"/>
    <w:rsid w:val="4C894D6F"/>
    <w:rsid w:val="4C8F3363"/>
    <w:rsid w:val="4C96179F"/>
    <w:rsid w:val="4C9B3AB5"/>
    <w:rsid w:val="4C9E7102"/>
    <w:rsid w:val="4CBE5242"/>
    <w:rsid w:val="4CC74B51"/>
    <w:rsid w:val="4CC76658"/>
    <w:rsid w:val="4CD34FFD"/>
    <w:rsid w:val="4CE0596C"/>
    <w:rsid w:val="4CE924D7"/>
    <w:rsid w:val="4CF60CEC"/>
    <w:rsid w:val="4CF803E4"/>
    <w:rsid w:val="4D0D5601"/>
    <w:rsid w:val="4D0F5E59"/>
    <w:rsid w:val="4D153B69"/>
    <w:rsid w:val="4D227A97"/>
    <w:rsid w:val="4D2515D1"/>
    <w:rsid w:val="4D3C6078"/>
    <w:rsid w:val="4D423F31"/>
    <w:rsid w:val="4D60180E"/>
    <w:rsid w:val="4D6F79FF"/>
    <w:rsid w:val="4D7100D7"/>
    <w:rsid w:val="4D9D0319"/>
    <w:rsid w:val="4DA129EE"/>
    <w:rsid w:val="4DD0587C"/>
    <w:rsid w:val="4DE65204"/>
    <w:rsid w:val="4DEB45C9"/>
    <w:rsid w:val="4DF80E20"/>
    <w:rsid w:val="4DFB5952"/>
    <w:rsid w:val="4E0256F8"/>
    <w:rsid w:val="4E044182"/>
    <w:rsid w:val="4E164E84"/>
    <w:rsid w:val="4E6846F8"/>
    <w:rsid w:val="4EA215B1"/>
    <w:rsid w:val="4EAA6232"/>
    <w:rsid w:val="4EC310A1"/>
    <w:rsid w:val="4EE11CA2"/>
    <w:rsid w:val="4F126A45"/>
    <w:rsid w:val="4F165675"/>
    <w:rsid w:val="4F22402A"/>
    <w:rsid w:val="4F5902F9"/>
    <w:rsid w:val="4F754A92"/>
    <w:rsid w:val="4F842ED4"/>
    <w:rsid w:val="4F952A3E"/>
    <w:rsid w:val="4F9C2DEA"/>
    <w:rsid w:val="4FB31116"/>
    <w:rsid w:val="4FC450D1"/>
    <w:rsid w:val="4FDD43E5"/>
    <w:rsid w:val="4FE961BD"/>
    <w:rsid w:val="4FEB1908"/>
    <w:rsid w:val="4FF20B5F"/>
    <w:rsid w:val="50081462"/>
    <w:rsid w:val="50396D0A"/>
    <w:rsid w:val="503E30D6"/>
    <w:rsid w:val="507765E7"/>
    <w:rsid w:val="507A08A8"/>
    <w:rsid w:val="50872924"/>
    <w:rsid w:val="508D557C"/>
    <w:rsid w:val="50A15412"/>
    <w:rsid w:val="50AC6291"/>
    <w:rsid w:val="50B213CE"/>
    <w:rsid w:val="50C07DA5"/>
    <w:rsid w:val="50C730CB"/>
    <w:rsid w:val="51022355"/>
    <w:rsid w:val="512C5E58"/>
    <w:rsid w:val="51361FFF"/>
    <w:rsid w:val="514F30C0"/>
    <w:rsid w:val="5153495F"/>
    <w:rsid w:val="5159179E"/>
    <w:rsid w:val="51630116"/>
    <w:rsid w:val="5167040A"/>
    <w:rsid w:val="517B5C63"/>
    <w:rsid w:val="5184221D"/>
    <w:rsid w:val="51B23E9C"/>
    <w:rsid w:val="51BD44CE"/>
    <w:rsid w:val="51C4585C"/>
    <w:rsid w:val="51D13AD5"/>
    <w:rsid w:val="51DC2BA6"/>
    <w:rsid w:val="51E77C7B"/>
    <w:rsid w:val="51F31C9E"/>
    <w:rsid w:val="520378E4"/>
    <w:rsid w:val="52151C14"/>
    <w:rsid w:val="521C0134"/>
    <w:rsid w:val="52257A67"/>
    <w:rsid w:val="523C1897"/>
    <w:rsid w:val="52446A42"/>
    <w:rsid w:val="524F6CA8"/>
    <w:rsid w:val="5253273C"/>
    <w:rsid w:val="52650DED"/>
    <w:rsid w:val="526B217C"/>
    <w:rsid w:val="52707792"/>
    <w:rsid w:val="527C7EE5"/>
    <w:rsid w:val="52844092"/>
    <w:rsid w:val="52A0149C"/>
    <w:rsid w:val="52B13FA8"/>
    <w:rsid w:val="52C10884"/>
    <w:rsid w:val="52C2246A"/>
    <w:rsid w:val="52C8137C"/>
    <w:rsid w:val="52D049DF"/>
    <w:rsid w:val="52D15A59"/>
    <w:rsid w:val="52E31D12"/>
    <w:rsid w:val="52EE4D3F"/>
    <w:rsid w:val="52F554A8"/>
    <w:rsid w:val="52F7756C"/>
    <w:rsid w:val="52FE08FA"/>
    <w:rsid w:val="531047F5"/>
    <w:rsid w:val="531A3230"/>
    <w:rsid w:val="5334431C"/>
    <w:rsid w:val="53373E0C"/>
    <w:rsid w:val="53446C55"/>
    <w:rsid w:val="536C1D08"/>
    <w:rsid w:val="536C1ECE"/>
    <w:rsid w:val="537F5EDF"/>
    <w:rsid w:val="538A2BC1"/>
    <w:rsid w:val="53946ACA"/>
    <w:rsid w:val="5399227B"/>
    <w:rsid w:val="539F032F"/>
    <w:rsid w:val="53B4545D"/>
    <w:rsid w:val="53BD36C9"/>
    <w:rsid w:val="53C5766A"/>
    <w:rsid w:val="53CB7B14"/>
    <w:rsid w:val="53CE29C2"/>
    <w:rsid w:val="53D8114B"/>
    <w:rsid w:val="53D9073D"/>
    <w:rsid w:val="53F9144F"/>
    <w:rsid w:val="53FF492A"/>
    <w:rsid w:val="540957A8"/>
    <w:rsid w:val="54113C3E"/>
    <w:rsid w:val="541505F1"/>
    <w:rsid w:val="54183C3E"/>
    <w:rsid w:val="541B530F"/>
    <w:rsid w:val="541B5F0D"/>
    <w:rsid w:val="542B3971"/>
    <w:rsid w:val="542C1497"/>
    <w:rsid w:val="54352A41"/>
    <w:rsid w:val="543D5452"/>
    <w:rsid w:val="543F741C"/>
    <w:rsid w:val="54452097"/>
    <w:rsid w:val="54703817"/>
    <w:rsid w:val="54762769"/>
    <w:rsid w:val="5486504B"/>
    <w:rsid w:val="54A56C35"/>
    <w:rsid w:val="54AD25D8"/>
    <w:rsid w:val="54BB2F47"/>
    <w:rsid w:val="54C8174B"/>
    <w:rsid w:val="54E61B86"/>
    <w:rsid w:val="54F14BBA"/>
    <w:rsid w:val="55050666"/>
    <w:rsid w:val="550D3076"/>
    <w:rsid w:val="552D346E"/>
    <w:rsid w:val="552F11B7"/>
    <w:rsid w:val="554051FA"/>
    <w:rsid w:val="5553717F"/>
    <w:rsid w:val="555733D8"/>
    <w:rsid w:val="5567079D"/>
    <w:rsid w:val="556B6251"/>
    <w:rsid w:val="55741FDF"/>
    <w:rsid w:val="5583536A"/>
    <w:rsid w:val="55915A56"/>
    <w:rsid w:val="559F5298"/>
    <w:rsid w:val="55A01340"/>
    <w:rsid w:val="56083D5B"/>
    <w:rsid w:val="562E599A"/>
    <w:rsid w:val="56336B0D"/>
    <w:rsid w:val="56356D29"/>
    <w:rsid w:val="56582A17"/>
    <w:rsid w:val="565F7902"/>
    <w:rsid w:val="56B27079"/>
    <w:rsid w:val="56CB571F"/>
    <w:rsid w:val="56E60023"/>
    <w:rsid w:val="57560D05"/>
    <w:rsid w:val="576355D3"/>
    <w:rsid w:val="57640FA0"/>
    <w:rsid w:val="57664CC0"/>
    <w:rsid w:val="57904E7E"/>
    <w:rsid w:val="57921934"/>
    <w:rsid w:val="57A66520"/>
    <w:rsid w:val="57BD0D84"/>
    <w:rsid w:val="57BE68AA"/>
    <w:rsid w:val="57E75E01"/>
    <w:rsid w:val="580E6203"/>
    <w:rsid w:val="581F1A3E"/>
    <w:rsid w:val="58704048"/>
    <w:rsid w:val="587F6039"/>
    <w:rsid w:val="58A65CBC"/>
    <w:rsid w:val="58B63628"/>
    <w:rsid w:val="58C24114"/>
    <w:rsid w:val="58C24893"/>
    <w:rsid w:val="58C779E0"/>
    <w:rsid w:val="58C83E84"/>
    <w:rsid w:val="58D11042"/>
    <w:rsid w:val="58E30119"/>
    <w:rsid w:val="59376914"/>
    <w:rsid w:val="593C100D"/>
    <w:rsid w:val="593F3A1A"/>
    <w:rsid w:val="594B0611"/>
    <w:rsid w:val="5952374E"/>
    <w:rsid w:val="595E20F3"/>
    <w:rsid w:val="597F3864"/>
    <w:rsid w:val="59A10231"/>
    <w:rsid w:val="59B30690"/>
    <w:rsid w:val="59B61F2F"/>
    <w:rsid w:val="59B9557B"/>
    <w:rsid w:val="59DA5CBA"/>
    <w:rsid w:val="5A074538"/>
    <w:rsid w:val="5A1B5605"/>
    <w:rsid w:val="5A53777D"/>
    <w:rsid w:val="5A7476F4"/>
    <w:rsid w:val="5A7B7B51"/>
    <w:rsid w:val="5A9F6E67"/>
    <w:rsid w:val="5AA719E3"/>
    <w:rsid w:val="5AA955EF"/>
    <w:rsid w:val="5ADA7E9F"/>
    <w:rsid w:val="5AE85AFD"/>
    <w:rsid w:val="5B060C94"/>
    <w:rsid w:val="5B0B44FC"/>
    <w:rsid w:val="5B2347E5"/>
    <w:rsid w:val="5B3A26EB"/>
    <w:rsid w:val="5B3E042E"/>
    <w:rsid w:val="5B417F1E"/>
    <w:rsid w:val="5B5437AD"/>
    <w:rsid w:val="5B5F72E5"/>
    <w:rsid w:val="5B871DD5"/>
    <w:rsid w:val="5B922527"/>
    <w:rsid w:val="5BA457BF"/>
    <w:rsid w:val="5BA83942"/>
    <w:rsid w:val="5BAD110F"/>
    <w:rsid w:val="5BBC0880"/>
    <w:rsid w:val="5BD70E12"/>
    <w:rsid w:val="5BD82630"/>
    <w:rsid w:val="5BEF34D6"/>
    <w:rsid w:val="5BEF4C00"/>
    <w:rsid w:val="5C063701"/>
    <w:rsid w:val="5C204225"/>
    <w:rsid w:val="5C2855D3"/>
    <w:rsid w:val="5C34538D"/>
    <w:rsid w:val="5C3655A9"/>
    <w:rsid w:val="5C3929A3"/>
    <w:rsid w:val="5C6304E0"/>
    <w:rsid w:val="5C7B7A02"/>
    <w:rsid w:val="5C910A31"/>
    <w:rsid w:val="5CA73351"/>
    <w:rsid w:val="5CAA564F"/>
    <w:rsid w:val="5CBF48D8"/>
    <w:rsid w:val="5CBF614D"/>
    <w:rsid w:val="5CC26737"/>
    <w:rsid w:val="5CDF179C"/>
    <w:rsid w:val="5D02548B"/>
    <w:rsid w:val="5D1A7C60"/>
    <w:rsid w:val="5D221689"/>
    <w:rsid w:val="5D261179"/>
    <w:rsid w:val="5D600B2F"/>
    <w:rsid w:val="5D6F0D72"/>
    <w:rsid w:val="5D787D8E"/>
    <w:rsid w:val="5D7F0DE6"/>
    <w:rsid w:val="5D852344"/>
    <w:rsid w:val="5D8D11F8"/>
    <w:rsid w:val="5D8D5264"/>
    <w:rsid w:val="5D9205BD"/>
    <w:rsid w:val="5DEF5A0F"/>
    <w:rsid w:val="5DF26102"/>
    <w:rsid w:val="5E03770C"/>
    <w:rsid w:val="5E61439A"/>
    <w:rsid w:val="5E6847CD"/>
    <w:rsid w:val="5E7303EE"/>
    <w:rsid w:val="5E7A5C21"/>
    <w:rsid w:val="5E9228D4"/>
    <w:rsid w:val="5EAA7B88"/>
    <w:rsid w:val="5EB033F0"/>
    <w:rsid w:val="5EB31E59"/>
    <w:rsid w:val="5EB839EA"/>
    <w:rsid w:val="5ED115B9"/>
    <w:rsid w:val="5F0279C4"/>
    <w:rsid w:val="5F1A4D0E"/>
    <w:rsid w:val="5F28567D"/>
    <w:rsid w:val="5F2931A3"/>
    <w:rsid w:val="5F313E05"/>
    <w:rsid w:val="5F367B26"/>
    <w:rsid w:val="5F4D6E91"/>
    <w:rsid w:val="5F6661A5"/>
    <w:rsid w:val="5F7F1015"/>
    <w:rsid w:val="5FA64E91"/>
    <w:rsid w:val="5FB62BC7"/>
    <w:rsid w:val="5FBF1411"/>
    <w:rsid w:val="5FC66C44"/>
    <w:rsid w:val="5FD17AC2"/>
    <w:rsid w:val="5FDA04EC"/>
    <w:rsid w:val="5FF217E7"/>
    <w:rsid w:val="5FF34A8E"/>
    <w:rsid w:val="600808F0"/>
    <w:rsid w:val="602C46E8"/>
    <w:rsid w:val="60367925"/>
    <w:rsid w:val="603E2C7E"/>
    <w:rsid w:val="604324C2"/>
    <w:rsid w:val="60681B1C"/>
    <w:rsid w:val="60730B79"/>
    <w:rsid w:val="60874625"/>
    <w:rsid w:val="608D150F"/>
    <w:rsid w:val="60934D78"/>
    <w:rsid w:val="60995CEB"/>
    <w:rsid w:val="60AC10A4"/>
    <w:rsid w:val="60B62814"/>
    <w:rsid w:val="60C457EE"/>
    <w:rsid w:val="60D45F50"/>
    <w:rsid w:val="60E20A32"/>
    <w:rsid w:val="60FB3360"/>
    <w:rsid w:val="610F160F"/>
    <w:rsid w:val="611C2337"/>
    <w:rsid w:val="612861BC"/>
    <w:rsid w:val="612B2820"/>
    <w:rsid w:val="612D7B77"/>
    <w:rsid w:val="61326FFC"/>
    <w:rsid w:val="613876CD"/>
    <w:rsid w:val="614A3380"/>
    <w:rsid w:val="61671FBA"/>
    <w:rsid w:val="616C52DB"/>
    <w:rsid w:val="616C7377"/>
    <w:rsid w:val="61702784"/>
    <w:rsid w:val="61753621"/>
    <w:rsid w:val="617565F6"/>
    <w:rsid w:val="618943CD"/>
    <w:rsid w:val="61986DEC"/>
    <w:rsid w:val="619E1C26"/>
    <w:rsid w:val="61B82265"/>
    <w:rsid w:val="61C158B1"/>
    <w:rsid w:val="61CB6793"/>
    <w:rsid w:val="61E23389"/>
    <w:rsid w:val="61EF2482"/>
    <w:rsid w:val="61EF54AA"/>
    <w:rsid w:val="61FE4473"/>
    <w:rsid w:val="620677CB"/>
    <w:rsid w:val="621D6D4D"/>
    <w:rsid w:val="622639C9"/>
    <w:rsid w:val="62353789"/>
    <w:rsid w:val="62562501"/>
    <w:rsid w:val="62602AAB"/>
    <w:rsid w:val="62642590"/>
    <w:rsid w:val="628E2720"/>
    <w:rsid w:val="629C0520"/>
    <w:rsid w:val="62CE02E9"/>
    <w:rsid w:val="62D058DC"/>
    <w:rsid w:val="62DB2A06"/>
    <w:rsid w:val="62E32B18"/>
    <w:rsid w:val="62ED4B6E"/>
    <w:rsid w:val="63133F4E"/>
    <w:rsid w:val="631D301E"/>
    <w:rsid w:val="631F28F3"/>
    <w:rsid w:val="63324681"/>
    <w:rsid w:val="63352116"/>
    <w:rsid w:val="633B5253"/>
    <w:rsid w:val="634603C6"/>
    <w:rsid w:val="63650337"/>
    <w:rsid w:val="6367429A"/>
    <w:rsid w:val="636C71C1"/>
    <w:rsid w:val="636D46E3"/>
    <w:rsid w:val="638C4074"/>
    <w:rsid w:val="63A728E8"/>
    <w:rsid w:val="63B8046B"/>
    <w:rsid w:val="63D27965"/>
    <w:rsid w:val="64002A47"/>
    <w:rsid w:val="640502D6"/>
    <w:rsid w:val="64066FDC"/>
    <w:rsid w:val="640779B7"/>
    <w:rsid w:val="640B731B"/>
    <w:rsid w:val="642F3009"/>
    <w:rsid w:val="64446389"/>
    <w:rsid w:val="644840CB"/>
    <w:rsid w:val="64813139"/>
    <w:rsid w:val="648151B4"/>
    <w:rsid w:val="64855C0F"/>
    <w:rsid w:val="649015CE"/>
    <w:rsid w:val="64A5151D"/>
    <w:rsid w:val="64C5571C"/>
    <w:rsid w:val="650325A3"/>
    <w:rsid w:val="65066F2E"/>
    <w:rsid w:val="653C401F"/>
    <w:rsid w:val="656B2FE5"/>
    <w:rsid w:val="65796B36"/>
    <w:rsid w:val="65817895"/>
    <w:rsid w:val="659C2113"/>
    <w:rsid w:val="65A215B9"/>
    <w:rsid w:val="65A90EBC"/>
    <w:rsid w:val="65C81A4F"/>
    <w:rsid w:val="65D73958"/>
    <w:rsid w:val="65DF45BB"/>
    <w:rsid w:val="65EA3499"/>
    <w:rsid w:val="661A3845"/>
    <w:rsid w:val="66231048"/>
    <w:rsid w:val="662621EA"/>
    <w:rsid w:val="66575D7D"/>
    <w:rsid w:val="665A00E6"/>
    <w:rsid w:val="667B0788"/>
    <w:rsid w:val="669F0930"/>
    <w:rsid w:val="66AB50FE"/>
    <w:rsid w:val="66AE2ECB"/>
    <w:rsid w:val="66B45A48"/>
    <w:rsid w:val="66EA2B70"/>
    <w:rsid w:val="66F13DA0"/>
    <w:rsid w:val="66F916AD"/>
    <w:rsid w:val="67193AFD"/>
    <w:rsid w:val="6727446C"/>
    <w:rsid w:val="6732696D"/>
    <w:rsid w:val="674C3ED2"/>
    <w:rsid w:val="674F751F"/>
    <w:rsid w:val="675759A0"/>
    <w:rsid w:val="67633AB0"/>
    <w:rsid w:val="67760F4F"/>
    <w:rsid w:val="678C2521"/>
    <w:rsid w:val="679933E7"/>
    <w:rsid w:val="67AB0BF9"/>
    <w:rsid w:val="67B61761"/>
    <w:rsid w:val="67BD6639"/>
    <w:rsid w:val="67F7371C"/>
    <w:rsid w:val="680D3662"/>
    <w:rsid w:val="685E5CDD"/>
    <w:rsid w:val="6870599E"/>
    <w:rsid w:val="68706417"/>
    <w:rsid w:val="68784853"/>
    <w:rsid w:val="689005C2"/>
    <w:rsid w:val="68A11FFC"/>
    <w:rsid w:val="68AC6398"/>
    <w:rsid w:val="68B01E03"/>
    <w:rsid w:val="68B61D88"/>
    <w:rsid w:val="68B65AF9"/>
    <w:rsid w:val="68D4417F"/>
    <w:rsid w:val="68EF55BF"/>
    <w:rsid w:val="68F23CD8"/>
    <w:rsid w:val="68F40B39"/>
    <w:rsid w:val="68FC0779"/>
    <w:rsid w:val="68FD6917"/>
    <w:rsid w:val="69020CEC"/>
    <w:rsid w:val="690D143F"/>
    <w:rsid w:val="69246AA9"/>
    <w:rsid w:val="69261E17"/>
    <w:rsid w:val="693764BC"/>
    <w:rsid w:val="694D5CE0"/>
    <w:rsid w:val="6954706E"/>
    <w:rsid w:val="69643755"/>
    <w:rsid w:val="69825989"/>
    <w:rsid w:val="698E560F"/>
    <w:rsid w:val="69922853"/>
    <w:rsid w:val="69A71894"/>
    <w:rsid w:val="69B30239"/>
    <w:rsid w:val="69D0066A"/>
    <w:rsid w:val="69DC05B3"/>
    <w:rsid w:val="6A0E546F"/>
    <w:rsid w:val="6A244992"/>
    <w:rsid w:val="6A261FD4"/>
    <w:rsid w:val="6A3D1BFD"/>
    <w:rsid w:val="6A5070DE"/>
    <w:rsid w:val="6A6B0B13"/>
    <w:rsid w:val="6A77650A"/>
    <w:rsid w:val="6A7A6FA8"/>
    <w:rsid w:val="6AA656A7"/>
    <w:rsid w:val="6AAB3FEE"/>
    <w:rsid w:val="6AB97AD1"/>
    <w:rsid w:val="6ADC77CB"/>
    <w:rsid w:val="6AE83F12"/>
    <w:rsid w:val="6AF162E4"/>
    <w:rsid w:val="6B2108C9"/>
    <w:rsid w:val="6B2313EE"/>
    <w:rsid w:val="6B5127AE"/>
    <w:rsid w:val="6B695F28"/>
    <w:rsid w:val="6B700A62"/>
    <w:rsid w:val="6B87197D"/>
    <w:rsid w:val="6BA30330"/>
    <w:rsid w:val="6BA92EEC"/>
    <w:rsid w:val="6BB40298"/>
    <w:rsid w:val="6BBF1117"/>
    <w:rsid w:val="6BCB1861"/>
    <w:rsid w:val="6BD46244"/>
    <w:rsid w:val="6BE76250"/>
    <w:rsid w:val="6C0C3C30"/>
    <w:rsid w:val="6C1A00FB"/>
    <w:rsid w:val="6C1E0459"/>
    <w:rsid w:val="6C224BFB"/>
    <w:rsid w:val="6C3C1A66"/>
    <w:rsid w:val="6C4A6222"/>
    <w:rsid w:val="6C5B1825"/>
    <w:rsid w:val="6C7517D5"/>
    <w:rsid w:val="6C8D4FD3"/>
    <w:rsid w:val="6C9C4FB4"/>
    <w:rsid w:val="6CA67BE1"/>
    <w:rsid w:val="6CC16DF8"/>
    <w:rsid w:val="6CC25503"/>
    <w:rsid w:val="6CCD33BF"/>
    <w:rsid w:val="6CDC482D"/>
    <w:rsid w:val="6CF46CB8"/>
    <w:rsid w:val="6CFA617E"/>
    <w:rsid w:val="6D1A60D0"/>
    <w:rsid w:val="6D221B3E"/>
    <w:rsid w:val="6D3A657B"/>
    <w:rsid w:val="6D3A78E6"/>
    <w:rsid w:val="6D3E250F"/>
    <w:rsid w:val="6D505D9E"/>
    <w:rsid w:val="6D6D4BA2"/>
    <w:rsid w:val="6D7777CF"/>
    <w:rsid w:val="6D9D5488"/>
    <w:rsid w:val="6DAE1443"/>
    <w:rsid w:val="6DB30807"/>
    <w:rsid w:val="6DC36570"/>
    <w:rsid w:val="6DC70686"/>
    <w:rsid w:val="6DC747D0"/>
    <w:rsid w:val="6DD30EA9"/>
    <w:rsid w:val="6DE54739"/>
    <w:rsid w:val="6DE85BCB"/>
    <w:rsid w:val="6DFA6436"/>
    <w:rsid w:val="6DFB21AE"/>
    <w:rsid w:val="6DFD1A82"/>
    <w:rsid w:val="6E0E3C8F"/>
    <w:rsid w:val="6E2E74DD"/>
    <w:rsid w:val="6E331948"/>
    <w:rsid w:val="6E497A61"/>
    <w:rsid w:val="6E4A0A40"/>
    <w:rsid w:val="6E4E22DE"/>
    <w:rsid w:val="6E567D69"/>
    <w:rsid w:val="6E6876E0"/>
    <w:rsid w:val="6E6B2E90"/>
    <w:rsid w:val="6E71421E"/>
    <w:rsid w:val="6E731D44"/>
    <w:rsid w:val="6E937F29"/>
    <w:rsid w:val="6EC407F2"/>
    <w:rsid w:val="6F003164"/>
    <w:rsid w:val="6F046E40"/>
    <w:rsid w:val="6F0A2187"/>
    <w:rsid w:val="6F0D4FF3"/>
    <w:rsid w:val="6F165703"/>
    <w:rsid w:val="6F173018"/>
    <w:rsid w:val="6F255735"/>
    <w:rsid w:val="6F4E709D"/>
    <w:rsid w:val="6F525B32"/>
    <w:rsid w:val="6F632D80"/>
    <w:rsid w:val="6F63625D"/>
    <w:rsid w:val="6F660ADE"/>
    <w:rsid w:val="6F683873"/>
    <w:rsid w:val="6F7A0DAE"/>
    <w:rsid w:val="6F836B0B"/>
    <w:rsid w:val="6FA04DBB"/>
    <w:rsid w:val="6FC41797"/>
    <w:rsid w:val="6FCA12D5"/>
    <w:rsid w:val="6FF957E3"/>
    <w:rsid w:val="6FFA10C7"/>
    <w:rsid w:val="6FFB6495"/>
    <w:rsid w:val="70117A67"/>
    <w:rsid w:val="702308F0"/>
    <w:rsid w:val="702F7EED"/>
    <w:rsid w:val="7036127C"/>
    <w:rsid w:val="70495453"/>
    <w:rsid w:val="704C075F"/>
    <w:rsid w:val="706933FF"/>
    <w:rsid w:val="706C685F"/>
    <w:rsid w:val="706D73FE"/>
    <w:rsid w:val="707433B6"/>
    <w:rsid w:val="70765B1C"/>
    <w:rsid w:val="708E1B55"/>
    <w:rsid w:val="70C73094"/>
    <w:rsid w:val="70D016D0"/>
    <w:rsid w:val="71031AA6"/>
    <w:rsid w:val="711B176D"/>
    <w:rsid w:val="713F0604"/>
    <w:rsid w:val="71566079"/>
    <w:rsid w:val="717D3CD5"/>
    <w:rsid w:val="71926986"/>
    <w:rsid w:val="71931673"/>
    <w:rsid w:val="71931C0B"/>
    <w:rsid w:val="719E532A"/>
    <w:rsid w:val="71A373EB"/>
    <w:rsid w:val="71A6519E"/>
    <w:rsid w:val="71C17073"/>
    <w:rsid w:val="71C70D7B"/>
    <w:rsid w:val="71CF3736"/>
    <w:rsid w:val="72013BF9"/>
    <w:rsid w:val="720A0BFF"/>
    <w:rsid w:val="72264D1E"/>
    <w:rsid w:val="72336CE6"/>
    <w:rsid w:val="723B701D"/>
    <w:rsid w:val="723F34BB"/>
    <w:rsid w:val="724F0D1A"/>
    <w:rsid w:val="726A345E"/>
    <w:rsid w:val="728C01CB"/>
    <w:rsid w:val="728C5ACB"/>
    <w:rsid w:val="72A526E9"/>
    <w:rsid w:val="72A52CC7"/>
    <w:rsid w:val="72AB7BB5"/>
    <w:rsid w:val="72BA082F"/>
    <w:rsid w:val="72BF415D"/>
    <w:rsid w:val="72E06587"/>
    <w:rsid w:val="72F77CB0"/>
    <w:rsid w:val="72FB430F"/>
    <w:rsid w:val="73281C56"/>
    <w:rsid w:val="7343262D"/>
    <w:rsid w:val="7350457E"/>
    <w:rsid w:val="735859AD"/>
    <w:rsid w:val="73612AB3"/>
    <w:rsid w:val="73624258"/>
    <w:rsid w:val="73695125"/>
    <w:rsid w:val="736D1458"/>
    <w:rsid w:val="73791D2E"/>
    <w:rsid w:val="7384715C"/>
    <w:rsid w:val="73867F6D"/>
    <w:rsid w:val="73B01345"/>
    <w:rsid w:val="73BA5622"/>
    <w:rsid w:val="73BE3C54"/>
    <w:rsid w:val="73C60A25"/>
    <w:rsid w:val="73C67785"/>
    <w:rsid w:val="73D72D76"/>
    <w:rsid w:val="73E41BF3"/>
    <w:rsid w:val="73FB6A64"/>
    <w:rsid w:val="740F62AB"/>
    <w:rsid w:val="741510DC"/>
    <w:rsid w:val="7416389E"/>
    <w:rsid w:val="74171171"/>
    <w:rsid w:val="74192A57"/>
    <w:rsid w:val="74406B6D"/>
    <w:rsid w:val="744120B0"/>
    <w:rsid w:val="74515D0F"/>
    <w:rsid w:val="745919DD"/>
    <w:rsid w:val="74732A9E"/>
    <w:rsid w:val="748E5B2A"/>
    <w:rsid w:val="74983962"/>
    <w:rsid w:val="74A50BEC"/>
    <w:rsid w:val="74AA1CA9"/>
    <w:rsid w:val="74B65081"/>
    <w:rsid w:val="74B9551A"/>
    <w:rsid w:val="74C725A2"/>
    <w:rsid w:val="74D575BA"/>
    <w:rsid w:val="74D774D1"/>
    <w:rsid w:val="74E8308A"/>
    <w:rsid w:val="74ED4817"/>
    <w:rsid w:val="7544443B"/>
    <w:rsid w:val="75472470"/>
    <w:rsid w:val="754D1541"/>
    <w:rsid w:val="754E6641"/>
    <w:rsid w:val="755723C0"/>
    <w:rsid w:val="7578482D"/>
    <w:rsid w:val="759622C6"/>
    <w:rsid w:val="75A44ED9"/>
    <w:rsid w:val="75BC2223"/>
    <w:rsid w:val="75BF1D13"/>
    <w:rsid w:val="75D524F2"/>
    <w:rsid w:val="75E66D42"/>
    <w:rsid w:val="75E672A0"/>
    <w:rsid w:val="760F67F7"/>
    <w:rsid w:val="765661D4"/>
    <w:rsid w:val="76642C4E"/>
    <w:rsid w:val="766C59F7"/>
    <w:rsid w:val="7675235D"/>
    <w:rsid w:val="76760624"/>
    <w:rsid w:val="767A40FC"/>
    <w:rsid w:val="769B54C8"/>
    <w:rsid w:val="76D313AC"/>
    <w:rsid w:val="76D773C6"/>
    <w:rsid w:val="76DA66C0"/>
    <w:rsid w:val="76DF08BF"/>
    <w:rsid w:val="76DF26F2"/>
    <w:rsid w:val="76F105F2"/>
    <w:rsid w:val="76FD6F97"/>
    <w:rsid w:val="771D4F43"/>
    <w:rsid w:val="772937FE"/>
    <w:rsid w:val="776F54FE"/>
    <w:rsid w:val="777F5BFE"/>
    <w:rsid w:val="77B070F5"/>
    <w:rsid w:val="77B37656"/>
    <w:rsid w:val="77B51620"/>
    <w:rsid w:val="77C23F98"/>
    <w:rsid w:val="77F53699"/>
    <w:rsid w:val="784976AB"/>
    <w:rsid w:val="78580F26"/>
    <w:rsid w:val="78585CB2"/>
    <w:rsid w:val="786170B2"/>
    <w:rsid w:val="7883380E"/>
    <w:rsid w:val="78886D34"/>
    <w:rsid w:val="788E2390"/>
    <w:rsid w:val="789711D5"/>
    <w:rsid w:val="78B22DD4"/>
    <w:rsid w:val="78D45AD6"/>
    <w:rsid w:val="78F9378E"/>
    <w:rsid w:val="79053EE1"/>
    <w:rsid w:val="790A7749"/>
    <w:rsid w:val="79142376"/>
    <w:rsid w:val="79152036"/>
    <w:rsid w:val="791B3704"/>
    <w:rsid w:val="793A6280"/>
    <w:rsid w:val="793B3DA7"/>
    <w:rsid w:val="79542F67"/>
    <w:rsid w:val="795804B5"/>
    <w:rsid w:val="795F1843"/>
    <w:rsid w:val="796F0971"/>
    <w:rsid w:val="798D4602"/>
    <w:rsid w:val="799040F2"/>
    <w:rsid w:val="79975481"/>
    <w:rsid w:val="799A528E"/>
    <w:rsid w:val="79AC7312"/>
    <w:rsid w:val="79BD2A0E"/>
    <w:rsid w:val="79CA35C3"/>
    <w:rsid w:val="79CC239E"/>
    <w:rsid w:val="79F67C69"/>
    <w:rsid w:val="7A0B5527"/>
    <w:rsid w:val="7A305A3A"/>
    <w:rsid w:val="7A3B22B0"/>
    <w:rsid w:val="7A3C1B84"/>
    <w:rsid w:val="7A405098"/>
    <w:rsid w:val="7A5F5873"/>
    <w:rsid w:val="7A9279F6"/>
    <w:rsid w:val="7AA5597C"/>
    <w:rsid w:val="7AC83418"/>
    <w:rsid w:val="7ACB4CB6"/>
    <w:rsid w:val="7AE30252"/>
    <w:rsid w:val="7AE53FCA"/>
    <w:rsid w:val="7B187EFC"/>
    <w:rsid w:val="7B191EC6"/>
    <w:rsid w:val="7B5B0730"/>
    <w:rsid w:val="7B7B66DC"/>
    <w:rsid w:val="7B876E2F"/>
    <w:rsid w:val="7B8A691F"/>
    <w:rsid w:val="7B95779E"/>
    <w:rsid w:val="7BB816DF"/>
    <w:rsid w:val="7BD06A28"/>
    <w:rsid w:val="7BD36518"/>
    <w:rsid w:val="7BDC34AC"/>
    <w:rsid w:val="7BFA03E0"/>
    <w:rsid w:val="7C014E34"/>
    <w:rsid w:val="7C280612"/>
    <w:rsid w:val="7C350F81"/>
    <w:rsid w:val="7C58336E"/>
    <w:rsid w:val="7C6B0496"/>
    <w:rsid w:val="7C7A6994"/>
    <w:rsid w:val="7C914C70"/>
    <w:rsid w:val="7CAB1B33"/>
    <w:rsid w:val="7CAD0B17"/>
    <w:rsid w:val="7CE959A6"/>
    <w:rsid w:val="7CF1204D"/>
    <w:rsid w:val="7CF67CAA"/>
    <w:rsid w:val="7D01709E"/>
    <w:rsid w:val="7D11248E"/>
    <w:rsid w:val="7D1B1F25"/>
    <w:rsid w:val="7D4944D0"/>
    <w:rsid w:val="7D586CD5"/>
    <w:rsid w:val="7D6027A4"/>
    <w:rsid w:val="7D781125"/>
    <w:rsid w:val="7D7F0706"/>
    <w:rsid w:val="7D8400C5"/>
    <w:rsid w:val="7D877976"/>
    <w:rsid w:val="7D8C5DEA"/>
    <w:rsid w:val="7D8E7AB2"/>
    <w:rsid w:val="7DB163E5"/>
    <w:rsid w:val="7DF86D46"/>
    <w:rsid w:val="7DFB1059"/>
    <w:rsid w:val="7DFC3B04"/>
    <w:rsid w:val="7DFC4599"/>
    <w:rsid w:val="7E933D3D"/>
    <w:rsid w:val="7EA83C8C"/>
    <w:rsid w:val="7EC565EC"/>
    <w:rsid w:val="7EDF5174"/>
    <w:rsid w:val="7EE36A72"/>
    <w:rsid w:val="7EEA1BAF"/>
    <w:rsid w:val="7EF46ED2"/>
    <w:rsid w:val="7F29299F"/>
    <w:rsid w:val="7F4D213E"/>
    <w:rsid w:val="7F594F87"/>
    <w:rsid w:val="7F612A25"/>
    <w:rsid w:val="7F62204B"/>
    <w:rsid w:val="7F647934"/>
    <w:rsid w:val="7F6C1FFF"/>
    <w:rsid w:val="7F767AB1"/>
    <w:rsid w:val="7FA75CF2"/>
    <w:rsid w:val="7FB1091F"/>
    <w:rsid w:val="7FB27487"/>
    <w:rsid w:val="7FC566AD"/>
    <w:rsid w:val="7FCD0635"/>
    <w:rsid w:val="7FD12D6F"/>
    <w:rsid w:val="7FD60E21"/>
    <w:rsid w:val="7FE16674"/>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8"/>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kern w:val="0"/>
      <w:sz w:val="32"/>
      <w:szCs w:val="20"/>
    </w:rPr>
  </w:style>
  <w:style w:type="paragraph" w:styleId="5">
    <w:name w:val="Normal Indent"/>
    <w:basedOn w:val="1"/>
    <w:qFormat/>
    <w:uiPriority w:val="99"/>
    <w:pPr>
      <w:ind w:firstLine="420"/>
    </w:pPr>
    <w:rPr>
      <w:kern w:val="0"/>
      <w:sz w:val="20"/>
      <w:szCs w:val="20"/>
    </w:rPr>
  </w:style>
  <w:style w:type="paragraph" w:styleId="8">
    <w:name w:val="annotation text"/>
    <w:basedOn w:val="1"/>
    <w:link w:val="51"/>
    <w:qFormat/>
    <w:uiPriority w:val="99"/>
    <w:pPr>
      <w:jc w:val="left"/>
    </w:pPr>
    <w:rPr>
      <w:kern w:val="0"/>
      <w:sz w:val="20"/>
    </w:rPr>
  </w:style>
  <w:style w:type="paragraph" w:styleId="9">
    <w:name w:val="Body Text"/>
    <w:basedOn w:val="1"/>
    <w:next w:val="1"/>
    <w:qFormat/>
    <w:uiPriority w:val="99"/>
    <w:rPr>
      <w:rFonts w:ascii="楷体_GB2312" w:hAnsi="Arial" w:eastAsia="楷体_GB2312"/>
      <w:kern w:val="0"/>
      <w:sz w:val="28"/>
      <w:szCs w:val="20"/>
    </w:rPr>
  </w:style>
  <w:style w:type="paragraph" w:styleId="10">
    <w:name w:val="index 4"/>
    <w:basedOn w:val="1"/>
    <w:next w:val="1"/>
    <w:unhideWhenUsed/>
    <w:qFormat/>
    <w:uiPriority w:val="99"/>
    <w:pPr>
      <w:ind w:firstLine="420" w:firstLineChars="200"/>
      <w:jc w:val="left"/>
    </w:pPr>
    <w:rPr>
      <w:rFonts w:ascii="宋体" w:hAnsi="宋体"/>
      <w:color w:val="FF0000"/>
      <w:szCs w:val="21"/>
    </w:rPr>
  </w:style>
  <w:style w:type="paragraph" w:styleId="11">
    <w:name w:val="toc 3"/>
    <w:basedOn w:val="1"/>
    <w:next w:val="1"/>
    <w:unhideWhenUsed/>
    <w:qFormat/>
    <w:uiPriority w:val="39"/>
    <w:pPr>
      <w:ind w:left="840" w:leftChars="400"/>
    </w:pPr>
  </w:style>
  <w:style w:type="paragraph" w:styleId="12">
    <w:name w:val="Plain Text"/>
    <w:basedOn w:val="1"/>
    <w:next w:val="1"/>
    <w:link w:val="49"/>
    <w:qFormat/>
    <w:uiPriority w:val="0"/>
    <w:rPr>
      <w:rFonts w:ascii="宋体" w:hAnsi="Courier New"/>
      <w:kern w:val="0"/>
      <w:sz w:val="20"/>
      <w:szCs w:val="20"/>
    </w:rPr>
  </w:style>
  <w:style w:type="paragraph" w:styleId="13">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4">
    <w:name w:val="Balloon Text"/>
    <w:basedOn w:val="1"/>
    <w:link w:val="39"/>
    <w:qFormat/>
    <w:uiPriority w:val="0"/>
    <w:rPr>
      <w:sz w:val="18"/>
      <w:szCs w:val="18"/>
    </w:rPr>
  </w:style>
  <w:style w:type="paragraph" w:styleId="15">
    <w:name w:val="footer"/>
    <w:basedOn w:val="1"/>
    <w:link w:val="40"/>
    <w:qFormat/>
    <w:uiPriority w:val="0"/>
    <w:pPr>
      <w:tabs>
        <w:tab w:val="center" w:pos="4153"/>
        <w:tab w:val="right" w:pos="8306"/>
      </w:tabs>
      <w:snapToGrid w:val="0"/>
      <w:jc w:val="left"/>
    </w:pPr>
    <w:rPr>
      <w:sz w:val="18"/>
      <w:szCs w:val="18"/>
    </w:rPr>
  </w:style>
  <w:style w:type="paragraph" w:styleId="16">
    <w:name w:val="envelope return"/>
    <w:basedOn w:val="1"/>
    <w:unhideWhenUsed/>
    <w:qFormat/>
    <w:uiPriority w:val="0"/>
    <w:pPr>
      <w:snapToGrid w:val="0"/>
    </w:pPr>
    <w:rPr>
      <w:rFonts w:ascii="Arial" w:hAnsi="Arial"/>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pPr>
    <w:rPr>
      <w:rFonts w:asciiTheme="minorHAnsi" w:hAnsiTheme="minorHAnsi" w:cstheme="minorBidi"/>
      <w:sz w:val="24"/>
    </w:rPr>
  </w:style>
  <w:style w:type="paragraph" w:styleId="19">
    <w:name w:val="index 9"/>
    <w:basedOn w:val="1"/>
    <w:next w:val="1"/>
    <w:unhideWhenUsed/>
    <w:qFormat/>
    <w:uiPriority w:val="99"/>
    <w:pPr>
      <w:ind w:left="1600" w:leftChars="1600"/>
    </w:pPr>
  </w:style>
  <w:style w:type="paragraph" w:styleId="20">
    <w:name w:val="toc 2"/>
    <w:basedOn w:val="1"/>
    <w:next w:val="1"/>
    <w:autoRedefine/>
    <w:qFormat/>
    <w:uiPriority w:val="39"/>
    <w:pPr>
      <w:spacing w:line="360" w:lineRule="auto"/>
      <w:ind w:left="420" w:leftChars="200"/>
    </w:pPr>
    <w:rPr>
      <w:rFonts w:asciiTheme="minorHAnsi" w:hAnsiTheme="minorHAnsi" w:cstheme="minorBidi"/>
      <w:sz w:val="24"/>
    </w:r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2">
    <w:name w:val="Normal (Web)"/>
    <w:basedOn w:val="1"/>
    <w:autoRedefine/>
    <w:qFormat/>
    <w:uiPriority w:val="99"/>
    <w:pPr>
      <w:widowControl/>
      <w:spacing w:before="100" w:beforeAutospacing="1" w:after="100" w:afterAutospacing="1"/>
    </w:pPr>
    <w:rPr>
      <w:rFonts w:ascii="宋体" w:hAnsi="宋体"/>
      <w:kern w:val="0"/>
      <w:sz w:val="24"/>
      <w:szCs w:val="20"/>
    </w:rPr>
  </w:style>
  <w:style w:type="paragraph" w:styleId="23">
    <w:name w:val="Title"/>
    <w:basedOn w:val="1"/>
    <w:next w:val="1"/>
    <w:link w:val="50"/>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52"/>
    <w:autoRedefine/>
    <w:semiHidden/>
    <w:unhideWhenUsed/>
    <w:qFormat/>
    <w:uiPriority w:val="0"/>
    <w:rPr>
      <w:b/>
      <w:bCs/>
      <w:kern w:val="2"/>
      <w:sz w:val="21"/>
    </w:rPr>
  </w:style>
  <w:style w:type="paragraph" w:styleId="25">
    <w:name w:val="Body Text First Indent"/>
    <w:basedOn w:val="9"/>
    <w:next w:val="1"/>
    <w:unhideWhenUsed/>
    <w:qFormat/>
    <w:uiPriority w:val="99"/>
    <w:pPr>
      <w:spacing w:after="120"/>
      <w:ind w:firstLine="420" w:firstLineChars="100"/>
    </w:pPr>
    <w:rPr>
      <w:rFonts w:ascii="Times New Roman"/>
      <w:sz w:val="21"/>
    </w:rPr>
  </w:style>
  <w:style w:type="paragraph" w:styleId="26">
    <w:name w:val="Body Text First Indent 2"/>
    <w:basedOn w:val="2"/>
    <w:next w:val="1"/>
    <w:qFormat/>
    <w:uiPriority w:val="0"/>
    <w:pPr>
      <w:spacing w:line="360" w:lineRule="auto"/>
      <w:ind w:firstLine="420" w:firstLineChars="200"/>
    </w:pPr>
    <w:rPr>
      <w:rFonts w:ascii="宋体" w:hAnsi="宋体"/>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一级条标题"/>
    <w:basedOn w:val="34"/>
    <w:next w:val="35"/>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6">
    <w:name w:val="Heading1"/>
    <w:basedOn w:val="1"/>
    <w:next w:val="1"/>
    <w:qFormat/>
    <w:uiPriority w:val="0"/>
    <w:pPr>
      <w:keepNext/>
      <w:textAlignment w:val="baseline"/>
    </w:pPr>
    <w:rPr>
      <w:rFonts w:ascii="等线 Light" w:eastAsia="等线 Light"/>
      <w:sz w:val="28"/>
      <w:szCs w:val="20"/>
    </w:rPr>
  </w:style>
  <w:style w:type="paragraph" w:customStyle="1" w:styleId="37">
    <w:name w:val="首行缩进"/>
    <w:basedOn w:val="1"/>
    <w:qFormat/>
    <w:uiPriority w:val="0"/>
    <w:pPr>
      <w:ind w:firstLine="480" w:firstLineChars="200"/>
    </w:pPr>
    <w:rPr>
      <w:szCs w:val="20"/>
      <w:lang w:val="zh-CN"/>
    </w:rPr>
  </w:style>
  <w:style w:type="character" w:customStyle="1" w:styleId="38">
    <w:name w:val="页眉 Char"/>
    <w:link w:val="17"/>
    <w:qFormat/>
    <w:uiPriority w:val="0"/>
    <w:rPr>
      <w:rFonts w:ascii="Times New Roman" w:hAnsi="Times New Roman" w:eastAsia="宋体" w:cs="Times New Roman"/>
      <w:kern w:val="2"/>
      <w:sz w:val="18"/>
      <w:szCs w:val="18"/>
    </w:rPr>
  </w:style>
  <w:style w:type="character" w:customStyle="1" w:styleId="39">
    <w:name w:val="批注框文本 Char"/>
    <w:link w:val="14"/>
    <w:qFormat/>
    <w:uiPriority w:val="0"/>
    <w:rPr>
      <w:rFonts w:ascii="Times New Roman" w:hAnsi="Times New Roman" w:eastAsia="宋体" w:cs="Times New Roman"/>
      <w:kern w:val="2"/>
      <w:sz w:val="18"/>
      <w:szCs w:val="18"/>
    </w:rPr>
  </w:style>
  <w:style w:type="character" w:customStyle="1" w:styleId="40">
    <w:name w:val="页脚 Char"/>
    <w:link w:val="15"/>
    <w:qFormat/>
    <w:uiPriority w:val="0"/>
    <w:rPr>
      <w:rFonts w:ascii="Times New Roman" w:hAnsi="Times New Roman" w:eastAsia="宋体" w:cs="Times New Roman"/>
      <w:kern w:val="2"/>
      <w:sz w:val="18"/>
      <w:szCs w:val="18"/>
    </w:rPr>
  </w:style>
  <w:style w:type="paragraph" w:styleId="41">
    <w:name w:val="List Paragraph"/>
    <w:basedOn w:val="1"/>
    <w:qFormat/>
    <w:uiPriority w:val="34"/>
    <w:pPr>
      <w:ind w:firstLine="420" w:firstLineChars="200"/>
    </w:pPr>
    <w:rPr>
      <w:rFonts w:ascii="Calibri" w:hAnsi="Calibri"/>
      <w:kern w:val="0"/>
      <w:sz w:val="20"/>
      <w:szCs w:val="20"/>
    </w:rPr>
  </w:style>
  <w:style w:type="paragraph" w:customStyle="1" w:styleId="4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qFormat/>
    <w:uiPriority w:val="0"/>
    <w:pPr>
      <w:adjustRightInd w:val="0"/>
    </w:pPr>
    <w:rPr>
      <w:rFonts w:ascii="宋体" w:hAnsi="Courier New" w:eastAsia="楷体_GB2312"/>
      <w:sz w:val="28"/>
      <w:szCs w:val="20"/>
    </w:rPr>
  </w:style>
  <w:style w:type="table" w:customStyle="1" w:styleId="4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Char"/>
    <w:link w:val="6"/>
    <w:qFormat/>
    <w:uiPriority w:val="0"/>
    <w:rPr>
      <w:b/>
      <w:sz w:val="32"/>
    </w:rPr>
  </w:style>
  <w:style w:type="character" w:customStyle="1" w:styleId="49">
    <w:name w:val="纯文本 Char"/>
    <w:link w:val="12"/>
    <w:qFormat/>
    <w:locked/>
    <w:uiPriority w:val="0"/>
    <w:rPr>
      <w:rFonts w:ascii="宋体" w:hAnsi="Courier New"/>
    </w:rPr>
  </w:style>
  <w:style w:type="character" w:customStyle="1" w:styleId="50">
    <w:name w:val="标题 Char"/>
    <w:basedOn w:val="29"/>
    <w:link w:val="23"/>
    <w:qFormat/>
    <w:uiPriority w:val="0"/>
    <w:rPr>
      <w:rFonts w:asciiTheme="majorHAnsi" w:hAnsiTheme="majorHAnsi" w:eastAsiaTheme="majorEastAsia" w:cstheme="majorBidi"/>
      <w:b/>
      <w:bCs/>
      <w:kern w:val="2"/>
      <w:sz w:val="32"/>
      <w:szCs w:val="32"/>
    </w:rPr>
  </w:style>
  <w:style w:type="character" w:customStyle="1" w:styleId="51">
    <w:name w:val="批注文字 Char"/>
    <w:basedOn w:val="29"/>
    <w:link w:val="8"/>
    <w:qFormat/>
    <w:uiPriority w:val="99"/>
    <w:rPr>
      <w:szCs w:val="24"/>
    </w:rPr>
  </w:style>
  <w:style w:type="character" w:customStyle="1" w:styleId="52">
    <w:name w:val="批注主题 Char"/>
    <w:basedOn w:val="51"/>
    <w:link w:val="24"/>
    <w:semiHidden/>
    <w:qFormat/>
    <w:uiPriority w:val="0"/>
    <w:rPr>
      <w:b/>
      <w:bCs/>
      <w:kern w:val="2"/>
      <w:sz w:val="21"/>
      <w:szCs w:val="24"/>
    </w:rPr>
  </w:style>
  <w:style w:type="paragraph" w:customStyle="1" w:styleId="5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Table Text"/>
    <w:basedOn w:val="1"/>
    <w:semiHidden/>
    <w:qFormat/>
    <w:uiPriority w:val="0"/>
    <w:rPr>
      <w:rFonts w:ascii="宋体" w:hAnsi="宋体" w:cs="宋体"/>
      <w:sz w:val="20"/>
      <w:szCs w:val="20"/>
      <w:lang w:eastAsia="en-US"/>
    </w:rPr>
  </w:style>
  <w:style w:type="paragraph" w:customStyle="1" w:styleId="59">
    <w:name w:val="Table Paragraph"/>
    <w:basedOn w:val="1"/>
    <w:qFormat/>
    <w:uiPriority w:val="1"/>
    <w:rPr>
      <w:rFonts w:ascii="仿宋" w:hAnsi="仿宋" w:eastAsia="仿宋" w:cs="仿宋"/>
    </w:rPr>
  </w:style>
  <w:style w:type="paragraph" w:customStyle="1" w:styleId="60">
    <w:name w:val="列出段落1"/>
    <w:basedOn w:val="1"/>
    <w:qFormat/>
    <w:uiPriority w:val="0"/>
    <w:pPr>
      <w:widowControl/>
      <w:ind w:left="720"/>
      <w:contextualSpacing/>
      <w:jc w:val="left"/>
    </w:pPr>
    <w:rPr>
      <w:rFonts w:ascii="Calibri" w:hAnsi="Calibri"/>
      <w:kern w:val="0"/>
      <w:sz w:val="24"/>
      <w:lang w:eastAsia="en-US" w:bidi="en-US"/>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styleId="65">
    <w:name w:val="Placeholder Text"/>
    <w:basedOn w:val="2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D04D0-3F9D-4972-9BC1-793F712E22FF}">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53</Pages>
  <Words>33823</Words>
  <Characters>34881</Characters>
  <Lines>278</Lines>
  <Paragraphs>78</Paragraphs>
  <TotalTime>0</TotalTime>
  <ScaleCrop>false</ScaleCrop>
  <LinksUpToDate>false</LinksUpToDate>
  <CharactersWithSpaces>36502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2024-09-04T01:44:00Z</dcterms:created>
  <dc:creator>ASUS</dc:creator>
  <cp:lastModifiedBy>携手阳光万成杨</cp:lastModifiedBy>
  <cp:lastPrinted>2023-06-20T00:18:00Z</cp:lastPrinted>
  <dcterms:modified xsi:type="dcterms:W3CDTF">2024-09-05T04:04:28Z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3722D02132D24963BE9456A8F0ADDD56_13</vt:lpwstr>
  </property>
</Properties>
</file>