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A86A2">
      <w:pPr>
        <w:widowControl/>
        <w:jc w:val="center"/>
        <w:rPr>
          <w:rFonts w:hint="eastAsia" w:ascii="宋体" w:hAnsi="宋体" w:eastAsia="宋体" w:cs="宋体"/>
          <w:b/>
          <w:bCs/>
          <w:color w:val="000000"/>
          <w:sz w:val="44"/>
          <w:szCs w:val="44"/>
          <w:highlight w:val="none"/>
        </w:rPr>
      </w:pPr>
      <w:r>
        <w:rPr>
          <w:rFonts w:hint="eastAsia" w:ascii="宋体" w:hAnsi="宋体" w:eastAsia="宋体" w:cs="宋体"/>
          <w:color w:val="000000"/>
          <w:sz w:val="44"/>
          <w:szCs w:val="44"/>
          <w:highlight w:val="none"/>
        </w:rPr>
        <w:t xml:space="preserve"> </w:t>
      </w:r>
      <w:bookmarkStart w:id="0" w:name="OLE_LINK24"/>
      <w:r>
        <w:rPr>
          <w:rFonts w:hint="eastAsia" w:ascii="宋体" w:hAnsi="宋体" w:eastAsia="宋体" w:cs="宋体"/>
          <w:b/>
          <w:bCs/>
          <w:color w:val="000000"/>
          <w:sz w:val="44"/>
          <w:szCs w:val="44"/>
          <w:highlight w:val="none"/>
        </w:rPr>
        <w:t>项目需求</w:t>
      </w:r>
      <w:bookmarkStart w:id="9" w:name="_GoBack"/>
      <w:bookmarkEnd w:id="9"/>
    </w:p>
    <w:p w14:paraId="04B403F2">
      <w:pPr>
        <w:widowControl/>
        <w:jc w:val="center"/>
        <w:rPr>
          <w:rFonts w:hint="eastAsia" w:ascii="宋体" w:hAnsi="宋体" w:eastAsia="宋体" w:cs="宋体"/>
          <w:b/>
          <w:bCs/>
          <w:color w:val="000000"/>
          <w:sz w:val="22"/>
          <w:szCs w:val="22"/>
          <w:highlight w:val="none"/>
        </w:rPr>
      </w:pPr>
    </w:p>
    <w:p w14:paraId="1F67C4EB">
      <w:pPr>
        <w:pStyle w:val="6"/>
        <w:numPr>
          <w:ilvl w:val="0"/>
          <w:numId w:val="0"/>
        </w:numPr>
        <w:spacing w:line="360" w:lineRule="auto"/>
        <w:ind w:left="357"/>
        <w:rPr>
          <w:rFonts w:hint="eastAsia" w:ascii="宋体" w:hAnsi="宋体" w:eastAsia="宋体" w:cs="宋体"/>
          <w:sz w:val="24"/>
          <w:szCs w:val="24"/>
          <w:highlight w:val="none"/>
        </w:rPr>
      </w:pPr>
      <w:r>
        <w:rPr>
          <w:rFonts w:hint="eastAsia" w:ascii="宋体" w:hAnsi="宋体" w:eastAsia="宋体" w:cs="宋体"/>
          <w:sz w:val="24"/>
          <w:szCs w:val="24"/>
          <w:highlight w:val="none"/>
        </w:rPr>
        <w:t>一、项目概况</w:t>
      </w:r>
    </w:p>
    <w:p w14:paraId="12159D8C">
      <w:pPr>
        <w:spacing w:line="5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项目名称：江苏医药职业学院东园公寓楼通道升级改造项目</w:t>
      </w:r>
    </w:p>
    <w:p w14:paraId="6249CAE4">
      <w:pPr>
        <w:spacing w:line="5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xml:space="preserve">预    算：20万元                    </w:t>
      </w:r>
    </w:p>
    <w:p w14:paraId="11A5D28C">
      <w:pPr>
        <w:spacing w:line="50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地    点：东园2、3、4、5号宿舍楼，每栋楼一致，均为2台单机芯，2台双机芯，组成3通道，通道为双向进出，6台人脸平板。</w:t>
      </w:r>
    </w:p>
    <w:p w14:paraId="62A5ACFF">
      <w:pPr>
        <w:pStyle w:val="6"/>
        <w:numPr>
          <w:ilvl w:val="0"/>
          <w:numId w:val="0"/>
        </w:numPr>
        <w:spacing w:line="360" w:lineRule="auto"/>
        <w:ind w:left="357"/>
        <w:rPr>
          <w:rFonts w:hint="eastAsia" w:ascii="宋体" w:hAnsi="宋体" w:eastAsia="宋体" w:cs="宋体"/>
          <w:sz w:val="24"/>
          <w:szCs w:val="24"/>
          <w:highlight w:val="none"/>
        </w:rPr>
      </w:pPr>
      <w:r>
        <w:rPr>
          <w:rFonts w:hint="eastAsia" w:ascii="宋体" w:hAnsi="宋体" w:eastAsia="宋体" w:cs="宋体"/>
          <w:sz w:val="24"/>
          <w:szCs w:val="24"/>
          <w:highlight w:val="none"/>
        </w:rPr>
        <w:t>二、项目参数</w:t>
      </w:r>
    </w:p>
    <w:tbl>
      <w:tblPr>
        <w:tblStyle w:val="4"/>
        <w:tblW w:w="9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864"/>
        <w:gridCol w:w="6013"/>
        <w:gridCol w:w="709"/>
        <w:gridCol w:w="709"/>
      </w:tblGrid>
      <w:tr w14:paraId="5AAE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24" w:type="dxa"/>
            <w:noWrap/>
            <w:vAlign w:val="center"/>
          </w:tcPr>
          <w:p w14:paraId="5BB42D18">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序号</w:t>
            </w:r>
          </w:p>
        </w:tc>
        <w:tc>
          <w:tcPr>
            <w:tcW w:w="864" w:type="dxa"/>
            <w:noWrap/>
            <w:vAlign w:val="center"/>
          </w:tcPr>
          <w:p w14:paraId="2A32E7A8">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名称</w:t>
            </w:r>
          </w:p>
        </w:tc>
        <w:tc>
          <w:tcPr>
            <w:tcW w:w="6013" w:type="dxa"/>
            <w:tcBorders>
              <w:top w:val="single" w:color="000000" w:sz="4" w:space="0"/>
            </w:tcBorders>
            <w:noWrap/>
            <w:vAlign w:val="center"/>
          </w:tcPr>
          <w:p w14:paraId="7DEDEE1F">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主要技术需求</w:t>
            </w:r>
          </w:p>
        </w:tc>
        <w:tc>
          <w:tcPr>
            <w:tcW w:w="709" w:type="dxa"/>
            <w:noWrap/>
            <w:vAlign w:val="center"/>
          </w:tcPr>
          <w:p w14:paraId="2BD51027">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数量</w:t>
            </w:r>
          </w:p>
        </w:tc>
        <w:tc>
          <w:tcPr>
            <w:tcW w:w="709" w:type="dxa"/>
            <w:noWrap/>
            <w:vAlign w:val="center"/>
          </w:tcPr>
          <w:p w14:paraId="27D9696F">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单位</w:t>
            </w:r>
          </w:p>
        </w:tc>
      </w:tr>
      <w:tr w14:paraId="54FC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0" w:hRule="atLeast"/>
          <w:jc w:val="center"/>
        </w:trPr>
        <w:tc>
          <w:tcPr>
            <w:tcW w:w="824" w:type="dxa"/>
            <w:noWrap/>
            <w:vAlign w:val="center"/>
          </w:tcPr>
          <w:p w14:paraId="73DD6E4E">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864" w:type="dxa"/>
            <w:noWrap/>
            <w:vAlign w:val="center"/>
          </w:tcPr>
          <w:p w14:paraId="10DD932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通道闸机（单机芯</w:t>
            </w:r>
          </w:p>
        </w:tc>
        <w:tc>
          <w:tcPr>
            <w:tcW w:w="6013" w:type="dxa"/>
            <w:noWrap/>
          </w:tcPr>
          <w:p w14:paraId="1F624F4D">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供电：AC220V/50Hz</w:t>
            </w:r>
          </w:p>
          <w:p w14:paraId="19890F8C">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功率：＜50W（单机芯）</w:t>
            </w:r>
          </w:p>
          <w:p w14:paraId="3A2627C8">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材质厚度：SUS304不锈钢，厚度1.2mm（含）以上</w:t>
            </w:r>
          </w:p>
          <w:p w14:paraId="64D0E6CA">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电机类型：长寿命直流无刷电机</w:t>
            </w:r>
          </w:p>
          <w:p w14:paraId="3D32C9FF">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电机寿命：MTBF≥1500万次</w:t>
            </w:r>
          </w:p>
          <w:p w14:paraId="607C03B7">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红外检测功能：应具备不少于6对长寿命对射红外</w:t>
            </w:r>
          </w:p>
          <w:p w14:paraId="10A779A5">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门翼材质：有机玻璃（带冷光源）或红色软翼</w:t>
            </w:r>
          </w:p>
          <w:p w14:paraId="03F27394">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机械特性：具备机械和红外电子双重防夹</w:t>
            </w:r>
          </w:p>
          <w:p w14:paraId="0748B6EE">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电气安全：自带漏电保护器</w:t>
            </w:r>
          </w:p>
          <w:p w14:paraId="0B9E8ADA">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抗电强度：要求1.5kV、1min；无击穿、飞弧现象</w:t>
            </w:r>
          </w:p>
          <w:p w14:paraId="5C417E1F">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消防联动：支持消防联动自动开闸和断电自动开闸</w:t>
            </w:r>
          </w:p>
          <w:p w14:paraId="57905C8D">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自检功能：具备自检测、自诊断、自动报警功能</w:t>
            </w:r>
          </w:p>
          <w:p w14:paraId="583B7FA3">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报警功能：支持非法闯入、逆向通过、尾随等异常行为检测并报警</w:t>
            </w:r>
          </w:p>
          <w:p w14:paraId="7D9C7810">
            <w:pPr>
              <w:widowControl/>
              <w:numPr>
                <w:ilvl w:val="0"/>
                <w:numId w:val="2"/>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身份验证方式：刷卡、扫码或人脸识别</w:t>
            </w:r>
          </w:p>
          <w:p w14:paraId="76B6F492">
            <w:pPr>
              <w:widowControl/>
              <w:numPr>
                <w:ilvl w:val="0"/>
                <w:numId w:val="2"/>
              </w:num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开闸相关时间≤0.03S</w:t>
            </w:r>
          </w:p>
          <w:p w14:paraId="63D1817E">
            <w:pPr>
              <w:widowControl/>
              <w:numPr>
                <w:ilvl w:val="0"/>
                <w:numId w:val="2"/>
              </w:numPr>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通行速度：要求通行速度≥20人/分钟</w:t>
            </w:r>
          </w:p>
          <w:p w14:paraId="7761B3BC">
            <w:pPr>
              <w:widowControl/>
              <w:numPr>
                <w:ilvl w:val="0"/>
                <w:numId w:val="2"/>
              </w:numPr>
              <w:jc w:val="left"/>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工作温度：-20℃～70℃，支持扩展加热装置</w:t>
            </w:r>
          </w:p>
          <w:p w14:paraId="7A3921E3">
            <w:pPr>
              <w:widowControl/>
              <w:numPr>
                <w:ilvl w:val="0"/>
                <w:numId w:val="2"/>
              </w:numPr>
              <w:jc w:val="left"/>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使用环境：室内、外</w:t>
            </w:r>
          </w:p>
        </w:tc>
        <w:tc>
          <w:tcPr>
            <w:tcW w:w="709" w:type="dxa"/>
            <w:noWrap/>
            <w:vAlign w:val="center"/>
          </w:tcPr>
          <w:p w14:paraId="7CD6058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w:t>
            </w:r>
          </w:p>
        </w:tc>
        <w:tc>
          <w:tcPr>
            <w:tcW w:w="709" w:type="dxa"/>
            <w:noWrap/>
            <w:vAlign w:val="center"/>
          </w:tcPr>
          <w:p w14:paraId="39A04825">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台</w:t>
            </w:r>
          </w:p>
        </w:tc>
      </w:tr>
      <w:tr w14:paraId="4BFE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24" w:type="dxa"/>
            <w:noWrap/>
            <w:vAlign w:val="center"/>
          </w:tcPr>
          <w:p w14:paraId="7563703E">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864" w:type="dxa"/>
            <w:noWrap/>
            <w:vAlign w:val="center"/>
          </w:tcPr>
          <w:p w14:paraId="02D5F197">
            <w:pPr>
              <w:widowControl/>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通道闸机（双机芯）</w:t>
            </w:r>
          </w:p>
        </w:tc>
        <w:tc>
          <w:tcPr>
            <w:tcW w:w="6013" w:type="dxa"/>
            <w:noWrap/>
          </w:tcPr>
          <w:p w14:paraId="64A1D318">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供电：AC220V/50Hz</w:t>
            </w:r>
          </w:p>
          <w:p w14:paraId="2F2C2420">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功率：＜100W（双机芯）</w:t>
            </w:r>
          </w:p>
          <w:p w14:paraId="4B72B964">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材质厚度：SUS304不锈钢，厚度1.2mm（含）以上</w:t>
            </w:r>
          </w:p>
          <w:p w14:paraId="0B3EFC09">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电机类型：长寿命直流无刷电机</w:t>
            </w:r>
          </w:p>
          <w:p w14:paraId="0A579C6C">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电机寿命：MTBF≥1500万次</w:t>
            </w:r>
          </w:p>
          <w:p w14:paraId="5E1882B8">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红外检测功能：应具备不少于6对长寿命对射红外</w:t>
            </w:r>
          </w:p>
          <w:p w14:paraId="6D5BC27B">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门翼材质：有机玻璃（带冷光源）或红色软翼</w:t>
            </w:r>
          </w:p>
          <w:p w14:paraId="7440C943">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机械特性：具备机械和红外电子双重防夹</w:t>
            </w:r>
          </w:p>
          <w:p w14:paraId="747614C9">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电气安全：自带漏电保护器</w:t>
            </w:r>
          </w:p>
          <w:p w14:paraId="71085030">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抗电强度：要求1.5kV、1min；无击穿、飞弧现象</w:t>
            </w:r>
          </w:p>
          <w:p w14:paraId="66F9344D">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消防联动：支持消防联动自动开闸和断电自动开闸</w:t>
            </w:r>
          </w:p>
          <w:p w14:paraId="01585959">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自检功能：具备自检测、自诊断、自动报警功能</w:t>
            </w:r>
          </w:p>
          <w:p w14:paraId="356869F9">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报警功能：支持非法闯入、逆向通过、尾随等异常行为检测并报警</w:t>
            </w:r>
          </w:p>
          <w:p w14:paraId="01B6499B">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身份验证方式：刷卡、扫码或人脸识别</w:t>
            </w:r>
          </w:p>
          <w:p w14:paraId="49327D93">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开闸相关时间≤0.03S</w:t>
            </w:r>
          </w:p>
          <w:p w14:paraId="31084812">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通行速度：要求通行速度≥20人/分钟</w:t>
            </w:r>
          </w:p>
          <w:p w14:paraId="25C1B8F3">
            <w:pPr>
              <w:widowControl/>
              <w:numPr>
                <w:ilvl w:val="0"/>
                <w:numId w:val="3"/>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工作温度：-20℃～70℃，支持扩展加热装置</w:t>
            </w:r>
          </w:p>
          <w:p w14:paraId="13E11706">
            <w:pPr>
              <w:numPr>
                <w:ilvl w:val="0"/>
                <w:numId w:val="3"/>
              </w:numP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使用环境：室内、外</w:t>
            </w:r>
          </w:p>
        </w:tc>
        <w:tc>
          <w:tcPr>
            <w:tcW w:w="709" w:type="dxa"/>
            <w:noWrap/>
            <w:vAlign w:val="center"/>
          </w:tcPr>
          <w:p w14:paraId="3D3D055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w:t>
            </w:r>
          </w:p>
        </w:tc>
        <w:tc>
          <w:tcPr>
            <w:tcW w:w="709" w:type="dxa"/>
            <w:noWrap/>
            <w:vAlign w:val="center"/>
          </w:tcPr>
          <w:p w14:paraId="6903A5DC">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台</w:t>
            </w:r>
          </w:p>
        </w:tc>
      </w:tr>
      <w:tr w14:paraId="48C6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24" w:type="dxa"/>
            <w:noWrap/>
            <w:vAlign w:val="center"/>
          </w:tcPr>
          <w:p w14:paraId="0D73201A">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864" w:type="dxa"/>
            <w:noWrap/>
            <w:vAlign w:val="center"/>
          </w:tcPr>
          <w:p w14:paraId="1108FEE0">
            <w:pPr>
              <w:widowControl/>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人脸</w:t>
            </w:r>
          </w:p>
          <w:p w14:paraId="14A33F25">
            <w:pPr>
              <w:widowControl/>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平板</w:t>
            </w:r>
          </w:p>
        </w:tc>
        <w:tc>
          <w:tcPr>
            <w:tcW w:w="6013" w:type="dxa"/>
            <w:noWrap/>
            <w:vAlign w:val="center"/>
          </w:tcPr>
          <w:p w14:paraId="55BA1CAC">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供电：DC12V/2A</w:t>
            </w:r>
          </w:p>
          <w:p w14:paraId="5FEACF18">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处理器：8核1.8GHz处理器</w:t>
            </w:r>
          </w:p>
          <w:p w14:paraId="4E17B90A">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运行内存：2G RAM</w:t>
            </w:r>
          </w:p>
          <w:p w14:paraId="7F228EFE">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存储：16G Flash</w:t>
            </w:r>
          </w:p>
          <w:p w14:paraId="6BD4A8B9">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摄像头：≥200W像素双目摄像头（可见光+红外光）</w:t>
            </w:r>
          </w:p>
          <w:p w14:paraId="5859A430">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补光灯：自带红外和白色补光灯，支持灯光亮度调节</w:t>
            </w:r>
          </w:p>
          <w:p w14:paraId="01FC9D55">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光感和测距：自带光感传感器和测距传感器</w:t>
            </w:r>
          </w:p>
          <w:p w14:paraId="532C7BD4">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人脸特征容量：离线状态下，设备可存储的人脸特征库容量应不小于5万人</w:t>
            </w:r>
          </w:p>
          <w:p w14:paraId="6C974576">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人脸识别精度：在同一设定阈值条件下，误识率应≤0.3%时，设备的人脸识别通过率不低于98%</w:t>
            </w:r>
          </w:p>
          <w:p w14:paraId="0250C1B9">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人脸识别比对时间：设备的人脸特征平均比对时间应不大于400ms</w:t>
            </w:r>
          </w:p>
          <w:p w14:paraId="6F248170">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接口：以太网×1，继电器×1，USB×1，RS485×1，开门按钮×1，韦根×1，报警输入×2，报警输出×1</w:t>
            </w:r>
          </w:p>
          <w:p w14:paraId="66869E79">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扫码：支持手机出示二维码由摄像头扫码后开门</w:t>
            </w:r>
          </w:p>
          <w:p w14:paraId="557A7161">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人脸识别：内置算法，活体识别</w:t>
            </w:r>
          </w:p>
          <w:p w14:paraId="555C85E1">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工作环境：-20℃～60℃</w:t>
            </w:r>
          </w:p>
          <w:p w14:paraId="68F8067F">
            <w:pPr>
              <w:widowControl/>
              <w:numPr>
                <w:ilvl w:val="0"/>
                <w:numId w:val="4"/>
              </w:numPr>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屏幕：采用不低于8英寸电容触控屏，分辨率不低于1280×800像素，触控响应时间≤8ms，具备防眩光与高亮度特性，满足室内全天候可视要求。</w:t>
            </w:r>
          </w:p>
        </w:tc>
        <w:tc>
          <w:tcPr>
            <w:tcW w:w="709" w:type="dxa"/>
            <w:noWrap/>
            <w:vAlign w:val="center"/>
          </w:tcPr>
          <w:p w14:paraId="5988FB4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24</w:t>
            </w:r>
          </w:p>
        </w:tc>
        <w:tc>
          <w:tcPr>
            <w:tcW w:w="709" w:type="dxa"/>
            <w:noWrap/>
            <w:vAlign w:val="center"/>
          </w:tcPr>
          <w:p w14:paraId="771DAEC2">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台</w:t>
            </w:r>
          </w:p>
        </w:tc>
      </w:tr>
    </w:tbl>
    <w:p w14:paraId="03EABFA8">
      <w:pPr>
        <w:pStyle w:val="7"/>
        <w:tabs>
          <w:tab w:val="left" w:pos="426"/>
          <w:tab w:val="clear" w:pos="810"/>
          <w:tab w:val="clear" w:pos="907"/>
        </w:tabs>
        <w:spacing w:line="360" w:lineRule="auto"/>
        <w:ind w:left="-210" w:leftChars="-100" w:firstLine="482" w:firstLineChars="200"/>
        <w:jc w:val="left"/>
        <w:rPr>
          <w:rFonts w:hint="eastAsia" w:ascii="宋体" w:hAnsi="宋体" w:eastAsia="宋体" w:cs="宋体"/>
          <w:b/>
          <w:bCs/>
          <w:kern w:val="2"/>
          <w:sz w:val="24"/>
          <w:szCs w:val="24"/>
          <w:highlight w:val="none"/>
        </w:rPr>
      </w:pPr>
      <w:bookmarkStart w:id="1" w:name="OLE_LINK22"/>
      <w:r>
        <w:rPr>
          <w:rFonts w:hint="eastAsia" w:ascii="宋体" w:hAnsi="宋体" w:eastAsia="宋体" w:cs="宋体"/>
          <w:b/>
          <w:bCs/>
          <w:kern w:val="2"/>
          <w:sz w:val="24"/>
          <w:szCs w:val="24"/>
          <w:highlight w:val="none"/>
          <w:lang w:val="en-US" w:eastAsia="zh-CN"/>
        </w:rPr>
        <w:t>1.</w:t>
      </w:r>
      <w:r>
        <w:rPr>
          <w:rFonts w:hint="eastAsia" w:ascii="宋体" w:hAnsi="宋体" w:eastAsia="宋体" w:cs="宋体"/>
          <w:b/>
          <w:bCs/>
          <w:kern w:val="2"/>
          <w:sz w:val="24"/>
          <w:szCs w:val="24"/>
          <w:highlight w:val="none"/>
        </w:rPr>
        <w:t>本次采购内容至少包含人行通道闸机整机、机芯、识别终端（刷卡/扫码/人脸识别）、红外检测组件、漏电保护装置、联动控制模块、线材辅材、安装配件、备品备件、配套软件及全套技术资料。供货、安装、调试直至正常运行、人脸识别通道系统与学校的数据平台对接。</w:t>
      </w:r>
    </w:p>
    <w:p w14:paraId="62E1CFA3">
      <w:pPr>
        <w:pStyle w:val="7"/>
        <w:tabs>
          <w:tab w:val="left" w:pos="426"/>
          <w:tab w:val="clear" w:pos="810"/>
          <w:tab w:val="clear" w:pos="907"/>
        </w:tabs>
        <w:spacing w:line="360" w:lineRule="auto"/>
        <w:ind w:left="-210" w:leftChars="-100" w:firstLine="482" w:firstLineChars="200"/>
        <w:jc w:val="left"/>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rPr>
        <w:t>2. 本次采购人脸识别通道系统须与学校现有智慧校园平台完成全面对接，实现统一身份认证（支持学校统一身份认证体系如LDAP/AD/CAS等）与统一消息服务（考勤记录、异常通行等数据实时推送至智慧校园统一消息平台），系统应提供标准API接口文档（RESTful/Web Service协议）。</w:t>
      </w:r>
    </w:p>
    <w:p w14:paraId="436F5B60">
      <w:pPr>
        <w:pStyle w:val="7"/>
        <w:tabs>
          <w:tab w:val="left" w:pos="426"/>
          <w:tab w:val="clear" w:pos="810"/>
          <w:tab w:val="clear" w:pos="907"/>
        </w:tabs>
        <w:spacing w:line="360" w:lineRule="auto"/>
        <w:ind w:left="-210" w:leftChars="-100" w:firstLine="482" w:firstLineChars="200"/>
        <w:jc w:val="left"/>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rPr>
        <w:t>3. 本次采购人脸识别通道系统须与学校宿舍管理系统完成数据对接，实现人员信息自动同步（住宿人员数据实时同步，含入住/退宿状态变更自动更新）与统一管理（通道权限与宿舍管理权限联动，支持按楼栋/房间维度进行权限分配），数据同步频率应不低于实时推送。</w:t>
      </w:r>
    </w:p>
    <w:p w14:paraId="2AC4B7AD">
      <w:pPr>
        <w:pStyle w:val="7"/>
        <w:tabs>
          <w:tab w:val="left" w:pos="426"/>
          <w:tab w:val="clear" w:pos="810"/>
          <w:tab w:val="clear" w:pos="907"/>
        </w:tabs>
        <w:spacing w:line="360" w:lineRule="auto"/>
        <w:ind w:left="-210" w:leftChars="-100" w:firstLine="482" w:firstLineChars="200"/>
        <w:jc w:val="left"/>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rPr>
        <w:t>4. 本次采购报价须包含系统实施、平台对接、接口开发、联调测试、培训及售后服务等全部费用，中标供应商须承担与智慧校园平台、宿舍管理系统相关对接厂商的全部协调与技术配合费用，项目验收后校方不再因对接集成事项追加任何费用。</w:t>
      </w:r>
    </w:p>
    <w:bookmarkEnd w:id="1"/>
    <w:p w14:paraId="336A2CA8">
      <w:pPr>
        <w:pStyle w:val="6"/>
        <w:numPr>
          <w:ilvl w:val="0"/>
          <w:numId w:val="0"/>
        </w:numPr>
        <w:spacing w:line="360" w:lineRule="auto"/>
        <w:ind w:left="357"/>
        <w:rPr>
          <w:rFonts w:hint="eastAsia" w:ascii="宋体" w:hAnsi="宋体" w:eastAsia="宋体" w:cs="宋体"/>
          <w:sz w:val="24"/>
          <w:szCs w:val="24"/>
          <w:highlight w:val="none"/>
        </w:rPr>
      </w:pPr>
      <w:r>
        <w:rPr>
          <w:rFonts w:hint="eastAsia" w:ascii="宋体" w:hAnsi="宋体" w:eastAsia="宋体" w:cs="宋体"/>
          <w:sz w:val="24"/>
          <w:szCs w:val="24"/>
          <w:highlight w:val="none"/>
        </w:rPr>
        <w:t>三、供货要求：</w:t>
      </w:r>
    </w:p>
    <w:p w14:paraId="057F8460">
      <w:pPr>
        <w:spacing w:line="360" w:lineRule="auto"/>
        <w:ind w:firstLine="480" w:firstLineChars="200"/>
        <w:rPr>
          <w:rFonts w:hint="eastAsia" w:ascii="宋体" w:hAnsi="宋体" w:eastAsia="宋体" w:cs="宋体"/>
          <w:color w:val="000000"/>
          <w:sz w:val="24"/>
          <w:szCs w:val="24"/>
          <w:highlight w:val="none"/>
        </w:rPr>
      </w:pPr>
      <w:bookmarkStart w:id="2" w:name="OLE_LINK21"/>
      <w:r>
        <w:rPr>
          <w:rFonts w:hint="eastAsia" w:ascii="宋体" w:hAnsi="宋体" w:eastAsia="宋体" w:cs="宋体"/>
          <w:color w:val="000000"/>
          <w:sz w:val="24"/>
          <w:szCs w:val="24"/>
          <w:highlight w:val="none"/>
        </w:rPr>
        <w:t>1、</w:t>
      </w:r>
      <w:bookmarkEnd w:id="2"/>
      <w:r>
        <w:rPr>
          <w:rFonts w:hint="eastAsia" w:ascii="宋体" w:hAnsi="宋体" w:eastAsia="宋体" w:cs="宋体"/>
          <w:bCs/>
          <w:kern w:val="0"/>
          <w:sz w:val="24"/>
          <w:szCs w:val="24"/>
          <w:highlight w:val="none"/>
        </w:rPr>
        <w:t>供货时间 ：</w:t>
      </w:r>
      <w:bookmarkStart w:id="3" w:name="OLE_LINK27"/>
      <w:r>
        <w:rPr>
          <w:rFonts w:hint="eastAsia" w:ascii="宋体" w:hAnsi="宋体" w:eastAsia="宋体" w:cs="宋体"/>
          <w:color w:val="000000"/>
          <w:sz w:val="24"/>
          <w:szCs w:val="24"/>
          <w:highlight w:val="none"/>
        </w:rPr>
        <w:t>签订合同后45天之内完成供货施工安装调试，人脸识别通道系统与学校的数据平台对接，确保正常使用，并提供设备使用技术培训</w:t>
      </w:r>
      <w:bookmarkEnd w:id="3"/>
      <w:r>
        <w:rPr>
          <w:rFonts w:hint="eastAsia" w:ascii="宋体" w:hAnsi="宋体" w:eastAsia="宋体" w:cs="宋体"/>
          <w:color w:val="000000"/>
          <w:sz w:val="24"/>
          <w:szCs w:val="24"/>
          <w:highlight w:val="none"/>
        </w:rPr>
        <w:t>。</w:t>
      </w:r>
    </w:p>
    <w:p w14:paraId="777B3B5F">
      <w:pPr>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2、售后服务及质保要求：质保期内因货物本身缺陷造成各种故障应由中标人免费予以更换，否则将扣除履约保证金作为对采购人的补偿。对于采购方的服务通知，供货方在接报后4小时内响应，8小时内到达现场，48小时内处理完毕。若在48小时内未能有效解决，供货方须免费提供同档次的设备予采购方临时使用。质保期内因不能排除的故障而影响工作的情况每发生一次，其质保期相应延长60天。质保期满后，仅收取零配件成本费用，免人工费、差旅费，所涉及软件终身免费升级。</w:t>
      </w:r>
    </w:p>
    <w:p w14:paraId="3BECE9EB">
      <w:pPr>
        <w:pStyle w:val="6"/>
        <w:numPr>
          <w:ilvl w:val="0"/>
          <w:numId w:val="0"/>
        </w:numPr>
        <w:spacing w:line="360" w:lineRule="auto"/>
        <w:ind w:left="357"/>
        <w:rPr>
          <w:rFonts w:hint="eastAsia" w:ascii="宋体" w:hAnsi="宋体" w:eastAsia="宋体" w:cs="宋体"/>
          <w:sz w:val="24"/>
          <w:szCs w:val="24"/>
          <w:highlight w:val="none"/>
        </w:rPr>
      </w:pPr>
      <w:bookmarkStart w:id="4" w:name="OLE_LINK25"/>
      <w:r>
        <w:rPr>
          <w:rFonts w:hint="eastAsia" w:ascii="宋体" w:hAnsi="宋体" w:eastAsia="宋体" w:cs="宋体"/>
          <w:sz w:val="24"/>
          <w:szCs w:val="24"/>
          <w:highlight w:val="none"/>
        </w:rPr>
        <w:t>四、付款方式</w:t>
      </w:r>
    </w:p>
    <w:p w14:paraId="46052D32">
      <w:pPr>
        <w:widowControl/>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项目验收合格后无质量问题支一次性无息付清。</w:t>
      </w:r>
    </w:p>
    <w:p w14:paraId="2CF51A9E">
      <w:pPr>
        <w:pStyle w:val="6"/>
        <w:numPr>
          <w:ilvl w:val="0"/>
          <w:numId w:val="0"/>
        </w:numPr>
        <w:spacing w:line="360" w:lineRule="auto"/>
        <w:ind w:left="357"/>
        <w:rPr>
          <w:rFonts w:hint="eastAsia" w:ascii="宋体" w:hAnsi="宋体" w:eastAsia="宋体" w:cs="宋体"/>
          <w:sz w:val="24"/>
          <w:szCs w:val="24"/>
          <w:highlight w:val="none"/>
        </w:rPr>
      </w:pPr>
      <w:bookmarkStart w:id="5" w:name="OLE_LINK20"/>
      <w:r>
        <w:rPr>
          <w:rFonts w:hint="eastAsia" w:ascii="宋体" w:hAnsi="宋体" w:eastAsia="宋体" w:cs="宋体"/>
          <w:sz w:val="24"/>
          <w:szCs w:val="24"/>
          <w:highlight w:val="none"/>
        </w:rPr>
        <w:t>五、项目服务方案及其他</w:t>
      </w:r>
    </w:p>
    <w:p w14:paraId="520AD93E">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投标人应根据本项目采购需求，提供详尽、可行、具有针对性的项目方案。方案应围绕"设备供货、现场施工、调试测试、人员培训、售后服务、应急保障"六大环节系统编制，体现"精准"与"高效"的服务理念，按"人、机、料、法、环"五要素组织内容，确保服务流程规范有序、人员配置专业稳定、数据对接准确兼容。</w:t>
      </w:r>
    </w:p>
    <w:p w14:paraId="08EE63AE">
      <w:pPr>
        <w:pStyle w:val="3"/>
        <w:widowControl w:val="0"/>
        <w:spacing w:before="0" w:beforeAutospacing="0" w:after="0" w:afterAutospacing="0" w:line="480" w:lineRule="exact"/>
        <w:ind w:firstLine="482"/>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5.1.1设备供货保障方案</w:t>
      </w:r>
    </w:p>
    <w:p w14:paraId="454D6FEB">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投标人应根据采购需求和本项目实际，制定相应的设备供货保障方案，方案至少包含：</w:t>
      </w:r>
    </w:p>
    <w:p w14:paraId="51C4FBAF">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（1）供货范围（含主设备、辅材、备品备件、技术资料清单）；</w:t>
      </w:r>
    </w:p>
    <w:p w14:paraId="696F7927">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（2）供货工期与交付流程（含排产计划、到货批次、装箱运输、现场交接签收）；</w:t>
      </w:r>
    </w:p>
    <w:p w14:paraId="28953D32">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（3）质量保障规范（含出厂检验、到货验收、不合格品处置与追溯）；</w:t>
      </w:r>
    </w:p>
    <w:p w14:paraId="76E365DB">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（4）管理保障（含组织架构、岗位职责、关键人员到岗承诺）。</w:t>
      </w:r>
    </w:p>
    <w:p w14:paraId="58113C56">
      <w:pPr>
        <w:pStyle w:val="3"/>
        <w:widowControl w:val="0"/>
        <w:spacing w:before="0" w:beforeAutospacing="0" w:after="0" w:afterAutospacing="0" w:line="480" w:lineRule="exact"/>
        <w:ind w:firstLine="482"/>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5.1.</w:t>
      </w:r>
      <w:bookmarkStart w:id="6" w:name="OLE_LINK33"/>
      <w:r>
        <w:rPr>
          <w:rFonts w:hint="eastAsia" w:ascii="宋体" w:hAnsi="宋体" w:eastAsia="宋体" w:cs="宋体"/>
          <w:b/>
          <w:bCs/>
          <w:color w:val="000000"/>
          <w:sz w:val="24"/>
          <w:szCs w:val="24"/>
          <w:highlight w:val="none"/>
        </w:rPr>
        <w:t>2现场安装施工方案</w:t>
      </w:r>
    </w:p>
    <w:bookmarkEnd w:id="6"/>
    <w:p w14:paraId="7A5E2B7B">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投标人应根据采购需求和本项目实际，制定相应的现场安装施工方案，方案至少包含：</w:t>
      </w:r>
    </w:p>
    <w:p w14:paraId="01C72CA0">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（1）实施介绍（含项目背景、施工范围、工期目标）；</w:t>
      </w:r>
    </w:p>
    <w:p w14:paraId="38F540CC">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（2）施工前期准备（含现场勘查、技术交底、材料进场报验）；</w:t>
      </w:r>
    </w:p>
    <w:p w14:paraId="1B69AD67">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（3）主要施工内容（含基础施工、设备安装、线缆敷设、标识标牌）；</w:t>
      </w:r>
    </w:p>
    <w:p w14:paraId="588FFC65">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（4）施工规范与安全管理（含人员持证、用电安全、成品保护、文明施工措施）；</w:t>
      </w:r>
    </w:p>
    <w:p w14:paraId="29B0A2BE">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（5）施工步骤（含总体施工流程、关键工序、阶段性验收节点）；</w:t>
      </w:r>
    </w:p>
    <w:p w14:paraId="138F2127">
      <w:pPr>
        <w:pStyle w:val="3"/>
        <w:widowControl w:val="0"/>
        <w:spacing w:before="0" w:beforeAutospacing="0" w:after="0" w:afterAutospacing="0" w:line="480" w:lineRule="exact"/>
        <w:ind w:firstLine="482"/>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（6）施工工艺（含工艺标准、隐蔽工程做法、与其他专业的衔接）。</w:t>
      </w:r>
    </w:p>
    <w:p w14:paraId="69F2FCEF">
      <w:pPr>
        <w:pStyle w:val="3"/>
        <w:widowControl w:val="0"/>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b/>
          <w:bCs/>
          <w:color w:val="000000"/>
          <w:sz w:val="24"/>
          <w:szCs w:val="24"/>
          <w:highlight w:val="none"/>
        </w:rPr>
        <w:t>5.1.3系统调试与测试方案</w:t>
      </w:r>
    </w:p>
    <w:p w14:paraId="34B74A29">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bookmarkStart w:id="7" w:name="OLE_LINK39"/>
      <w:r>
        <w:rPr>
          <w:rFonts w:hint="eastAsia" w:ascii="宋体" w:hAnsi="宋体" w:eastAsia="宋体" w:cs="宋体"/>
          <w:color w:val="000000"/>
          <w:sz w:val="24"/>
          <w:szCs w:val="24"/>
          <w:highlight w:val="none"/>
        </w:rPr>
        <w:t>投标人应根据采购需求和本项目实际，制定相应的系统调试与测试方案，方案至少包含：</w:t>
      </w:r>
    </w:p>
    <w:p w14:paraId="09ADABAF">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（1）基础电气调试（含供电回路、接地、绝缘测试）；</w:t>
      </w:r>
    </w:p>
    <w:p w14:paraId="10D3754F">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（2）核心功能调试（含通道闸机启停、识别终端、防夹防尾随功能）；</w:t>
      </w:r>
    </w:p>
    <w:p w14:paraId="463EDAA1">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（3）专项联动调试（含人脸识别、刷卡、二维码多模识别，与校园数据平台对接、消防联动）及调试成果输出（含测试记录、问题清单、整改闭环报告）。</w:t>
      </w:r>
    </w:p>
    <w:p w14:paraId="4B43AB04">
      <w:pPr>
        <w:pStyle w:val="3"/>
        <w:widowControl w:val="0"/>
        <w:spacing w:before="0" w:beforeAutospacing="0" w:after="0" w:afterAutospacing="0" w:line="480" w:lineRule="exact"/>
        <w:ind w:firstLine="48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5.1.</w:t>
      </w:r>
      <w:bookmarkStart w:id="8" w:name="OLE_LINK5"/>
      <w:r>
        <w:rPr>
          <w:rFonts w:hint="eastAsia" w:ascii="宋体" w:hAnsi="宋体" w:eastAsia="宋体" w:cs="宋体"/>
          <w:b/>
          <w:bCs/>
          <w:color w:val="000000"/>
          <w:sz w:val="24"/>
          <w:szCs w:val="24"/>
          <w:highlight w:val="none"/>
        </w:rPr>
        <w:t>4用户培训服务方案</w:t>
      </w:r>
      <w:bookmarkEnd w:id="8"/>
    </w:p>
    <w:p w14:paraId="6C73AD7A">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投标人应根据采购需求和本项目实际，制定相应的用户培训服务方案，方案至少包含：</w:t>
      </w:r>
    </w:p>
    <w:p w14:paraId="7F0CC9E0">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（1）操作培训（含日常操作流程、常见问题处理）；</w:t>
      </w:r>
    </w:p>
    <w:p w14:paraId="57357004">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（2）功能培训（含识别方式切换、参数配置、数据查询）；</w:t>
      </w:r>
    </w:p>
    <w:p w14:paraId="73BF7692">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（3）运维培训，培训后提供操作手册，确保相关人员熟练独立使用；</w:t>
      </w:r>
    </w:p>
    <w:p w14:paraId="5ABA69DA">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（4）培训相关承诺（含培训课时、师资安排、考核方式）；</w:t>
      </w:r>
    </w:p>
    <w:p w14:paraId="01D1C263">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（5）培训目标（受训人员能够独立完成日常管理与基础故障处置）。</w:t>
      </w:r>
    </w:p>
    <w:p w14:paraId="329BDB40">
      <w:pPr>
        <w:pStyle w:val="3"/>
        <w:widowControl w:val="0"/>
        <w:spacing w:before="0" w:beforeAutospacing="0" w:after="0" w:afterAutospacing="0" w:line="480" w:lineRule="exact"/>
        <w:ind w:firstLine="480"/>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5.1.5售后服务与质保方案</w:t>
      </w:r>
    </w:p>
    <w:p w14:paraId="504F1AB5">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投标人应根据采购需求和本项目实际，制定相应的售后服务与质保方案，方案至少包含：</w:t>
      </w:r>
    </w:p>
    <w:p w14:paraId="4B1D8FD5">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（1）售后服务承诺（含质保期限、服务期内服务次数、响应时效）；</w:t>
      </w:r>
    </w:p>
    <w:p w14:paraId="667AC292">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（2）售后响应机制（含7×24小时报修通道、现场响应到场时间、远程支持能力）；</w:t>
      </w:r>
    </w:p>
    <w:p w14:paraId="2CA90542">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（3）升级与技术服务（含系统版本升级、识别算法迭代、平台对接支持）；</w:t>
      </w:r>
    </w:p>
    <w:p w14:paraId="5A103FC5">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（4）备品备件保障（含关键易损件清单、储备数量、补货周期）；</w:t>
      </w:r>
    </w:p>
    <w:p w14:paraId="56A0588D">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（5）售后服务内容（含定期巡检、预防性维护、回访服务）；</w:t>
      </w:r>
    </w:p>
    <w:p w14:paraId="65518795">
      <w:pPr>
        <w:pStyle w:val="3"/>
        <w:widowControl w:val="0"/>
        <w:spacing w:before="0" w:beforeAutospacing="0" w:after="0" w:afterAutospacing="0" w:line="480" w:lineRule="exact"/>
        <w:ind w:firstLine="48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（6）售后服务方式（含现场服务、远程支持、电话指导）。</w:t>
      </w:r>
    </w:p>
    <w:p w14:paraId="46500AD3">
      <w:pPr>
        <w:pStyle w:val="3"/>
        <w:widowControl w:val="0"/>
        <w:spacing w:before="0" w:beforeAutospacing="0" w:after="0" w:afterAutospacing="0" w:line="480" w:lineRule="exact"/>
        <w:ind w:firstLine="480"/>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5.1.6应急保障方案</w:t>
      </w:r>
    </w:p>
    <w:bookmarkEnd w:id="7"/>
    <w:p w14:paraId="6DC3B0B5">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（1）设备故障应急（含故障定位、临时处置、备件更换流程与到场时限）；</w:t>
      </w:r>
    </w:p>
    <w:p w14:paraId="2AC41354">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（2）突发断电应急（含UPS/备用电源启用、手动放行、秩序维护）；</w:t>
      </w:r>
    </w:p>
    <w:p w14:paraId="08F2D9AD">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（3）消防应急（含与消防系统联动、紧急放行、人员疏散预案）；</w:t>
      </w:r>
    </w:p>
    <w:p w14:paraId="0AEE4142">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（4）极端环境应急（含台风、暴雨、低温等极端天气下设备防护与值守安排）。</w:t>
      </w:r>
    </w:p>
    <w:p w14:paraId="144B32F6">
      <w:pPr>
        <w:pStyle w:val="3"/>
        <w:widowControl w:val="0"/>
        <w:spacing w:before="0" w:beforeAutospacing="0" w:after="0" w:afterAutospacing="0" w:line="480" w:lineRule="exact"/>
        <w:ind w:firstLine="482"/>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5.2 验收标准</w:t>
      </w:r>
    </w:p>
    <w:p w14:paraId="139A59DD">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采购人根据国家有关规定、采购文件、成交方的响应文件以及合同约定的内容和验收标准进行验收。验收情况作为支付货款的依据。如有质疑，以相关质量技术检验检测机构的检验结果为准，如产生检验费用，则该费用由过失方承担。</w:t>
      </w:r>
    </w:p>
    <w:p w14:paraId="2DC6E785">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验收组织与流程：由采购人牵头成立验收小组（含使用部门、技术部门、监理方），按"到货验收—安装验收—系统试运行—最终验收"四个阶段依次进行；任一阶段不通过不得进入下个阶段，整改闭环后方可重新申请验收。</w:t>
      </w:r>
    </w:p>
    <w:p w14:paraId="5B95131F">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要求投标人对设备及各类相关文档进行确认和验收，以保障系统达到验收标准。验收内容包括但不限于：</w:t>
      </w:r>
    </w:p>
    <w:p w14:paraId="483C0F08">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1.对设备的详细数量进行到货签收确认；</w:t>
      </w:r>
    </w:p>
    <w:p w14:paraId="09F9C3F5">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.对设备的安装、调试，运行报告进行确认；</w:t>
      </w:r>
    </w:p>
    <w:p w14:paraId="5B53B232">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.对项目交付文档进行移交和确认；</w:t>
      </w:r>
    </w:p>
    <w:p w14:paraId="16BA5319">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.项目交付完整文档资料，包括不限于所有设备拓扑的安装位置，所有设备IP地址表、项目实施配置文档以及竣工图纸等相关技术资料。</w:t>
      </w:r>
    </w:p>
    <w:p w14:paraId="2FD94244">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验收资料归档：中标人应在验收通过后提交完整的验收资料（含验收记录、测试报告、培训签到、竣工图纸等），并签署验收报告，作为合同尾款支付的依据。</w:t>
      </w:r>
    </w:p>
    <w:p w14:paraId="7A21F55B">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以上确认无误后，中标人应和校方共同确认系统运行符合技术规范后，完成整体系统的测试验收，并签署验收报告。</w:t>
      </w:r>
    </w:p>
    <w:p w14:paraId="497D0AEC">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b/>
          <w:bCs/>
          <w:color w:val="000000"/>
          <w:sz w:val="24"/>
          <w:szCs w:val="24"/>
          <w:highlight w:val="none"/>
        </w:rPr>
        <w:t>6.2业绩</w:t>
      </w:r>
    </w:p>
    <w:p w14:paraId="5D18E6AF">
      <w:pPr>
        <w:pStyle w:val="3"/>
        <w:widowControl w:val="0"/>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投标人需要具备丰富的采购相关承接经验，确保本项目的顺利实施，投标人自2021年7月1日以来（以合同签订时间为准）采购类似项目</w:t>
      </w:r>
      <w:r>
        <w:rPr>
          <w:rFonts w:hint="eastAsia" w:ascii="宋体" w:hAnsi="宋体" w:eastAsia="宋体" w:cs="宋体"/>
          <w:b w:val="0"/>
          <w:bCs w:val="0"/>
          <w:color w:val="000000"/>
          <w:sz w:val="24"/>
          <w:szCs w:val="24"/>
          <w:highlight w:val="none"/>
        </w:rPr>
        <w:t>的优先。</w:t>
      </w:r>
    </w:p>
    <w:p w14:paraId="1F56B772">
      <w:pPr>
        <w:pStyle w:val="3"/>
        <w:spacing w:before="0" w:beforeAutospacing="0" w:after="0" w:afterAutospacing="0" w:line="480" w:lineRule="exact"/>
        <w:ind w:firstLine="482"/>
        <w:jc w:val="both"/>
        <w:rPr>
          <w:rFonts w:hint="eastAsia" w:ascii="宋体" w:hAnsi="宋体" w:eastAsia="宋体" w:cs="宋体"/>
          <w:sz w:val="24"/>
          <w:szCs w:val="24"/>
          <w:highlight w:val="none"/>
        </w:rPr>
      </w:pPr>
      <w:r>
        <w:rPr>
          <w:rFonts w:hint="eastAsia" w:ascii="宋体" w:hAnsi="宋体" w:eastAsia="宋体" w:cs="宋体"/>
          <w:b/>
          <w:bCs/>
          <w:color w:val="000000"/>
          <w:sz w:val="24"/>
          <w:szCs w:val="24"/>
          <w:highlight w:val="none"/>
        </w:rPr>
        <w:t>6.3体系认证</w:t>
      </w:r>
    </w:p>
    <w:p w14:paraId="701B9F15">
      <w:pPr>
        <w:widowControl/>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6.3.1质量管理体系认证</w:t>
      </w:r>
    </w:p>
    <w:p w14:paraId="6EB2EBC0">
      <w:pPr>
        <w:widowControl/>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确保注重服务质量、节点处理规范性。投标时提供质量管理体系认证证书的优先。</w:t>
      </w:r>
    </w:p>
    <w:p w14:paraId="610B2028">
      <w:pPr>
        <w:widowControl/>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6.3.2环境管理体系认证</w:t>
      </w:r>
    </w:p>
    <w:p w14:paraId="02DD7EAB">
      <w:pPr>
        <w:widowControl/>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确保环境保护。投标时提供环境管理体系认证证书的优先。</w:t>
      </w:r>
    </w:p>
    <w:p w14:paraId="06511B53">
      <w:pPr>
        <w:widowControl/>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6.3.3职业健康安全管理体系认证</w:t>
      </w:r>
    </w:p>
    <w:p w14:paraId="7091F147">
      <w:pPr>
        <w:widowControl/>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确保安全服务，人员安全等操作。投标时提供职业健康安全管理体系认证证书的优先。</w:t>
      </w:r>
    </w:p>
    <w:p w14:paraId="2C40B2E1">
      <w:pPr>
        <w:pStyle w:val="3"/>
        <w:spacing w:before="0" w:beforeAutospacing="0" w:after="0" w:afterAutospacing="0" w:line="480" w:lineRule="exact"/>
        <w:ind w:firstLine="482"/>
        <w:jc w:val="both"/>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6.4质保期承诺</w:t>
      </w:r>
    </w:p>
    <w:p w14:paraId="1F4D0B87">
      <w:pPr>
        <w:widowControl/>
        <w:spacing w:line="360" w:lineRule="auto"/>
        <w:ind w:firstLine="480" w:firstLineChars="200"/>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便于设备后期维护，投标人提供质保期服务承诺的优先。</w:t>
      </w:r>
    </w:p>
    <w:bookmarkEnd w:id="0"/>
    <w:bookmarkEnd w:id="4"/>
    <w:bookmarkEnd w:id="5"/>
    <w:p w14:paraId="1B86B577">
      <w:pPr>
        <w:rPr>
          <w:rFonts w:hint="eastAsia" w:ascii="宋体" w:hAnsi="宋体" w:eastAsia="宋体" w:cs="宋体"/>
          <w:sz w:val="24"/>
          <w:szCs w:val="24"/>
          <w:highlight w:val="none"/>
        </w:rPr>
      </w:pPr>
    </w:p>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AF43C9"/>
    <w:multiLevelType w:val="singleLevel"/>
    <w:tmpl w:val="E6AF43C9"/>
    <w:lvl w:ilvl="0" w:tentative="0">
      <w:start w:val="1"/>
      <w:numFmt w:val="decimal"/>
      <w:suff w:val="nothing"/>
      <w:lvlText w:val="%1)"/>
      <w:lvlJc w:val="left"/>
      <w:pPr>
        <w:ind w:left="425" w:hanging="425"/>
      </w:pPr>
      <w:rPr>
        <w:rFonts w:hint="default"/>
      </w:rPr>
    </w:lvl>
  </w:abstractNum>
  <w:abstractNum w:abstractNumId="1">
    <w:nsid w:val="004621E5"/>
    <w:multiLevelType w:val="multilevel"/>
    <w:tmpl w:val="004621E5"/>
    <w:lvl w:ilvl="0" w:tentative="0">
      <w:start w:val="1"/>
      <w:numFmt w:val="decimal"/>
      <w:pStyle w:val="6"/>
      <w:suff w:val="space"/>
      <w:lvlText w:val="%1"/>
      <w:lvlJc w:val="left"/>
      <w:pPr>
        <w:tabs>
          <w:tab w:val="left" w:pos="7019"/>
        </w:tabs>
        <w:ind w:left="7019" w:hanging="357"/>
      </w:pPr>
      <w:rPr>
        <w:b/>
      </w:rPr>
    </w:lvl>
    <w:lvl w:ilvl="1" w:tentative="0">
      <w:start w:val="1"/>
      <w:numFmt w:val="decimal"/>
      <w:suff w:val="space"/>
      <w:lvlText w:val="%1.%2"/>
      <w:lvlJc w:val="left"/>
      <w:pPr>
        <w:tabs>
          <w:tab w:val="left" w:pos="7019"/>
        </w:tabs>
        <w:ind w:left="7019" w:hanging="357"/>
      </w:pPr>
      <w:rPr>
        <w:b/>
      </w:rPr>
    </w:lvl>
    <w:lvl w:ilvl="2" w:tentative="0">
      <w:start w:val="1"/>
      <w:numFmt w:val="decimal"/>
      <w:suff w:val="space"/>
      <w:lvlText w:val="%1.%2.%3"/>
      <w:lvlJc w:val="left"/>
      <w:pPr>
        <w:tabs>
          <w:tab w:val="left" w:pos="7019"/>
        </w:tabs>
        <w:ind w:left="7019" w:hanging="357"/>
      </w:pPr>
      <w:rPr>
        <w:b/>
      </w:rPr>
    </w:lvl>
    <w:lvl w:ilvl="3" w:tentative="0">
      <w:start w:val="1"/>
      <w:numFmt w:val="decimal"/>
      <w:suff w:val="space"/>
      <w:lvlText w:val="%1.%2.%3.%4"/>
      <w:lvlJc w:val="left"/>
      <w:pPr>
        <w:tabs>
          <w:tab w:val="left" w:pos="7019"/>
        </w:tabs>
        <w:ind w:left="7019" w:hanging="357"/>
      </w:pPr>
      <w:rPr>
        <w:b/>
      </w:rPr>
    </w:lvl>
    <w:lvl w:ilvl="4" w:tentative="0">
      <w:start w:val="1"/>
      <w:numFmt w:val="decimal"/>
      <w:lvlText w:val="%1.%2.%3.%4.%5"/>
      <w:lvlJc w:val="left"/>
      <w:pPr>
        <w:ind w:left="9213" w:hanging="850"/>
      </w:pPr>
    </w:lvl>
    <w:lvl w:ilvl="5" w:tentative="0">
      <w:start w:val="1"/>
      <w:numFmt w:val="decimal"/>
      <w:lvlText w:val="%1.%2.%3.%4.%5.%6"/>
      <w:lvlJc w:val="left"/>
      <w:pPr>
        <w:ind w:left="9922" w:hanging="1134"/>
      </w:pPr>
    </w:lvl>
    <w:lvl w:ilvl="6" w:tentative="0">
      <w:start w:val="1"/>
      <w:numFmt w:val="decimal"/>
      <w:lvlText w:val="%1.%2.%3.%4.%5.%6.%7"/>
      <w:lvlJc w:val="left"/>
      <w:pPr>
        <w:ind w:left="10489" w:hanging="1276"/>
      </w:pPr>
    </w:lvl>
    <w:lvl w:ilvl="7" w:tentative="0">
      <w:start w:val="1"/>
      <w:numFmt w:val="decimal"/>
      <w:lvlText w:val="%1.%2.%3.%4.%5.%6.%7.%8"/>
      <w:lvlJc w:val="left"/>
      <w:pPr>
        <w:ind w:left="11056" w:hanging="1418"/>
      </w:pPr>
    </w:lvl>
    <w:lvl w:ilvl="8" w:tentative="0">
      <w:start w:val="1"/>
      <w:numFmt w:val="decimal"/>
      <w:lvlText w:val="%1.%2.%3.%4.%5.%6.%7.%8.%9"/>
      <w:lvlJc w:val="left"/>
      <w:pPr>
        <w:ind w:left="11764" w:hanging="1700"/>
      </w:pPr>
    </w:lvl>
  </w:abstractNum>
  <w:abstractNum w:abstractNumId="2">
    <w:nsid w:val="4C1B899D"/>
    <w:multiLevelType w:val="singleLevel"/>
    <w:tmpl w:val="4C1B899D"/>
    <w:lvl w:ilvl="0" w:tentative="0">
      <w:start w:val="1"/>
      <w:numFmt w:val="decimal"/>
      <w:suff w:val="nothing"/>
      <w:lvlText w:val="%1)"/>
      <w:lvlJc w:val="left"/>
      <w:pPr>
        <w:ind w:left="425" w:hanging="425"/>
      </w:pPr>
      <w:rPr>
        <w:rFonts w:hint="default"/>
      </w:rPr>
    </w:lvl>
  </w:abstractNum>
  <w:abstractNum w:abstractNumId="3">
    <w:nsid w:val="541D3459"/>
    <w:multiLevelType w:val="singleLevel"/>
    <w:tmpl w:val="541D3459"/>
    <w:lvl w:ilvl="0" w:tentative="0">
      <w:start w:val="1"/>
      <w:numFmt w:val="decimal"/>
      <w:suff w:val="nothing"/>
      <w:lvlText w:val="%1)"/>
      <w:lvlJc w:val="left"/>
      <w:pPr>
        <w:ind w:left="425" w:hanging="425"/>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C133FB"/>
    <w:rsid w:val="04AE18FF"/>
    <w:rsid w:val="1AA10814"/>
    <w:rsid w:val="367C09AD"/>
    <w:rsid w:val="3D737B06"/>
    <w:rsid w:val="450F7C4B"/>
    <w:rsid w:val="490435A1"/>
    <w:rsid w:val="49867716"/>
    <w:rsid w:val="4CC133FB"/>
    <w:rsid w:val="53C45145"/>
    <w:rsid w:val="684A387F"/>
    <w:rsid w:val="6B3C43FB"/>
    <w:rsid w:val="6BFC3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jc w:val="center"/>
      <w:outlineLvl w:val="0"/>
    </w:pPr>
    <w:rPr>
      <w:rFonts w:ascii="楷体_GB2312" w:eastAsia="楷体_GB2312"/>
      <w:sz w:val="28"/>
      <w:szCs w:val="28"/>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
    <w:name w:val="e3fb8205-adf9-4d0d-85d1-1a84f91ab844"/>
    <w:basedOn w:val="2"/>
    <w:next w:val="1"/>
    <w:qFormat/>
    <w:uiPriority w:val="0"/>
    <w:pPr>
      <w:keepLines/>
      <w:numPr>
        <w:ilvl w:val="0"/>
        <w:numId w:val="1"/>
      </w:numPr>
      <w:tabs>
        <w:tab w:val="left" w:pos="360"/>
      </w:tabs>
      <w:adjustRightInd w:val="0"/>
      <w:spacing w:line="288" w:lineRule="auto"/>
      <w:jc w:val="left"/>
    </w:pPr>
    <w:rPr>
      <w:rFonts w:ascii="微软雅黑" w:hAnsi="微软雅黑" w:eastAsia="微软雅黑" w:cstheme="majorBidi"/>
      <w:b/>
      <w:bCs/>
      <w:color w:val="000000"/>
      <w:sz w:val="32"/>
      <w:szCs w:val="48"/>
      <w14:ligatures w14:val="standardContextual"/>
    </w:rPr>
  </w:style>
  <w:style w:type="paragraph" w:customStyle="1" w:styleId="7">
    <w:name w:val="一级条标题"/>
    <w:basedOn w:val="8"/>
    <w:next w:val="9"/>
    <w:qFormat/>
    <w:uiPriority w:val="99"/>
    <w:pPr>
      <w:tabs>
        <w:tab w:val="left" w:pos="810"/>
        <w:tab w:val="left" w:pos="907"/>
        <w:tab w:val="left" w:pos="1265"/>
      </w:tabs>
      <w:spacing w:before="0" w:after="0"/>
      <w:ind w:left="907" w:hanging="907"/>
      <w:outlineLvl w:val="2"/>
    </w:pPr>
    <w:rPr>
      <w:rFonts w:hAnsi="宋体"/>
      <w:kern w:val="0"/>
      <w:sz w:val="20"/>
      <w:szCs w:val="20"/>
    </w:rPr>
  </w:style>
  <w:style w:type="paragraph" w:customStyle="1" w:styleId="8">
    <w:name w:val="章标题"/>
    <w:next w:val="1"/>
    <w:qFormat/>
    <w:uiPriority w:val="0"/>
    <w:pPr>
      <w:tabs>
        <w:tab w:val="left" w:pos="810"/>
        <w:tab w:val="left" w:pos="1265"/>
      </w:tabs>
      <w:spacing w:before="50" w:after="50"/>
      <w:ind w:left="810" w:hanging="810"/>
      <w:jc w:val="both"/>
      <w:outlineLvl w:val="1"/>
    </w:pPr>
    <w:rPr>
      <w:rFonts w:ascii="黑体" w:hAnsi="Calibri" w:eastAsia="黑体" w:cs="Times New Roman"/>
      <w:kern w:val="2"/>
      <w:sz w:val="21"/>
      <w:szCs w:val="22"/>
      <w:lang w:val="en-US" w:eastAsia="zh-CN" w:bidi="ar-SA"/>
    </w:rPr>
  </w:style>
  <w:style w:type="paragraph" w:customStyle="1" w:styleId="9">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3867</Words>
  <Characters>4097</Characters>
  <Lines>0</Lines>
  <Paragraphs>0</Paragraphs>
  <TotalTime>1</TotalTime>
  <ScaleCrop>false</ScaleCrop>
  <LinksUpToDate>false</LinksUpToDate>
  <CharactersWithSpaces>4134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2026-09-09T02:00:00Z</dcterms:created>
  <dc:creator>老郑家的姑娘</dc:creator>
  <cp:lastModifiedBy>老郑家的姑娘</cp:lastModifiedBy>
  <dcterms:modified xsi:type="dcterms:W3CDTF">2026-09-09T02:04:37Z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BF8EBBF3EEF7401380160199A6A827C1_11</vt:lpwstr>
  </property>
  <property fmtid="{D5CDD505-2E9C-101B-9397-08002B2CF9AE}" pid="4" name="KSOTemplateDocerSaveRecord">
    <vt:lpwstr>eyJoZGlkIjoiMjIxNTk2NGNkMjA3MTVlMzA1NWM0YWYyZWU3YzhhYmEiLCJ1c2VySWQiOiIyODkwMDY0ODgifQ==</vt:lpwstr>
  </property>
</Properties>
</file>