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EE5C4">
      <w:pPr>
        <w:snapToGrid w:val="0"/>
        <w:spacing w:before="120" w:after="120" w:line="240" w:lineRule="auto"/>
        <w:jc w:val="center"/>
        <w:outlineLvl w:val="0"/>
        <w:rPr>
          <w:rFonts w:hint="eastAsia" w:ascii="宋体" w:hAnsi="宋体" w:eastAsia="宋体" w:cs="宋体"/>
          <w:b/>
          <w:bCs/>
          <w:color w:val="auto"/>
          <w:sz w:val="36"/>
          <w:szCs w:val="36"/>
        </w:rPr>
      </w:pPr>
      <w:bookmarkStart w:id="0" w:name="_Toc172213723"/>
      <w:r>
        <w:rPr>
          <w:rFonts w:hint="eastAsia" w:ascii="宋体" w:hAnsi="宋体" w:eastAsia="宋体" w:cs="宋体"/>
          <w:b/>
          <w:bCs/>
          <w:color w:val="auto"/>
          <w:sz w:val="36"/>
          <w:szCs w:val="36"/>
        </w:rPr>
        <w:t>项目需求</w:t>
      </w:r>
      <w:bookmarkEnd w:id="0"/>
      <w:bookmarkStart w:id="1" w:name="_GoBack"/>
      <w:bookmarkEnd w:id="1"/>
    </w:p>
    <w:p w14:paraId="690445C2">
      <w:pPr>
        <w:snapToGrid w:val="0"/>
        <w:spacing w:line="36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项目属性:工程类项目。</w:t>
      </w:r>
    </w:p>
    <w:p w14:paraId="2FDA498C">
      <w:pPr>
        <w:numPr>
          <w:ilvl w:val="0"/>
          <w:numId w:val="0"/>
        </w:numPr>
        <w:snapToGrid w:val="0"/>
        <w:spacing w:line="36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项目概况</w:t>
      </w:r>
    </w:p>
    <w:p w14:paraId="30E56269">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学校国际会议中心于2008年启用，日常使用频率较高，内部装修破损严重，目前已经不能很好满足举办各种会议活动的要求，现拟对会议中心内部局部改造装修包工包料施工。具体以采购人提供的工程量清单及采购人现场要求为准，采购人保留对上述工程量及范围适当调整的权利。</w:t>
      </w:r>
    </w:p>
    <w:p w14:paraId="355AA594">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rPr>
        <w:t>工艺要求</w:t>
      </w:r>
    </w:p>
    <w:p w14:paraId="05B8E15E">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1、拆除过道及舞台前面原PVC，重新做2.0厚度同质透心PVC地板（287平方）；</w:t>
      </w:r>
    </w:p>
    <w:p w14:paraId="48DF121E">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2、铲除吊顶局部破损涂料，重新批腻子，乳胶漆两遍（260平方）；</w:t>
      </w:r>
    </w:p>
    <w:p w14:paraId="1F2FEEB6">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3、座椅区域地面环氧地坪出新（327平方）。</w:t>
      </w:r>
    </w:p>
    <w:p w14:paraId="62E1237C">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PS：项目施工过程中的空气质量检测及主要材料检测等检测服务费用由施工单位承担（检测项目由校方核定，数量参照国家有关标准）。</w:t>
      </w:r>
    </w:p>
    <w:p w14:paraId="23456E6F">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施工过程中造成原建筑设施、室外道路、绿化、墙体等损坏及下水道堵塞的，由中标人进行修复或按实赔偿，或由采购人委托第三方修复，所产生费用由中标人支付。</w:t>
      </w:r>
    </w:p>
    <w:p w14:paraId="008D6D2A">
      <w:pPr>
        <w:spacing w:line="360" w:lineRule="auto"/>
        <w:ind w:firstLine="480"/>
        <w:rPr>
          <w:rFonts w:hint="eastAsia" w:ascii="宋体" w:hAnsi="宋体" w:eastAsia="宋体" w:cs="宋体"/>
          <w:color w:val="auto"/>
          <w:sz w:val="21"/>
          <w:szCs w:val="21"/>
        </w:rPr>
      </w:pPr>
      <w:r>
        <w:rPr>
          <w:rFonts w:hint="eastAsia" w:ascii="宋体" w:hAnsi="宋体" w:eastAsia="宋体" w:cs="宋体"/>
          <w:b/>
          <w:bCs/>
          <w:i/>
          <w:iCs/>
          <w:color w:val="auto"/>
          <w:sz w:val="21"/>
          <w:szCs w:val="21"/>
          <w:u w:val="single"/>
        </w:rPr>
        <w:t>★具体工艺要求见清单要求。</w:t>
      </w:r>
    </w:p>
    <w:p w14:paraId="1ED228C2">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、踏勘现场</w:t>
      </w:r>
    </w:p>
    <w:p w14:paraId="52D4C21B">
      <w:pPr>
        <w:spacing w:line="360" w:lineRule="auto"/>
        <w:ind w:firstLine="48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1.各投标人</w:t>
      </w:r>
      <w:r>
        <w:rPr>
          <w:rFonts w:hint="eastAsia" w:ascii="宋体" w:hAnsi="宋体" w:eastAsia="宋体" w:cs="宋体"/>
          <w:color w:val="auto"/>
          <w:sz w:val="21"/>
          <w:szCs w:val="21"/>
          <w:lang w:val="en-US" w:eastAsia="zh-CN"/>
        </w:rPr>
        <w:t>可自行</w:t>
      </w:r>
      <w:r>
        <w:rPr>
          <w:rFonts w:hint="eastAsia" w:ascii="宋体" w:hAnsi="宋体" w:eastAsia="宋体" w:cs="宋体"/>
          <w:color w:val="auto"/>
          <w:sz w:val="21"/>
          <w:szCs w:val="21"/>
        </w:rPr>
        <w:t>在递交响应文件截止日前至工程实施现场进行现场踏勘，如因未踏勘现场造成的一切后果自负。投标人踏勘现场发生的费用自理，自行承担在踏勘现场中所发生的人员伤亡和财产损失。</w:t>
      </w:r>
      <w:r>
        <w:rPr>
          <w:rFonts w:hint="eastAsia" w:ascii="宋体" w:hAnsi="宋体" w:eastAsia="宋体" w:cs="宋体"/>
          <w:color w:val="auto"/>
          <w:sz w:val="21"/>
          <w:szCs w:val="21"/>
          <w:lang w:val="en-US" w:eastAsia="zh-CN"/>
        </w:rPr>
        <w:t>踏勘联系人：贾老师、18262395908。</w:t>
      </w:r>
    </w:p>
    <w:p w14:paraId="4ADA7F28">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投标人到工程实施现场进行踏勘时，应当充分了解工地位置、情况、道路、储存空间、装卸限制及任何其它足以影响报价的情况，并根据现场的实际情况将本工程可预见的相关费用（包括地方矛盾）自行考虑到投标报价中，投标人中标后可预见的相关费用包干使用。任何因忽视或误解工地情况而导致的索赔或工期延长申请将不被批准。因投标人未踏勘现场所引起的一切后果由投标人自负。</w:t>
      </w:r>
    </w:p>
    <w:p w14:paraId="28FB2C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报价要求</w:t>
      </w:r>
    </w:p>
    <w:p w14:paraId="092896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投标人应按招标人提供的“招标工程量清单”的要求填写价格清单，不得改变工程量清单的格式。</w:t>
      </w:r>
    </w:p>
    <w:p w14:paraId="75233D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投标人应充分了解完成本工程所必须的附属工程、临时工程、直接和间接成本、利润、税金、风险费、材料损耗、劳务、垃圾清运、成品保护以及各种管线、建筑物、构筑物的加固围护、施工场地的位置、周边环境、道路、装卸、保管、安装限制以及影响投标报价的其他要素。投标人根据投标施工组织设计，结合市场情况进行投标报价。</w:t>
      </w:r>
    </w:p>
    <w:p w14:paraId="5C31AB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固定单价报价。本工程实行《建设工程量清单计价规范》（GB50500-2013）招标。建设工程合同采用“固定单价合同”，以体现风险共担的原则。由采购人提供招标工程量清单，投标人以招标工程量清单为基础填报相应的单价并计算合价。投标人应充分考虑施工期间各类建材的市场风险和国家政策性调整风险系数和招标人对工期、质量等的要求，并计入综合单价，中标后竣工结算时除施工合同约定允许调整外综合单价不予调整。</w:t>
      </w:r>
    </w:p>
    <w:p w14:paraId="789B08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4.投标报价的计价方法</w:t>
      </w:r>
    </w:p>
    <w:p w14:paraId="6EB0D0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本工程投标报价采用“工程量清单计价”法（工程量计算规则依据《建设工程量清单计价规范》（GB50500-2013）及其工程量计算规范）。投标人应根据采购人提供的招标工程量清单计算工程项目的综合单价和合价。</w:t>
      </w:r>
    </w:p>
    <w:p w14:paraId="1049BD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工程量清单中每一个清单项均需计算并填写综合单价、合价。对施工中发生的所有措施费及可预见费用等，由施工单位自行考虑，计入单价和总价。</w:t>
      </w:r>
    </w:p>
    <w:p w14:paraId="780228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5.投标报价文件编制的依据</w:t>
      </w:r>
    </w:p>
    <w:p w14:paraId="05E317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 招标人提供的招标文件、招标工程量清单及其补充通知；</w:t>
      </w:r>
    </w:p>
    <w:p w14:paraId="740C9F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 招标人设定的最高限价；</w:t>
      </w:r>
    </w:p>
    <w:p w14:paraId="234DBC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5.3《建设工程量清单计价规范》(GB50500-2013) 及其工程量计算规范； </w:t>
      </w:r>
    </w:p>
    <w:p w14:paraId="785746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 有关的施工规范与工程验收规范；</w:t>
      </w:r>
    </w:p>
    <w:p w14:paraId="474965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 施工现场情况、工程特点及投标人拟采用的施工组织方案；</w:t>
      </w:r>
    </w:p>
    <w:p w14:paraId="65B51F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 投标人的企业定额；</w:t>
      </w:r>
    </w:p>
    <w:p w14:paraId="7091AA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 投标人可同时参考2014年《江苏省建筑与装饰工程计价定额》、2014年《江苏省安装工程计价定额》、《江苏省建设工程费用定额（2014年）》及江苏省关于营改增的计价文件等最高限价（预算）的编制依据。</w:t>
      </w:r>
    </w:p>
    <w:p w14:paraId="1F4D99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6.投标报价文件编制的要求</w:t>
      </w:r>
    </w:p>
    <w:p w14:paraId="6B03F7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6.1招标人提供的招标工程量清单应与招标文件一起参照阅读。</w:t>
      </w:r>
    </w:p>
    <w:p w14:paraId="2E2C7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五</w:t>
      </w:r>
      <w:r>
        <w:rPr>
          <w:rFonts w:hint="eastAsia" w:ascii="宋体" w:hAnsi="宋体" w:eastAsia="宋体" w:cs="宋体"/>
          <w:b/>
          <w:bCs/>
          <w:sz w:val="21"/>
          <w:szCs w:val="21"/>
          <w:lang w:val="en-US" w:eastAsia="zh-CN"/>
        </w:rPr>
        <w:t>、采购标的对应的中小企业划分标准所属行业一览表</w:t>
      </w:r>
    </w:p>
    <w:tbl>
      <w:tblPr>
        <w:tblStyle w:val="5"/>
        <w:tblW w:w="8394" w:type="dxa"/>
        <w:jc w:val="center"/>
        <w:tblCellSpacing w:w="0" w:type="dxa"/>
        <w:tblLayout w:type="fixed"/>
        <w:tblCellMar>
          <w:top w:w="0" w:type="dxa"/>
          <w:left w:w="108" w:type="dxa"/>
          <w:bottom w:w="0" w:type="dxa"/>
          <w:right w:w="108" w:type="dxa"/>
        </w:tblCellMar>
      </w:tblPr>
      <w:tblGrid>
        <w:gridCol w:w="835"/>
        <w:gridCol w:w="3850"/>
        <w:gridCol w:w="3709"/>
      </w:tblGrid>
      <w:tr w14:paraId="34C181C8">
        <w:tblPrEx>
          <w:tblCellMar>
            <w:top w:w="0" w:type="dxa"/>
            <w:left w:w="108" w:type="dxa"/>
            <w:bottom w:w="0" w:type="dxa"/>
            <w:right w:w="108" w:type="dxa"/>
          </w:tblCellMar>
        </w:tblPrEx>
        <w:trPr>
          <w:trHeight w:val="546" w:hRule="atLeast"/>
          <w:tblCellSpacing w:w="0" w:type="dxa"/>
          <w:jc w:val="center"/>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51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3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79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采购标的</w:t>
            </w:r>
          </w:p>
        </w:tc>
        <w:tc>
          <w:tcPr>
            <w:tcW w:w="3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2B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对应中小企业划分标准所属行业</w:t>
            </w:r>
          </w:p>
        </w:tc>
      </w:tr>
      <w:tr w14:paraId="11067E91">
        <w:tblPrEx>
          <w:tblCellMar>
            <w:top w:w="0" w:type="dxa"/>
            <w:left w:w="108" w:type="dxa"/>
            <w:bottom w:w="0" w:type="dxa"/>
            <w:right w:w="108" w:type="dxa"/>
          </w:tblCellMar>
        </w:tblPrEx>
        <w:trPr>
          <w:trHeight w:val="646" w:hRule="atLeast"/>
          <w:tblCellSpacing w:w="0" w:type="dxa"/>
          <w:jc w:val="center"/>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99A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3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7AF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Theme="minorEastAsia" w:hAnsiTheme="minorEastAsia" w:eastAsiaTheme="minorEastAsia" w:cstheme="minorEastAsia"/>
                <w:color w:val="auto"/>
                <w:sz w:val="21"/>
                <w:szCs w:val="21"/>
                <w:highlight w:val="none"/>
                <w:lang w:eastAsia="zh-CN"/>
              </w:rPr>
              <w:t>西园食堂屋面整体维修项目</w:t>
            </w:r>
            <w:r>
              <w:rPr>
                <w:rFonts w:hint="eastAsia" w:asciiTheme="minorEastAsia" w:hAnsiTheme="minorEastAsia" w:cstheme="minorEastAsia"/>
                <w:color w:val="auto"/>
                <w:sz w:val="21"/>
                <w:szCs w:val="21"/>
                <w:highlight w:val="none"/>
                <w:lang w:eastAsia="zh-CN"/>
              </w:rPr>
              <w:t>（</w:t>
            </w:r>
            <w:r>
              <w:rPr>
                <w:rFonts w:hint="eastAsia" w:asciiTheme="minorEastAsia" w:hAnsiTheme="minorEastAsia" w:cstheme="minorEastAsia"/>
                <w:color w:val="auto"/>
                <w:sz w:val="21"/>
                <w:szCs w:val="21"/>
                <w:highlight w:val="none"/>
                <w:lang w:val="en-US" w:eastAsia="zh-CN"/>
              </w:rPr>
              <w:t>二次</w:t>
            </w:r>
            <w:r>
              <w:rPr>
                <w:rFonts w:hint="eastAsia" w:asciiTheme="minorEastAsia" w:hAnsiTheme="minorEastAsia" w:cstheme="minorEastAsia"/>
                <w:color w:val="auto"/>
                <w:sz w:val="21"/>
                <w:szCs w:val="21"/>
                <w:highlight w:val="none"/>
                <w:lang w:eastAsia="zh-CN"/>
              </w:rPr>
              <w:t>）</w:t>
            </w:r>
          </w:p>
        </w:tc>
        <w:tc>
          <w:tcPr>
            <w:tcW w:w="3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4A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建筑业</w:t>
            </w:r>
          </w:p>
        </w:tc>
      </w:tr>
    </w:tbl>
    <w:p w14:paraId="5C771C29">
      <w:pPr>
        <w:numPr>
          <w:ilvl w:val="0"/>
          <w:numId w:val="0"/>
        </w:numPr>
        <w:rPr>
          <w:rFonts w:hint="eastAsia" w:ascii="宋体" w:hAnsi="宋体" w:cs="宋体"/>
          <w:b/>
          <w:bCs/>
          <w:sz w:val="21"/>
          <w:szCs w:val="21"/>
          <w:lang w:val="en-US" w:eastAsia="zh-CN"/>
        </w:rPr>
      </w:pPr>
    </w:p>
    <w:p w14:paraId="745802C2">
      <w:pPr>
        <w:numPr>
          <w:ilvl w:val="0"/>
          <w:numId w:val="0"/>
        </w:numPr>
        <w:ind w:firstLine="422" w:firstLineChars="200"/>
        <w:rPr>
          <w:rFonts w:hint="eastAsia" w:ascii="宋体" w:hAnsi="宋体" w:cs="宋体"/>
          <w:b/>
          <w:bCs/>
          <w:sz w:val="21"/>
          <w:szCs w:val="21"/>
          <w:lang w:val="en-US" w:eastAsia="zh-CN"/>
        </w:rPr>
        <w:sectPr>
          <w:headerReference r:id="rId3" w:type="default"/>
          <w:footerReference r:id="rId4" w:type="default"/>
          <w:pgSz w:w="11907" w:h="16840"/>
          <w:pgMar w:top="1440" w:right="1800" w:bottom="1440" w:left="1800" w:header="720" w:footer="720" w:gutter="0"/>
          <w:cols w:space="720" w:num="1"/>
          <w:docGrid w:linePitch="380" w:charSpace="0"/>
        </w:sectPr>
      </w:pPr>
    </w:p>
    <w:p w14:paraId="346397EB">
      <w:pPr>
        <w:numPr>
          <w:ilvl w:val="0"/>
          <w:numId w:val="0"/>
        </w:numP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六、</w:t>
      </w:r>
      <w:r>
        <w:rPr>
          <w:rFonts w:hint="eastAsia" w:ascii="宋体" w:hAnsi="宋体" w:eastAsia="宋体" w:cs="宋体"/>
          <w:b/>
          <w:bCs/>
          <w:sz w:val="21"/>
          <w:szCs w:val="21"/>
          <w:lang w:val="en-US" w:eastAsia="zh-CN"/>
        </w:rPr>
        <w:t>主要设备材料招标人推荐品牌一览表</w:t>
      </w:r>
    </w:p>
    <w:p w14:paraId="1F06FEB2">
      <w:pPr>
        <w:spacing w:line="360" w:lineRule="auto"/>
        <w:ind w:firstLine="480"/>
        <w:rPr>
          <w:rFonts w:hint="eastAsia" w:ascii="宋体" w:hAnsi="宋体" w:eastAsia="宋体" w:cs="宋体"/>
          <w:color w:val="auto"/>
          <w:sz w:val="24"/>
        </w:rPr>
      </w:pPr>
    </w:p>
    <w:p w14:paraId="4E86CA9B">
      <w:pPr>
        <w:jc w:val="center"/>
        <w:rPr>
          <w:rFonts w:hint="eastAsia"/>
          <w:b/>
          <w:sz w:val="32"/>
          <w:szCs w:val="32"/>
          <w:u w:val="none"/>
        </w:rPr>
      </w:pPr>
      <w:r>
        <w:rPr>
          <w:rFonts w:hint="eastAsia"/>
          <w:b/>
          <w:sz w:val="32"/>
          <w:szCs w:val="32"/>
          <w:u w:val="none"/>
        </w:rPr>
        <w:t>主要设备材料招标人推荐品牌一览表</w:t>
      </w:r>
    </w:p>
    <w:tbl>
      <w:tblPr>
        <w:tblStyle w:val="5"/>
        <w:tblW w:w="9702" w:type="dxa"/>
        <w:tblInd w:w="-2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3"/>
        <w:gridCol w:w="1650"/>
        <w:gridCol w:w="2242"/>
        <w:gridCol w:w="3358"/>
        <w:gridCol w:w="1769"/>
      </w:tblGrid>
      <w:tr w14:paraId="4B4B4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4" w:hRule="atLeast"/>
        </w:trPr>
        <w:tc>
          <w:tcPr>
            <w:tcW w:w="683" w:type="dxa"/>
            <w:tcBorders>
              <w:top w:val="single" w:color="000000" w:sz="4" w:space="0"/>
              <w:left w:val="single" w:color="000000" w:sz="4" w:space="0"/>
              <w:bottom w:val="single" w:color="auto" w:sz="4" w:space="0"/>
              <w:right w:val="single" w:color="auto" w:sz="4" w:space="0"/>
            </w:tcBorders>
            <w:vAlign w:val="center"/>
          </w:tcPr>
          <w:p w14:paraId="3C4AD2E3">
            <w:pPr>
              <w:jc w:val="center"/>
              <w:rPr>
                <w:rFonts w:hint="eastAsia" w:cs="宋体"/>
                <w:b/>
                <w:bCs/>
                <w:u w:val="none"/>
              </w:rPr>
            </w:pPr>
            <w:r>
              <w:rPr>
                <w:rFonts w:hint="eastAsia" w:cs="宋体"/>
                <w:b/>
                <w:bCs/>
                <w:u w:val="none"/>
              </w:rPr>
              <w:t>序号</w:t>
            </w:r>
          </w:p>
        </w:tc>
        <w:tc>
          <w:tcPr>
            <w:tcW w:w="1650" w:type="dxa"/>
            <w:tcBorders>
              <w:top w:val="single" w:color="000000" w:sz="4" w:space="0"/>
              <w:left w:val="single" w:color="auto" w:sz="4" w:space="0"/>
              <w:bottom w:val="single" w:color="auto" w:sz="4" w:space="0"/>
              <w:right w:val="single" w:color="000000" w:sz="4" w:space="0"/>
            </w:tcBorders>
            <w:vAlign w:val="center"/>
          </w:tcPr>
          <w:p w14:paraId="6F27A979">
            <w:pPr>
              <w:jc w:val="center"/>
              <w:rPr>
                <w:rFonts w:hint="eastAsia" w:cs="宋体"/>
                <w:b/>
                <w:bCs/>
                <w:u w:val="none"/>
              </w:rPr>
            </w:pPr>
            <w:r>
              <w:rPr>
                <w:rFonts w:hint="eastAsia" w:cs="宋体"/>
                <w:b/>
                <w:bCs/>
                <w:u w:val="none"/>
              </w:rPr>
              <w:t>材料设备名称</w:t>
            </w:r>
          </w:p>
        </w:tc>
        <w:tc>
          <w:tcPr>
            <w:tcW w:w="2242" w:type="dxa"/>
            <w:tcBorders>
              <w:top w:val="single" w:color="000000" w:sz="4" w:space="0"/>
              <w:left w:val="single" w:color="000000" w:sz="4" w:space="0"/>
              <w:bottom w:val="single" w:color="auto" w:sz="4" w:space="0"/>
              <w:right w:val="single" w:color="000000" w:sz="4" w:space="0"/>
            </w:tcBorders>
            <w:vAlign w:val="center"/>
          </w:tcPr>
          <w:p w14:paraId="75648E17">
            <w:pPr>
              <w:jc w:val="center"/>
              <w:rPr>
                <w:rFonts w:hint="eastAsia" w:cs="宋体"/>
                <w:b/>
                <w:bCs/>
                <w:u w:val="none"/>
              </w:rPr>
            </w:pPr>
            <w:r>
              <w:rPr>
                <w:rFonts w:hint="eastAsia" w:cs="宋体"/>
                <w:b/>
                <w:bCs/>
                <w:u w:val="none"/>
              </w:rPr>
              <w:t>材料主要性能要求</w:t>
            </w:r>
          </w:p>
        </w:tc>
        <w:tc>
          <w:tcPr>
            <w:tcW w:w="3358" w:type="dxa"/>
            <w:tcBorders>
              <w:top w:val="single" w:color="000000" w:sz="4" w:space="0"/>
              <w:left w:val="single" w:color="000000" w:sz="4" w:space="0"/>
              <w:bottom w:val="single" w:color="auto" w:sz="4" w:space="0"/>
              <w:right w:val="single" w:color="000000" w:sz="4" w:space="0"/>
            </w:tcBorders>
            <w:vAlign w:val="center"/>
          </w:tcPr>
          <w:p w14:paraId="2169606B">
            <w:pPr>
              <w:jc w:val="center"/>
              <w:rPr>
                <w:rFonts w:hint="eastAsia" w:cs="宋体"/>
                <w:b/>
                <w:bCs/>
                <w:u w:val="none"/>
              </w:rPr>
            </w:pPr>
            <w:r>
              <w:rPr>
                <w:rFonts w:hint="eastAsia" w:cs="宋体"/>
                <w:b/>
                <w:bCs/>
                <w:u w:val="none"/>
              </w:rPr>
              <w:t>招标人推荐品牌</w:t>
            </w:r>
          </w:p>
        </w:tc>
        <w:tc>
          <w:tcPr>
            <w:tcW w:w="1769" w:type="dxa"/>
            <w:tcBorders>
              <w:top w:val="single" w:color="000000" w:sz="4" w:space="0"/>
              <w:left w:val="single" w:color="000000" w:sz="4" w:space="0"/>
              <w:bottom w:val="single" w:color="auto" w:sz="4" w:space="0"/>
              <w:right w:val="single" w:color="000000" w:sz="4" w:space="0"/>
            </w:tcBorders>
            <w:vAlign w:val="center"/>
          </w:tcPr>
          <w:p w14:paraId="00680818">
            <w:pPr>
              <w:jc w:val="center"/>
              <w:rPr>
                <w:rFonts w:hint="eastAsia" w:cs="宋体"/>
                <w:b/>
                <w:bCs/>
                <w:u w:val="none"/>
              </w:rPr>
            </w:pPr>
            <w:r>
              <w:rPr>
                <w:rFonts w:hint="eastAsia" w:cs="宋体"/>
                <w:b/>
                <w:bCs/>
                <w:u w:val="none"/>
              </w:rPr>
              <w:t>投标人选用品牌</w:t>
            </w:r>
          </w:p>
        </w:tc>
      </w:tr>
      <w:tr w14:paraId="388FD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83" w:type="dxa"/>
            <w:tcBorders>
              <w:top w:val="single" w:color="000000" w:sz="4" w:space="0"/>
              <w:left w:val="single" w:color="000000" w:sz="4" w:space="0"/>
              <w:bottom w:val="single" w:color="000000" w:sz="4" w:space="0"/>
              <w:right w:val="single" w:color="auto" w:sz="4" w:space="0"/>
            </w:tcBorders>
            <w:vAlign w:val="center"/>
          </w:tcPr>
          <w:p w14:paraId="6F3ABBE2">
            <w:pPr>
              <w:jc w:val="center"/>
              <w:rPr>
                <w:rFonts w:hint="default" w:eastAsia="宋体" w:cs="宋体"/>
                <w:sz w:val="21"/>
                <w:szCs w:val="21"/>
                <w:u w:val="none"/>
                <w:lang w:val="en-US" w:eastAsia="zh-CN"/>
              </w:rPr>
            </w:pPr>
            <w:r>
              <w:rPr>
                <w:rFonts w:hint="eastAsia" w:cs="宋体"/>
                <w:sz w:val="21"/>
                <w:szCs w:val="21"/>
                <w:u w:val="none"/>
                <w:lang w:val="en-US" w:eastAsia="zh-CN"/>
              </w:rPr>
              <w:t>1</w:t>
            </w:r>
          </w:p>
        </w:tc>
        <w:tc>
          <w:tcPr>
            <w:tcW w:w="1650" w:type="dxa"/>
            <w:tcBorders>
              <w:top w:val="single" w:color="000000" w:sz="4" w:space="0"/>
              <w:left w:val="single" w:color="auto" w:sz="4" w:space="0"/>
              <w:bottom w:val="single" w:color="000000" w:sz="4" w:space="0"/>
              <w:right w:val="single" w:color="000000" w:sz="4" w:space="0"/>
            </w:tcBorders>
            <w:vAlign w:val="center"/>
          </w:tcPr>
          <w:p w14:paraId="53135BB8">
            <w:pPr>
              <w:jc w:val="center"/>
              <w:rPr>
                <w:rFonts w:hint="eastAsia" w:cs="宋体"/>
                <w:kern w:val="0"/>
                <w:sz w:val="21"/>
                <w:szCs w:val="21"/>
                <w:u w:val="none"/>
              </w:rPr>
            </w:pPr>
            <w:r>
              <w:rPr>
                <w:rFonts w:hint="eastAsia" w:cs="宋体"/>
                <w:sz w:val="21"/>
                <w:szCs w:val="21"/>
                <w:u w:val="none"/>
              </w:rPr>
              <w:t>灯具</w:t>
            </w:r>
          </w:p>
        </w:tc>
        <w:tc>
          <w:tcPr>
            <w:tcW w:w="2242" w:type="dxa"/>
            <w:tcBorders>
              <w:top w:val="single" w:color="000000" w:sz="4" w:space="0"/>
              <w:left w:val="single" w:color="000000" w:sz="4" w:space="0"/>
              <w:bottom w:val="single" w:color="000000" w:sz="4" w:space="0"/>
              <w:right w:val="single" w:color="000000" w:sz="4" w:space="0"/>
            </w:tcBorders>
            <w:vAlign w:val="center"/>
          </w:tcPr>
          <w:p w14:paraId="17870111">
            <w:pPr>
              <w:jc w:val="center"/>
              <w:rPr>
                <w:rFonts w:hint="eastAsia" w:cs="宋体"/>
                <w:sz w:val="21"/>
                <w:szCs w:val="21"/>
                <w:u w:val="none"/>
              </w:rPr>
            </w:pPr>
            <w:r>
              <w:rPr>
                <w:rFonts w:hint="eastAsia" w:cs="宋体"/>
                <w:sz w:val="21"/>
                <w:szCs w:val="21"/>
                <w:u w:val="none"/>
              </w:rPr>
              <w:t>合格品及其以上等级</w:t>
            </w:r>
          </w:p>
        </w:tc>
        <w:tc>
          <w:tcPr>
            <w:tcW w:w="3358" w:type="dxa"/>
            <w:tcBorders>
              <w:top w:val="single" w:color="000000" w:sz="4" w:space="0"/>
              <w:left w:val="single" w:color="000000" w:sz="4" w:space="0"/>
              <w:bottom w:val="single" w:color="000000" w:sz="4" w:space="0"/>
              <w:right w:val="single" w:color="000000" w:sz="4" w:space="0"/>
            </w:tcBorders>
            <w:vAlign w:val="center"/>
          </w:tcPr>
          <w:p w14:paraId="2935805F">
            <w:pPr>
              <w:jc w:val="center"/>
              <w:rPr>
                <w:rFonts w:hint="eastAsia" w:cs="宋体"/>
                <w:sz w:val="21"/>
                <w:szCs w:val="21"/>
                <w:u w:val="none"/>
              </w:rPr>
            </w:pPr>
            <w:r>
              <w:rPr>
                <w:rFonts w:hint="eastAsia" w:cs="宋体"/>
                <w:sz w:val="21"/>
                <w:szCs w:val="21"/>
                <w:u w:val="none"/>
              </w:rPr>
              <w:t>雷士、欧普、飞利浦、松下</w:t>
            </w:r>
          </w:p>
        </w:tc>
        <w:tc>
          <w:tcPr>
            <w:tcW w:w="1769" w:type="dxa"/>
            <w:tcBorders>
              <w:top w:val="single" w:color="000000" w:sz="4" w:space="0"/>
              <w:left w:val="single" w:color="000000" w:sz="4" w:space="0"/>
              <w:bottom w:val="single" w:color="000000" w:sz="4" w:space="0"/>
              <w:right w:val="single" w:color="000000" w:sz="4" w:space="0"/>
            </w:tcBorders>
          </w:tcPr>
          <w:p w14:paraId="484AB4AA">
            <w:pPr>
              <w:jc w:val="center"/>
              <w:rPr>
                <w:rFonts w:hint="eastAsia" w:cs="宋体"/>
                <w:sz w:val="21"/>
                <w:szCs w:val="21"/>
                <w:u w:val="none"/>
              </w:rPr>
            </w:pPr>
          </w:p>
        </w:tc>
      </w:tr>
      <w:tr w14:paraId="5957E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83" w:type="dxa"/>
            <w:tcBorders>
              <w:top w:val="single" w:color="000000" w:sz="4" w:space="0"/>
              <w:left w:val="single" w:color="000000" w:sz="4" w:space="0"/>
              <w:bottom w:val="single" w:color="000000" w:sz="4" w:space="0"/>
              <w:right w:val="single" w:color="auto" w:sz="4" w:space="0"/>
            </w:tcBorders>
            <w:vAlign w:val="center"/>
          </w:tcPr>
          <w:p w14:paraId="2FA7EAA3">
            <w:pPr>
              <w:jc w:val="center"/>
              <w:rPr>
                <w:rFonts w:hint="default" w:cs="宋体"/>
                <w:sz w:val="21"/>
                <w:szCs w:val="21"/>
                <w:u w:val="none"/>
                <w:lang w:val="en-US" w:eastAsia="zh-CN"/>
              </w:rPr>
            </w:pPr>
            <w:r>
              <w:rPr>
                <w:rFonts w:hint="eastAsia" w:cs="宋体"/>
                <w:sz w:val="21"/>
                <w:szCs w:val="21"/>
                <w:u w:val="none"/>
                <w:lang w:val="en-US" w:eastAsia="zh-CN"/>
              </w:rPr>
              <w:t>2</w:t>
            </w:r>
          </w:p>
        </w:tc>
        <w:tc>
          <w:tcPr>
            <w:tcW w:w="1650" w:type="dxa"/>
            <w:tcBorders>
              <w:top w:val="single" w:color="000000" w:sz="4" w:space="0"/>
              <w:left w:val="single" w:color="auto" w:sz="4" w:space="0"/>
              <w:bottom w:val="single" w:color="000000" w:sz="4" w:space="0"/>
              <w:right w:val="single" w:color="000000" w:sz="4" w:space="0"/>
            </w:tcBorders>
            <w:vAlign w:val="center"/>
          </w:tcPr>
          <w:p w14:paraId="0D1DF851">
            <w:pPr>
              <w:widowControl/>
              <w:jc w:val="center"/>
              <w:rPr>
                <w:rFonts w:hint="eastAsia" w:eastAsia="宋体" w:cs="宋体"/>
                <w:kern w:val="0"/>
                <w:sz w:val="21"/>
                <w:szCs w:val="21"/>
                <w:u w:val="none"/>
                <w:lang w:val="en-US" w:eastAsia="zh-CN"/>
              </w:rPr>
            </w:pPr>
            <w:r>
              <w:rPr>
                <w:rFonts w:hint="eastAsia" w:cs="宋体"/>
                <w:kern w:val="0"/>
                <w:sz w:val="21"/>
                <w:szCs w:val="21"/>
                <w:u w:val="none"/>
              </w:rPr>
              <w:t>乳胶漆</w:t>
            </w:r>
          </w:p>
        </w:tc>
        <w:tc>
          <w:tcPr>
            <w:tcW w:w="2242" w:type="dxa"/>
            <w:tcBorders>
              <w:top w:val="single" w:color="000000" w:sz="4" w:space="0"/>
              <w:left w:val="single" w:color="000000" w:sz="4" w:space="0"/>
              <w:bottom w:val="single" w:color="000000" w:sz="4" w:space="0"/>
              <w:right w:val="single" w:color="000000" w:sz="4" w:space="0"/>
            </w:tcBorders>
            <w:vAlign w:val="center"/>
          </w:tcPr>
          <w:p w14:paraId="790B6B77">
            <w:pPr>
              <w:widowControl/>
              <w:jc w:val="center"/>
              <w:rPr>
                <w:rFonts w:hint="eastAsia" w:cs="宋体"/>
                <w:sz w:val="21"/>
                <w:szCs w:val="21"/>
                <w:u w:val="none"/>
              </w:rPr>
            </w:pPr>
            <w:r>
              <w:rPr>
                <w:rFonts w:hint="eastAsia" w:cs="宋体"/>
                <w:sz w:val="21"/>
                <w:szCs w:val="21"/>
                <w:u w:val="none"/>
              </w:rPr>
              <w:t>合格品及其以上等级，环保等级达E1级</w:t>
            </w:r>
          </w:p>
        </w:tc>
        <w:tc>
          <w:tcPr>
            <w:tcW w:w="3358" w:type="dxa"/>
            <w:tcBorders>
              <w:top w:val="single" w:color="000000" w:sz="4" w:space="0"/>
              <w:left w:val="single" w:color="000000" w:sz="4" w:space="0"/>
              <w:bottom w:val="single" w:color="000000" w:sz="4" w:space="0"/>
              <w:right w:val="single" w:color="000000" w:sz="4" w:space="0"/>
            </w:tcBorders>
            <w:vAlign w:val="center"/>
          </w:tcPr>
          <w:p w14:paraId="25ED24D2">
            <w:pPr>
              <w:widowControl/>
              <w:jc w:val="center"/>
              <w:rPr>
                <w:rFonts w:hint="eastAsia" w:cs="宋体"/>
                <w:color w:val="auto"/>
                <w:sz w:val="21"/>
                <w:szCs w:val="21"/>
                <w:u w:val="none"/>
              </w:rPr>
            </w:pPr>
            <w:r>
              <w:rPr>
                <w:rFonts w:hint="eastAsia" w:cs="宋体"/>
                <w:sz w:val="21"/>
                <w:szCs w:val="21"/>
                <w:u w:val="none"/>
              </w:rPr>
              <w:t>立邦、多乐士、华润、三棵树</w:t>
            </w:r>
          </w:p>
        </w:tc>
        <w:tc>
          <w:tcPr>
            <w:tcW w:w="1769" w:type="dxa"/>
            <w:tcBorders>
              <w:top w:val="single" w:color="000000" w:sz="4" w:space="0"/>
              <w:left w:val="single" w:color="000000" w:sz="4" w:space="0"/>
              <w:bottom w:val="single" w:color="000000" w:sz="4" w:space="0"/>
              <w:right w:val="single" w:color="000000" w:sz="4" w:space="0"/>
            </w:tcBorders>
          </w:tcPr>
          <w:p w14:paraId="277F0B34">
            <w:pPr>
              <w:jc w:val="center"/>
              <w:rPr>
                <w:rFonts w:hint="eastAsia" w:cs="宋体"/>
                <w:sz w:val="21"/>
                <w:szCs w:val="21"/>
                <w:u w:val="none"/>
              </w:rPr>
            </w:pPr>
          </w:p>
        </w:tc>
      </w:tr>
      <w:tr w14:paraId="26E05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83" w:type="dxa"/>
            <w:tcBorders>
              <w:top w:val="single" w:color="000000" w:sz="4" w:space="0"/>
              <w:left w:val="single" w:color="000000" w:sz="4" w:space="0"/>
              <w:bottom w:val="single" w:color="000000" w:sz="4" w:space="0"/>
              <w:right w:val="single" w:color="auto" w:sz="4" w:space="0"/>
            </w:tcBorders>
            <w:vAlign w:val="center"/>
          </w:tcPr>
          <w:p w14:paraId="0A6C844D">
            <w:pPr>
              <w:jc w:val="center"/>
              <w:rPr>
                <w:rFonts w:hint="default" w:cs="宋体"/>
                <w:sz w:val="21"/>
                <w:szCs w:val="21"/>
                <w:u w:val="none"/>
                <w:lang w:val="en-US" w:eastAsia="zh-CN"/>
              </w:rPr>
            </w:pPr>
            <w:r>
              <w:rPr>
                <w:rFonts w:hint="eastAsia" w:cs="宋体"/>
                <w:sz w:val="21"/>
                <w:szCs w:val="21"/>
                <w:u w:val="none"/>
                <w:lang w:val="en-US" w:eastAsia="zh-CN"/>
              </w:rPr>
              <w:t>3</w:t>
            </w:r>
          </w:p>
        </w:tc>
        <w:tc>
          <w:tcPr>
            <w:tcW w:w="1650" w:type="dxa"/>
            <w:tcBorders>
              <w:top w:val="single" w:color="000000" w:sz="4" w:space="0"/>
              <w:left w:val="single" w:color="auto" w:sz="4" w:space="0"/>
              <w:bottom w:val="single" w:color="000000" w:sz="4" w:space="0"/>
              <w:right w:val="single" w:color="000000" w:sz="4" w:space="0"/>
            </w:tcBorders>
            <w:vAlign w:val="center"/>
          </w:tcPr>
          <w:p w14:paraId="2536071A">
            <w:pPr>
              <w:widowControl/>
              <w:jc w:val="center"/>
              <w:rPr>
                <w:rFonts w:hint="default" w:cs="宋体"/>
                <w:kern w:val="0"/>
                <w:sz w:val="21"/>
                <w:szCs w:val="21"/>
                <w:u w:val="none"/>
                <w:lang w:val="en-US" w:eastAsia="zh-CN"/>
              </w:rPr>
            </w:pPr>
            <w:r>
              <w:rPr>
                <w:rFonts w:hint="eastAsia" w:cs="宋体"/>
                <w:kern w:val="0"/>
                <w:sz w:val="21"/>
                <w:szCs w:val="21"/>
                <w:u w:val="none"/>
              </w:rPr>
              <w:t>PVC地板</w:t>
            </w:r>
          </w:p>
        </w:tc>
        <w:tc>
          <w:tcPr>
            <w:tcW w:w="2242" w:type="dxa"/>
            <w:tcBorders>
              <w:top w:val="single" w:color="000000" w:sz="4" w:space="0"/>
              <w:left w:val="single" w:color="000000" w:sz="4" w:space="0"/>
              <w:bottom w:val="single" w:color="000000" w:sz="4" w:space="0"/>
              <w:right w:val="single" w:color="000000" w:sz="4" w:space="0"/>
            </w:tcBorders>
            <w:vAlign w:val="center"/>
          </w:tcPr>
          <w:p w14:paraId="2FEA1470">
            <w:pPr>
              <w:widowControl/>
              <w:jc w:val="center"/>
              <w:rPr>
                <w:rFonts w:hint="eastAsia" w:cs="宋体"/>
                <w:sz w:val="21"/>
                <w:szCs w:val="21"/>
                <w:u w:val="none"/>
              </w:rPr>
            </w:pPr>
            <w:r>
              <w:rPr>
                <w:rFonts w:hint="eastAsia" w:cs="宋体"/>
                <w:sz w:val="21"/>
                <w:szCs w:val="21"/>
                <w:u w:val="none"/>
              </w:rPr>
              <w:t>合格品及其以上等级</w:t>
            </w:r>
          </w:p>
        </w:tc>
        <w:tc>
          <w:tcPr>
            <w:tcW w:w="3358" w:type="dxa"/>
            <w:tcBorders>
              <w:top w:val="single" w:color="000000" w:sz="4" w:space="0"/>
              <w:left w:val="single" w:color="000000" w:sz="4" w:space="0"/>
              <w:bottom w:val="single" w:color="000000" w:sz="4" w:space="0"/>
              <w:right w:val="single" w:color="000000" w:sz="4" w:space="0"/>
            </w:tcBorders>
            <w:vAlign w:val="center"/>
          </w:tcPr>
          <w:p w14:paraId="65BAC30C">
            <w:pPr>
              <w:widowControl/>
              <w:jc w:val="center"/>
              <w:rPr>
                <w:rFonts w:hint="eastAsia" w:cs="宋体"/>
                <w:color w:val="auto"/>
                <w:sz w:val="21"/>
                <w:szCs w:val="21"/>
                <w:u w:val="none"/>
              </w:rPr>
            </w:pPr>
            <w:r>
              <w:rPr>
                <w:rFonts w:hint="eastAsia" w:cs="宋体"/>
                <w:sz w:val="21"/>
                <w:szCs w:val="21"/>
                <w:u w:val="none"/>
              </w:rPr>
              <w:t>阿姆斯壮</w:t>
            </w:r>
            <w:r>
              <w:rPr>
                <w:rFonts w:hint="eastAsia" w:cs="宋体"/>
                <w:sz w:val="21"/>
                <w:szCs w:val="21"/>
                <w:u w:val="none"/>
                <w:lang w:eastAsia="zh-CN"/>
              </w:rPr>
              <w:t>、</w:t>
            </w:r>
            <w:r>
              <w:rPr>
                <w:rFonts w:hint="eastAsia" w:cs="宋体"/>
                <w:sz w:val="21"/>
                <w:szCs w:val="21"/>
                <w:u w:val="none"/>
              </w:rPr>
              <w:t>洁福</w:t>
            </w:r>
            <w:r>
              <w:rPr>
                <w:rFonts w:hint="eastAsia" w:cs="宋体"/>
                <w:sz w:val="21"/>
                <w:szCs w:val="21"/>
                <w:u w:val="none"/>
                <w:lang w:eastAsia="zh-CN"/>
              </w:rPr>
              <w:t>、</w:t>
            </w:r>
            <w:r>
              <w:rPr>
                <w:rFonts w:hint="eastAsia" w:cs="宋体"/>
                <w:sz w:val="21"/>
                <w:szCs w:val="21"/>
                <w:u w:val="none"/>
              </w:rPr>
              <w:t>得嘉</w:t>
            </w:r>
          </w:p>
        </w:tc>
        <w:tc>
          <w:tcPr>
            <w:tcW w:w="1769" w:type="dxa"/>
            <w:tcBorders>
              <w:top w:val="single" w:color="000000" w:sz="4" w:space="0"/>
              <w:left w:val="single" w:color="000000" w:sz="4" w:space="0"/>
              <w:bottom w:val="single" w:color="000000" w:sz="4" w:space="0"/>
              <w:right w:val="single" w:color="000000" w:sz="4" w:space="0"/>
            </w:tcBorders>
          </w:tcPr>
          <w:p w14:paraId="7A1953D9">
            <w:pPr>
              <w:jc w:val="center"/>
              <w:rPr>
                <w:rFonts w:hint="eastAsia" w:cs="宋体"/>
                <w:sz w:val="21"/>
                <w:szCs w:val="21"/>
                <w:u w:val="none"/>
              </w:rPr>
            </w:pPr>
          </w:p>
        </w:tc>
      </w:tr>
      <w:tr w14:paraId="34528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83" w:type="dxa"/>
            <w:tcBorders>
              <w:top w:val="single" w:color="000000" w:sz="4" w:space="0"/>
              <w:left w:val="single" w:color="000000" w:sz="4" w:space="0"/>
              <w:bottom w:val="single" w:color="000000" w:sz="4" w:space="0"/>
              <w:right w:val="single" w:color="auto" w:sz="4" w:space="0"/>
            </w:tcBorders>
            <w:vAlign w:val="center"/>
          </w:tcPr>
          <w:p w14:paraId="75825E4E">
            <w:pPr>
              <w:jc w:val="center"/>
              <w:rPr>
                <w:rFonts w:hint="default" w:cs="宋体"/>
                <w:sz w:val="21"/>
                <w:szCs w:val="21"/>
                <w:u w:val="none"/>
                <w:lang w:val="en-US" w:eastAsia="zh-CN"/>
              </w:rPr>
            </w:pPr>
            <w:r>
              <w:rPr>
                <w:rFonts w:hint="eastAsia" w:cs="宋体"/>
                <w:sz w:val="21"/>
                <w:szCs w:val="21"/>
                <w:u w:val="none"/>
                <w:lang w:val="en-US" w:eastAsia="zh-CN"/>
              </w:rPr>
              <w:t>4</w:t>
            </w:r>
          </w:p>
        </w:tc>
        <w:tc>
          <w:tcPr>
            <w:tcW w:w="1650" w:type="dxa"/>
            <w:tcBorders>
              <w:top w:val="single" w:color="000000" w:sz="4" w:space="0"/>
              <w:left w:val="single" w:color="auto" w:sz="4" w:space="0"/>
              <w:bottom w:val="single" w:color="000000" w:sz="4" w:space="0"/>
              <w:right w:val="single" w:color="000000" w:sz="4" w:space="0"/>
            </w:tcBorders>
            <w:vAlign w:val="center"/>
          </w:tcPr>
          <w:p w14:paraId="78C1C869">
            <w:pPr>
              <w:widowControl/>
              <w:jc w:val="center"/>
              <w:rPr>
                <w:rFonts w:hint="eastAsia" w:cs="宋体"/>
                <w:kern w:val="0"/>
                <w:sz w:val="21"/>
                <w:szCs w:val="21"/>
                <w:u w:val="none"/>
                <w:lang w:val="en-US" w:eastAsia="zh-CN"/>
              </w:rPr>
            </w:pPr>
            <w:r>
              <w:rPr>
                <w:rFonts w:hint="eastAsia" w:cs="宋体"/>
                <w:kern w:val="0"/>
                <w:sz w:val="21"/>
                <w:szCs w:val="21"/>
                <w:u w:val="none"/>
                <w:lang w:val="en-US" w:eastAsia="zh-CN"/>
              </w:rPr>
              <w:t>环氧地坪</w:t>
            </w:r>
          </w:p>
        </w:tc>
        <w:tc>
          <w:tcPr>
            <w:tcW w:w="2242" w:type="dxa"/>
            <w:tcBorders>
              <w:top w:val="single" w:color="000000" w:sz="4" w:space="0"/>
              <w:left w:val="single" w:color="000000" w:sz="4" w:space="0"/>
              <w:bottom w:val="single" w:color="000000" w:sz="4" w:space="0"/>
              <w:right w:val="single" w:color="000000" w:sz="4" w:space="0"/>
            </w:tcBorders>
            <w:vAlign w:val="center"/>
          </w:tcPr>
          <w:p w14:paraId="48C2FF57">
            <w:pPr>
              <w:widowControl/>
              <w:jc w:val="center"/>
              <w:rPr>
                <w:rFonts w:hint="eastAsia" w:cs="宋体"/>
                <w:sz w:val="21"/>
                <w:szCs w:val="21"/>
                <w:u w:val="none"/>
              </w:rPr>
            </w:pPr>
            <w:r>
              <w:rPr>
                <w:rFonts w:hint="eastAsia" w:cs="宋体"/>
                <w:sz w:val="21"/>
                <w:szCs w:val="21"/>
                <w:u w:val="none"/>
              </w:rPr>
              <w:t>合格品及其以上等级</w:t>
            </w:r>
          </w:p>
        </w:tc>
        <w:tc>
          <w:tcPr>
            <w:tcW w:w="3358" w:type="dxa"/>
            <w:tcBorders>
              <w:top w:val="single" w:color="000000" w:sz="4" w:space="0"/>
              <w:left w:val="single" w:color="000000" w:sz="4" w:space="0"/>
              <w:bottom w:val="single" w:color="000000" w:sz="4" w:space="0"/>
              <w:right w:val="single" w:color="000000" w:sz="4" w:space="0"/>
            </w:tcBorders>
            <w:vAlign w:val="center"/>
          </w:tcPr>
          <w:p w14:paraId="6FF3F928">
            <w:pPr>
              <w:widowControl/>
              <w:jc w:val="center"/>
              <w:rPr>
                <w:rFonts w:hint="eastAsia" w:cs="宋体"/>
                <w:color w:val="auto"/>
                <w:sz w:val="21"/>
                <w:szCs w:val="21"/>
                <w:u w:val="none"/>
              </w:rPr>
            </w:pPr>
            <w:r>
              <w:rPr>
                <w:rFonts w:hint="eastAsia" w:cs="宋体"/>
                <w:sz w:val="21"/>
                <w:szCs w:val="21"/>
                <w:u w:val="none"/>
                <w:lang w:val="en-US" w:eastAsia="zh-CN"/>
              </w:rPr>
              <w:t>立邦、三棵树、嘉宝莉、</w:t>
            </w:r>
            <w:r>
              <w:rPr>
                <w:rFonts w:ascii="宋体" w:hAnsi="宋体" w:eastAsia="宋体" w:cs="宋体"/>
                <w:sz w:val="24"/>
                <w:szCs w:val="24"/>
                <w:u w:val="none"/>
              </w:rPr>
              <w:t>秀珀</w:t>
            </w:r>
          </w:p>
        </w:tc>
        <w:tc>
          <w:tcPr>
            <w:tcW w:w="1769" w:type="dxa"/>
            <w:tcBorders>
              <w:top w:val="single" w:color="000000" w:sz="4" w:space="0"/>
              <w:left w:val="single" w:color="000000" w:sz="4" w:space="0"/>
              <w:bottom w:val="single" w:color="000000" w:sz="4" w:space="0"/>
              <w:right w:val="single" w:color="000000" w:sz="4" w:space="0"/>
            </w:tcBorders>
          </w:tcPr>
          <w:p w14:paraId="24331F48">
            <w:pPr>
              <w:jc w:val="center"/>
              <w:rPr>
                <w:rFonts w:hint="eastAsia" w:cs="宋体"/>
                <w:sz w:val="21"/>
                <w:szCs w:val="21"/>
                <w:u w:val="none"/>
              </w:rPr>
            </w:pPr>
          </w:p>
        </w:tc>
      </w:tr>
    </w:tbl>
    <w:p w14:paraId="14B894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w:t>
      </w:r>
    </w:p>
    <w:p w14:paraId="6E62C4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1、以上材料在进场前须经建设单位和设计单位认可，建设单位有权在颜色、样式、用量、材质、配置等方面做出适当调整，但价格不予调整。</w:t>
      </w:r>
    </w:p>
    <w:p w14:paraId="6828029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投标人投标时需选择某一具体品牌。如投标人采用推荐品牌以外的其他产品供货的，质量和性能等技术指标必须优于或者相当于推荐品牌。一旦中标，中标人不得以任何理由更换推荐品牌,并于领取中标通知书后三天内向建设单位提供样品，经建设单位认可后方可签订合同。</w:t>
      </w:r>
      <w:r>
        <w:rPr>
          <w:rFonts w:hint="eastAsia" w:ascii="宋体" w:hAnsi="宋体" w:eastAsia="宋体" w:cs="宋体"/>
          <w:sz w:val="21"/>
          <w:szCs w:val="21"/>
          <w:lang w:val="zh-CN" w:eastAsia="zh-CN"/>
        </w:rPr>
        <w:t>如选定品牌的产品因停产或特殊原因导致无法采购，投标人需提供书面依据，并补充同档次品牌且必须报招标人确认后采购，优先选择招标文件推荐品牌，投标人不得由此而提出对合同价格进行调整。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41F3A">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8693"/>
                            <w:docPartObj>
                              <w:docPartGallery w:val="autotext"/>
                            </w:docPartObj>
                          </w:sdtPr>
                          <w:sdtContent>
                            <w:p w14:paraId="58C8FD55">
                              <w:pPr>
                                <w:pStyle w:val="3"/>
                                <w:jc w:val="center"/>
                              </w:pPr>
                              <w:r>
                                <w:fldChar w:fldCharType="begin"/>
                              </w:r>
                              <w:r>
                                <w:instrText xml:space="preserve">PAGE   \* MERGEFORMAT</w:instrText>
                              </w:r>
                              <w:r>
                                <w:fldChar w:fldCharType="separate"/>
                              </w:r>
                              <w:r>
                                <w:rPr>
                                  <w:lang w:val="zh-CN"/>
                                </w:rPr>
                                <w:t>21</w:t>
                              </w:r>
                              <w:r>
                                <w:rPr>
                                  <w:lang w:val="zh-CN"/>
                                </w:rPr>
                                <w:fldChar w:fldCharType="end"/>
                              </w:r>
                            </w:p>
                          </w:sdtContent>
                        </w:sdt>
                        <w:p w14:paraId="56A7803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47458693"/>
                      <w:docPartObj>
                        <w:docPartGallery w:val="autotext"/>
                      </w:docPartObj>
                    </w:sdtPr>
                    <w:sdtContent>
                      <w:p w14:paraId="58C8FD55">
                        <w:pPr>
                          <w:pStyle w:val="3"/>
                          <w:jc w:val="center"/>
                        </w:pPr>
                        <w:r>
                          <w:fldChar w:fldCharType="begin"/>
                        </w:r>
                        <w:r>
                          <w:instrText xml:space="preserve">PAGE   \* MERGEFORMAT</w:instrText>
                        </w:r>
                        <w:r>
                          <w:fldChar w:fldCharType="separate"/>
                        </w:r>
                        <w:r>
                          <w:rPr>
                            <w:lang w:val="zh-CN"/>
                          </w:rPr>
                          <w:t>21</w:t>
                        </w:r>
                        <w:r>
                          <w:rPr>
                            <w:lang w:val="zh-CN"/>
                          </w:rPr>
                          <w:fldChar w:fldCharType="end"/>
                        </w:r>
                      </w:p>
                    </w:sdtContent>
                  </w:sdt>
                  <w:p w14:paraId="56A7803F"/>
                </w:txbxContent>
              </v:textbox>
            </v:shape>
          </w:pict>
        </mc:Fallback>
      </mc:AlternateContent>
    </w:r>
  </w:p>
  <w:p w14:paraId="70206316">
    <w:pPr>
      <w:pStyle w:val="3"/>
      <w:rPr>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9A4A7">
    <w:pPr>
      <w:pStyle w:val="4"/>
      <w:pBdr>
        <w:bottom w:val="none" w:color="auto" w:sz="0" w:space="1"/>
      </w:pBdr>
      <w:tabs>
        <w:tab w:val="left" w:pos="3565"/>
      </w:tabs>
      <w:rPr>
        <w:rFonts w:ascii="宋体"/>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255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spacing w:line="480" w:lineRule="exact"/>
      <w:ind w:firstLine="539"/>
    </w:pPr>
    <w:rPr>
      <w:rFonts w:ascii="等线" w:hAnsi="等线" w:eastAsia="宋体" w:cs="Times New Roman"/>
      <w:color w:val="000000"/>
      <w:sz w:val="24"/>
      <w:szCs w:val="24"/>
      <w:lang w:val="en-US" w:eastAsia="zh-CN" w:bidi="ar-SA"/>
    </w:r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2026-08-12T08:18:03Z</dcterms:created>
  <dc:creator>xy152</dc:creator>
  <cp:lastModifiedBy>李想</cp:lastModifiedBy>
  <dcterms:modified xsi:type="dcterms:W3CDTF">2026-08-12T08:18:50Z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eyJoZGlkIjoiZjlmZTM0ZGMxZDQ4NTg1YTBhZDhhZGQxYWIwMmZkMGUiLCJ1c2VySWQiOiIxMTc3MDM5MTI1In0=</vt:lpwstr>
  </property>
  <property fmtid="{D5CDD505-2E9C-101B-9397-08002B2CF9AE}" pid="4" name="ICV">
    <vt:lpwstr>771C7DACB9F747249B4981C955DD6C3B_12</vt:lpwstr>
  </property>
</Properties>
</file>