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3"/>
        <w:ind w:firstLine="0"/>
        <w:jc w:val="center"/>
        <w:rPr>
          <w:rFonts w:ascii="宋体" w:hAnsi="宋体" w:cs="宋体"/>
          <w:b/>
          <w:bCs/>
          <w:sz w:val="28"/>
          <w:szCs w:val="28"/>
        </w:rPr>
      </w:pPr>
      <w:r>
        <w:rPr>
          <w:rFonts w:ascii="宋体" w:hAnsi="宋体" w:cs="宋体"/>
          <w:b/>
          <w:color w:val="000000"/>
          <w:sz w:val="28"/>
          <w:szCs w:val="28"/>
        </w:rPr>
        <w:drawing>
          <wp:anchor distT="0" distB="0" distL="114300" distR="114300" simplePos="0" relativeHeight="251659264" behindDoc="1" locked="0" layoutInCell="1" allowOverlap="1">
            <wp:simplePos x="0" y="0"/>
            <wp:positionH relativeFrom="column">
              <wp:posOffset>3748405</wp:posOffset>
            </wp:positionH>
            <wp:positionV relativeFrom="paragraph">
              <wp:posOffset>-1045210</wp:posOffset>
            </wp:positionV>
            <wp:extent cx="2019300" cy="1744345"/>
            <wp:effectExtent l="0" t="0" r="0" b="8255"/>
            <wp:wrapNone/>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noChangeArrowheads="1"/>
                    </pic:cNvPicPr>
                  </pic:nvPicPr>
                  <pic:blipFill>
                    <a:blip r:embed="rId7" cstate="print"/>
                    <a:srcRect r="7275"/>
                    <a:stretch>
                      <a:fillRect/>
                    </a:stretch>
                  </pic:blipFill>
                  <pic:spPr>
                    <a:xfrm>
                      <a:off x="0" y="0"/>
                      <a:ext cx="2019300" cy="1744345"/>
                    </a:xfrm>
                    <a:prstGeom prst="rect">
                      <a:avLst/>
                    </a:prstGeom>
                    <a:noFill/>
                    <a:ln w="9525" cmpd="sng">
                      <a:noFill/>
                      <a:miter lim="800000"/>
                      <a:headEnd/>
                      <a:tailEnd/>
                    </a:ln>
                  </pic:spPr>
                </pic:pic>
              </a:graphicData>
            </a:graphic>
          </wp:anchor>
        </w:drawing>
      </w: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-1088390</wp:posOffset>
                </wp:positionH>
                <wp:positionV relativeFrom="paragraph">
                  <wp:posOffset>-1216660</wp:posOffset>
                </wp:positionV>
                <wp:extent cx="2752725" cy="2762250"/>
                <wp:effectExtent l="0" t="0" r="9525" b="0"/>
                <wp:wrapNone/>
                <wp:docPr id="39" name="椭圆 39"/>
                <wp:cNvGraphicFramePr/>
                <a:graphic xmlns:a="http://schemas.openxmlformats.org/drawingml/2006/main">
                  <a:graphicData uri="http://schemas.microsoft.com/office/word/2010/wordprocessingShape">
                    <wps:wsp>
                      <wps:cNvSpPr/>
                      <wps:spPr>
                        <a:xfrm>
                          <a:off x="0" y="0"/>
                          <a:ext cx="2752725" cy="2762250"/>
                        </a:xfrm>
                        <a:prstGeom prst="ellipse">
                          <a:avLst/>
                        </a:prstGeom>
                        <a:gradFill rotWithShape="0">
                          <a:gsLst>
                            <a:gs pos="0">
                              <a:srgbClr val="C00000">
                                <a:alpha val="0"/>
                              </a:srgbClr>
                            </a:gs>
                            <a:gs pos="100000">
                              <a:srgbClr val="FFFFFF">
                                <a:alpha val="59999"/>
                              </a:srgbClr>
                            </a:gs>
                          </a:gsLst>
                          <a:lin ang="5400000" scaled="1"/>
                          <a:tileRect/>
                        </a:gradFill>
                        <a:ln>
                          <a:noFill/>
                        </a:ln>
                        <a:effectLst/>
                      </wps:spPr>
                      <wps:txbx>
                        <w:txbxContent>
                          <w:p>
                            <w:pPr>
                              <w:jc w:val="center"/>
                            </w:pPr>
                          </w:p>
                        </w:txbxContent>
                      </wps:txbx>
                      <wps:bodyPr upright="1"/>
                    </wps:wsp>
                  </a:graphicData>
                </a:graphic>
              </wp:anchor>
            </w:drawing>
          </mc:Choice>
          <mc:Fallback>
            <w:pict>
              <v:shape id="_x0000_s1026" o:spid="_x0000_s1026" o:spt="3" type="#_x0000_t3" style="position:absolute;left:0pt;margin-left:-85.7pt;margin-top:-95.8pt;height:217.5pt;width:216.75pt;z-index:251660288;mso-width-relative:page;mso-height-relative:page;" fillcolor="#C00000" filled="t" stroked="f" coordsize="21600,21600" o:gfxdata="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6MrkS3AAAAA0BAAAP&#10;AAAAAAAAAAEAIAAAACIAAABkcnMvZG93bnJldi54bWxQSwECFAAUAAAACACHTuJAJGCDKBQCAABU&#10;BAAADgAAAAAAAAABACAAAAArAQAAZHJzL2Uyb0RvYy54bWxQSwUGAAAAAAYABgBZAQAAsQUAAAAA&#10;">
                <v:fill type="gradient" on="t" color2="#FFFFFF" opacity="0f" o:opacity2="39320f" focus="100%" focussize="0,0"/>
                <v:stroke on="f"/>
                <v:imagedata o:title=""/>
                <o:lock v:ext="edit" aspectratio="f"/>
                <v:textbox>
                  <w:txbxContent>
                    <w:p>
                      <w:pPr>
                        <w:jc w:val="center"/>
                      </w:pPr>
                    </w:p>
                  </w:txbxContent>
                </v:textbox>
              </v:shape>
            </w:pict>
          </mc:Fallback>
        </mc:AlternateContent>
      </w:r>
    </w:p>
    <w:p>
      <w:pPr>
        <w:ind w:leftChars="-695" w:hanging="1459" w:hangingChars="695"/>
        <w:jc w:val="right"/>
        <w:rPr>
          <w:rFonts w:ascii="宋体" w:hAnsi="宋体" w:cs="宋体"/>
          <w:b/>
          <w:bCs/>
          <w:sz w:val="44"/>
          <w:szCs w:val="44"/>
          <w:lang w:val="zh-CN"/>
        </w:rPr>
      </w:pPr>
      <w:r>
        <w:rPr>
          <w:rFonts w:ascii="宋体" w:hAnsi="宋体" w:cs="宋体"/>
        </w:rPr>
        <mc:AlternateContent>
          <mc:Choice Requires="wps">
            <w:drawing>
              <wp:anchor distT="0" distB="0" distL="114300" distR="114300" simplePos="0" relativeHeight="251668480" behindDoc="0" locked="0" layoutInCell="1" allowOverlap="1">
                <wp:simplePos x="0" y="0"/>
                <wp:positionH relativeFrom="column">
                  <wp:posOffset>-320040</wp:posOffset>
                </wp:positionH>
                <wp:positionV relativeFrom="paragraph">
                  <wp:posOffset>229235</wp:posOffset>
                </wp:positionV>
                <wp:extent cx="6354445" cy="91503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6354445" cy="915035"/>
                        </a:xfrm>
                        <a:prstGeom prst="rect">
                          <a:avLst/>
                        </a:prstGeom>
                        <a:noFill/>
                        <a:ln>
                          <a:noFill/>
                        </a:ln>
                        <a:effectLst/>
                      </wps:spPr>
                      <wps:txbx>
                        <w:txbxContent>
                          <w:p>
                            <w:pPr>
                              <w:jc w:val="center"/>
                              <w:rPr>
                                <w:rFonts w:ascii="宋体" w:hAnsi="宋体" w:cs="宋体"/>
                                <w:b/>
                                <w:sz w:val="28"/>
                                <w:szCs w:val="28"/>
                              </w:rPr>
                            </w:pPr>
                            <w:r>
                              <w:rPr>
                                <w:rFonts w:hint="eastAsia" w:asciiTheme="minorEastAsia" w:hAnsiTheme="minorEastAsia" w:eastAsiaTheme="minorEastAsia" w:cstheme="minorEastAsia"/>
                                <w:b/>
                                <w:kern w:val="24"/>
                                <w:sz w:val="44"/>
                                <w:szCs w:val="44"/>
                              </w:rPr>
                              <w:t>江苏医药职业学院2024-2026年校内建设工程设计单位入围服务项目</w:t>
                            </w:r>
                          </w:p>
                        </w:txbxContent>
                      </wps:txbx>
                      <wps:bodyPr wrap="square" rtlCol="0">
                        <a:noAutofit/>
                      </wps:bodyPr>
                    </wps:wsp>
                  </a:graphicData>
                </a:graphic>
              </wp:anchor>
            </w:drawing>
          </mc:Choice>
          <mc:Fallback>
            <w:pict>
              <v:shape id="_x0000_s1026" o:spid="_x0000_s1026" o:spt="202" type="#_x0000_t202" style="position:absolute;left:0pt;margin-left:-25.2pt;margin-top:18.05pt;height:72.05pt;width:500.35pt;z-index:251668480;mso-width-relative:page;mso-height-relative:page;" filled="f" stroked="f" coordsize="21600,21600" o:gfxdata="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bHQhrXAAAACgEAAA8AAAAAAAAAAQAgAAAAIgAAAGRycy9kb3du&#10;cmV2LnhtbFBLAQIUABQAAAAIAIdO4kD/hkg8xwEAAIUDAAAOAAAAAAAAAAEAIAAAACYBAABkcnMv&#10;ZTJvRG9jLnhtbFBLBQYAAAAABgAGAFkBAABfBQAAAAA=&#10;">
                <v:fill on="f" focussize="0,0"/>
                <v:stroke on="f"/>
                <v:imagedata o:title=""/>
                <o:lock v:ext="edit" aspectratio="f"/>
                <v:textbox>
                  <w:txbxContent>
                    <w:p>
                      <w:pPr>
                        <w:jc w:val="center"/>
                        <w:rPr>
                          <w:rFonts w:ascii="宋体" w:hAnsi="宋体" w:cs="宋体"/>
                          <w:b/>
                          <w:sz w:val="28"/>
                          <w:szCs w:val="28"/>
                        </w:rPr>
                      </w:pPr>
                      <w:r>
                        <w:rPr>
                          <w:rFonts w:hint="eastAsia" w:asciiTheme="minorEastAsia" w:hAnsiTheme="minorEastAsia" w:eastAsiaTheme="minorEastAsia" w:cstheme="minorEastAsia"/>
                          <w:b/>
                          <w:kern w:val="24"/>
                          <w:sz w:val="44"/>
                          <w:szCs w:val="44"/>
                        </w:rPr>
                        <w:t>江苏医药职业学院2024-2026年校内建设工程设计单位入围服务项目</w:t>
                      </w:r>
                    </w:p>
                  </w:txbxContent>
                </v:textbox>
              </v:shape>
            </w:pict>
          </mc:Fallback>
        </mc:AlternateContent>
      </w:r>
      <w:r>
        <w:rPr>
          <w:rFonts w:ascii="宋体" w:hAnsi="宋体" w:cs="宋体"/>
        </w:rPr>
        <mc:AlternateContent>
          <mc:Choice Requires="wps">
            <w:drawing>
              <wp:anchor distT="0" distB="0" distL="114300" distR="114300" simplePos="0" relativeHeight="251674624" behindDoc="0" locked="0" layoutInCell="1" allowOverlap="1">
                <wp:simplePos x="0" y="0"/>
                <wp:positionH relativeFrom="column">
                  <wp:posOffset>3300730</wp:posOffset>
                </wp:positionH>
                <wp:positionV relativeFrom="paragraph">
                  <wp:posOffset>5857875</wp:posOffset>
                </wp:positionV>
                <wp:extent cx="2752725" cy="2762250"/>
                <wp:effectExtent l="0" t="0" r="9525" b="0"/>
                <wp:wrapNone/>
                <wp:docPr id="41" name="椭圆 41"/>
                <wp:cNvGraphicFramePr/>
                <a:graphic xmlns:a="http://schemas.openxmlformats.org/drawingml/2006/main">
                  <a:graphicData uri="http://schemas.microsoft.com/office/word/2010/wordprocessingShape">
                    <wps:wsp>
                      <wps:cNvSpPr/>
                      <wps:spPr>
                        <a:xfrm>
                          <a:off x="0" y="0"/>
                          <a:ext cx="2752725" cy="2762250"/>
                        </a:xfrm>
                        <a:prstGeom prst="ellipse">
                          <a:avLst/>
                        </a:prstGeom>
                        <a:gradFill rotWithShape="0">
                          <a:gsLst>
                            <a:gs pos="0">
                              <a:srgbClr val="C00000">
                                <a:alpha val="0"/>
                              </a:srgbClr>
                            </a:gs>
                            <a:gs pos="100000">
                              <a:srgbClr val="FFFFFF"/>
                            </a:gs>
                          </a:gsLst>
                          <a:lin ang="5400000" scaled="1"/>
                          <a:tileRect/>
                        </a:gradFill>
                        <a:ln>
                          <a:noFill/>
                        </a:ln>
                        <a:effectLst/>
                      </wps:spPr>
                      <wps:txbx>
                        <w:txbxContent>
                          <w:p/>
                        </w:txbxContent>
                      </wps:txbx>
                      <wps:bodyPr upright="1"/>
                    </wps:wsp>
                  </a:graphicData>
                </a:graphic>
              </wp:anchor>
            </w:drawing>
          </mc:Choice>
          <mc:Fallback>
            <w:pict>
              <v:shape id="_x0000_s1026" o:spid="_x0000_s1026" o:spt="3" type="#_x0000_t3" style="position:absolute;left:0pt;margin-left:259.9pt;margin-top:461.25pt;height:217.5pt;width:216.75pt;z-index:251674624;mso-width-relative:page;mso-height-relative:page;" fillcolor="#C00000" filled="t" stroked="f" coordsize="21600,21600" o:gfxdata="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00lOS2QAAAAwBAAAPAAAAAAAAAAEAIAAA&#10;ACIAAABkcnMvZG93bnJldi54bWxQSwECFAAUAAAACACHTuJAw4GoswsCAAAzBAAADgAAAAAAAAAB&#10;ACAAAAAoAQAAZHJzL2Uyb0RvYy54bWxQSwUGAAAAAAYABgBZAQAApQUAAAAA&#10;">
                <v:fill type="gradient" on="t" color2="#FFFFFF" opacity="0f" focus="100%" focussize="0,0"/>
                <v:stroke on="f"/>
                <v:imagedata o:title=""/>
                <o:lock v:ext="edit" aspectratio="f"/>
                <v:textbox>
                  <w:txbxContent>
                    <w:p/>
                  </w:txbxContent>
                </v:textbox>
              </v:shape>
            </w:pict>
          </mc:Fallback>
        </mc:AlternateContent>
      </w:r>
      <w:r>
        <w:rPr>
          <w:rFonts w:ascii="宋体" w:hAnsi="宋体" w:cs="宋体"/>
        </w:rPr>
        <mc:AlternateContent>
          <mc:Choice Requires="wps">
            <w:drawing>
              <wp:anchor distT="0" distB="0" distL="114300" distR="114300" simplePos="0" relativeHeight="251661312" behindDoc="0" locked="0" layoutInCell="1" allowOverlap="1">
                <wp:simplePos x="0" y="0"/>
                <wp:positionH relativeFrom="column">
                  <wp:posOffset>-938530</wp:posOffset>
                </wp:positionH>
                <wp:positionV relativeFrom="paragraph">
                  <wp:posOffset>4803140</wp:posOffset>
                </wp:positionV>
                <wp:extent cx="7013575" cy="3789680"/>
                <wp:effectExtent l="0" t="0" r="15875" b="1270"/>
                <wp:wrapNone/>
                <wp:docPr id="43" name="直角三角形 43"/>
                <wp:cNvGraphicFramePr/>
                <a:graphic xmlns:a="http://schemas.openxmlformats.org/drawingml/2006/main">
                  <a:graphicData uri="http://schemas.microsoft.com/office/word/2010/wordprocessingShape">
                    <wps:wsp>
                      <wps:cNvSpPr/>
                      <wps:spPr>
                        <a:xfrm flipH="1">
                          <a:off x="0" y="0"/>
                          <a:ext cx="7013575" cy="3789680"/>
                        </a:xfrm>
                        <a:prstGeom prst="rtTriangle">
                          <a:avLst/>
                        </a:prstGeom>
                        <a:gradFill rotWithShape="1">
                          <a:gsLst>
                            <a:gs pos="0">
                              <a:srgbClr val="012D86"/>
                            </a:gs>
                            <a:gs pos="100000">
                              <a:srgbClr val="FFFFFF"/>
                            </a:gs>
                          </a:gsLst>
                          <a:lin ang="5400000" scaled="1"/>
                          <a:tileRect/>
                        </a:gradFill>
                        <a:ln>
                          <a:noFill/>
                        </a:ln>
                        <a:effectLst/>
                      </wps:spPr>
                      <wps:txbx>
                        <w:txbxContent>
                          <w:p/>
                        </w:txbxContent>
                      </wps:txbx>
                      <wps:bodyPr upright="1"/>
                    </wps:wsp>
                  </a:graphicData>
                </a:graphic>
              </wp:anchor>
            </w:drawing>
          </mc:Choice>
          <mc:Fallback>
            <w:pict>
              <v:shape id="_x0000_s1026" o:spid="_x0000_s1026" o:spt="6" type="#_x0000_t6" style="position:absolute;left:0pt;flip:x;margin-left:-73.9pt;margin-top:378.2pt;height:298.4pt;width:552.25pt;z-index:251661312;mso-width-relative:page;mso-height-relative:page;" fillcolor="#012D86" filled="t" stroked="f" coordsize="21600,21600" o:gfxdata="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PV&#10;PHXcAAAADQEAAA8AAAAAAAAAAQAgAAAAIgAAAGRycy9kb3ducmV2LnhtbFBLAQIUABQAAAAIAIdO&#10;4kCxkhmUHwIAACwEAAAOAAAAAAAAAAEAIAAAACsBAABkcnMvZTJvRG9jLnhtbFBLBQYAAAAABgAG&#10;AFkBAAC8BQAAAAA=&#10;">
                <v:fill type="gradient" on="t" color2="#FFFFFF" focus="100%" focussize="0,0" rotate="t"/>
                <v:stroke on="f"/>
                <v:imagedata o:title=""/>
                <o:lock v:ext="edit" aspectratio="f"/>
                <v:textbox>
                  <w:txbxContent>
                    <w:p/>
                  </w:txbxContent>
                </v:textbox>
              </v:shape>
            </w:pict>
          </mc:Fallback>
        </mc:AlternateContent>
      </w:r>
      <w:r>
        <w:rPr>
          <w:rFonts w:ascii="宋体" w:hAnsi="宋体" w:cs="宋体"/>
        </w:rPr>
        <mc:AlternateContent>
          <mc:Choice Requires="wps">
            <w:drawing>
              <wp:anchor distT="0" distB="0" distL="114300" distR="114300" simplePos="0" relativeHeight="251671552" behindDoc="0" locked="0" layoutInCell="1" allowOverlap="1">
                <wp:simplePos x="0" y="0"/>
                <wp:positionH relativeFrom="column">
                  <wp:posOffset>1809750</wp:posOffset>
                </wp:positionH>
                <wp:positionV relativeFrom="paragraph">
                  <wp:posOffset>5163820</wp:posOffset>
                </wp:positionV>
                <wp:extent cx="3400425" cy="342900"/>
                <wp:effectExtent l="0" t="0" r="0" b="0"/>
                <wp:wrapNone/>
                <wp:docPr id="67" name="文本框 67"/>
                <wp:cNvGraphicFramePr/>
                <a:graphic xmlns:a="http://schemas.openxmlformats.org/drawingml/2006/main">
                  <a:graphicData uri="http://schemas.microsoft.com/office/word/2010/wordprocessingShape">
                    <wps:wsp>
                      <wps:cNvSpPr txBox="1"/>
                      <wps:spPr>
                        <a:xfrm flipH="1">
                          <a:off x="0" y="0"/>
                          <a:ext cx="3400425" cy="342900"/>
                        </a:xfrm>
                        <a:prstGeom prst="rect">
                          <a:avLst/>
                        </a:prstGeom>
                        <a:noFill/>
                        <a:ln>
                          <a:noFill/>
                        </a:ln>
                        <a:effectLst/>
                      </wps:spPr>
                      <wps:txbx>
                        <w:txbxContent>
                          <w:p>
                            <w:pPr>
                              <w:pStyle w:val="25"/>
                              <w:ind w:left="160" w:hanging="160" w:hangingChars="50"/>
                              <w:rPr>
                                <w:rFonts w:ascii="黑体" w:hAnsi="黑体" w:eastAsia="黑体" w:cs="黑体"/>
                                <w:sz w:val="32"/>
                                <w:szCs w:val="32"/>
                              </w:rPr>
                            </w:pPr>
                            <w:r>
                              <w:rPr>
                                <w:rFonts w:hint="eastAsia" w:ascii="黑体" w:hAnsi="黑体" w:eastAsia="黑体" w:cs="黑体"/>
                                <w:kern w:val="24"/>
                                <w:sz w:val="32"/>
                                <w:szCs w:val="32"/>
                              </w:rPr>
                              <w:t>盐城市携手阳光集中采购代理公司wcwcng 有限公司</w:t>
                            </w:r>
                          </w:p>
                        </w:txbxContent>
                      </wps:txbx>
                      <wps:bodyPr wrap="square" rtlCol="0">
                        <a:noAutofit/>
                      </wps:bodyPr>
                    </wps:wsp>
                  </a:graphicData>
                </a:graphic>
              </wp:anchor>
            </w:drawing>
          </mc:Choice>
          <mc:Fallback>
            <w:pict>
              <v:shape id="_x0000_s1026" o:spid="_x0000_s1026" o:spt="202" type="#_x0000_t202" style="position:absolute;left:0pt;flip:x;margin-left:142.5pt;margin-top:406.6pt;height:27pt;width:267.75pt;z-index:251671552;mso-width-relative:page;mso-height-relative:page;" filled="f" stroked="f" coordsize="21600,21600" o:gfxdata="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BMRu82wAAAAsBAAAPAAAAAAAAAAEAIAAA&#10;ACIAAABkcnMvZG93bnJldi54bWxQSwECFAAUAAAACACHTuJAS2SkEdABAACPAwAADgAAAAAAAAAB&#10;ACAAAAAqAQAAZHJzL2Uyb0RvYy54bWxQSwUGAAAAAAYABgBZAQAAbAUAAAAA&#10;">
                <v:fill on="f" focussize="0,0"/>
                <v:stroke on="f"/>
                <v:imagedata o:title=""/>
                <o:lock v:ext="edit" aspectratio="f"/>
                <v:textbox>
                  <w:txbxContent>
                    <w:p>
                      <w:pPr>
                        <w:pStyle w:val="25"/>
                        <w:ind w:left="160" w:hanging="160" w:hangingChars="50"/>
                        <w:rPr>
                          <w:rFonts w:ascii="黑体" w:hAnsi="黑体" w:eastAsia="黑体" w:cs="黑体"/>
                          <w:sz w:val="32"/>
                          <w:szCs w:val="32"/>
                        </w:rPr>
                      </w:pPr>
                      <w:r>
                        <w:rPr>
                          <w:rFonts w:hint="eastAsia" w:ascii="黑体" w:hAnsi="黑体" w:eastAsia="黑体" w:cs="黑体"/>
                          <w:kern w:val="24"/>
                          <w:sz w:val="32"/>
                          <w:szCs w:val="32"/>
                        </w:rPr>
                        <w:t>盐城市携手阳光集中采购代理公司wcwcng 有限公司</w:t>
                      </w:r>
                    </w:p>
                  </w:txbxContent>
                </v:textbox>
              </v:shape>
            </w:pict>
          </mc:Fallback>
        </mc:AlternateContent>
      </w:r>
      <w:r>
        <w:rPr>
          <w:rFonts w:ascii="宋体" w:hAnsi="宋体" w:cs="宋体"/>
        </w:rPr>
        <mc:AlternateContent>
          <mc:Choice Requires="wps">
            <w:drawing>
              <wp:anchor distT="0" distB="0" distL="114300" distR="114300" simplePos="0" relativeHeight="251670528" behindDoc="0" locked="0" layoutInCell="1" allowOverlap="1">
                <wp:simplePos x="0" y="0"/>
                <wp:positionH relativeFrom="column">
                  <wp:posOffset>1870075</wp:posOffset>
                </wp:positionH>
                <wp:positionV relativeFrom="paragraph">
                  <wp:posOffset>4739005</wp:posOffset>
                </wp:positionV>
                <wp:extent cx="2149475" cy="362585"/>
                <wp:effectExtent l="0" t="0" r="0" b="0"/>
                <wp:wrapNone/>
                <wp:docPr id="66" name="文本框 66"/>
                <wp:cNvGraphicFramePr/>
                <a:graphic xmlns:a="http://schemas.openxmlformats.org/drawingml/2006/main">
                  <a:graphicData uri="http://schemas.microsoft.com/office/word/2010/wordprocessingShape">
                    <wps:wsp>
                      <wps:cNvSpPr txBox="1"/>
                      <wps:spPr>
                        <a:xfrm flipH="1">
                          <a:off x="0" y="0"/>
                          <a:ext cx="2150076" cy="362585"/>
                        </a:xfrm>
                        <a:prstGeom prst="rect">
                          <a:avLst/>
                        </a:prstGeom>
                        <a:noFill/>
                        <a:ln>
                          <a:noFill/>
                        </a:ln>
                        <a:effectLst/>
                      </wps:spPr>
                      <wps:txbx>
                        <w:txbxContent>
                          <w:p>
                            <w:pPr>
                              <w:rPr>
                                <w:rFonts w:ascii="黑体" w:hAnsi="黑体" w:eastAsia="黑体" w:cs="黑体"/>
                                <w:kern w:val="24"/>
                                <w:sz w:val="32"/>
                                <w:szCs w:val="32"/>
                              </w:rPr>
                            </w:pPr>
                            <w:r>
                              <w:rPr>
                                <w:rFonts w:hint="eastAsia" w:ascii="黑体" w:hAnsi="黑体" w:eastAsia="黑体" w:cs="黑体"/>
                                <w:kern w:val="24"/>
                                <w:sz w:val="32"/>
                                <w:szCs w:val="32"/>
                              </w:rPr>
                              <w:t>江苏医药职业学院</w:t>
                            </w:r>
                          </w:p>
                        </w:txbxContent>
                      </wps:txbx>
                      <wps:bodyPr wrap="square" rtlCol="0">
                        <a:noAutofit/>
                      </wps:bodyPr>
                    </wps:wsp>
                  </a:graphicData>
                </a:graphic>
              </wp:anchor>
            </w:drawing>
          </mc:Choice>
          <mc:Fallback>
            <w:pict>
              <v:shape id="_x0000_s1026" o:spid="_x0000_s1026" o:spt="202" type="#_x0000_t202" style="position:absolute;left:0pt;flip:x;margin-left:147.25pt;margin-top:373.15pt;height:28.55pt;width:169.25pt;z-index:251670528;mso-width-relative:page;mso-height-relative:page;" filled="f" stroked="f" coordsize="21600,21600" o:gfxdata="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GzN+INwAAAALAQAADwAAAAAAAAABACAAAAAi&#10;AAAAZHJzL2Rvd25yZXYueG1sUEsBAhQAFAAAAAgAh07iQLzXyZ/NAQAAjwMAAA4AAAAAAAAAAQAg&#10;AAAAKwEAAGRycy9lMm9Eb2MueG1sUEsFBgAAAAAGAAYAWQEAAGoFAAAAAA==&#10;">
                <v:fill on="f" focussize="0,0"/>
                <v:stroke on="f"/>
                <v:imagedata o:title=""/>
                <o:lock v:ext="edit" aspectratio="f"/>
                <v:textbox>
                  <w:txbxContent>
                    <w:p>
                      <w:pPr>
                        <w:rPr>
                          <w:rFonts w:ascii="黑体" w:hAnsi="黑体" w:eastAsia="黑体" w:cs="黑体"/>
                          <w:kern w:val="24"/>
                          <w:sz w:val="32"/>
                          <w:szCs w:val="32"/>
                        </w:rPr>
                      </w:pPr>
                      <w:r>
                        <w:rPr>
                          <w:rFonts w:hint="eastAsia" w:ascii="黑体" w:hAnsi="黑体" w:eastAsia="黑体" w:cs="黑体"/>
                          <w:kern w:val="24"/>
                          <w:sz w:val="32"/>
                          <w:szCs w:val="32"/>
                        </w:rPr>
                        <w:t>江苏医药职业学院</w:t>
                      </w:r>
                    </w:p>
                  </w:txbxContent>
                </v:textbox>
              </v:shape>
            </w:pict>
          </mc:Fallback>
        </mc:AlternateContent>
      </w:r>
      <w:r>
        <w:rPr>
          <w:rFonts w:ascii="宋体" w:hAnsi="宋体" w:cs="宋体"/>
        </w:rPr>
        <mc:AlternateContent>
          <mc:Choice Requires="wps">
            <w:drawing>
              <wp:anchor distT="0" distB="0" distL="114300" distR="114300" simplePos="0" relativeHeight="251669504" behindDoc="0" locked="0" layoutInCell="1" allowOverlap="1">
                <wp:simplePos x="0" y="0"/>
                <wp:positionH relativeFrom="column">
                  <wp:posOffset>1834515</wp:posOffset>
                </wp:positionH>
                <wp:positionV relativeFrom="paragraph">
                  <wp:posOffset>3483610</wp:posOffset>
                </wp:positionV>
                <wp:extent cx="2657475" cy="383540"/>
                <wp:effectExtent l="0" t="0" r="0" b="0"/>
                <wp:wrapNone/>
                <wp:docPr id="65" name="文本框 65"/>
                <wp:cNvGraphicFramePr/>
                <a:graphic xmlns:a="http://schemas.openxmlformats.org/drawingml/2006/main">
                  <a:graphicData uri="http://schemas.microsoft.com/office/word/2010/wordprocessingShape">
                    <wps:wsp>
                      <wps:cNvSpPr txBox="1"/>
                      <wps:spPr>
                        <a:xfrm flipH="1">
                          <a:off x="0" y="0"/>
                          <a:ext cx="2657475" cy="383540"/>
                        </a:xfrm>
                        <a:prstGeom prst="rect">
                          <a:avLst/>
                        </a:prstGeom>
                        <a:noFill/>
                        <a:ln>
                          <a:noFill/>
                        </a:ln>
                        <a:effectLst/>
                      </wps:spPr>
                      <wps:txbx>
                        <w:txbxContent>
                          <w:p>
                            <w:pPr>
                              <w:rPr>
                                <w:rFonts w:ascii="黑体" w:hAnsi="黑体" w:eastAsia="黑体" w:cs="黑体"/>
                                <w:kern w:val="24"/>
                                <w:sz w:val="32"/>
                                <w:szCs w:val="32"/>
                              </w:rPr>
                            </w:pPr>
                            <w:r>
                              <w:rPr>
                                <w:rFonts w:hint="eastAsia" w:ascii="黑体" w:hAnsi="黑体" w:eastAsia="黑体" w:cs="黑体"/>
                                <w:kern w:val="24"/>
                                <w:sz w:val="32"/>
                                <w:szCs w:val="32"/>
                              </w:rPr>
                              <w:t xml:space="preserve">SY2023-086-FW-JC </w:t>
                            </w:r>
                          </w:p>
                        </w:txbxContent>
                      </wps:txbx>
                      <wps:bodyPr wrap="square" rtlCol="0">
                        <a:noAutofit/>
                      </wps:bodyPr>
                    </wps:wsp>
                  </a:graphicData>
                </a:graphic>
              </wp:anchor>
            </w:drawing>
          </mc:Choice>
          <mc:Fallback>
            <w:pict>
              <v:shape id="_x0000_s1026" o:spid="_x0000_s1026" o:spt="202" type="#_x0000_t202" style="position:absolute;left:0pt;flip:x;margin-left:144.45pt;margin-top:274.3pt;height:30.2pt;width:209.25pt;z-index:251669504;mso-width-relative:page;mso-height-relative:page;" filled="f" stroked="f" coordsize="21600,21600" o:gfxdata="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AhT29wAAAALAQAADwAAAAAAAAABACAA&#10;AAAiAAAAZHJzL2Rvd25yZXYueG1sUEsBAhQAFAAAAAgAh07iQPhRD7rQAQAAjwMAAA4AAAAAAAAA&#10;AQAgAAAAKwEAAGRycy9lMm9Eb2MueG1sUEsFBgAAAAAGAAYAWQEAAG0FAAAAAA==&#10;">
                <v:fill on="f" focussize="0,0"/>
                <v:stroke on="f"/>
                <v:imagedata o:title=""/>
                <o:lock v:ext="edit" aspectratio="f"/>
                <v:textbox>
                  <w:txbxContent>
                    <w:p>
                      <w:pPr>
                        <w:rPr>
                          <w:rFonts w:ascii="黑体" w:hAnsi="黑体" w:eastAsia="黑体" w:cs="黑体"/>
                          <w:kern w:val="24"/>
                          <w:sz w:val="32"/>
                          <w:szCs w:val="32"/>
                        </w:rPr>
                      </w:pPr>
                      <w:r>
                        <w:rPr>
                          <w:rFonts w:hint="eastAsia" w:ascii="黑体" w:hAnsi="黑体" w:eastAsia="黑体" w:cs="黑体"/>
                          <w:kern w:val="24"/>
                          <w:sz w:val="32"/>
                          <w:szCs w:val="32"/>
                        </w:rPr>
                        <w:t xml:space="preserve">SY2023-086-FW-JC </w:t>
                      </w:r>
                    </w:p>
                  </w:txbxContent>
                </v:textbox>
              </v:shape>
            </w:pict>
          </mc:Fallback>
        </mc:AlternateContent>
      </w:r>
      <w:r>
        <w:rPr>
          <w:rFonts w:ascii="宋体" w:hAnsi="宋体" w:cs="宋体"/>
        </w:rPr>
        <mc:AlternateContent>
          <mc:Choice Requires="wps">
            <w:drawing>
              <wp:anchor distT="0" distB="0" distL="114300" distR="114300" simplePos="0" relativeHeight="251662336" behindDoc="0" locked="0" layoutInCell="1" allowOverlap="1">
                <wp:simplePos x="0" y="0"/>
                <wp:positionH relativeFrom="column">
                  <wp:posOffset>1866900</wp:posOffset>
                </wp:positionH>
                <wp:positionV relativeFrom="paragraph">
                  <wp:posOffset>5528945</wp:posOffset>
                </wp:positionV>
                <wp:extent cx="2423795" cy="401955"/>
                <wp:effectExtent l="0" t="0" r="0" b="0"/>
                <wp:wrapNone/>
                <wp:docPr id="6" name="文本框 6"/>
                <wp:cNvGraphicFramePr/>
                <a:graphic xmlns:a="http://schemas.openxmlformats.org/drawingml/2006/main">
                  <a:graphicData uri="http://schemas.microsoft.com/office/word/2010/wordprocessingShape">
                    <wps:wsp>
                      <wps:cNvSpPr txBox="1"/>
                      <wps:spPr>
                        <a:xfrm>
                          <a:off x="1923415" y="6977380"/>
                          <a:ext cx="2423795" cy="401955"/>
                        </a:xfrm>
                        <a:prstGeom prst="rect">
                          <a:avLst/>
                        </a:prstGeom>
                        <a:noFill/>
                        <a:ln w="6350">
                          <a:noFill/>
                        </a:ln>
                        <a:effectLst/>
                      </wps:spPr>
                      <wps:txbx>
                        <w:txbxContent>
                          <w:p>
                            <w:pPr>
                              <w:rPr>
                                <w:rFonts w:ascii="黑体" w:hAnsi="黑体" w:eastAsia="黑体" w:cs="黑体"/>
                                <w:sz w:val="32"/>
                                <w:szCs w:val="32"/>
                              </w:rPr>
                            </w:pPr>
                            <w:r>
                              <w:rPr>
                                <w:rFonts w:hint="eastAsia" w:ascii="黑体" w:hAnsi="黑体" w:eastAsia="黑体" w:cs="黑体"/>
                                <w:sz w:val="32"/>
                                <w:szCs w:val="32"/>
                              </w:rPr>
                              <w:t>2024年</w:t>
                            </w:r>
                            <w:r>
                              <w:rPr>
                                <w:rFonts w:ascii="黑体" w:hAnsi="黑体" w:eastAsia="黑体" w:cs="黑体"/>
                                <w:sz w:val="32"/>
                                <w:szCs w:val="32"/>
                              </w:rPr>
                              <w:t>2</w:t>
                            </w:r>
                            <w:r>
                              <w:rPr>
                                <w:rFonts w:hint="eastAsia" w:ascii="黑体" w:hAnsi="黑体" w:eastAsia="黑体" w:cs="黑体"/>
                                <w:sz w:val="32"/>
                                <w:szCs w:val="32"/>
                              </w:rPr>
                              <w:t>月</w:t>
                            </w:r>
                            <w:r>
                              <w:rPr>
                                <w:rFonts w:ascii="黑体" w:hAnsi="黑体" w:eastAsia="黑体" w:cs="黑体"/>
                                <w:sz w:val="32"/>
                                <w:szCs w:val="32"/>
                              </w:rPr>
                              <w:t>25</w:t>
                            </w:r>
                            <w:r>
                              <w:rPr>
                                <w:rFonts w:hint="eastAsia" w:ascii="黑体" w:hAnsi="黑体" w:eastAsia="黑体" w:cs="黑体"/>
                                <w:sz w:val="32"/>
                                <w:szCs w:val="32"/>
                              </w:rPr>
                              <w:t>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7pt;margin-top:435.35pt;height:31.65pt;width:190.85pt;z-index:251662336;mso-width-relative:page;mso-height-relative:page;" filled="f" stroked="f" coordsize="21600,21600" o:gfxdata="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Z+9YXdwAAAALAQAADwAA&#10;AAAAAAABACAAAAAiAAAAZHJzL2Rvd25yZXYueG1sUEsBAhQAFAAAAAgAh07iQBc5XeJLAgAAgAQA&#10;AA4AAAAAAAAAAQAgAAAAKwEAAGRycy9lMm9Eb2MueG1sUEsFBgAAAAAGAAYAWQEAAOgFAAAAAA==&#10;">
                <v:fill on="f" focussize="0,0"/>
                <v:stroke on="f" weight="0.5pt"/>
                <v:imagedata o:title=""/>
                <o:lock v:ext="edit" aspectratio="f"/>
                <v:textbox>
                  <w:txbxContent>
                    <w:p>
                      <w:pPr>
                        <w:rPr>
                          <w:rFonts w:ascii="黑体" w:hAnsi="黑体" w:eastAsia="黑体" w:cs="黑体"/>
                          <w:sz w:val="32"/>
                          <w:szCs w:val="32"/>
                        </w:rPr>
                      </w:pPr>
                      <w:r>
                        <w:rPr>
                          <w:rFonts w:hint="eastAsia" w:ascii="黑体" w:hAnsi="黑体" w:eastAsia="黑体" w:cs="黑体"/>
                          <w:sz w:val="32"/>
                          <w:szCs w:val="32"/>
                        </w:rPr>
                        <w:t>2024年</w:t>
                      </w:r>
                      <w:r>
                        <w:rPr>
                          <w:rFonts w:ascii="黑体" w:hAnsi="黑体" w:eastAsia="黑体" w:cs="黑体"/>
                          <w:sz w:val="32"/>
                          <w:szCs w:val="32"/>
                        </w:rPr>
                        <w:t>2</w:t>
                      </w:r>
                      <w:r>
                        <w:rPr>
                          <w:rFonts w:hint="eastAsia" w:ascii="黑体" w:hAnsi="黑体" w:eastAsia="黑体" w:cs="黑体"/>
                          <w:sz w:val="32"/>
                          <w:szCs w:val="32"/>
                        </w:rPr>
                        <w:t>月</w:t>
                      </w:r>
                      <w:r>
                        <w:rPr>
                          <w:rFonts w:ascii="黑体" w:hAnsi="黑体" w:eastAsia="黑体" w:cs="黑体"/>
                          <w:sz w:val="32"/>
                          <w:szCs w:val="32"/>
                        </w:rPr>
                        <w:t>25</w:t>
                      </w:r>
                      <w:r>
                        <w:rPr>
                          <w:rFonts w:hint="eastAsia" w:ascii="黑体" w:hAnsi="黑体" w:eastAsia="黑体" w:cs="黑体"/>
                          <w:sz w:val="32"/>
                          <w:szCs w:val="32"/>
                        </w:rPr>
                        <w:t>日</w:t>
                      </w:r>
                    </w:p>
                  </w:txbxContent>
                </v:textbox>
              </v:shape>
            </w:pict>
          </mc:Fallback>
        </mc:AlternateContent>
      </w:r>
      <w:r>
        <w:rPr>
          <w:rFonts w:ascii="宋体" w:hAnsi="宋体" w:cs="宋体"/>
        </w:rPr>
        <mc:AlternateContent>
          <mc:Choice Requires="wps">
            <w:drawing>
              <wp:anchor distT="0" distB="0" distL="114300" distR="114300" simplePos="0" relativeHeight="251667456" behindDoc="0" locked="0" layoutInCell="1" allowOverlap="1">
                <wp:simplePos x="0" y="0"/>
                <wp:positionH relativeFrom="column">
                  <wp:posOffset>962025</wp:posOffset>
                </wp:positionH>
                <wp:positionV relativeFrom="paragraph">
                  <wp:posOffset>5515610</wp:posOffset>
                </wp:positionV>
                <wp:extent cx="923925" cy="45402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923925" cy="454025"/>
                        </a:xfrm>
                        <a:prstGeom prst="rect">
                          <a:avLst/>
                        </a:prstGeom>
                        <a:noFill/>
                        <a:ln>
                          <a:noFill/>
                        </a:ln>
                        <a:effectLst/>
                      </wps:spPr>
                      <wps:txbx>
                        <w:txbxContent>
                          <w:p>
                            <w:pPr>
                              <w:pStyle w:val="25"/>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kern w:val="24"/>
                                <w:sz w:val="32"/>
                                <w:szCs w:val="32"/>
                              </w:rPr>
                              <w:t>日期</w:t>
                            </w:r>
                          </w:p>
                        </w:txbxContent>
                      </wps:txbx>
                      <wps:bodyPr wrap="square" rtlCol="0">
                        <a:noAutofit/>
                      </wps:bodyPr>
                    </wps:wsp>
                  </a:graphicData>
                </a:graphic>
              </wp:anchor>
            </w:drawing>
          </mc:Choice>
          <mc:Fallback>
            <w:pict>
              <v:shape id="_x0000_s1026" o:spid="_x0000_s1026" o:spt="202" type="#_x0000_t202" style="position:absolute;left:0pt;margin-left:75.75pt;margin-top:434.3pt;height:35.75pt;width:72.75pt;z-index:251667456;mso-width-relative:page;mso-height-relative:page;" filled="f" stroked="f" coordsize="21600,21600" o:gfxdata="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mNNsTYAAAACwEAAA8AAAAAAAAAAQAgAAAAIgAAAGRycy9kb3du&#10;cmV2LnhtbFBLAQIUABQAAAAIAIdO4kDmQpD0xgEAAIQDAAAOAAAAAAAAAAEAIAAAACcBAABkcnMv&#10;ZTJvRG9jLnhtbFBLBQYAAAAABgAGAFkBAABfBQAAAAA=&#10;">
                <v:fill on="f" focussize="0,0"/>
                <v:stroke on="f"/>
                <v:imagedata o:title=""/>
                <o:lock v:ext="edit" aspectratio="f"/>
                <v:textbox>
                  <w:txbxContent>
                    <w:p>
                      <w:pPr>
                        <w:pStyle w:val="25"/>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kern w:val="24"/>
                          <w:sz w:val="32"/>
                          <w:szCs w:val="32"/>
                        </w:rPr>
                        <w:t>日期</w:t>
                      </w:r>
                    </w:p>
                  </w:txbxContent>
                </v:textbox>
              </v:shape>
            </w:pict>
          </mc:Fallback>
        </mc:AlternateContent>
      </w:r>
      <w:r>
        <w:rPr>
          <w:rFonts w:ascii="宋体" w:hAnsi="宋体" w:cs="宋体"/>
        </w:rPr>
        <mc:AlternateContent>
          <mc:Choice Requires="wps">
            <w:drawing>
              <wp:anchor distT="0" distB="0" distL="114300" distR="114300" simplePos="0" relativeHeight="251666432" behindDoc="0" locked="0" layoutInCell="1" allowOverlap="1">
                <wp:simplePos x="0" y="0"/>
                <wp:positionH relativeFrom="column">
                  <wp:posOffset>167005</wp:posOffset>
                </wp:positionH>
                <wp:positionV relativeFrom="paragraph">
                  <wp:posOffset>5097780</wp:posOffset>
                </wp:positionV>
                <wp:extent cx="1452880" cy="344805"/>
                <wp:effectExtent l="0" t="0" r="0" b="0"/>
                <wp:wrapNone/>
                <wp:docPr id="19" name="文本框 19"/>
                <wp:cNvGraphicFramePr/>
                <a:graphic xmlns:a="http://schemas.openxmlformats.org/drawingml/2006/main">
                  <a:graphicData uri="http://schemas.microsoft.com/office/word/2010/wordprocessingShape">
                    <wps:wsp>
                      <wps:cNvSpPr txBox="1"/>
                      <wps:spPr>
                        <a:xfrm flipH="1">
                          <a:off x="0" y="0"/>
                          <a:ext cx="1452880" cy="345416"/>
                        </a:xfrm>
                        <a:prstGeom prst="rect">
                          <a:avLst/>
                        </a:prstGeom>
                        <a:noFill/>
                        <a:ln>
                          <a:noFill/>
                        </a:ln>
                        <a:effectLst/>
                      </wps:spPr>
                      <wps:txbx>
                        <w:txbxContent>
                          <w:p>
                            <w:pPr>
                              <w:pStyle w:val="25"/>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采购代理机构</w:t>
                            </w:r>
                          </w:p>
                        </w:txbxContent>
                      </wps:txbx>
                      <wps:bodyPr wrap="square" rtlCol="0">
                        <a:spAutoFit/>
                      </wps:bodyPr>
                    </wps:wsp>
                  </a:graphicData>
                </a:graphic>
              </wp:anchor>
            </w:drawing>
          </mc:Choice>
          <mc:Fallback>
            <w:pict>
              <v:shape id="_x0000_s1026" o:spid="_x0000_s1026" o:spt="202" type="#_x0000_t202" style="position:absolute;left:0pt;flip:x;margin-left:13.15pt;margin-top:401.4pt;height:27.15pt;width:114.4pt;z-index:251666432;mso-width-relative:page;mso-height-relative:page;" filled="f" stroked="f" coordsize="21600,21600" o:gfxdata="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o8fBU2gAAAAoBAAAPAAAAAAAAAAEAIAAAACIA&#10;AABkcnMvZG93bnJldi54bWxQSwECFAAUAAAACACHTuJAb/Dkzs4BAACPAwAADgAAAAAAAAABACAA&#10;AAApAQAAZHJzL2Uyb0RvYy54bWxQSwUGAAAAAAYABgBZAQAAaQUAAAAA&#10;">
                <v:fill on="f" focussize="0,0"/>
                <v:stroke on="f"/>
                <v:imagedata o:title=""/>
                <o:lock v:ext="edit" aspectratio="f"/>
                <v:textbox style="mso-fit-shape-to-text:t;">
                  <w:txbxContent>
                    <w:p>
                      <w:pPr>
                        <w:pStyle w:val="25"/>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采购代理机构</w:t>
                      </w:r>
                    </w:p>
                  </w:txbxContent>
                </v:textbox>
              </v:shape>
            </w:pict>
          </mc:Fallback>
        </mc:AlternateContent>
      </w:r>
      <w:r>
        <w:rPr>
          <w:rFonts w:ascii="宋体" w:hAnsi="宋体" w:cs="宋体"/>
        </w:rPr>
        <mc:AlternateContent>
          <mc:Choice Requires="wps">
            <w:drawing>
              <wp:anchor distT="0" distB="0" distL="114300" distR="114300" simplePos="0" relativeHeight="251665408" behindDoc="0" locked="0" layoutInCell="1" allowOverlap="1">
                <wp:simplePos x="0" y="0"/>
                <wp:positionH relativeFrom="column">
                  <wp:posOffset>786130</wp:posOffset>
                </wp:positionH>
                <wp:positionV relativeFrom="paragraph">
                  <wp:posOffset>4735830</wp:posOffset>
                </wp:positionV>
                <wp:extent cx="1082675" cy="344805"/>
                <wp:effectExtent l="0" t="0" r="0" b="0"/>
                <wp:wrapNone/>
                <wp:docPr id="17" name="文本框 17"/>
                <wp:cNvGraphicFramePr/>
                <a:graphic xmlns:a="http://schemas.openxmlformats.org/drawingml/2006/main">
                  <a:graphicData uri="http://schemas.microsoft.com/office/word/2010/wordprocessingShape">
                    <wps:wsp>
                      <wps:cNvSpPr txBox="1"/>
                      <wps:spPr>
                        <a:xfrm flipH="1">
                          <a:off x="0" y="0"/>
                          <a:ext cx="1083275" cy="345416"/>
                        </a:xfrm>
                        <a:prstGeom prst="rect">
                          <a:avLst/>
                        </a:prstGeom>
                        <a:noFill/>
                        <a:ln>
                          <a:noFill/>
                        </a:ln>
                        <a:effectLst/>
                      </wps:spPr>
                      <wps:txbx>
                        <w:txbxContent>
                          <w:p>
                            <w:pPr>
                              <w:pStyle w:val="25"/>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采购人</w:t>
                            </w:r>
                          </w:p>
                        </w:txbxContent>
                      </wps:txbx>
                      <wps:bodyPr wrap="square" rtlCol="0">
                        <a:spAutoFit/>
                      </wps:bodyPr>
                    </wps:wsp>
                  </a:graphicData>
                </a:graphic>
              </wp:anchor>
            </w:drawing>
          </mc:Choice>
          <mc:Fallback>
            <w:pict>
              <v:shape id="_x0000_s1026" o:spid="_x0000_s1026" o:spt="202" type="#_x0000_t202" style="position:absolute;left:0pt;flip:x;margin-left:61.9pt;margin-top:372.9pt;height:27.15pt;width:85.25pt;z-index:251665408;mso-width-relative:page;mso-height-relative:page;" filled="f" stroked="f" coordsize="21600,21600" o:gfxdata="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YrZmjcAAAACwEAAA8AAAAAAAAAAQAgAAAA&#10;IgAAAGRycy9kb3ducmV2LnhtbFBLAQIUABQAAAAIAIdO4kAGQj3QzgEAAI8DAAAOAAAAAAAAAAEA&#10;IAAAACsBAABkcnMvZTJvRG9jLnhtbFBLBQYAAAAABgAGAFkBAABrBQAAAAA=&#10;">
                <v:fill on="f" focussize="0,0"/>
                <v:stroke on="f"/>
                <v:imagedata o:title=""/>
                <o:lock v:ext="edit" aspectratio="f"/>
                <v:textbox style="mso-fit-shape-to-text:t;">
                  <w:txbxContent>
                    <w:p>
                      <w:pPr>
                        <w:pStyle w:val="25"/>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采购人</w:t>
                      </w:r>
                    </w:p>
                  </w:txbxContent>
                </v:textbox>
              </v:shape>
            </w:pict>
          </mc:Fallback>
        </mc:AlternateContent>
      </w:r>
      <w:r>
        <w:rPr>
          <w:rFonts w:ascii="宋体" w:hAnsi="宋体" w:cs="宋体"/>
        </w:rPr>
        <mc:AlternateContent>
          <mc:Choice Requires="wps">
            <w:drawing>
              <wp:anchor distT="0" distB="0" distL="114300" distR="114300" simplePos="0" relativeHeight="251664384" behindDoc="0" locked="0" layoutInCell="1" allowOverlap="1">
                <wp:simplePos x="0" y="0"/>
                <wp:positionH relativeFrom="column">
                  <wp:posOffset>318770</wp:posOffset>
                </wp:positionH>
                <wp:positionV relativeFrom="paragraph">
                  <wp:posOffset>3486785</wp:posOffset>
                </wp:positionV>
                <wp:extent cx="1438910" cy="396240"/>
                <wp:effectExtent l="0" t="0" r="0" b="0"/>
                <wp:wrapNone/>
                <wp:docPr id="15" name="文本框 15"/>
                <wp:cNvGraphicFramePr/>
                <a:graphic xmlns:a="http://schemas.openxmlformats.org/drawingml/2006/main">
                  <a:graphicData uri="http://schemas.microsoft.com/office/word/2010/wordprocessingShape">
                    <wps:wsp>
                      <wps:cNvSpPr txBox="1"/>
                      <wps:spPr>
                        <a:xfrm flipH="1">
                          <a:off x="0" y="0"/>
                          <a:ext cx="1438910" cy="396240"/>
                        </a:xfrm>
                        <a:prstGeom prst="rect">
                          <a:avLst/>
                        </a:prstGeom>
                        <a:noFill/>
                        <a:ln>
                          <a:noFill/>
                        </a:ln>
                        <a:effectLst/>
                      </wps:spPr>
                      <wps:txbx>
                        <w:txbxContent>
                          <w:p>
                            <w:pPr>
                              <w:pStyle w:val="25"/>
                              <w:ind w:left="418" w:leftChars="199"/>
                              <w:rPr>
                                <w:rFonts w:ascii="汉仪粗黑简" w:hAnsi="汉仪粗黑简" w:eastAsia="汉仪粗黑简" w:cs="汉仪粗黑简"/>
                                <w:color w:val="DA251C"/>
                                <w:sz w:val="32"/>
                                <w:szCs w:val="32"/>
                              </w:rPr>
                            </w:pPr>
                            <w:r>
                              <w:rPr>
                                <w:rFonts w:hint="eastAsia" w:ascii="方正大黑简体" w:hAnsi="方正大黑简体" w:eastAsia="方正大黑简体" w:cs="方正大黑简体"/>
                                <w:b/>
                                <w:bCs/>
                                <w:color w:val="DA251C"/>
                                <w:kern w:val="24"/>
                                <w:sz w:val="32"/>
                                <w:szCs w:val="32"/>
                              </w:rPr>
                              <w:t>项目编号</w:t>
                            </w:r>
                          </w:p>
                        </w:txbxContent>
                      </wps:txbx>
                      <wps:bodyPr wrap="square" rtlCol="0">
                        <a:noAutofit/>
                      </wps:bodyPr>
                    </wps:wsp>
                  </a:graphicData>
                </a:graphic>
              </wp:anchor>
            </w:drawing>
          </mc:Choice>
          <mc:Fallback>
            <w:pict>
              <v:shape id="_x0000_s1026" o:spid="_x0000_s1026" o:spt="202" type="#_x0000_t202" style="position:absolute;left:0pt;flip:x;margin-left:25.1pt;margin-top:274.55pt;height:31.2pt;width:113.3pt;z-index:251664384;mso-width-relative:page;mso-height-relative:page;" filled="f" stroked="f" coordsize="21600,21600" o:gfxdata="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l4Q9l2gAAAAoBAAAPAAAAAAAAAAEAIAAAACIA&#10;AABkcnMvZG93bnJldi54bWxQSwECFAAUAAAACACHTuJADQnwac4BAACPAwAADgAAAAAAAAABACAA&#10;AAApAQAAZHJzL2Uyb0RvYy54bWxQSwUGAAAAAAYABgBZAQAAaQUAAAAA&#10;">
                <v:fill on="f" focussize="0,0"/>
                <v:stroke on="f"/>
                <v:imagedata o:title=""/>
                <o:lock v:ext="edit" aspectratio="f"/>
                <v:textbox>
                  <w:txbxContent>
                    <w:p>
                      <w:pPr>
                        <w:pStyle w:val="25"/>
                        <w:ind w:left="418" w:leftChars="199"/>
                        <w:rPr>
                          <w:rFonts w:ascii="汉仪粗黑简" w:hAnsi="汉仪粗黑简" w:eastAsia="汉仪粗黑简" w:cs="汉仪粗黑简"/>
                          <w:color w:val="DA251C"/>
                          <w:sz w:val="32"/>
                          <w:szCs w:val="32"/>
                        </w:rPr>
                      </w:pPr>
                      <w:r>
                        <w:rPr>
                          <w:rFonts w:hint="eastAsia" w:ascii="方正大黑简体" w:hAnsi="方正大黑简体" w:eastAsia="方正大黑简体" w:cs="方正大黑简体"/>
                          <w:b/>
                          <w:bCs/>
                          <w:color w:val="DA251C"/>
                          <w:kern w:val="24"/>
                          <w:sz w:val="32"/>
                          <w:szCs w:val="32"/>
                        </w:rPr>
                        <w:t>项目编号</w:t>
                      </w:r>
                    </w:p>
                  </w:txbxContent>
                </v:textbox>
              </v:shape>
            </w:pict>
          </mc:Fallback>
        </mc:AlternateContent>
      </w:r>
      <w:r>
        <w:rPr>
          <w:rFonts w:ascii="宋体" w:hAnsi="宋体" w:cs="宋体"/>
        </w:rPr>
        <mc:AlternateContent>
          <mc:Choice Requires="wps">
            <w:drawing>
              <wp:anchor distT="0" distB="0" distL="114300" distR="114300" simplePos="0" relativeHeight="251672576" behindDoc="0" locked="0" layoutInCell="1" allowOverlap="1">
                <wp:simplePos x="0" y="0"/>
                <wp:positionH relativeFrom="column">
                  <wp:posOffset>589915</wp:posOffset>
                </wp:positionH>
                <wp:positionV relativeFrom="paragraph">
                  <wp:posOffset>3944620</wp:posOffset>
                </wp:positionV>
                <wp:extent cx="1028700" cy="409575"/>
                <wp:effectExtent l="0" t="0" r="0" b="0"/>
                <wp:wrapNone/>
                <wp:docPr id="10" name="文本框 10"/>
                <wp:cNvGraphicFramePr/>
                <a:graphic xmlns:a="http://schemas.openxmlformats.org/drawingml/2006/main">
                  <a:graphicData uri="http://schemas.microsoft.com/office/word/2010/wordprocessingShape">
                    <wps:wsp>
                      <wps:cNvSpPr txBox="1"/>
                      <wps:spPr>
                        <a:xfrm>
                          <a:off x="1623060" y="6068695"/>
                          <a:ext cx="1028700" cy="409575"/>
                        </a:xfrm>
                        <a:prstGeom prst="rect">
                          <a:avLst/>
                        </a:prstGeom>
                        <a:noFill/>
                        <a:ln w="6350">
                          <a:noFill/>
                        </a:ln>
                        <a:effectLst/>
                      </wps:spPr>
                      <wps:txbx>
                        <w:txbxContent>
                          <w:p>
                            <w:pPr>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sz w:val="32"/>
                                <w:szCs w:val="32"/>
                              </w:rPr>
                              <w:t>项目名称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45pt;margin-top:310.6pt;height:32.25pt;width:81pt;z-index:251672576;mso-width-relative:page;mso-height-relative:page;" filled="f" stroked="f" coordsize="21600,21600" o:gfxdata="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EhPU0HbAAAACgEAAA8A&#10;AAAAAAAAAQAgAAAAIgAAAGRycy9kb3ducmV2LnhtbFBLAQIUABQAAAAIAIdO4kAsMqgTTQIAAIIE&#10;AAAOAAAAAAAAAAEAIAAAACoBAABkcnMvZTJvRG9jLnhtbFBLBQYAAAAABgAGAFkBAADpBQAAAAA=&#10;">
                <v:fill on="f" focussize="0,0"/>
                <v:stroke on="f" weight="0.5pt"/>
                <v:imagedata o:title=""/>
                <o:lock v:ext="edit" aspectratio="f"/>
                <v:textbox>
                  <w:txbxContent>
                    <w:p>
                      <w:pPr>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sz w:val="32"/>
                          <w:szCs w:val="32"/>
                        </w:rPr>
                        <w:t>项目名称</w:t>
                      </w:r>
                    </w:p>
                  </w:txbxContent>
                </v:textbox>
              </v:shape>
            </w:pict>
          </mc:Fallback>
        </mc:AlternateContent>
      </w:r>
    </w:p>
    <w:p>
      <w:pPr>
        <w:rPr>
          <w:rFonts w:ascii="宋体" w:hAnsi="宋体" w:cs="宋体"/>
          <w:sz w:val="44"/>
          <w:szCs w:val="44"/>
          <w:lang w:val="zh-CN"/>
        </w:rPr>
      </w:pPr>
    </w:p>
    <w:p>
      <w:pPr>
        <w:rPr>
          <w:rFonts w:ascii="宋体" w:hAnsi="宋体" w:cs="宋体"/>
          <w:sz w:val="44"/>
          <w:szCs w:val="44"/>
          <w:lang w:val="zh-CN"/>
        </w:rPr>
      </w:pPr>
    </w:p>
    <w:p>
      <w:pPr>
        <w:rPr>
          <w:rFonts w:ascii="宋体" w:hAnsi="宋体" w:cs="宋体"/>
          <w:sz w:val="44"/>
          <w:szCs w:val="44"/>
          <w:lang w:val="zh-CN"/>
        </w:rPr>
      </w:pPr>
    </w:p>
    <w:p>
      <w:pPr>
        <w:rPr>
          <w:rFonts w:ascii="宋体" w:hAnsi="宋体" w:cs="宋体"/>
          <w:sz w:val="44"/>
          <w:szCs w:val="44"/>
          <w:lang w:val="zh-CN"/>
        </w:rPr>
      </w:pPr>
      <w:r>
        <w:rPr>
          <w:rFonts w:ascii="宋体" w:hAnsi="宋体" w:cs="宋体"/>
        </w:rPr>
        <mc:AlternateContent>
          <mc:Choice Requires="wps">
            <w:drawing>
              <wp:anchor distT="0" distB="0" distL="114300" distR="114300" simplePos="0" relativeHeight="251663360" behindDoc="0" locked="0" layoutInCell="1" allowOverlap="1">
                <wp:simplePos x="0" y="0"/>
                <wp:positionH relativeFrom="column">
                  <wp:posOffset>159385</wp:posOffset>
                </wp:positionH>
                <wp:positionV relativeFrom="paragraph">
                  <wp:posOffset>17145</wp:posOffset>
                </wp:positionV>
                <wp:extent cx="5604510" cy="150939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5604510" cy="1509622"/>
                        </a:xfrm>
                        <a:prstGeom prst="rect">
                          <a:avLst/>
                        </a:prstGeom>
                        <a:noFill/>
                        <a:ln>
                          <a:noFill/>
                        </a:ln>
                        <a:effectLst/>
                      </wps:spPr>
                      <wps:txbx>
                        <w:txbxContent>
                          <w:p>
                            <w:pPr>
                              <w:pStyle w:val="25"/>
                              <w:rPr>
                                <w:rFonts w:ascii="方正大黑简体" w:hAnsi="方正大黑简体" w:eastAsia="方正大黑简体" w:cs="方正大黑简体"/>
                                <w:bCs/>
                                <w:color w:val="DA251C"/>
                                <w:sz w:val="144"/>
                                <w:szCs w:val="144"/>
                              </w:rPr>
                            </w:pPr>
                            <w:r>
                              <w:rPr>
                                <w:rFonts w:hint="eastAsia" w:ascii="方正大黑简体" w:hAnsi="方正大黑简体" w:eastAsia="方正大黑简体" w:cs="方正大黑简体"/>
                                <w:bCs/>
                                <w:color w:val="DA251C"/>
                                <w:sz w:val="144"/>
                                <w:szCs w:val="144"/>
                              </w:rPr>
                              <w:t>磋 商 文 件</w:t>
                            </w:r>
                          </w:p>
                        </w:txbxContent>
                      </wps:txbx>
                      <wps:bodyPr wrap="square" rtlCol="0">
                        <a:noAutofit/>
                      </wps:bodyPr>
                    </wps:wsp>
                  </a:graphicData>
                </a:graphic>
              </wp:anchor>
            </w:drawing>
          </mc:Choice>
          <mc:Fallback>
            <w:pict>
              <v:shape id="_x0000_s1026" o:spid="_x0000_s1026" o:spt="202" type="#_x0000_t202" style="position:absolute;left:0pt;margin-left:12.55pt;margin-top:1.35pt;height:118.85pt;width:441.3pt;z-index:251663360;mso-width-relative:page;mso-height-relative:page;" filled="f" stroked="f" coordsize="21600,21600" o:gfxdata="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hiHQ9QAAAAIAQAADwAAAAAAAAABACAAAAAiAAAAZHJzL2Rvd25yZXYu&#10;eG1sUEsBAhQAFAAAAAgAh07iQJjl+JzGAQAAhgMAAA4AAAAAAAAAAQAgAAAAIwEAAGRycy9lMm9E&#10;b2MueG1sUEsFBgAAAAAGAAYAWQEAAFsFAAAAAA==&#10;">
                <v:fill on="f" focussize="0,0"/>
                <v:stroke on="f"/>
                <v:imagedata o:title=""/>
                <o:lock v:ext="edit" aspectratio="f"/>
                <v:textbox>
                  <w:txbxContent>
                    <w:p>
                      <w:pPr>
                        <w:pStyle w:val="25"/>
                        <w:rPr>
                          <w:rFonts w:ascii="方正大黑简体" w:hAnsi="方正大黑简体" w:eastAsia="方正大黑简体" w:cs="方正大黑简体"/>
                          <w:bCs/>
                          <w:color w:val="DA251C"/>
                          <w:sz w:val="144"/>
                          <w:szCs w:val="144"/>
                        </w:rPr>
                      </w:pPr>
                      <w:r>
                        <w:rPr>
                          <w:rFonts w:hint="eastAsia" w:ascii="方正大黑简体" w:hAnsi="方正大黑简体" w:eastAsia="方正大黑简体" w:cs="方正大黑简体"/>
                          <w:bCs/>
                          <w:color w:val="DA251C"/>
                          <w:sz w:val="144"/>
                          <w:szCs w:val="144"/>
                        </w:rPr>
                        <w:t>磋 商 文 件</w:t>
                      </w:r>
                    </w:p>
                  </w:txbxContent>
                </v:textbox>
              </v:shape>
            </w:pict>
          </mc:Fallback>
        </mc:AlternateContent>
      </w:r>
    </w:p>
    <w:p>
      <w:pPr>
        <w:rPr>
          <w:rFonts w:ascii="宋体" w:hAnsi="宋体" w:cs="宋体"/>
          <w:sz w:val="44"/>
          <w:szCs w:val="44"/>
          <w:lang w:val="zh-CN"/>
        </w:rPr>
      </w:pPr>
    </w:p>
    <w:p>
      <w:pPr>
        <w:rPr>
          <w:rFonts w:ascii="宋体" w:hAnsi="宋体" w:cs="宋体"/>
          <w:sz w:val="44"/>
          <w:szCs w:val="44"/>
          <w:lang w:val="zh-CN"/>
        </w:rPr>
      </w:pPr>
    </w:p>
    <w:p>
      <w:pPr>
        <w:jc w:val="right"/>
        <w:rPr>
          <w:rFonts w:ascii="宋体" w:hAnsi="宋体" w:cs="宋体"/>
          <w:sz w:val="44"/>
          <w:szCs w:val="44"/>
          <w:lang w:val="zh-CN"/>
        </w:rPr>
      </w:pPr>
    </w:p>
    <w:p>
      <w:pPr>
        <w:rPr>
          <w:rFonts w:ascii="宋体" w:hAnsi="宋体" w:cs="宋体"/>
          <w:sz w:val="44"/>
          <w:szCs w:val="44"/>
          <w:lang w:val="zh-CN"/>
        </w:rPr>
      </w:pPr>
      <w:r>
        <w:rPr>
          <w:rFonts w:ascii="宋体" w:hAnsi="宋体" w:cs="宋体"/>
        </w:rPr>
        <mc:AlternateContent>
          <mc:Choice Requires="wps">
            <w:drawing>
              <wp:anchor distT="0" distB="0" distL="114300" distR="114300" simplePos="0" relativeHeight="251673600" behindDoc="0" locked="0" layoutInCell="1" allowOverlap="1">
                <wp:simplePos x="0" y="0"/>
                <wp:positionH relativeFrom="column">
                  <wp:posOffset>1759585</wp:posOffset>
                </wp:positionH>
                <wp:positionV relativeFrom="paragraph">
                  <wp:posOffset>1075690</wp:posOffset>
                </wp:positionV>
                <wp:extent cx="4709795" cy="601980"/>
                <wp:effectExtent l="0" t="0" r="0" b="7620"/>
                <wp:wrapNone/>
                <wp:docPr id="12" name="文本框 12"/>
                <wp:cNvGraphicFramePr/>
                <a:graphic xmlns:a="http://schemas.openxmlformats.org/drawingml/2006/main">
                  <a:graphicData uri="http://schemas.microsoft.com/office/word/2010/wordprocessingShape">
                    <wps:wsp>
                      <wps:cNvSpPr txBox="1"/>
                      <wps:spPr>
                        <a:xfrm>
                          <a:off x="0" y="0"/>
                          <a:ext cx="4709795" cy="601980"/>
                        </a:xfrm>
                        <a:prstGeom prst="rect">
                          <a:avLst/>
                        </a:prstGeom>
                        <a:noFill/>
                        <a:ln w="6350">
                          <a:noFill/>
                        </a:ln>
                        <a:effectLst/>
                      </wps:spPr>
                      <wps:txbx>
                        <w:txbxContent>
                          <w:p>
                            <w:pPr>
                              <w:rPr>
                                <w:rFonts w:ascii="黑体" w:hAnsi="黑体" w:eastAsia="黑体" w:cs="黑体"/>
                                <w:kern w:val="24"/>
                                <w:sz w:val="32"/>
                                <w:szCs w:val="32"/>
                              </w:rPr>
                            </w:pPr>
                            <w:r>
                              <w:rPr>
                                <w:rFonts w:hint="eastAsia" w:ascii="黑体" w:hAnsi="黑体" w:eastAsia="黑体" w:cs="黑体"/>
                                <w:kern w:val="24"/>
                                <w:sz w:val="32"/>
                                <w:szCs w:val="32"/>
                              </w:rPr>
                              <w:t>江苏医药职业学院2024-2026年校内建设工程设计单位入围服务项目</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8.55pt;margin-top:84.7pt;height:47.4pt;width:370.85pt;z-index:251673600;mso-width-relative:page;mso-height-relative:page;" filled="f" stroked="f" coordsize="21600,21600" o:gfxdata="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oeO3p9sAAAAMAQAADwAAAAAAAAABACAA&#10;AAAiAAAAZHJzL2Rvd25yZXYueG1sUEsBAhQAFAAAAAgAh07iQNCtU5BDAgAAdgQAAA4AAAAAAAAA&#10;AQAgAAAAKgEAAGRycy9lMm9Eb2MueG1sUEsFBgAAAAAGAAYAWQEAAN8FAAAAAA==&#10;">
                <v:fill on="f" focussize="0,0"/>
                <v:stroke on="f" weight="0.5pt"/>
                <v:imagedata o:title=""/>
                <o:lock v:ext="edit" aspectratio="f"/>
                <v:textbox>
                  <w:txbxContent>
                    <w:p>
                      <w:pPr>
                        <w:rPr>
                          <w:rFonts w:ascii="黑体" w:hAnsi="黑体" w:eastAsia="黑体" w:cs="黑体"/>
                          <w:kern w:val="24"/>
                          <w:sz w:val="32"/>
                          <w:szCs w:val="32"/>
                        </w:rPr>
                      </w:pPr>
                      <w:r>
                        <w:rPr>
                          <w:rFonts w:hint="eastAsia" w:ascii="黑体" w:hAnsi="黑体" w:eastAsia="黑体" w:cs="黑体"/>
                          <w:kern w:val="24"/>
                          <w:sz w:val="32"/>
                          <w:szCs w:val="32"/>
                        </w:rPr>
                        <w:t>江苏医药职业学院2024-2026年校内建设工程设计单位入围服务项目</w:t>
                      </w:r>
                    </w:p>
                    <w:p/>
                  </w:txbxContent>
                </v:textbox>
              </v:shape>
            </w:pict>
          </mc:Fallback>
        </mc:AlternateContent>
      </w:r>
    </w:p>
    <w:p>
      <w:pPr>
        <w:rPr>
          <w:rFonts w:ascii="宋体" w:hAnsi="宋体" w:cs="宋体"/>
          <w:sz w:val="44"/>
          <w:szCs w:val="44"/>
          <w:lang w:val="zh-CN"/>
        </w:rPr>
        <w:sectPr>
          <w:headerReference r:id="rId3" w:type="default"/>
          <w:pgSz w:w="11906" w:h="16838"/>
          <w:pgMar w:top="1701" w:right="1474" w:bottom="1701" w:left="1474" w:header="851" w:footer="1134" w:gutter="0"/>
          <w:cols w:space="720" w:num="1"/>
          <w:docGrid w:linePitch="579" w:charSpace="1229"/>
        </w:sectPr>
      </w:pPr>
    </w:p>
    <w:sdt>
      <w:sdtPr>
        <w:rPr>
          <w:rFonts w:ascii="Times New Roman" w:hAnsi="Times New Roman" w:eastAsia="宋体" w:cs="Times New Roman"/>
          <w:color w:val="auto"/>
          <w:kern w:val="2"/>
          <w:sz w:val="21"/>
          <w:szCs w:val="24"/>
          <w:lang w:val="zh-CN"/>
        </w:rPr>
        <w:id w:val="-1709556474"/>
        <w:docPartObj>
          <w:docPartGallery w:val="Table of Contents"/>
          <w:docPartUnique/>
        </w:docPartObj>
      </w:sdtPr>
      <w:sdtEndPr>
        <w:rPr>
          <w:rFonts w:ascii="Times New Roman" w:hAnsi="Times New Roman" w:eastAsia="宋体" w:cs="Times New Roman"/>
          <w:color w:val="auto"/>
          <w:kern w:val="2"/>
          <w:sz w:val="21"/>
          <w:szCs w:val="24"/>
          <w:lang w:val="zh-CN"/>
        </w:rPr>
      </w:sdtEndPr>
      <w:sdtContent>
        <w:p>
          <w:pPr>
            <w:pStyle w:val="53"/>
            <w:jc w:val="center"/>
            <w:rPr>
              <w:b/>
              <w:sz w:val="40"/>
            </w:rPr>
          </w:pPr>
          <w:r>
            <w:rPr>
              <w:b/>
              <w:sz w:val="40"/>
              <w:lang w:val="zh-CN"/>
            </w:rPr>
            <w:t>目</w:t>
          </w:r>
          <w:r>
            <w:rPr>
              <w:rFonts w:hint="eastAsia"/>
              <w:b/>
              <w:sz w:val="40"/>
              <w:lang w:val="zh-CN"/>
            </w:rPr>
            <w:t xml:space="preserve">  </w:t>
          </w:r>
          <w:r>
            <w:rPr>
              <w:b/>
              <w:sz w:val="40"/>
              <w:lang w:val="zh-CN"/>
            </w:rPr>
            <w:t>录</w:t>
          </w:r>
        </w:p>
        <w:p>
          <w:pPr>
            <w:pStyle w:val="22"/>
            <w:tabs>
              <w:tab w:val="right" w:leader="dot" w:pos="8296"/>
            </w:tabs>
            <w:spacing w:line="276" w:lineRule="auto"/>
            <w:rPr>
              <w:rFonts w:eastAsiaTheme="minorEastAsia"/>
              <w:sz w:val="21"/>
              <w:szCs w:val="21"/>
            </w:rPr>
          </w:pPr>
          <w:r>
            <w:fldChar w:fldCharType="begin"/>
          </w:r>
          <w:r>
            <w:instrText xml:space="preserve"> TOC \o "1-3" \h \z \u </w:instrText>
          </w:r>
          <w:r>
            <w:fldChar w:fldCharType="separate"/>
          </w:r>
          <w:r>
            <w:fldChar w:fldCharType="begin"/>
          </w:r>
          <w:r>
            <w:instrText xml:space="preserve"> HYPERLINK \l "_Toc122338083" </w:instrText>
          </w:r>
          <w:r>
            <w:fldChar w:fldCharType="separate"/>
          </w:r>
          <w:r>
            <w:rPr>
              <w:rStyle w:val="34"/>
              <w:rFonts w:hint="eastAsia" w:ascii="宋体" w:hAnsi="宋体" w:cs="宋体"/>
              <w:sz w:val="21"/>
              <w:szCs w:val="21"/>
            </w:rPr>
            <w:t>第一章 采购公告</w:t>
          </w:r>
          <w:r>
            <w:rPr>
              <w:sz w:val="21"/>
              <w:szCs w:val="21"/>
            </w:rPr>
            <w:tab/>
          </w:r>
          <w:r>
            <w:rPr>
              <w:sz w:val="21"/>
              <w:szCs w:val="21"/>
            </w:rPr>
            <w:fldChar w:fldCharType="begin"/>
          </w:r>
          <w:r>
            <w:rPr>
              <w:sz w:val="21"/>
              <w:szCs w:val="21"/>
            </w:rPr>
            <w:instrText xml:space="preserve"> PAGEREF _Toc122338083 \h </w:instrText>
          </w:r>
          <w:r>
            <w:rPr>
              <w:sz w:val="21"/>
              <w:szCs w:val="21"/>
            </w:rPr>
            <w:fldChar w:fldCharType="separate"/>
          </w:r>
          <w:r>
            <w:rPr>
              <w:sz w:val="21"/>
              <w:szCs w:val="21"/>
            </w:rPr>
            <w:t>3</w:t>
          </w:r>
          <w:r>
            <w:rPr>
              <w:sz w:val="21"/>
              <w:szCs w:val="21"/>
            </w:rPr>
            <w:fldChar w:fldCharType="end"/>
          </w:r>
          <w:r>
            <w:rPr>
              <w:sz w:val="21"/>
              <w:szCs w:val="21"/>
            </w:rPr>
            <w:fldChar w:fldCharType="end"/>
          </w:r>
        </w:p>
        <w:p>
          <w:pPr>
            <w:pStyle w:val="22"/>
            <w:tabs>
              <w:tab w:val="right" w:leader="dot" w:pos="8296"/>
            </w:tabs>
            <w:spacing w:line="276" w:lineRule="auto"/>
            <w:rPr>
              <w:rFonts w:eastAsiaTheme="minorEastAsia"/>
              <w:sz w:val="21"/>
              <w:szCs w:val="21"/>
            </w:rPr>
          </w:pPr>
          <w:r>
            <w:fldChar w:fldCharType="begin"/>
          </w:r>
          <w:r>
            <w:instrText xml:space="preserve"> HYPERLINK \l "_Toc122338085" </w:instrText>
          </w:r>
          <w:r>
            <w:fldChar w:fldCharType="separate"/>
          </w:r>
          <w:r>
            <w:rPr>
              <w:rStyle w:val="34"/>
              <w:rFonts w:hint="eastAsia" w:ascii="宋体" w:hAnsi="宋体" w:cs="宋体"/>
              <w:sz w:val="21"/>
              <w:szCs w:val="21"/>
            </w:rPr>
            <w:t>第二章供货商须知</w:t>
          </w:r>
          <w:r>
            <w:rPr>
              <w:sz w:val="21"/>
              <w:szCs w:val="21"/>
            </w:rPr>
            <w:tab/>
          </w:r>
          <w:r>
            <w:rPr>
              <w:sz w:val="21"/>
              <w:szCs w:val="21"/>
            </w:rPr>
            <w:fldChar w:fldCharType="begin"/>
          </w:r>
          <w:r>
            <w:rPr>
              <w:sz w:val="21"/>
              <w:szCs w:val="21"/>
            </w:rPr>
            <w:instrText xml:space="preserve"> PAGEREF _Toc122338085 \h </w:instrText>
          </w:r>
          <w:r>
            <w:rPr>
              <w:sz w:val="21"/>
              <w:szCs w:val="21"/>
            </w:rPr>
            <w:fldChar w:fldCharType="separate"/>
          </w:r>
          <w:r>
            <w:rPr>
              <w:sz w:val="21"/>
              <w:szCs w:val="21"/>
            </w:rPr>
            <w:t>6</w:t>
          </w:r>
          <w:r>
            <w:rPr>
              <w:sz w:val="21"/>
              <w:szCs w:val="21"/>
            </w:rPr>
            <w:fldChar w:fldCharType="end"/>
          </w:r>
          <w:r>
            <w:rPr>
              <w:sz w:val="21"/>
              <w:szCs w:val="21"/>
            </w:rPr>
            <w:fldChar w:fldCharType="end"/>
          </w:r>
        </w:p>
        <w:p>
          <w:pPr>
            <w:pStyle w:val="24"/>
            <w:tabs>
              <w:tab w:val="right" w:leader="dot" w:pos="8296"/>
            </w:tabs>
            <w:spacing w:line="276" w:lineRule="auto"/>
            <w:rPr>
              <w:rFonts w:eastAsiaTheme="minorEastAsia"/>
              <w:sz w:val="21"/>
              <w:szCs w:val="21"/>
            </w:rPr>
          </w:pPr>
          <w:r>
            <w:fldChar w:fldCharType="begin"/>
          </w:r>
          <w:r>
            <w:instrText xml:space="preserve"> HYPERLINK \l "_Toc122338086" </w:instrText>
          </w:r>
          <w:r>
            <w:fldChar w:fldCharType="separate"/>
          </w:r>
          <w:r>
            <w:rPr>
              <w:rStyle w:val="34"/>
              <w:rFonts w:hint="eastAsia" w:ascii="宋体" w:hAnsi="宋体" w:cs="宋体"/>
              <w:sz w:val="21"/>
              <w:szCs w:val="21"/>
            </w:rPr>
            <w:t>一、总则</w:t>
          </w:r>
          <w:r>
            <w:rPr>
              <w:rFonts w:hint="eastAsia"/>
              <w:sz w:val="21"/>
              <w:szCs w:val="21"/>
            </w:rPr>
            <w:t>..................................................................................................................................7</w:t>
          </w:r>
          <w:r>
            <w:rPr>
              <w:rFonts w:hint="eastAsia"/>
              <w:sz w:val="21"/>
              <w:szCs w:val="21"/>
            </w:rPr>
            <w:fldChar w:fldCharType="end"/>
          </w:r>
        </w:p>
        <w:p>
          <w:pPr>
            <w:pStyle w:val="24"/>
            <w:tabs>
              <w:tab w:val="right" w:leader="dot" w:pos="8296"/>
            </w:tabs>
            <w:spacing w:line="276" w:lineRule="auto"/>
            <w:rPr>
              <w:rFonts w:eastAsiaTheme="minorEastAsia"/>
              <w:sz w:val="21"/>
              <w:szCs w:val="21"/>
            </w:rPr>
          </w:pPr>
          <w:r>
            <w:fldChar w:fldCharType="begin"/>
          </w:r>
          <w:r>
            <w:instrText xml:space="preserve"> HYPERLINK \l "_Toc122338087" </w:instrText>
          </w:r>
          <w:r>
            <w:fldChar w:fldCharType="separate"/>
          </w:r>
          <w:r>
            <w:rPr>
              <w:rStyle w:val="34"/>
              <w:rFonts w:hint="eastAsia" w:ascii="宋体" w:hAnsi="宋体" w:cs="宋体"/>
              <w:sz w:val="21"/>
              <w:szCs w:val="21"/>
            </w:rPr>
            <w:t>二、磋商响应文件的编制及保证金收取........................................</w:t>
          </w:r>
          <w:r>
            <w:rPr>
              <w:rFonts w:hint="eastAsia"/>
              <w:sz w:val="21"/>
              <w:szCs w:val="21"/>
            </w:rPr>
            <w:t>8</w:t>
          </w:r>
          <w:r>
            <w:rPr>
              <w:rFonts w:hint="eastAsia"/>
              <w:sz w:val="21"/>
              <w:szCs w:val="21"/>
            </w:rPr>
            <w:fldChar w:fldCharType="end"/>
          </w:r>
        </w:p>
        <w:p>
          <w:pPr>
            <w:pStyle w:val="24"/>
            <w:tabs>
              <w:tab w:val="right" w:leader="dot" w:pos="8296"/>
            </w:tabs>
            <w:spacing w:line="276" w:lineRule="auto"/>
            <w:rPr>
              <w:sz w:val="21"/>
              <w:szCs w:val="21"/>
            </w:rPr>
          </w:pPr>
          <w:r>
            <w:fldChar w:fldCharType="begin"/>
          </w:r>
          <w:r>
            <w:instrText xml:space="preserve"> HYPERLINK \l "_Toc122338088" </w:instrText>
          </w:r>
          <w:r>
            <w:fldChar w:fldCharType="separate"/>
          </w:r>
          <w:r>
            <w:rPr>
              <w:rStyle w:val="34"/>
              <w:rFonts w:hint="eastAsia" w:ascii="宋体" w:hAnsi="宋体" w:cs="宋体"/>
              <w:sz w:val="21"/>
              <w:szCs w:val="21"/>
            </w:rPr>
            <w:t>三、投标（响应）文件的递交</w:t>
          </w:r>
          <w:r>
            <w:rPr>
              <w:rFonts w:hint="eastAsia"/>
              <w:sz w:val="21"/>
              <w:szCs w:val="21"/>
            </w:rPr>
            <w:t>..............................................................................................8</w:t>
          </w:r>
          <w:r>
            <w:rPr>
              <w:rFonts w:hint="eastAsia"/>
              <w:sz w:val="21"/>
              <w:szCs w:val="21"/>
            </w:rPr>
            <w:fldChar w:fldCharType="end"/>
          </w:r>
        </w:p>
        <w:p>
          <w:pPr>
            <w:pStyle w:val="24"/>
            <w:tabs>
              <w:tab w:val="right" w:leader="dot" w:pos="8296"/>
            </w:tabs>
            <w:spacing w:line="276" w:lineRule="auto"/>
            <w:rPr>
              <w:sz w:val="21"/>
              <w:szCs w:val="21"/>
            </w:rPr>
          </w:pPr>
          <w:r>
            <w:fldChar w:fldCharType="begin"/>
          </w:r>
          <w:r>
            <w:instrText xml:space="preserve"> HYPERLINK \l "_Toc122338089" </w:instrText>
          </w:r>
          <w:r>
            <w:fldChar w:fldCharType="separate"/>
          </w:r>
          <w:r>
            <w:rPr>
              <w:rStyle w:val="34"/>
              <w:rFonts w:hint="eastAsia" w:ascii="宋体" w:hAnsi="宋体" w:cs="宋体"/>
              <w:sz w:val="21"/>
              <w:szCs w:val="21"/>
            </w:rPr>
            <w:t>四、磋商与评审</w:t>
          </w:r>
          <w:r>
            <w:rPr>
              <w:rFonts w:hint="eastAsia"/>
              <w:sz w:val="21"/>
              <w:szCs w:val="21"/>
            </w:rPr>
            <w:t>.....................................................................................................................1</w:t>
          </w:r>
          <w:r>
            <w:rPr>
              <w:rFonts w:hint="eastAsia"/>
              <w:sz w:val="21"/>
              <w:szCs w:val="21"/>
            </w:rPr>
            <w:fldChar w:fldCharType="end"/>
          </w:r>
          <w:r>
            <w:rPr>
              <w:rFonts w:hint="eastAsia"/>
              <w:sz w:val="21"/>
              <w:szCs w:val="21"/>
            </w:rPr>
            <w:t>0</w:t>
          </w:r>
        </w:p>
        <w:p>
          <w:pPr>
            <w:pStyle w:val="24"/>
            <w:tabs>
              <w:tab w:val="right" w:leader="dot" w:pos="8296"/>
            </w:tabs>
            <w:spacing w:line="276" w:lineRule="auto"/>
            <w:rPr>
              <w:sz w:val="21"/>
              <w:szCs w:val="21"/>
            </w:rPr>
          </w:pPr>
          <w:r>
            <w:fldChar w:fldCharType="begin"/>
          </w:r>
          <w:r>
            <w:instrText xml:space="preserve"> HYPERLINK \l "_Toc122338090" </w:instrText>
          </w:r>
          <w:r>
            <w:fldChar w:fldCharType="separate"/>
          </w:r>
          <w:r>
            <w:rPr>
              <w:rStyle w:val="34"/>
              <w:rFonts w:hint="eastAsia" w:ascii="宋体" w:hAnsi="宋体" w:cs="宋体"/>
              <w:sz w:val="21"/>
              <w:szCs w:val="21"/>
            </w:rPr>
            <w:t>五、成交</w:t>
          </w:r>
          <w:r>
            <w:rPr>
              <w:rFonts w:hint="eastAsia"/>
              <w:sz w:val="21"/>
              <w:szCs w:val="21"/>
            </w:rPr>
            <w:t>.................................................................................................................................1</w:t>
          </w:r>
          <w:r>
            <w:rPr>
              <w:rFonts w:hint="eastAsia"/>
              <w:sz w:val="21"/>
              <w:szCs w:val="21"/>
            </w:rPr>
            <w:fldChar w:fldCharType="end"/>
          </w:r>
          <w:r>
            <w:rPr>
              <w:rFonts w:hint="eastAsia"/>
              <w:sz w:val="21"/>
              <w:szCs w:val="21"/>
            </w:rPr>
            <w:t>4</w:t>
          </w:r>
        </w:p>
        <w:p>
          <w:pPr>
            <w:pStyle w:val="24"/>
            <w:tabs>
              <w:tab w:val="right" w:leader="dot" w:pos="8296"/>
            </w:tabs>
            <w:spacing w:line="276" w:lineRule="auto"/>
            <w:rPr>
              <w:sz w:val="21"/>
              <w:szCs w:val="21"/>
            </w:rPr>
          </w:pPr>
          <w:r>
            <w:fldChar w:fldCharType="begin"/>
          </w:r>
          <w:r>
            <w:instrText xml:space="preserve"> HYPERLINK \l "_Toc122338091" </w:instrText>
          </w:r>
          <w:r>
            <w:fldChar w:fldCharType="separate"/>
          </w:r>
          <w:r>
            <w:rPr>
              <w:rStyle w:val="34"/>
              <w:rFonts w:hint="eastAsia" w:ascii="宋体" w:hAnsi="宋体" w:cs="宋体"/>
              <w:sz w:val="21"/>
              <w:szCs w:val="21"/>
            </w:rPr>
            <w:t>六、合同签订相关事项</w:t>
          </w:r>
          <w:r>
            <w:rPr>
              <w:rFonts w:hint="eastAsia"/>
              <w:sz w:val="21"/>
              <w:szCs w:val="21"/>
            </w:rPr>
            <w:t>.........................................................................................................1</w:t>
          </w:r>
          <w:r>
            <w:rPr>
              <w:rFonts w:hint="eastAsia"/>
              <w:sz w:val="21"/>
              <w:szCs w:val="21"/>
            </w:rPr>
            <w:fldChar w:fldCharType="end"/>
          </w:r>
          <w:r>
            <w:rPr>
              <w:rFonts w:hint="eastAsia"/>
              <w:sz w:val="21"/>
              <w:szCs w:val="21"/>
            </w:rPr>
            <w:t>5</w:t>
          </w:r>
        </w:p>
        <w:p>
          <w:pPr>
            <w:pStyle w:val="24"/>
            <w:tabs>
              <w:tab w:val="right" w:leader="dot" w:pos="8296"/>
            </w:tabs>
            <w:spacing w:line="276" w:lineRule="auto"/>
            <w:rPr>
              <w:sz w:val="21"/>
              <w:szCs w:val="21"/>
            </w:rPr>
          </w:pPr>
          <w:r>
            <w:fldChar w:fldCharType="begin"/>
          </w:r>
          <w:r>
            <w:instrText xml:space="preserve"> HYPERLINK \l "_Toc122338092" </w:instrText>
          </w:r>
          <w:r>
            <w:fldChar w:fldCharType="separate"/>
          </w:r>
          <w:r>
            <w:rPr>
              <w:rStyle w:val="34"/>
              <w:rFonts w:hint="eastAsia" w:ascii="宋体" w:hAnsi="宋体" w:cs="宋体"/>
              <w:sz w:val="21"/>
              <w:szCs w:val="21"/>
            </w:rPr>
            <w:t>七、其他</w:t>
          </w:r>
          <w:r>
            <w:rPr>
              <w:rFonts w:hint="eastAsia"/>
              <w:sz w:val="21"/>
              <w:szCs w:val="21"/>
            </w:rPr>
            <w:t>.................................................................................................................................1</w:t>
          </w:r>
          <w:r>
            <w:rPr>
              <w:rFonts w:hint="eastAsia"/>
              <w:sz w:val="21"/>
              <w:szCs w:val="21"/>
            </w:rPr>
            <w:fldChar w:fldCharType="end"/>
          </w:r>
          <w:r>
            <w:rPr>
              <w:rFonts w:hint="eastAsia"/>
              <w:sz w:val="21"/>
              <w:szCs w:val="21"/>
            </w:rPr>
            <w:t>7</w:t>
          </w:r>
        </w:p>
        <w:p>
          <w:pPr>
            <w:pStyle w:val="22"/>
            <w:tabs>
              <w:tab w:val="right" w:leader="dot" w:pos="8296"/>
            </w:tabs>
            <w:spacing w:line="276" w:lineRule="auto"/>
            <w:rPr>
              <w:rFonts w:eastAsiaTheme="minorEastAsia"/>
              <w:sz w:val="21"/>
              <w:szCs w:val="21"/>
            </w:rPr>
          </w:pPr>
          <w:r>
            <w:fldChar w:fldCharType="begin"/>
          </w:r>
          <w:r>
            <w:instrText xml:space="preserve"> HYPERLINK \l "_Toc122338093" </w:instrText>
          </w:r>
          <w:r>
            <w:fldChar w:fldCharType="separate"/>
          </w:r>
          <w:r>
            <w:rPr>
              <w:rStyle w:val="34"/>
              <w:rFonts w:hint="eastAsia" w:ascii="宋体" w:hAnsi="宋体" w:cs="宋体"/>
              <w:sz w:val="21"/>
              <w:szCs w:val="21"/>
            </w:rPr>
            <w:t>第三章 采购需求及政府采购合同（拟签订的合同文本）</w:t>
          </w:r>
          <w:r>
            <w:rPr>
              <w:sz w:val="21"/>
              <w:szCs w:val="21"/>
            </w:rPr>
            <w:tab/>
          </w:r>
          <w:r>
            <w:rPr>
              <w:sz w:val="21"/>
              <w:szCs w:val="21"/>
            </w:rPr>
            <w:fldChar w:fldCharType="begin"/>
          </w:r>
          <w:r>
            <w:rPr>
              <w:sz w:val="21"/>
              <w:szCs w:val="21"/>
            </w:rPr>
            <w:instrText xml:space="preserve"> PAGEREF _Toc122338093 \h </w:instrText>
          </w:r>
          <w:r>
            <w:rPr>
              <w:sz w:val="21"/>
              <w:szCs w:val="21"/>
            </w:rPr>
            <w:fldChar w:fldCharType="separate"/>
          </w:r>
          <w:r>
            <w:rPr>
              <w:sz w:val="21"/>
              <w:szCs w:val="21"/>
            </w:rPr>
            <w:t>14</w:t>
          </w:r>
          <w:r>
            <w:rPr>
              <w:sz w:val="21"/>
              <w:szCs w:val="21"/>
            </w:rPr>
            <w:fldChar w:fldCharType="end"/>
          </w:r>
          <w:r>
            <w:rPr>
              <w:sz w:val="21"/>
              <w:szCs w:val="21"/>
            </w:rPr>
            <w:fldChar w:fldCharType="end"/>
          </w:r>
        </w:p>
        <w:p>
          <w:pPr>
            <w:pStyle w:val="24"/>
            <w:tabs>
              <w:tab w:val="right" w:leader="dot" w:pos="8296"/>
            </w:tabs>
            <w:spacing w:line="276" w:lineRule="auto"/>
            <w:rPr>
              <w:rFonts w:eastAsiaTheme="minorEastAsia"/>
              <w:sz w:val="21"/>
              <w:szCs w:val="21"/>
            </w:rPr>
          </w:pPr>
          <w:r>
            <w:fldChar w:fldCharType="begin"/>
          </w:r>
          <w:r>
            <w:instrText xml:space="preserve"> HYPERLINK \l "_Toc122338094" </w:instrText>
          </w:r>
          <w:r>
            <w:fldChar w:fldCharType="separate"/>
          </w:r>
          <w:r>
            <w:rPr>
              <w:rStyle w:val="34"/>
              <w:rFonts w:hint="eastAsia" w:ascii="宋体" w:hAnsi="宋体" w:cs="宋体"/>
              <w:bCs/>
              <w:sz w:val="21"/>
              <w:szCs w:val="21"/>
            </w:rPr>
            <w:t>采购需求及</w:t>
          </w:r>
          <w:r>
            <w:rPr>
              <w:rStyle w:val="34"/>
              <w:rFonts w:hint="eastAsia" w:ascii="宋体" w:hAnsi="宋体"/>
              <w:sz w:val="21"/>
              <w:szCs w:val="21"/>
            </w:rPr>
            <w:t>政府采购合同</w:t>
          </w:r>
          <w:r>
            <w:rPr>
              <w:rStyle w:val="34"/>
              <w:rFonts w:hint="eastAsia" w:ascii="宋体" w:hAnsi="宋体" w:cs="宋体"/>
              <w:bCs/>
              <w:sz w:val="21"/>
              <w:szCs w:val="21"/>
            </w:rPr>
            <w:t>前附表</w:t>
          </w:r>
          <w:r>
            <w:rPr>
              <w:sz w:val="21"/>
              <w:szCs w:val="21"/>
            </w:rPr>
            <w:tab/>
          </w:r>
          <w:r>
            <w:rPr>
              <w:sz w:val="21"/>
              <w:szCs w:val="21"/>
            </w:rPr>
            <w:fldChar w:fldCharType="begin"/>
          </w:r>
          <w:r>
            <w:rPr>
              <w:sz w:val="21"/>
              <w:szCs w:val="21"/>
            </w:rPr>
            <w:instrText xml:space="preserve"> PAGEREF _Toc122338094 \h </w:instrText>
          </w:r>
          <w:r>
            <w:rPr>
              <w:sz w:val="21"/>
              <w:szCs w:val="21"/>
            </w:rPr>
            <w:fldChar w:fldCharType="separate"/>
          </w:r>
          <w:r>
            <w:rPr>
              <w:sz w:val="21"/>
              <w:szCs w:val="21"/>
            </w:rPr>
            <w:t>14</w:t>
          </w:r>
          <w:r>
            <w:rPr>
              <w:sz w:val="21"/>
              <w:szCs w:val="21"/>
            </w:rPr>
            <w:fldChar w:fldCharType="end"/>
          </w:r>
          <w:r>
            <w:rPr>
              <w:sz w:val="21"/>
              <w:szCs w:val="21"/>
            </w:rPr>
            <w:fldChar w:fldCharType="end"/>
          </w:r>
        </w:p>
        <w:p>
          <w:pPr>
            <w:pStyle w:val="24"/>
            <w:tabs>
              <w:tab w:val="right" w:leader="dot" w:pos="8296"/>
            </w:tabs>
            <w:spacing w:line="276" w:lineRule="auto"/>
            <w:rPr>
              <w:rFonts w:eastAsiaTheme="minorEastAsia"/>
              <w:sz w:val="21"/>
              <w:szCs w:val="21"/>
            </w:rPr>
          </w:pPr>
          <w:r>
            <w:fldChar w:fldCharType="begin"/>
          </w:r>
          <w:r>
            <w:instrText xml:space="preserve"> HYPERLINK \l "_Toc122338096" </w:instrText>
          </w:r>
          <w:r>
            <w:fldChar w:fldCharType="separate"/>
          </w:r>
          <w:r>
            <w:rPr>
              <w:rStyle w:val="34"/>
              <w:rFonts w:hint="eastAsia" w:ascii="宋体" w:hAnsi="宋体" w:cs="宋体"/>
              <w:sz w:val="21"/>
              <w:szCs w:val="21"/>
            </w:rPr>
            <w:t>第一项采购需求</w:t>
          </w:r>
          <w:r>
            <w:rPr>
              <w:sz w:val="21"/>
              <w:szCs w:val="21"/>
            </w:rPr>
            <w:tab/>
          </w:r>
          <w:r>
            <w:rPr>
              <w:sz w:val="21"/>
              <w:szCs w:val="21"/>
            </w:rPr>
            <w:fldChar w:fldCharType="begin"/>
          </w:r>
          <w:r>
            <w:rPr>
              <w:sz w:val="21"/>
              <w:szCs w:val="21"/>
            </w:rPr>
            <w:instrText xml:space="preserve"> PAGEREF _Toc122338096 \h </w:instrText>
          </w:r>
          <w:r>
            <w:rPr>
              <w:sz w:val="21"/>
              <w:szCs w:val="21"/>
            </w:rPr>
            <w:fldChar w:fldCharType="separate"/>
          </w:r>
          <w:r>
            <w:rPr>
              <w:sz w:val="21"/>
              <w:szCs w:val="21"/>
            </w:rPr>
            <w:t>15</w:t>
          </w:r>
          <w:r>
            <w:rPr>
              <w:sz w:val="21"/>
              <w:szCs w:val="21"/>
            </w:rPr>
            <w:fldChar w:fldCharType="end"/>
          </w:r>
          <w:r>
            <w:rPr>
              <w:sz w:val="21"/>
              <w:szCs w:val="21"/>
            </w:rPr>
            <w:fldChar w:fldCharType="end"/>
          </w:r>
        </w:p>
        <w:p>
          <w:pPr>
            <w:pStyle w:val="24"/>
            <w:tabs>
              <w:tab w:val="right" w:leader="dot" w:pos="8296"/>
            </w:tabs>
            <w:spacing w:line="276" w:lineRule="auto"/>
            <w:rPr>
              <w:rFonts w:eastAsiaTheme="minorEastAsia"/>
              <w:sz w:val="21"/>
              <w:szCs w:val="21"/>
            </w:rPr>
          </w:pPr>
          <w:r>
            <w:fldChar w:fldCharType="begin"/>
          </w:r>
          <w:r>
            <w:instrText xml:space="preserve"> HYPERLINK \l "_Toc122338097" </w:instrText>
          </w:r>
          <w:r>
            <w:fldChar w:fldCharType="separate"/>
          </w:r>
          <w:r>
            <w:rPr>
              <w:rStyle w:val="34"/>
              <w:rFonts w:hint="eastAsia" w:ascii="宋体" w:hAnsi="宋体" w:cs="宋体"/>
              <w:bCs/>
              <w:sz w:val="21"/>
              <w:szCs w:val="21"/>
            </w:rPr>
            <w:t>第二项</w:t>
          </w:r>
          <w:r>
            <w:rPr>
              <w:rStyle w:val="34"/>
              <w:rFonts w:hint="eastAsia" w:ascii="宋体" w:hAnsi="宋体" w:cs="宋体"/>
              <w:sz w:val="21"/>
              <w:szCs w:val="21"/>
            </w:rPr>
            <w:t xml:space="preserve"> 政府采购合同（拟签订的合同文本</w:t>
          </w:r>
          <w:r>
            <w:rPr>
              <w:rStyle w:val="34"/>
              <w:rFonts w:hint="eastAsia" w:ascii="宋体" w:hAnsi="宋体" w:cs="宋体"/>
              <w:bCs/>
              <w:sz w:val="21"/>
              <w:szCs w:val="21"/>
            </w:rPr>
            <w:t>）</w:t>
          </w:r>
          <w:r>
            <w:rPr>
              <w:sz w:val="21"/>
              <w:szCs w:val="21"/>
            </w:rPr>
            <w:tab/>
          </w:r>
          <w:r>
            <w:rPr>
              <w:sz w:val="21"/>
              <w:szCs w:val="21"/>
            </w:rPr>
            <w:fldChar w:fldCharType="begin"/>
          </w:r>
          <w:r>
            <w:rPr>
              <w:sz w:val="21"/>
              <w:szCs w:val="21"/>
            </w:rPr>
            <w:instrText xml:space="preserve"> PAGEREF _Toc122338097 \h </w:instrText>
          </w:r>
          <w:r>
            <w:rPr>
              <w:sz w:val="21"/>
              <w:szCs w:val="21"/>
            </w:rPr>
            <w:fldChar w:fldCharType="separate"/>
          </w:r>
          <w:r>
            <w:rPr>
              <w:sz w:val="21"/>
              <w:szCs w:val="21"/>
            </w:rPr>
            <w:t>15</w:t>
          </w:r>
          <w:r>
            <w:rPr>
              <w:sz w:val="21"/>
              <w:szCs w:val="21"/>
            </w:rPr>
            <w:fldChar w:fldCharType="end"/>
          </w:r>
          <w:r>
            <w:rPr>
              <w:sz w:val="21"/>
              <w:szCs w:val="21"/>
            </w:rPr>
            <w:fldChar w:fldCharType="end"/>
          </w:r>
        </w:p>
        <w:p>
          <w:pPr>
            <w:pStyle w:val="22"/>
            <w:tabs>
              <w:tab w:val="right" w:leader="dot" w:pos="8296"/>
            </w:tabs>
            <w:spacing w:line="276" w:lineRule="auto"/>
            <w:rPr>
              <w:sz w:val="21"/>
              <w:szCs w:val="21"/>
            </w:rPr>
          </w:pPr>
          <w:r>
            <w:fldChar w:fldCharType="begin"/>
          </w:r>
          <w:r>
            <w:instrText xml:space="preserve"> HYPERLINK \l "_Toc122338098" </w:instrText>
          </w:r>
          <w:r>
            <w:fldChar w:fldCharType="separate"/>
          </w:r>
          <w:r>
            <w:rPr>
              <w:rStyle w:val="34"/>
              <w:rFonts w:hint="eastAsia" w:ascii="宋体" w:hAnsi="宋体" w:cs="宋体"/>
              <w:sz w:val="21"/>
              <w:szCs w:val="21"/>
            </w:rPr>
            <w:t>第四章 评标方法和标准</w:t>
          </w:r>
          <w:r>
            <w:rPr>
              <w:rStyle w:val="34"/>
              <w:rFonts w:hint="eastAsia" w:ascii="宋体" w:hAnsi="宋体"/>
              <w:sz w:val="21"/>
              <w:szCs w:val="21"/>
            </w:rPr>
            <w:t>（主要部分）</w:t>
          </w:r>
          <w:r>
            <w:rPr>
              <w:sz w:val="21"/>
              <w:szCs w:val="21"/>
            </w:rPr>
            <w:tab/>
          </w:r>
          <w:r>
            <w:rPr>
              <w:rFonts w:hint="eastAsia"/>
              <w:sz w:val="21"/>
              <w:szCs w:val="21"/>
            </w:rPr>
            <w:t>2</w:t>
          </w:r>
          <w:r>
            <w:rPr>
              <w:rFonts w:hint="eastAsia"/>
              <w:sz w:val="21"/>
              <w:szCs w:val="21"/>
            </w:rPr>
            <w:fldChar w:fldCharType="end"/>
          </w:r>
          <w:r>
            <w:rPr>
              <w:rFonts w:hint="eastAsia"/>
              <w:sz w:val="21"/>
              <w:szCs w:val="21"/>
            </w:rPr>
            <w:t>8</w:t>
          </w:r>
        </w:p>
        <w:p>
          <w:pPr>
            <w:pStyle w:val="24"/>
            <w:tabs>
              <w:tab w:val="right" w:leader="dot" w:pos="8296"/>
            </w:tabs>
            <w:spacing w:line="276" w:lineRule="auto"/>
            <w:rPr>
              <w:sz w:val="21"/>
              <w:szCs w:val="21"/>
            </w:rPr>
          </w:pPr>
          <w:r>
            <w:fldChar w:fldCharType="begin"/>
          </w:r>
          <w:r>
            <w:instrText xml:space="preserve"> HYPERLINK \l "_Toc122338099" </w:instrText>
          </w:r>
          <w:r>
            <w:fldChar w:fldCharType="separate"/>
          </w:r>
          <w:r>
            <w:rPr>
              <w:rStyle w:val="34"/>
              <w:rFonts w:hint="eastAsia" w:ascii="宋体" w:hAnsi="宋体" w:cs="宋体"/>
              <w:kern w:val="0"/>
              <w:sz w:val="21"/>
              <w:szCs w:val="21"/>
            </w:rPr>
            <w:t>一、评标方法</w:t>
          </w:r>
          <w:r>
            <w:rPr>
              <w:sz w:val="21"/>
              <w:szCs w:val="21"/>
            </w:rPr>
            <w:tab/>
          </w:r>
          <w:r>
            <w:rPr>
              <w:rFonts w:hint="eastAsia"/>
              <w:sz w:val="21"/>
              <w:szCs w:val="21"/>
            </w:rPr>
            <w:t>2</w:t>
          </w:r>
          <w:r>
            <w:rPr>
              <w:rFonts w:hint="eastAsia"/>
              <w:sz w:val="21"/>
              <w:szCs w:val="21"/>
            </w:rPr>
            <w:fldChar w:fldCharType="end"/>
          </w:r>
          <w:r>
            <w:rPr>
              <w:rFonts w:hint="eastAsia"/>
              <w:sz w:val="21"/>
              <w:szCs w:val="21"/>
            </w:rPr>
            <w:t>8</w:t>
          </w:r>
        </w:p>
        <w:p>
          <w:pPr>
            <w:pStyle w:val="24"/>
            <w:tabs>
              <w:tab w:val="right" w:leader="dot" w:pos="8296"/>
            </w:tabs>
            <w:spacing w:line="276" w:lineRule="auto"/>
            <w:rPr>
              <w:sz w:val="21"/>
              <w:szCs w:val="21"/>
            </w:rPr>
          </w:pPr>
          <w:r>
            <w:fldChar w:fldCharType="begin"/>
          </w:r>
          <w:r>
            <w:instrText xml:space="preserve"> HYPERLINK \l "_Toc122338100" </w:instrText>
          </w:r>
          <w:r>
            <w:fldChar w:fldCharType="separate"/>
          </w:r>
          <w:r>
            <w:rPr>
              <w:rStyle w:val="34"/>
              <w:rFonts w:hint="eastAsia" w:asciiTheme="minorEastAsia" w:hAnsiTheme="minorEastAsia" w:cstheme="minorEastAsia"/>
              <w:kern w:val="0"/>
              <w:sz w:val="21"/>
              <w:szCs w:val="21"/>
            </w:rPr>
            <w:t>二、评分标准</w:t>
          </w:r>
          <w:r>
            <w:rPr>
              <w:sz w:val="21"/>
              <w:szCs w:val="21"/>
            </w:rPr>
            <w:tab/>
          </w:r>
          <w:r>
            <w:rPr>
              <w:rFonts w:hint="eastAsia"/>
              <w:sz w:val="21"/>
              <w:szCs w:val="21"/>
            </w:rPr>
            <w:t>2</w:t>
          </w:r>
          <w:r>
            <w:rPr>
              <w:rFonts w:hint="eastAsia"/>
              <w:sz w:val="21"/>
              <w:szCs w:val="21"/>
            </w:rPr>
            <w:fldChar w:fldCharType="end"/>
          </w:r>
          <w:r>
            <w:rPr>
              <w:rFonts w:hint="eastAsia"/>
              <w:sz w:val="21"/>
              <w:szCs w:val="21"/>
            </w:rPr>
            <w:t>9</w:t>
          </w:r>
        </w:p>
        <w:p>
          <w:pPr>
            <w:pStyle w:val="22"/>
            <w:tabs>
              <w:tab w:val="right" w:leader="dot" w:pos="8296"/>
            </w:tabs>
            <w:spacing w:line="276" w:lineRule="auto"/>
            <w:rPr>
              <w:sz w:val="21"/>
              <w:szCs w:val="21"/>
            </w:rPr>
          </w:pPr>
          <w:r>
            <w:fldChar w:fldCharType="begin"/>
          </w:r>
          <w:r>
            <w:instrText xml:space="preserve"> HYPERLINK \l "_Toc122338101" </w:instrText>
          </w:r>
          <w:r>
            <w:fldChar w:fldCharType="separate"/>
          </w:r>
          <w:r>
            <w:rPr>
              <w:rStyle w:val="34"/>
              <w:rFonts w:hint="eastAsia" w:ascii="宋体" w:hAnsi="宋体" w:cs="宋体"/>
              <w:sz w:val="21"/>
              <w:szCs w:val="21"/>
            </w:rPr>
            <w:t>第五章 投标（响应）文件格式</w:t>
          </w:r>
          <w:r>
            <w:rPr>
              <w:sz w:val="21"/>
              <w:szCs w:val="21"/>
            </w:rPr>
            <w:tab/>
          </w:r>
          <w:r>
            <w:rPr>
              <w:rFonts w:hint="eastAsia"/>
              <w:sz w:val="21"/>
              <w:szCs w:val="21"/>
            </w:rPr>
            <w:t>3</w:t>
          </w:r>
          <w:r>
            <w:rPr>
              <w:rFonts w:hint="eastAsia"/>
              <w:sz w:val="21"/>
              <w:szCs w:val="21"/>
            </w:rPr>
            <w:fldChar w:fldCharType="end"/>
          </w:r>
          <w:r>
            <w:rPr>
              <w:rFonts w:hint="eastAsia"/>
              <w:sz w:val="21"/>
              <w:szCs w:val="21"/>
            </w:rPr>
            <w:t>1</w:t>
          </w:r>
        </w:p>
        <w:p>
          <w:pPr>
            <w:pStyle w:val="24"/>
            <w:tabs>
              <w:tab w:val="right" w:leader="dot" w:pos="8296"/>
            </w:tabs>
            <w:spacing w:line="276" w:lineRule="auto"/>
            <w:rPr>
              <w:sz w:val="21"/>
              <w:szCs w:val="21"/>
            </w:rPr>
          </w:pPr>
          <w:r>
            <w:fldChar w:fldCharType="begin"/>
          </w:r>
          <w:r>
            <w:instrText xml:space="preserve"> HYPERLINK \l "_Toc122338102" </w:instrText>
          </w:r>
          <w:r>
            <w:fldChar w:fldCharType="separate"/>
          </w:r>
          <w:r>
            <w:rPr>
              <w:rStyle w:val="34"/>
              <w:rFonts w:hint="eastAsia" w:ascii="宋体" w:hAnsi="宋体" w:cs="宋体"/>
              <w:sz w:val="21"/>
              <w:szCs w:val="21"/>
            </w:rPr>
            <w:t>投标（响应）文件目录</w:t>
          </w:r>
          <w:r>
            <w:rPr>
              <w:sz w:val="21"/>
              <w:szCs w:val="21"/>
            </w:rPr>
            <w:tab/>
          </w:r>
          <w:r>
            <w:rPr>
              <w:rFonts w:hint="eastAsia"/>
              <w:sz w:val="21"/>
              <w:szCs w:val="21"/>
            </w:rPr>
            <w:t>3</w:t>
          </w:r>
          <w:r>
            <w:rPr>
              <w:rFonts w:hint="eastAsia"/>
              <w:sz w:val="21"/>
              <w:szCs w:val="21"/>
            </w:rPr>
            <w:fldChar w:fldCharType="end"/>
          </w:r>
          <w:r>
            <w:rPr>
              <w:rFonts w:hint="eastAsia"/>
              <w:sz w:val="21"/>
              <w:szCs w:val="21"/>
            </w:rPr>
            <w:t>2</w:t>
          </w:r>
        </w:p>
        <w:p>
          <w:pPr>
            <w:pStyle w:val="24"/>
            <w:tabs>
              <w:tab w:val="right" w:leader="dot" w:pos="8296"/>
            </w:tabs>
            <w:spacing w:line="276" w:lineRule="auto"/>
            <w:rPr>
              <w:sz w:val="21"/>
              <w:szCs w:val="21"/>
            </w:rPr>
          </w:pPr>
          <w:r>
            <w:fldChar w:fldCharType="begin"/>
          </w:r>
          <w:r>
            <w:instrText xml:space="preserve"> HYPERLINK \l "_Toc122338103" </w:instrText>
          </w:r>
          <w:r>
            <w:fldChar w:fldCharType="separate"/>
          </w:r>
          <w:r>
            <w:rPr>
              <w:rStyle w:val="34"/>
              <w:rFonts w:hint="eastAsia" w:ascii="宋体" w:hAnsi="宋体" w:cs="宋体"/>
              <w:bCs/>
              <w:sz w:val="21"/>
              <w:szCs w:val="21"/>
            </w:rPr>
            <w:t>一、报价一览表</w:t>
          </w:r>
          <w:r>
            <w:rPr>
              <w:rStyle w:val="34"/>
              <w:rFonts w:ascii="宋体" w:hAnsi="宋体" w:cs="宋体"/>
              <w:bCs/>
              <w:sz w:val="21"/>
              <w:szCs w:val="21"/>
            </w:rPr>
            <w:t>(</w:t>
          </w:r>
          <w:r>
            <w:rPr>
              <w:rStyle w:val="34"/>
              <w:rFonts w:hint="eastAsia" w:ascii="宋体" w:hAnsi="宋体" w:cs="宋体"/>
              <w:bCs/>
              <w:sz w:val="21"/>
              <w:szCs w:val="21"/>
            </w:rPr>
            <w:t>报价表</w:t>
          </w:r>
          <w:r>
            <w:rPr>
              <w:rStyle w:val="34"/>
              <w:rFonts w:ascii="宋体" w:hAnsi="宋体" w:cs="宋体"/>
              <w:bCs/>
              <w:sz w:val="21"/>
              <w:szCs w:val="21"/>
            </w:rPr>
            <w:t>)</w:t>
          </w:r>
          <w:r>
            <w:rPr>
              <w:rStyle w:val="34"/>
              <w:rFonts w:hint="eastAsia" w:ascii="宋体" w:hAnsi="宋体" w:cs="宋体"/>
              <w:bCs/>
              <w:sz w:val="21"/>
              <w:szCs w:val="21"/>
            </w:rPr>
            <w:t>（格式）</w:t>
          </w:r>
          <w:r>
            <w:rPr>
              <w:sz w:val="21"/>
              <w:szCs w:val="21"/>
            </w:rPr>
            <w:tab/>
          </w:r>
          <w:r>
            <w:rPr>
              <w:rFonts w:hint="eastAsia"/>
              <w:sz w:val="21"/>
              <w:szCs w:val="21"/>
            </w:rPr>
            <w:t>3</w:t>
          </w:r>
          <w:r>
            <w:rPr>
              <w:rFonts w:hint="eastAsia"/>
              <w:sz w:val="21"/>
              <w:szCs w:val="21"/>
            </w:rPr>
            <w:fldChar w:fldCharType="end"/>
          </w:r>
          <w:r>
            <w:rPr>
              <w:rFonts w:hint="eastAsia"/>
              <w:sz w:val="21"/>
              <w:szCs w:val="21"/>
            </w:rPr>
            <w:t>3</w:t>
          </w:r>
        </w:p>
        <w:p>
          <w:pPr>
            <w:pStyle w:val="24"/>
            <w:tabs>
              <w:tab w:val="right" w:leader="dot" w:pos="8296"/>
            </w:tabs>
            <w:spacing w:line="276" w:lineRule="auto"/>
            <w:rPr>
              <w:sz w:val="21"/>
              <w:szCs w:val="21"/>
            </w:rPr>
          </w:pPr>
          <w:r>
            <w:fldChar w:fldCharType="begin"/>
          </w:r>
          <w:r>
            <w:instrText xml:space="preserve"> HYPERLINK \l "_Toc122338104" </w:instrText>
          </w:r>
          <w:r>
            <w:fldChar w:fldCharType="separate"/>
          </w:r>
          <w:r>
            <w:rPr>
              <w:rStyle w:val="34"/>
              <w:rFonts w:hint="eastAsia" w:ascii="宋体" w:hAnsi="宋体"/>
              <w:sz w:val="21"/>
              <w:szCs w:val="21"/>
            </w:rPr>
            <w:t>二、供应商的资格证明文件</w:t>
          </w:r>
          <w:r>
            <w:rPr>
              <w:sz w:val="21"/>
              <w:szCs w:val="21"/>
            </w:rPr>
            <w:tab/>
          </w:r>
          <w:r>
            <w:rPr>
              <w:rFonts w:hint="eastAsia"/>
              <w:sz w:val="21"/>
              <w:szCs w:val="21"/>
            </w:rPr>
            <w:t>3</w:t>
          </w:r>
          <w:r>
            <w:rPr>
              <w:rFonts w:hint="eastAsia"/>
              <w:sz w:val="21"/>
              <w:szCs w:val="21"/>
            </w:rPr>
            <w:fldChar w:fldCharType="end"/>
          </w:r>
          <w:r>
            <w:rPr>
              <w:rFonts w:hint="eastAsia"/>
              <w:sz w:val="21"/>
              <w:szCs w:val="21"/>
            </w:rPr>
            <w:t>4</w:t>
          </w:r>
        </w:p>
        <w:p>
          <w:pPr>
            <w:pStyle w:val="24"/>
            <w:tabs>
              <w:tab w:val="right" w:leader="dot" w:pos="8296"/>
            </w:tabs>
            <w:spacing w:line="276" w:lineRule="auto"/>
            <w:rPr>
              <w:sz w:val="21"/>
              <w:szCs w:val="21"/>
            </w:rPr>
          </w:pPr>
          <w:r>
            <w:fldChar w:fldCharType="begin"/>
          </w:r>
          <w:r>
            <w:instrText xml:space="preserve"> HYPERLINK \l "_Toc122338105" </w:instrText>
          </w:r>
          <w:r>
            <w:fldChar w:fldCharType="separate"/>
          </w:r>
          <w:r>
            <w:rPr>
              <w:rStyle w:val="34"/>
              <w:rFonts w:hint="eastAsia" w:hAnsi="宋体" w:cs="宋体"/>
              <w:sz w:val="21"/>
              <w:szCs w:val="21"/>
            </w:rPr>
            <w:t>三、法定代表人授权委托书</w:t>
          </w:r>
          <w:r>
            <w:rPr>
              <w:rStyle w:val="34"/>
              <w:rFonts w:hAnsi="宋体" w:cs="宋体"/>
              <w:sz w:val="21"/>
              <w:szCs w:val="21"/>
            </w:rPr>
            <w:t>(</w:t>
          </w:r>
          <w:r>
            <w:rPr>
              <w:rStyle w:val="34"/>
              <w:rFonts w:hint="eastAsia" w:hAnsi="宋体" w:cs="宋体"/>
              <w:sz w:val="21"/>
              <w:szCs w:val="21"/>
            </w:rPr>
            <w:t>格式）</w:t>
          </w:r>
          <w:r>
            <w:rPr>
              <w:sz w:val="21"/>
              <w:szCs w:val="21"/>
            </w:rPr>
            <w:tab/>
          </w:r>
          <w:r>
            <w:rPr>
              <w:rFonts w:hint="eastAsia"/>
              <w:sz w:val="21"/>
              <w:szCs w:val="21"/>
            </w:rPr>
            <w:t>3</w:t>
          </w:r>
          <w:r>
            <w:rPr>
              <w:rFonts w:hint="eastAsia"/>
              <w:sz w:val="21"/>
              <w:szCs w:val="21"/>
            </w:rPr>
            <w:fldChar w:fldCharType="end"/>
          </w:r>
          <w:r>
            <w:rPr>
              <w:rFonts w:hint="eastAsia"/>
              <w:sz w:val="21"/>
              <w:szCs w:val="21"/>
            </w:rPr>
            <w:t>8</w:t>
          </w:r>
        </w:p>
        <w:p>
          <w:pPr>
            <w:pStyle w:val="24"/>
            <w:tabs>
              <w:tab w:val="right" w:leader="dot" w:pos="8296"/>
            </w:tabs>
            <w:spacing w:line="276" w:lineRule="auto"/>
            <w:rPr>
              <w:sz w:val="21"/>
              <w:szCs w:val="21"/>
            </w:rPr>
          </w:pPr>
          <w:r>
            <w:fldChar w:fldCharType="begin"/>
          </w:r>
          <w:r>
            <w:instrText xml:space="preserve"> HYPERLINK \l "_Toc122338106" </w:instrText>
          </w:r>
          <w:r>
            <w:fldChar w:fldCharType="separate"/>
          </w:r>
          <w:r>
            <w:rPr>
              <w:rStyle w:val="34"/>
              <w:rFonts w:hint="eastAsia" w:ascii="宋体" w:hAnsi="宋体" w:cs="宋体"/>
              <w:sz w:val="21"/>
              <w:szCs w:val="21"/>
            </w:rPr>
            <w:t>四、投标（响应）书（格式）</w:t>
          </w:r>
          <w:r>
            <w:rPr>
              <w:sz w:val="21"/>
              <w:szCs w:val="21"/>
            </w:rPr>
            <w:tab/>
          </w:r>
          <w:r>
            <w:rPr>
              <w:rFonts w:hint="eastAsia"/>
              <w:sz w:val="21"/>
              <w:szCs w:val="21"/>
            </w:rPr>
            <w:t>3</w:t>
          </w:r>
          <w:r>
            <w:rPr>
              <w:rFonts w:hint="eastAsia"/>
              <w:sz w:val="21"/>
              <w:szCs w:val="21"/>
            </w:rPr>
            <w:fldChar w:fldCharType="end"/>
          </w:r>
          <w:r>
            <w:rPr>
              <w:rFonts w:hint="eastAsia"/>
              <w:sz w:val="21"/>
              <w:szCs w:val="21"/>
            </w:rPr>
            <w:t>9</w:t>
          </w:r>
        </w:p>
        <w:p>
          <w:pPr>
            <w:pStyle w:val="24"/>
            <w:tabs>
              <w:tab w:val="right" w:leader="dot" w:pos="8296"/>
            </w:tabs>
            <w:spacing w:line="276" w:lineRule="auto"/>
            <w:rPr>
              <w:sz w:val="21"/>
              <w:szCs w:val="21"/>
            </w:rPr>
          </w:pPr>
          <w:r>
            <w:fldChar w:fldCharType="begin"/>
          </w:r>
          <w:r>
            <w:instrText xml:space="preserve"> HYPERLINK \l "_Toc122338107" </w:instrText>
          </w:r>
          <w:r>
            <w:fldChar w:fldCharType="separate"/>
          </w:r>
          <w:r>
            <w:rPr>
              <w:rStyle w:val="34"/>
              <w:rFonts w:hint="eastAsia" w:ascii="宋体" w:hAnsi="宋体"/>
              <w:sz w:val="21"/>
              <w:szCs w:val="21"/>
            </w:rPr>
            <w:t>五、盐城市政府采购事前信用承诺书（格式）</w:t>
          </w:r>
          <w:r>
            <w:rPr>
              <w:sz w:val="21"/>
              <w:szCs w:val="21"/>
            </w:rPr>
            <w:tab/>
          </w:r>
          <w:r>
            <w:rPr>
              <w:rFonts w:hint="eastAsia"/>
              <w:sz w:val="21"/>
              <w:szCs w:val="21"/>
            </w:rPr>
            <w:t>4</w:t>
          </w:r>
          <w:r>
            <w:rPr>
              <w:rFonts w:hint="eastAsia"/>
              <w:sz w:val="21"/>
              <w:szCs w:val="21"/>
            </w:rPr>
            <w:fldChar w:fldCharType="end"/>
          </w:r>
          <w:r>
            <w:rPr>
              <w:rFonts w:hint="eastAsia"/>
              <w:sz w:val="21"/>
              <w:szCs w:val="21"/>
            </w:rPr>
            <w:t>0</w:t>
          </w:r>
        </w:p>
        <w:p>
          <w:pPr>
            <w:pStyle w:val="24"/>
            <w:tabs>
              <w:tab w:val="right" w:leader="dot" w:pos="8296"/>
            </w:tabs>
            <w:spacing w:line="276" w:lineRule="auto"/>
            <w:rPr>
              <w:sz w:val="21"/>
              <w:szCs w:val="21"/>
            </w:rPr>
          </w:pPr>
          <w:r>
            <w:fldChar w:fldCharType="begin"/>
          </w:r>
          <w:r>
            <w:instrText xml:space="preserve"> HYPERLINK \l "_Toc122338108" </w:instrText>
          </w:r>
          <w:r>
            <w:fldChar w:fldCharType="separate"/>
          </w:r>
          <w:r>
            <w:rPr>
              <w:rStyle w:val="34"/>
              <w:rFonts w:hint="eastAsia" w:ascii="宋体" w:hAnsi="宋体"/>
              <w:sz w:val="21"/>
              <w:szCs w:val="21"/>
            </w:rPr>
            <w:t>六、商务条款偏离表（格式）</w:t>
          </w:r>
          <w:r>
            <w:rPr>
              <w:sz w:val="21"/>
              <w:szCs w:val="21"/>
            </w:rPr>
            <w:tab/>
          </w:r>
          <w:r>
            <w:rPr>
              <w:rFonts w:hint="eastAsia"/>
              <w:sz w:val="21"/>
              <w:szCs w:val="21"/>
            </w:rPr>
            <w:t>4</w:t>
          </w:r>
          <w:r>
            <w:rPr>
              <w:rFonts w:hint="eastAsia"/>
              <w:sz w:val="21"/>
              <w:szCs w:val="21"/>
            </w:rPr>
            <w:fldChar w:fldCharType="end"/>
          </w:r>
          <w:r>
            <w:rPr>
              <w:rFonts w:hint="eastAsia"/>
              <w:sz w:val="21"/>
              <w:szCs w:val="21"/>
            </w:rPr>
            <w:t>1</w:t>
          </w:r>
        </w:p>
        <w:p>
          <w:pPr>
            <w:pStyle w:val="24"/>
            <w:tabs>
              <w:tab w:val="right" w:leader="dot" w:pos="8296"/>
            </w:tabs>
            <w:spacing w:line="276" w:lineRule="auto"/>
            <w:rPr>
              <w:sz w:val="21"/>
              <w:szCs w:val="21"/>
            </w:rPr>
          </w:pPr>
          <w:r>
            <w:fldChar w:fldCharType="begin"/>
          </w:r>
          <w:r>
            <w:instrText xml:space="preserve"> HYPERLINK \l "_Toc122338112" </w:instrText>
          </w:r>
          <w:r>
            <w:fldChar w:fldCharType="separate"/>
          </w:r>
          <w:r>
            <w:rPr>
              <w:rStyle w:val="34"/>
              <w:rFonts w:hint="eastAsia"/>
              <w:sz w:val="21"/>
              <w:szCs w:val="21"/>
            </w:rPr>
            <w:t>七、技术规格（采购需求）偏离表</w:t>
          </w:r>
          <w:r>
            <w:rPr>
              <w:sz w:val="21"/>
              <w:szCs w:val="21"/>
            </w:rPr>
            <w:tab/>
          </w:r>
          <w:r>
            <w:rPr>
              <w:rFonts w:hint="eastAsia"/>
              <w:sz w:val="21"/>
              <w:szCs w:val="21"/>
            </w:rPr>
            <w:t>4</w:t>
          </w:r>
          <w:r>
            <w:rPr>
              <w:rFonts w:hint="eastAsia"/>
              <w:sz w:val="21"/>
              <w:szCs w:val="21"/>
            </w:rPr>
            <w:fldChar w:fldCharType="end"/>
          </w:r>
          <w:r>
            <w:rPr>
              <w:rFonts w:hint="eastAsia"/>
              <w:sz w:val="21"/>
              <w:szCs w:val="21"/>
            </w:rPr>
            <w:t>3</w:t>
          </w:r>
        </w:p>
        <w:p>
          <w:pPr>
            <w:pStyle w:val="24"/>
            <w:tabs>
              <w:tab w:val="right" w:leader="dot" w:pos="8296"/>
            </w:tabs>
            <w:spacing w:line="276" w:lineRule="auto"/>
          </w:pPr>
          <w:r>
            <w:fldChar w:fldCharType="begin"/>
          </w:r>
          <w:r>
            <w:instrText xml:space="preserve"> HYPERLINK \l "_Toc122338117" </w:instrText>
          </w:r>
          <w:r>
            <w:fldChar w:fldCharType="separate"/>
          </w:r>
          <w:r>
            <w:rPr>
              <w:rFonts w:hint="eastAsia"/>
            </w:rPr>
            <w:t>八</w:t>
          </w:r>
          <w:r>
            <w:rPr>
              <w:rStyle w:val="34"/>
              <w:rFonts w:hint="eastAsia" w:ascii="宋体" w:hAnsi="宋体" w:cs="宋体"/>
              <w:sz w:val="21"/>
              <w:szCs w:val="21"/>
            </w:rPr>
            <w:t>、</w:t>
          </w:r>
          <w:r>
            <w:rPr>
              <w:rStyle w:val="34"/>
              <w:rFonts w:hint="eastAsia" w:ascii="宋体" w:hAnsi="宋体"/>
              <w:sz w:val="21"/>
              <w:szCs w:val="21"/>
            </w:rPr>
            <w:t>投标（响应）文件的</w:t>
          </w:r>
          <w:r>
            <w:rPr>
              <w:rStyle w:val="34"/>
              <w:rFonts w:hint="eastAsia" w:ascii="宋体" w:hAnsi="宋体" w:cs="宋体"/>
              <w:sz w:val="21"/>
              <w:szCs w:val="21"/>
            </w:rPr>
            <w:t>其它内容</w:t>
          </w:r>
          <w:r>
            <w:rPr>
              <w:sz w:val="21"/>
              <w:szCs w:val="21"/>
            </w:rPr>
            <w:tab/>
          </w:r>
          <w:r>
            <w:rPr>
              <w:rFonts w:hint="eastAsia"/>
              <w:sz w:val="21"/>
              <w:szCs w:val="21"/>
            </w:rPr>
            <w:t>4</w:t>
          </w:r>
          <w:r>
            <w:rPr>
              <w:rFonts w:hint="eastAsia"/>
              <w:sz w:val="21"/>
              <w:szCs w:val="21"/>
            </w:rPr>
            <w:fldChar w:fldCharType="end"/>
          </w:r>
          <w:r>
            <w:rPr>
              <w:b/>
              <w:bCs/>
              <w:lang w:val="zh-CN"/>
            </w:rPr>
            <w:fldChar w:fldCharType="end"/>
          </w:r>
          <w:r>
            <w:rPr>
              <w:rFonts w:hint="eastAsia"/>
            </w:rPr>
            <w:t>4</w:t>
          </w:r>
        </w:p>
        <w:p>
          <w:pPr>
            <w:pStyle w:val="24"/>
            <w:tabs>
              <w:tab w:val="right" w:leader="dot" w:pos="8296"/>
            </w:tabs>
            <w:spacing w:line="276" w:lineRule="auto"/>
          </w:pPr>
        </w:p>
      </w:sdtContent>
    </w:sdt>
    <w:p>
      <w:pPr>
        <w:sectPr>
          <w:pgSz w:w="11906" w:h="16838"/>
          <w:pgMar w:top="1440" w:right="1800" w:bottom="1440" w:left="1800" w:header="851" w:footer="992" w:gutter="0"/>
          <w:cols w:space="425" w:num="1"/>
          <w:docGrid w:type="lines" w:linePitch="312" w:charSpace="0"/>
        </w:sectPr>
      </w:pPr>
    </w:p>
    <w:p>
      <w:pPr>
        <w:numPr>
          <w:ilvl w:val="0"/>
          <w:numId w:val="1"/>
        </w:numPr>
        <w:spacing w:line="480" w:lineRule="auto"/>
        <w:jc w:val="center"/>
        <w:outlineLvl w:val="0"/>
        <w:rPr>
          <w:rFonts w:ascii="宋体" w:hAnsi="宋体" w:cs="宋体"/>
          <w:b/>
          <w:sz w:val="32"/>
          <w:szCs w:val="21"/>
        </w:rPr>
      </w:pPr>
      <w:bookmarkStart w:id="0" w:name="_Toc122338083"/>
      <w:r>
        <w:rPr>
          <w:rFonts w:hint="eastAsia" w:ascii="宋体" w:hAnsi="宋体" w:cs="宋体"/>
          <w:b/>
          <w:sz w:val="32"/>
          <w:szCs w:val="21"/>
        </w:rPr>
        <w:t>采购公告</w:t>
      </w:r>
      <w:bookmarkEnd w:id="0"/>
    </w:p>
    <w:p>
      <w:pPr>
        <w:pStyle w:val="7"/>
        <w:spacing w:line="336" w:lineRule="auto"/>
        <w:jc w:val="center"/>
      </w:pPr>
      <w:bookmarkStart w:id="1" w:name="_Toc122338084"/>
      <w:r>
        <w:rPr>
          <w:rFonts w:hint="eastAsia" w:ascii="宋体" w:hAnsi="宋体" w:cs="宋体"/>
          <w:sz w:val="21"/>
          <w:szCs w:val="21"/>
        </w:rPr>
        <w:t>采购公告</w:t>
      </w:r>
      <w:bookmarkEnd w:id="1"/>
    </w:p>
    <w:p>
      <w:pPr>
        <w:spacing w:line="276" w:lineRule="auto"/>
        <w:ind w:firstLine="420" w:firstLineChars="200"/>
        <w:rPr>
          <w:rFonts w:ascii="宋体" w:hAnsi="宋体" w:cs="宋体"/>
          <w:szCs w:val="21"/>
        </w:rPr>
      </w:pPr>
      <w:r>
        <w:rPr>
          <w:rFonts w:hint="eastAsia" w:ascii="宋体" w:hAnsi="宋体" w:cs="宋体"/>
          <w:szCs w:val="21"/>
        </w:rPr>
        <w:t>盐城市携手阳光集中采购代理有限公司（本次采购可简称：携手阳光公司）受采购人的委托，根据《中华人民共和国政府采购法》等有关规定，现对</w:t>
      </w:r>
      <w:r>
        <w:rPr>
          <w:rFonts w:hint="eastAsia" w:ascii="宋体" w:hAnsi="宋体"/>
          <w:szCs w:val="21"/>
        </w:rPr>
        <w:t>下列项目</w:t>
      </w:r>
      <w:r>
        <w:rPr>
          <w:rFonts w:hint="eastAsia" w:ascii="宋体" w:hAnsi="宋体" w:cs="宋体"/>
          <w:szCs w:val="21"/>
        </w:rPr>
        <w:t>进行</w:t>
      </w:r>
      <w:r>
        <w:rPr>
          <w:rFonts w:hint="eastAsia" w:ascii="宋体" w:hAnsi="宋体" w:cs="宋体"/>
          <w:u w:val="single"/>
        </w:rPr>
        <w:t>竞争性磋商</w:t>
      </w:r>
      <w:r>
        <w:rPr>
          <w:rFonts w:hint="eastAsia" w:ascii="宋体" w:hAnsi="宋体" w:cs="宋体"/>
        </w:rPr>
        <w:t>采购</w:t>
      </w:r>
      <w:r>
        <w:rPr>
          <w:rFonts w:hint="eastAsia" w:ascii="宋体" w:hAnsi="宋体" w:cs="宋体"/>
          <w:szCs w:val="21"/>
        </w:rPr>
        <w:t>，欢迎</w:t>
      </w:r>
      <w:r>
        <w:rPr>
          <w:rFonts w:hint="eastAsia" w:ascii="宋体" w:hAnsi="宋体" w:cs="宋体"/>
        </w:rPr>
        <w:t>潜在供应商</w:t>
      </w:r>
      <w:r>
        <w:rPr>
          <w:rFonts w:hint="eastAsia" w:ascii="宋体" w:hAnsi="宋体" w:cs="宋体"/>
          <w:szCs w:val="21"/>
        </w:rPr>
        <w:t>参加。</w:t>
      </w:r>
    </w:p>
    <w:p>
      <w:pPr>
        <w:pBdr>
          <w:top w:val="single" w:color="auto" w:sz="4" w:space="1"/>
          <w:left w:val="single" w:color="auto" w:sz="4" w:space="4"/>
          <w:bottom w:val="single" w:color="auto" w:sz="4" w:space="1"/>
          <w:right w:val="single" w:color="auto" w:sz="4" w:space="4"/>
        </w:pBdr>
        <w:spacing w:line="336" w:lineRule="auto"/>
        <w:ind w:firstLine="422" w:firstLineChars="200"/>
        <w:jc w:val="center"/>
        <w:rPr>
          <w:rFonts w:ascii="宋体" w:hAnsi="宋体"/>
          <w:b/>
          <w:szCs w:val="21"/>
        </w:rPr>
      </w:pPr>
      <w:r>
        <w:rPr>
          <w:rFonts w:hint="eastAsia" w:ascii="宋体" w:hAnsi="宋体"/>
          <w:b/>
          <w:szCs w:val="21"/>
        </w:rPr>
        <w:t>项目概况</w:t>
      </w:r>
    </w:p>
    <w:p>
      <w:pPr>
        <w:pBdr>
          <w:top w:val="single" w:color="auto" w:sz="4" w:space="1"/>
          <w:left w:val="single" w:color="auto" w:sz="4" w:space="4"/>
          <w:bottom w:val="single" w:color="auto" w:sz="4" w:space="1"/>
          <w:right w:val="single" w:color="auto" w:sz="4" w:space="4"/>
        </w:pBdr>
        <w:spacing w:line="336" w:lineRule="auto"/>
        <w:ind w:firstLine="420" w:firstLineChars="200"/>
        <w:rPr>
          <w:rFonts w:ascii="宋体" w:hAnsi="宋体"/>
          <w:szCs w:val="21"/>
        </w:rPr>
      </w:pPr>
      <w:r>
        <w:rPr>
          <w:rFonts w:hint="eastAsia" w:ascii="宋体" w:hAnsi="宋体" w:cs="宋体"/>
          <w:szCs w:val="21"/>
          <w:u w:val="single"/>
        </w:rPr>
        <w:t>江苏医药职业学院2024-2026年校内建设工程设计单位入围服务项目</w:t>
      </w:r>
      <w:r>
        <w:rPr>
          <w:rFonts w:hint="eastAsia" w:ascii="宋体" w:hAnsi="宋体"/>
          <w:szCs w:val="21"/>
        </w:rPr>
        <w:t>的潜在供应商应在</w:t>
      </w:r>
      <w:r>
        <w:rPr>
          <w:rFonts w:hint="eastAsia" w:ascii="宋体" w:hAnsi="宋体"/>
          <w:szCs w:val="21"/>
          <w:u w:val="single"/>
        </w:rPr>
        <w:t>盐城市府西路华邦国际西厦A区（东）302室</w:t>
      </w:r>
      <w:r>
        <w:rPr>
          <w:rFonts w:hint="eastAsia" w:ascii="宋体" w:hAnsi="宋体"/>
          <w:szCs w:val="21"/>
        </w:rPr>
        <w:t>获取采购文件，并于</w:t>
      </w:r>
      <w:r>
        <w:rPr>
          <w:rFonts w:hint="eastAsia" w:ascii="宋体" w:hAnsi="宋体"/>
          <w:b/>
          <w:bCs/>
          <w:szCs w:val="21"/>
          <w:u w:val="single"/>
        </w:rPr>
        <w:t>2024年3月07日15点00分</w:t>
      </w:r>
      <w:r>
        <w:rPr>
          <w:rFonts w:hint="eastAsia" w:ascii="宋体" w:hAnsi="宋体"/>
          <w:szCs w:val="21"/>
          <w:u w:val="single"/>
        </w:rPr>
        <w:t>（</w:t>
      </w:r>
      <w:r>
        <w:rPr>
          <w:rFonts w:hint="eastAsia" w:ascii="宋体" w:hAnsi="宋体"/>
          <w:bCs/>
          <w:szCs w:val="21"/>
        </w:rPr>
        <w:t>北京时间）</w:t>
      </w:r>
      <w:r>
        <w:rPr>
          <w:rFonts w:hint="eastAsia" w:ascii="宋体" w:hAnsi="宋体" w:cs="宋体"/>
          <w:szCs w:val="21"/>
        </w:rPr>
        <w:t>前</w:t>
      </w:r>
      <w:r>
        <w:rPr>
          <w:rFonts w:hint="eastAsia" w:ascii="宋体" w:hAnsi="宋体" w:cs="宋体"/>
          <w:bCs/>
        </w:rPr>
        <w:t>提交响应文件</w:t>
      </w:r>
      <w:r>
        <w:rPr>
          <w:rFonts w:hint="eastAsia" w:ascii="宋体" w:hAnsi="宋体"/>
          <w:szCs w:val="21"/>
        </w:rPr>
        <w:t>。</w:t>
      </w:r>
    </w:p>
    <w:p>
      <w:pPr>
        <w:spacing w:line="276" w:lineRule="auto"/>
        <w:rPr>
          <w:rFonts w:ascii="宋体" w:hAnsi="宋体" w:cs="宋体"/>
          <w:b/>
        </w:rPr>
      </w:pPr>
      <w:bookmarkStart w:id="2" w:name="_Toc28359089"/>
      <w:bookmarkStart w:id="3" w:name="_Toc28359012"/>
      <w:bookmarkStart w:id="4" w:name="_Toc35393798"/>
      <w:bookmarkStart w:id="5" w:name="_Toc35393629"/>
      <w:r>
        <w:rPr>
          <w:rFonts w:hint="eastAsia" w:ascii="宋体" w:hAnsi="宋体" w:cs="宋体"/>
          <w:b/>
        </w:rPr>
        <w:t>一、项目基本情况</w:t>
      </w:r>
      <w:bookmarkEnd w:id="2"/>
      <w:bookmarkEnd w:id="3"/>
      <w:bookmarkEnd w:id="4"/>
      <w:bookmarkEnd w:id="5"/>
    </w:p>
    <w:p>
      <w:pPr>
        <w:spacing w:line="276" w:lineRule="auto"/>
        <w:ind w:firstLine="420" w:firstLineChars="200"/>
        <w:rPr>
          <w:rFonts w:ascii="宋体" w:hAnsi="宋体" w:cs="宋体"/>
          <w:szCs w:val="21"/>
        </w:rPr>
      </w:pPr>
      <w:r>
        <w:rPr>
          <w:rFonts w:hint="eastAsia" w:ascii="宋体" w:hAnsi="宋体" w:cs="宋体"/>
          <w:szCs w:val="21"/>
        </w:rPr>
        <w:t xml:space="preserve">项目编号：SY2023-086-FW-JC </w:t>
      </w:r>
    </w:p>
    <w:p>
      <w:pPr>
        <w:spacing w:line="276" w:lineRule="auto"/>
        <w:ind w:firstLine="420" w:firstLineChars="200"/>
        <w:rPr>
          <w:rFonts w:ascii="宋体" w:hAnsi="宋体" w:cs="宋体"/>
          <w:szCs w:val="21"/>
        </w:rPr>
      </w:pPr>
      <w:r>
        <w:rPr>
          <w:rFonts w:hint="eastAsia" w:ascii="宋体" w:hAnsi="宋体" w:cs="宋体"/>
          <w:szCs w:val="21"/>
        </w:rPr>
        <w:t>项目名称：江苏医药职业学院2024-2026年校内建设工程设计单位入围服务项目</w:t>
      </w:r>
    </w:p>
    <w:p>
      <w:pPr>
        <w:spacing w:line="276" w:lineRule="auto"/>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bCs/>
          <w:szCs w:val="21"/>
        </w:rPr>
        <w:t>最高预算：</w:t>
      </w:r>
      <w:r>
        <w:rPr>
          <w:rFonts w:hint="eastAsia" w:ascii="宋体" w:hAnsi="宋体" w:cs="宋体"/>
          <w:szCs w:val="21"/>
        </w:rPr>
        <w:t>以中国建筑装饰协会《建筑装饰设计</w:t>
      </w:r>
      <w:r>
        <w:rPr>
          <w:rFonts w:hint="eastAsia" w:ascii="宋体" w:hAnsi="宋体" w:cs="宋体"/>
          <w:color w:val="000000" w:themeColor="text1"/>
          <w:szCs w:val="21"/>
          <w14:textFill>
            <w14:solidFill>
              <w14:schemeClr w14:val="tx1"/>
            </w14:solidFill>
          </w14:textFill>
        </w:rPr>
        <w:t>收费标准》（2014年版）为基础，结合国家计委、建设部关于发布《工程勘察设计收费管理规定》的通知（计价格〔2002〕10号），收费标准的60%</w:t>
      </w:r>
      <w:r>
        <w:rPr>
          <w:rFonts w:hint="eastAsia" w:ascii="宋体" w:hAnsi="宋体" w:cs="宋体"/>
          <w:color w:val="000000" w:themeColor="text1"/>
          <w14:textFill>
            <w14:solidFill>
              <w14:schemeClr w14:val="tx1"/>
            </w14:solidFill>
          </w14:textFill>
        </w:rPr>
        <w:t>（按工程造价计费标准，原则上根据预算审计价计费，无预算审计价的按工程预算价计费）</w:t>
      </w:r>
      <w:r>
        <w:rPr>
          <w:rFonts w:hint="eastAsia" w:ascii="宋体" w:hAnsi="宋体" w:cs="宋体"/>
          <w:color w:val="000000" w:themeColor="text1"/>
          <w:szCs w:val="21"/>
          <w14:textFill>
            <w14:solidFill>
              <w14:schemeClr w14:val="tx1"/>
            </w14:solidFill>
          </w14:textFill>
        </w:rPr>
        <w:t>，为本次招标的最高限价。</w:t>
      </w:r>
    </w:p>
    <w:p>
      <w:pPr>
        <w:spacing w:line="276"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本次确定入围服务单位为2家，入围2家设计服务单位投标的执行比例不同时，取2家的低值作为共同的执行比例。</w:t>
      </w:r>
    </w:p>
    <w:p>
      <w:pPr>
        <w:spacing w:line="276" w:lineRule="auto"/>
        <w:ind w:firstLine="420" w:firstLineChars="200"/>
        <w:rPr>
          <w:rFonts w:ascii="宋体" w:hAnsi="宋体" w:cs="宋体"/>
          <w:szCs w:val="21"/>
        </w:rPr>
      </w:pPr>
      <w:r>
        <w:rPr>
          <w:rFonts w:hint="eastAsia" w:ascii="宋体" w:hAnsi="宋体" w:cs="宋体"/>
          <w:color w:val="000000" w:themeColor="text1"/>
          <w:szCs w:val="21"/>
          <w14:textFill>
            <w14:solidFill>
              <w14:schemeClr w14:val="tx1"/>
            </w14:solidFill>
          </w14:textFill>
        </w:rPr>
        <w:t>投标人的设计服务费：为完成学院具体项目设计任务书中要求的全部内容，并为本项目后续的相关设计（方案设计、初步设计、施工图设计等）提供咨询、</w:t>
      </w:r>
      <w:r>
        <w:rPr>
          <w:rFonts w:hint="eastAsia" w:ascii="宋体" w:hAnsi="宋体" w:cs="宋体"/>
          <w:szCs w:val="21"/>
        </w:rPr>
        <w:t>指导、衔接等服务所发生的的全部费用。主要包括（但不限于）：设计服务酬金（包含设计人员工资、社会福利费、公司管理费、利润、外勤等特殊津贴费、专业设计人员驻场跟踪服务费、设计总承包服务费等）、可报销费用（指设计人员为执行本项目服务任务而发生的工作费用，包括国际与国内交通费旅行费、食宿费、通讯费、各种资料的编制、打印、复印和传递费、办公设备和用品费、为当地提供的设施和服务所付的费用）、设计成果专家评审费和不可预见费（指在酬金和可报销费用之外，在执行本设计服务任务的过程中所发生的额外的其它所有费用）。</w:t>
      </w:r>
    </w:p>
    <w:p>
      <w:pPr>
        <w:spacing w:line="360" w:lineRule="auto"/>
        <w:ind w:firstLine="422" w:firstLineChars="200"/>
        <w:rPr>
          <w:rFonts w:ascii="宋体" w:hAnsi="宋体" w:cs="宋体"/>
          <w:b/>
          <w:bCs/>
          <w:szCs w:val="21"/>
        </w:rPr>
      </w:pPr>
      <w:r>
        <w:rPr>
          <w:rFonts w:hint="eastAsia" w:ascii="宋体" w:hAnsi="宋体"/>
          <w:b/>
        </w:rPr>
        <w:t>采购方式：</w:t>
      </w:r>
      <w:r>
        <w:rPr>
          <w:rFonts w:hint="eastAsia" w:ascii="宋体" w:hAnsi="宋体"/>
        </w:rPr>
        <w:t>竞争性磋商</w:t>
      </w:r>
    </w:p>
    <w:p>
      <w:pPr>
        <w:spacing w:line="276" w:lineRule="auto"/>
        <w:ind w:firstLine="422" w:firstLineChars="200"/>
        <w:rPr>
          <w:rFonts w:ascii="宋体" w:hAnsi="宋体" w:cs="宋体"/>
          <w:szCs w:val="21"/>
        </w:rPr>
      </w:pPr>
      <w:r>
        <w:rPr>
          <w:rFonts w:hint="eastAsia" w:ascii="宋体" w:hAnsi="宋体" w:cs="宋体"/>
          <w:b/>
          <w:bCs/>
          <w:szCs w:val="21"/>
        </w:rPr>
        <w:t>项目概况</w:t>
      </w:r>
      <w:r>
        <w:rPr>
          <w:rFonts w:hint="eastAsia" w:ascii="宋体" w:hAnsi="宋体" w:cs="宋体"/>
          <w:szCs w:val="21"/>
        </w:rPr>
        <w:t>：江苏医药职业学院校内各类基建、维修、装饰、装修、智能化等零星工程，包括（但不限于：实验实训场所装修改造、办公教学区域改造出新、宿舍区域改造出新、屋面维修改造、外墙维修改造、大学生活动场所改造、室外场地改造等。原则上单项工程造价在1000万元以下，特殊情况另行商定。【具体内容详见具体项目设计任务书，同时参与方案阶段讨论，协助采购人方案审批，并提供现场设计服务及设计变更及竣工验收等相关服务工作】。</w:t>
      </w:r>
    </w:p>
    <w:p>
      <w:pPr>
        <w:widowControl/>
        <w:shd w:val="clear" w:color="auto" w:fill="FFFFFF"/>
        <w:spacing w:line="276" w:lineRule="auto"/>
        <w:ind w:firstLine="422" w:firstLineChars="200"/>
        <w:jc w:val="left"/>
        <w:rPr>
          <w:rFonts w:ascii="宋体" w:hAnsi="宋体" w:cs="宋体"/>
          <w:szCs w:val="21"/>
        </w:rPr>
      </w:pPr>
      <w:r>
        <w:rPr>
          <w:rFonts w:hint="eastAsia" w:ascii="宋体" w:hAnsi="宋体" w:cs="宋体"/>
          <w:b/>
          <w:szCs w:val="21"/>
        </w:rPr>
        <w:t>工程期限或交货（交付）期：</w:t>
      </w:r>
      <w:r>
        <w:rPr>
          <w:rFonts w:hint="eastAsia" w:ascii="宋体" w:hAnsi="宋体" w:cs="宋体"/>
          <w:szCs w:val="21"/>
        </w:rPr>
        <w:t>项目分方案阶段、现场勘查阶段、施工图阶段（含初设阶段）、施工阶段，各阶段以采购人通知为准，根据项目不同体量大小和要求及时响应启动设计服务，根据采购人要求期限提交审核。</w:t>
      </w:r>
    </w:p>
    <w:p>
      <w:pPr>
        <w:widowControl/>
        <w:shd w:val="clear" w:color="auto" w:fill="FFFFFF"/>
        <w:spacing w:line="276" w:lineRule="auto"/>
        <w:ind w:firstLine="570"/>
        <w:jc w:val="left"/>
        <w:rPr>
          <w:rFonts w:ascii="宋体" w:hAnsi="宋体" w:cs="宋体"/>
          <w:szCs w:val="21"/>
        </w:rPr>
      </w:pPr>
      <w:r>
        <w:rPr>
          <w:rFonts w:hint="eastAsia" w:ascii="宋体" w:hAnsi="宋体" w:cs="宋体"/>
          <w:b/>
          <w:szCs w:val="21"/>
        </w:rPr>
        <w:t>合同履行期限</w:t>
      </w:r>
      <w:r>
        <w:rPr>
          <w:rFonts w:hint="eastAsia" w:ascii="宋体" w:hAnsi="宋体" w:cs="宋体"/>
          <w:szCs w:val="21"/>
        </w:rPr>
        <w:t>：本项目服务期为叁年。合同一年一签，根据采购人对成交供应商的考核决定是否续签下一年合同。</w:t>
      </w:r>
    </w:p>
    <w:p>
      <w:pPr>
        <w:spacing w:line="276" w:lineRule="auto"/>
        <w:ind w:firstLine="420" w:firstLineChars="200"/>
        <w:rPr>
          <w:rFonts w:ascii="宋体" w:hAnsi="宋体" w:cs="宋体"/>
          <w:szCs w:val="21"/>
        </w:rPr>
      </w:pPr>
      <w:r>
        <w:rPr>
          <w:rFonts w:hint="eastAsia" w:ascii="宋体" w:hAnsi="宋体" w:cs="宋体"/>
          <w:szCs w:val="21"/>
        </w:rPr>
        <w:t>采购需求详细内容见采购文件“采购（需求”部分）。</w:t>
      </w:r>
    </w:p>
    <w:p>
      <w:pPr>
        <w:spacing w:line="276" w:lineRule="auto"/>
        <w:ind w:firstLine="422" w:firstLineChars="200"/>
        <w:rPr>
          <w:rFonts w:ascii="宋体" w:hAnsi="宋体" w:cs="宋体"/>
          <w:b/>
          <w:bCs/>
          <w:szCs w:val="21"/>
        </w:rPr>
      </w:pPr>
      <w:r>
        <w:rPr>
          <w:rFonts w:hint="eastAsia" w:ascii="宋体" w:hAnsi="宋体" w:cs="宋体"/>
          <w:b/>
          <w:bCs/>
          <w:szCs w:val="21"/>
        </w:rPr>
        <w:t>本项目合格投标人供应商≥4家，根据综合评审排名选择前2名为成交候选人，本项目合格投标供应商＜4家，不予评标。</w:t>
      </w:r>
    </w:p>
    <w:p>
      <w:pPr>
        <w:numPr>
          <w:ilvl w:val="0"/>
          <w:numId w:val="2"/>
        </w:numPr>
        <w:spacing w:line="276" w:lineRule="auto"/>
        <w:rPr>
          <w:rFonts w:ascii="宋体" w:hAnsi="宋体" w:cs="宋体"/>
          <w:b/>
        </w:rPr>
      </w:pPr>
      <w:bookmarkStart w:id="6" w:name="_Toc28359013"/>
      <w:bookmarkStart w:id="7" w:name="_Toc35393630"/>
      <w:bookmarkStart w:id="8" w:name="_Toc28359090"/>
      <w:bookmarkStart w:id="9" w:name="_Toc35393799"/>
      <w:r>
        <w:rPr>
          <w:rFonts w:hint="eastAsia" w:ascii="宋体" w:hAnsi="宋体" w:cs="宋体"/>
          <w:b/>
        </w:rPr>
        <w:t>申请人（</w:t>
      </w:r>
      <w:r>
        <w:rPr>
          <w:rFonts w:hint="eastAsia" w:ascii="宋体" w:hAnsi="宋体" w:cs="宋体"/>
          <w:b/>
          <w:kern w:val="0"/>
          <w:szCs w:val="21"/>
        </w:rPr>
        <w:t>供应商）</w:t>
      </w:r>
      <w:r>
        <w:rPr>
          <w:rFonts w:hint="eastAsia" w:ascii="宋体" w:hAnsi="宋体" w:cs="宋体"/>
          <w:b/>
        </w:rPr>
        <w:t>的资格要求</w:t>
      </w:r>
      <w:r>
        <w:rPr>
          <w:rFonts w:hint="eastAsia" w:ascii="宋体" w:hAnsi="宋体"/>
          <w:b/>
          <w:szCs w:val="21"/>
        </w:rPr>
        <w:t>（具体证明材料见响应文件格式）</w:t>
      </w:r>
      <w:r>
        <w:rPr>
          <w:rFonts w:hint="eastAsia" w:ascii="宋体" w:hAnsi="宋体" w:cs="宋体"/>
          <w:b/>
        </w:rPr>
        <w:t>：</w:t>
      </w:r>
      <w:bookmarkEnd w:id="6"/>
      <w:bookmarkEnd w:id="7"/>
      <w:bookmarkEnd w:id="8"/>
      <w:bookmarkEnd w:id="9"/>
    </w:p>
    <w:p>
      <w:pPr>
        <w:spacing w:line="276" w:lineRule="auto"/>
        <w:ind w:firstLine="420" w:firstLineChars="200"/>
        <w:rPr>
          <w:rFonts w:ascii="宋体" w:hAnsi="宋体" w:cs="宋体"/>
          <w:szCs w:val="21"/>
        </w:rPr>
      </w:pPr>
      <w:r>
        <w:rPr>
          <w:rFonts w:hint="eastAsia" w:ascii="宋体" w:hAnsi="宋体" w:cs="宋体"/>
          <w:szCs w:val="21"/>
        </w:rPr>
        <w:t>1.满足《中华人民共和国政府采购法》第二十二条规定，并提供下列材料：</w:t>
      </w:r>
    </w:p>
    <w:p>
      <w:pPr>
        <w:spacing w:line="276" w:lineRule="auto"/>
        <w:ind w:firstLine="420" w:firstLineChars="200"/>
        <w:rPr>
          <w:rFonts w:ascii="宋体" w:hAnsi="宋体" w:cs="宋体"/>
          <w:szCs w:val="21"/>
        </w:rPr>
      </w:pPr>
      <w:r>
        <w:rPr>
          <w:rFonts w:hint="eastAsia" w:ascii="宋体" w:hAnsi="宋体" w:cs="宋体"/>
          <w:szCs w:val="21"/>
        </w:rPr>
        <w:t>1.1具有独立承担民事责任的能力；</w:t>
      </w:r>
    </w:p>
    <w:p>
      <w:pPr>
        <w:spacing w:line="276" w:lineRule="auto"/>
        <w:ind w:firstLine="420" w:firstLineChars="200"/>
        <w:rPr>
          <w:rFonts w:ascii="宋体" w:hAnsi="宋体" w:cs="宋体"/>
          <w:szCs w:val="21"/>
        </w:rPr>
      </w:pPr>
      <w:r>
        <w:rPr>
          <w:rFonts w:hint="eastAsia" w:ascii="宋体" w:hAnsi="宋体" w:cs="宋体"/>
          <w:szCs w:val="21"/>
        </w:rPr>
        <w:t>1.2具有良好的商业信誉和健全的财务会计制度；</w:t>
      </w:r>
    </w:p>
    <w:p>
      <w:pPr>
        <w:spacing w:line="276" w:lineRule="auto"/>
        <w:ind w:firstLine="420" w:firstLineChars="200"/>
        <w:rPr>
          <w:rFonts w:ascii="宋体" w:hAnsi="宋体" w:cs="宋体"/>
          <w:szCs w:val="21"/>
        </w:rPr>
      </w:pPr>
      <w:r>
        <w:rPr>
          <w:rFonts w:hint="eastAsia" w:ascii="宋体" w:hAnsi="宋体" w:cs="宋体"/>
          <w:szCs w:val="21"/>
        </w:rPr>
        <w:t>1.3具有履行合同所必需的设备和专业技术能力；</w:t>
      </w:r>
    </w:p>
    <w:p>
      <w:pPr>
        <w:spacing w:line="276" w:lineRule="auto"/>
        <w:ind w:firstLine="420" w:firstLineChars="200"/>
        <w:rPr>
          <w:rFonts w:ascii="宋体" w:hAnsi="宋体" w:cs="宋体"/>
          <w:szCs w:val="21"/>
        </w:rPr>
      </w:pPr>
      <w:r>
        <w:rPr>
          <w:rFonts w:hint="eastAsia" w:ascii="宋体" w:hAnsi="宋体" w:cs="宋体"/>
          <w:szCs w:val="21"/>
        </w:rPr>
        <w:t>1.4有依法缴纳税收和社会保障资金的良好记录；</w:t>
      </w:r>
    </w:p>
    <w:p>
      <w:pPr>
        <w:spacing w:line="276" w:lineRule="auto"/>
        <w:ind w:firstLine="420" w:firstLineChars="200"/>
        <w:rPr>
          <w:rFonts w:ascii="宋体" w:hAnsi="宋体" w:cs="宋体"/>
          <w:szCs w:val="21"/>
        </w:rPr>
      </w:pPr>
      <w:r>
        <w:rPr>
          <w:rFonts w:hint="eastAsia" w:ascii="宋体" w:hAnsi="宋体" w:cs="宋体"/>
          <w:szCs w:val="21"/>
        </w:rPr>
        <w:t>1.5参加政府采购活动前三年内，在经营活动中没有重大违法记录。</w:t>
      </w:r>
    </w:p>
    <w:p>
      <w:pPr>
        <w:spacing w:line="276" w:lineRule="auto"/>
        <w:ind w:firstLine="420" w:firstLineChars="200"/>
        <w:rPr>
          <w:rFonts w:ascii="宋体" w:hAnsi="宋体" w:cs="宋体"/>
          <w:szCs w:val="21"/>
        </w:rPr>
      </w:pPr>
      <w:r>
        <w:rPr>
          <w:rFonts w:hint="eastAsia" w:ascii="宋体" w:hAnsi="宋体" w:cs="宋体"/>
          <w:szCs w:val="21"/>
        </w:rPr>
        <w:t>1.6法律、行政法规规定的其他条件。</w:t>
      </w:r>
    </w:p>
    <w:p>
      <w:pPr>
        <w:spacing w:line="276" w:lineRule="auto"/>
        <w:ind w:firstLine="420" w:firstLineChars="200"/>
        <w:rPr>
          <w:rFonts w:ascii="宋体" w:hAnsi="宋体" w:cs="宋体"/>
          <w:szCs w:val="21"/>
        </w:rPr>
      </w:pPr>
      <w:r>
        <w:rPr>
          <w:rFonts w:hint="eastAsia" w:ascii="宋体" w:hAnsi="宋体" w:cs="宋体"/>
          <w:szCs w:val="21"/>
        </w:rPr>
        <w:t>2.落实政府采购政策需满足的资格要求：</w:t>
      </w:r>
      <w:bookmarkStart w:id="10" w:name="_Toc35393631"/>
      <w:bookmarkStart w:id="11" w:name="_Toc28359014"/>
      <w:bookmarkStart w:id="12" w:name="_Toc28359091"/>
      <w:bookmarkStart w:id="13" w:name="_Toc35393800"/>
      <w:r>
        <w:rPr>
          <w:rFonts w:hint="eastAsia" w:ascii="宋体" w:hAnsi="宋体" w:cs="宋体"/>
          <w:szCs w:val="21"/>
        </w:rPr>
        <w:t>无。</w:t>
      </w:r>
    </w:p>
    <w:p>
      <w:pPr>
        <w:spacing w:line="276" w:lineRule="auto"/>
        <w:ind w:firstLine="420" w:firstLineChars="200"/>
        <w:rPr>
          <w:rFonts w:ascii="宋体" w:hAnsi="宋体" w:cs="宋体"/>
          <w:szCs w:val="21"/>
        </w:rPr>
      </w:pPr>
      <w:r>
        <w:rPr>
          <w:rFonts w:hint="eastAsia" w:ascii="宋体" w:hAnsi="宋体"/>
          <w:szCs w:val="21"/>
        </w:rPr>
        <w:t>3.</w:t>
      </w:r>
      <w:r>
        <w:rPr>
          <w:rFonts w:hint="eastAsia" w:ascii="宋体" w:hAnsi="宋体" w:cs="宋体"/>
          <w:szCs w:val="21"/>
        </w:rPr>
        <w:t>本项目的特定资格要求：</w:t>
      </w:r>
    </w:p>
    <w:p>
      <w:pPr>
        <w:spacing w:line="276" w:lineRule="auto"/>
        <w:ind w:firstLine="420" w:firstLineChars="200"/>
        <w:rPr>
          <w:rFonts w:ascii="宋体" w:hAnsi="宋体" w:cs="宋体"/>
          <w:bCs/>
          <w:szCs w:val="21"/>
        </w:rPr>
      </w:pPr>
      <w:r>
        <w:rPr>
          <w:rFonts w:hint="eastAsia" w:ascii="宋体" w:hAnsi="宋体" w:cs="宋体"/>
          <w:bCs/>
          <w:szCs w:val="21"/>
        </w:rPr>
        <w:t>3.1投标申请人须具备建设行政主管部门颁发的有效的工程设计综合甲级资质或工程设计（建筑行业）乙级及以上资质的独立法人。【提供投标人资质证书复印件并加盖公章】</w:t>
      </w:r>
    </w:p>
    <w:p>
      <w:pPr>
        <w:spacing w:line="276" w:lineRule="auto"/>
        <w:ind w:firstLine="420" w:firstLineChars="200"/>
        <w:rPr>
          <w:rFonts w:ascii="宋体" w:hAnsi="宋体" w:cs="宋体"/>
          <w:bCs/>
          <w:szCs w:val="21"/>
        </w:rPr>
      </w:pPr>
      <w:r>
        <w:rPr>
          <w:rFonts w:hint="eastAsia" w:ascii="宋体" w:hAnsi="宋体" w:cs="宋体"/>
          <w:bCs/>
          <w:szCs w:val="21"/>
        </w:rPr>
        <w:t>3.2项目负责人资质类别和等级：项目负责人必须是投标人本单位正式职工，必须具有中级及以上技术职称。【提供投标人为项目负责人缴纳的近三个月以来任意一个月社保缴费证明（如截止时间为1月某天，则提供上年度的10月到12月份中任意一个月）、证书）复印件并加盖公章。】</w:t>
      </w:r>
    </w:p>
    <w:p>
      <w:pPr>
        <w:spacing w:line="276" w:lineRule="auto"/>
        <w:ind w:firstLine="420" w:firstLineChars="200"/>
        <w:rPr>
          <w:rFonts w:ascii="宋体" w:hAnsi="宋体" w:cs="宋体"/>
          <w:bCs/>
          <w:szCs w:val="21"/>
        </w:rPr>
      </w:pPr>
      <w:r>
        <w:rPr>
          <w:rFonts w:hint="eastAsia" w:ascii="宋体" w:hAnsi="宋体" w:cs="宋体"/>
          <w:bCs/>
          <w:szCs w:val="21"/>
        </w:rPr>
        <w:t>3.3投标人没有被国家、江苏省省级有关部门及盐城市级有关部门暂停招投标或市场准入资格且在公示处罚期内；没有处于被责令停业、财产被接管、冻结、破产等状态。</w:t>
      </w:r>
    </w:p>
    <w:p>
      <w:pPr>
        <w:spacing w:line="276" w:lineRule="auto"/>
        <w:ind w:firstLine="422" w:firstLineChars="200"/>
        <w:jc w:val="left"/>
        <w:rPr>
          <w:rFonts w:ascii="宋体" w:hAnsi="宋体" w:cs="宋体"/>
          <w:b/>
        </w:rPr>
      </w:pPr>
      <w:r>
        <w:rPr>
          <w:rFonts w:hint="eastAsia" w:ascii="宋体" w:hAnsi="宋体" w:cs="宋体"/>
          <w:b/>
        </w:rPr>
        <w:t>三、获取采购文件</w:t>
      </w:r>
      <w:bookmarkEnd w:id="10"/>
      <w:bookmarkEnd w:id="11"/>
      <w:bookmarkEnd w:id="12"/>
      <w:bookmarkEnd w:id="13"/>
    </w:p>
    <w:p>
      <w:pPr>
        <w:spacing w:line="276" w:lineRule="auto"/>
        <w:ind w:firstLine="420" w:firstLineChars="200"/>
        <w:rPr>
          <w:rFonts w:ascii="宋体" w:hAnsi="宋体" w:cs="宋体"/>
          <w:u w:val="single"/>
        </w:rPr>
      </w:pPr>
      <w:r>
        <w:rPr>
          <w:rFonts w:hint="eastAsia" w:ascii="宋体" w:hAnsi="宋体" w:cs="宋体"/>
          <w:u w:val="single"/>
        </w:rPr>
        <w:t>时间：2024年</w:t>
      </w:r>
      <w:r>
        <w:rPr>
          <w:rFonts w:ascii="宋体" w:hAnsi="宋体" w:cs="宋体"/>
          <w:u w:val="single"/>
        </w:rPr>
        <w:t>2</w:t>
      </w:r>
      <w:r>
        <w:rPr>
          <w:rFonts w:hint="eastAsia" w:ascii="宋体" w:hAnsi="宋体" w:cs="宋体"/>
          <w:u w:val="single"/>
        </w:rPr>
        <w:t>月</w:t>
      </w:r>
      <w:r>
        <w:rPr>
          <w:rFonts w:ascii="宋体" w:hAnsi="宋体" w:cs="宋体"/>
          <w:u w:val="single"/>
        </w:rPr>
        <w:t>26</w:t>
      </w:r>
      <w:r>
        <w:rPr>
          <w:rFonts w:hint="eastAsia" w:ascii="宋体" w:hAnsi="宋体" w:cs="宋体"/>
          <w:u w:val="single"/>
        </w:rPr>
        <w:t>日至2024年</w:t>
      </w:r>
      <w:r>
        <w:rPr>
          <w:rFonts w:ascii="宋体" w:hAnsi="宋体" w:cs="宋体"/>
          <w:u w:val="single"/>
        </w:rPr>
        <w:t>3</w:t>
      </w:r>
      <w:r>
        <w:rPr>
          <w:rFonts w:hint="eastAsia" w:ascii="宋体" w:hAnsi="宋体" w:cs="宋体"/>
          <w:u w:val="single"/>
        </w:rPr>
        <w:t>月01日</w:t>
      </w:r>
      <w:r>
        <w:rPr>
          <w:rFonts w:hint="eastAsia" w:ascii="宋体" w:hAnsi="宋体" w:cs="宋体"/>
          <w:b/>
          <w:bCs/>
          <w:szCs w:val="21"/>
          <w:u w:val="single"/>
        </w:rPr>
        <w:t>（每个工作日的9时至12时，15时至18时）</w:t>
      </w:r>
    </w:p>
    <w:p>
      <w:pPr>
        <w:spacing w:line="276" w:lineRule="auto"/>
        <w:ind w:firstLine="420" w:firstLineChars="200"/>
        <w:rPr>
          <w:rFonts w:ascii="宋体" w:hAnsi="宋体" w:cs="宋体"/>
          <w:u w:val="single"/>
        </w:rPr>
      </w:pPr>
      <w:r>
        <w:rPr>
          <w:rFonts w:hint="eastAsia" w:ascii="宋体" w:hAnsi="宋体" w:cs="宋体"/>
          <w:u w:val="single"/>
        </w:rPr>
        <w:t>地点：</w:t>
      </w:r>
      <w:r>
        <w:rPr>
          <w:rFonts w:hint="eastAsia" w:ascii="宋体" w:hAnsi="宋体"/>
          <w:szCs w:val="21"/>
          <w:u w:val="single"/>
        </w:rPr>
        <w:t>盐城市府西路华邦国际西厦A区（东）302室</w:t>
      </w:r>
    </w:p>
    <w:p>
      <w:pPr>
        <w:spacing w:line="276" w:lineRule="auto"/>
        <w:ind w:firstLine="420" w:firstLineChars="200"/>
        <w:rPr>
          <w:rFonts w:ascii="宋体" w:hAnsi="宋体" w:cs="宋体"/>
          <w:bCs/>
          <w:szCs w:val="21"/>
        </w:rPr>
      </w:pPr>
      <w:bookmarkStart w:id="14" w:name="_Toc35393801"/>
      <w:bookmarkStart w:id="15" w:name="_Toc35393632"/>
      <w:bookmarkStart w:id="16" w:name="_Toc28359015"/>
      <w:bookmarkStart w:id="17" w:name="_Toc28359092"/>
      <w:r>
        <w:rPr>
          <w:rFonts w:hint="eastAsia" w:ascii="宋体" w:hAnsi="宋体" w:cs="宋体"/>
          <w:bCs/>
          <w:szCs w:val="21"/>
        </w:rPr>
        <w:t>方式：现场发售；投标供应商凭加盖公章的《采购文件领购登记表》（见公告附件）、营业执照（复印件即可）到携手阳光公司领购（地址见本公告。注:未领购的任何单位或个人没有参与权以及相关知情权）</w:t>
      </w:r>
    </w:p>
    <w:p>
      <w:pPr>
        <w:spacing w:line="276" w:lineRule="auto"/>
        <w:ind w:firstLine="420" w:firstLineChars="200"/>
        <w:rPr>
          <w:rFonts w:ascii="宋体" w:hAnsi="宋体"/>
          <w:bCs/>
          <w:szCs w:val="21"/>
        </w:rPr>
      </w:pPr>
      <w:r>
        <w:rPr>
          <w:rFonts w:hint="eastAsia" w:ascii="宋体" w:hAnsi="宋体"/>
          <w:bCs/>
          <w:szCs w:val="21"/>
        </w:rPr>
        <w:t>售价：500元，售后不退；交纳方式：现金、支付宝（18662096009）等</w:t>
      </w:r>
    </w:p>
    <w:bookmarkEnd w:id="14"/>
    <w:bookmarkEnd w:id="15"/>
    <w:bookmarkEnd w:id="16"/>
    <w:bookmarkEnd w:id="17"/>
    <w:p>
      <w:pPr>
        <w:spacing w:line="276" w:lineRule="auto"/>
        <w:rPr>
          <w:rFonts w:ascii="宋体" w:hAnsi="宋体"/>
          <w:szCs w:val="22"/>
        </w:rPr>
      </w:pPr>
      <w:bookmarkStart w:id="18" w:name="_Toc28359005"/>
      <w:bookmarkStart w:id="19" w:name="_Toc28359082"/>
      <w:bookmarkStart w:id="20" w:name="_Toc35393793"/>
      <w:bookmarkStart w:id="21" w:name="_Toc35393624"/>
      <w:bookmarkStart w:id="22" w:name="_Toc35393802"/>
      <w:bookmarkStart w:id="23" w:name="_Toc28359016"/>
      <w:bookmarkStart w:id="24" w:name="_Toc35393633"/>
      <w:bookmarkStart w:id="25" w:name="_Toc28359093"/>
      <w:bookmarkStart w:id="26" w:name="_Toc35393795"/>
      <w:bookmarkStart w:id="27" w:name="_Toc35393626"/>
      <w:bookmarkStart w:id="28" w:name="_Toc35393804"/>
      <w:bookmarkStart w:id="29" w:name="_Toc35393635"/>
      <w:r>
        <w:rPr>
          <w:rFonts w:hint="eastAsia" w:ascii="宋体" w:hAnsi="宋体"/>
          <w:szCs w:val="22"/>
        </w:rPr>
        <w:t>四、提交投标文件</w:t>
      </w:r>
      <w:bookmarkEnd w:id="18"/>
      <w:bookmarkEnd w:id="19"/>
      <w:r>
        <w:rPr>
          <w:rFonts w:hint="eastAsia" w:ascii="宋体" w:hAnsi="宋体"/>
          <w:szCs w:val="22"/>
        </w:rPr>
        <w:t>截止时间（</w:t>
      </w:r>
      <w:r>
        <w:rPr>
          <w:rFonts w:hint="eastAsia" w:ascii="宋体" w:hAnsi="宋体" w:cs="宋体"/>
          <w:kern w:val="0"/>
          <w:szCs w:val="21"/>
        </w:rPr>
        <w:t>投标截止时间）</w:t>
      </w:r>
      <w:r>
        <w:rPr>
          <w:rFonts w:hint="eastAsia" w:ascii="宋体" w:hAnsi="宋体"/>
          <w:szCs w:val="22"/>
        </w:rPr>
        <w:t>、开标时间和地点</w:t>
      </w:r>
      <w:bookmarkEnd w:id="20"/>
      <w:bookmarkEnd w:id="21"/>
    </w:p>
    <w:p>
      <w:pPr>
        <w:spacing w:line="276" w:lineRule="auto"/>
        <w:ind w:firstLine="420" w:firstLineChars="200"/>
        <w:rPr>
          <w:rFonts w:ascii="宋体" w:hAnsi="宋体" w:cs="宋体"/>
          <w:u w:val="single"/>
        </w:rPr>
      </w:pPr>
      <w:r>
        <w:rPr>
          <w:rFonts w:hint="eastAsia" w:ascii="宋体" w:hAnsi="宋体" w:cs="宋体"/>
          <w:u w:val="single"/>
        </w:rPr>
        <w:t>时间：2024年</w:t>
      </w:r>
      <w:r>
        <w:rPr>
          <w:rFonts w:ascii="宋体" w:hAnsi="宋体" w:cs="宋体"/>
          <w:u w:val="single"/>
        </w:rPr>
        <w:t>3</w:t>
      </w:r>
      <w:r>
        <w:rPr>
          <w:rFonts w:hint="eastAsia" w:ascii="宋体" w:hAnsi="宋体" w:cs="宋体"/>
          <w:u w:val="single"/>
        </w:rPr>
        <w:t>月</w:t>
      </w:r>
      <w:r>
        <w:rPr>
          <w:rFonts w:ascii="宋体" w:hAnsi="宋体" w:cs="宋体"/>
          <w:u w:val="single"/>
        </w:rPr>
        <w:t>0</w:t>
      </w:r>
      <w:r>
        <w:rPr>
          <w:rFonts w:hint="eastAsia" w:ascii="宋体" w:hAnsi="宋体" w:cs="宋体"/>
          <w:u w:val="single"/>
        </w:rPr>
        <w:t>7日15点00分（北京时间）（逾期送达的为无效文件）</w:t>
      </w:r>
    </w:p>
    <w:p>
      <w:pPr>
        <w:spacing w:line="276" w:lineRule="auto"/>
        <w:ind w:firstLine="420" w:firstLineChars="200"/>
        <w:rPr>
          <w:rFonts w:ascii="宋体" w:hAnsi="宋体" w:cs="宋体"/>
          <w:u w:val="single"/>
        </w:rPr>
      </w:pPr>
      <w:r>
        <w:rPr>
          <w:rFonts w:hint="eastAsia" w:ascii="宋体" w:hAnsi="宋体" w:cs="宋体"/>
          <w:u w:val="single"/>
        </w:rPr>
        <w:t>地点：江苏医药职业学院（盐城市解放南路283号）行政楼210室。</w:t>
      </w:r>
    </w:p>
    <w:p>
      <w:pPr>
        <w:spacing w:line="276" w:lineRule="auto"/>
        <w:ind w:firstLine="420" w:firstLineChars="200"/>
        <w:rPr>
          <w:rFonts w:ascii="宋体" w:hAnsi="宋体" w:cs="宋体"/>
          <w:bCs/>
          <w:szCs w:val="21"/>
        </w:rPr>
      </w:pPr>
      <w:r>
        <w:rPr>
          <w:rFonts w:hint="eastAsia" w:ascii="宋体" w:hAnsi="宋体" w:cs="宋体"/>
          <w:bCs/>
          <w:szCs w:val="21"/>
        </w:rPr>
        <w:t>注：本项目开标方式为不见面开标</w:t>
      </w:r>
    </w:p>
    <w:p>
      <w:pPr>
        <w:spacing w:line="276" w:lineRule="auto"/>
        <w:ind w:firstLine="420" w:firstLineChars="200"/>
        <w:rPr>
          <w:rFonts w:ascii="宋体" w:hAnsi="宋体" w:cs="宋体"/>
          <w:bCs/>
          <w:szCs w:val="21"/>
        </w:rPr>
      </w:pPr>
      <w:r>
        <w:rPr>
          <w:rFonts w:hint="eastAsia" w:ascii="宋体" w:hAnsi="宋体" w:cs="宋体"/>
          <w:bCs/>
          <w:szCs w:val="21"/>
        </w:rPr>
        <w:t>（邮寄或提前现场送达地点：盐城市府西路华邦国际西厦A区（东）302室，联系人：施婷婷；电话：13270072015；时间建议在</w:t>
      </w:r>
      <w:r>
        <w:rPr>
          <w:rFonts w:hint="eastAsia" w:ascii="宋体" w:hAnsi="宋体" w:cs="宋体"/>
          <w:u w:val="single"/>
        </w:rPr>
        <w:t>2024年3月07日上午09点00分送达）。</w:t>
      </w:r>
    </w:p>
    <w:p>
      <w:pPr>
        <w:spacing w:line="276" w:lineRule="auto"/>
        <w:ind w:firstLine="420" w:firstLineChars="200"/>
        <w:rPr>
          <w:rFonts w:ascii="宋体" w:hAnsi="宋体" w:cs="宋体"/>
        </w:rPr>
      </w:pPr>
      <w:r>
        <w:rPr>
          <w:rFonts w:hint="eastAsia" w:ascii="宋体" w:hAnsi="宋体" w:cs="宋体"/>
          <w:bCs/>
          <w:szCs w:val="21"/>
        </w:rPr>
        <w:t>投标文件可以邮寄或提前现场送达的方式递交（密封完好，响应文件提交截止时间前，</w:t>
      </w:r>
      <w:r>
        <w:rPr>
          <w:rFonts w:hint="eastAsia" w:ascii="宋体" w:hAnsi="宋体" w:cs="宋体"/>
          <w:u w:val="single"/>
        </w:rPr>
        <w:t>投标文件送达现场的，投标供应商不需要在现场等待），最后报价由代理公司另行通知（腾讯会议号在收到投标文件后发送到报名邮箱）</w:t>
      </w:r>
      <w:r>
        <w:rPr>
          <w:rFonts w:hint="eastAsia" w:ascii="宋体" w:hAnsi="宋体" w:cs="宋体"/>
        </w:rPr>
        <w:t>；</w:t>
      </w:r>
    </w:p>
    <w:p>
      <w:pPr>
        <w:spacing w:line="276" w:lineRule="auto"/>
        <w:ind w:firstLine="420" w:firstLineChars="200"/>
        <w:rPr>
          <w:rFonts w:ascii="宋体" w:hAnsi="宋体" w:cs="宋体"/>
          <w:bCs/>
          <w:szCs w:val="21"/>
        </w:rPr>
      </w:pPr>
      <w:r>
        <w:rPr>
          <w:rFonts w:hint="eastAsia" w:ascii="宋体" w:hAnsi="宋体" w:cs="宋体"/>
          <w:bCs/>
          <w:szCs w:val="21"/>
        </w:rPr>
        <w:t>邮寄方式递交的投标文件以快递签收时间为准（建议提前邮寄），快递风险自行承担，逾期或密封不完整的不予接收，如因此造成供应商权益受到损害的等影响的，均由供应商自负（视为供应商过错）。</w:t>
      </w:r>
    </w:p>
    <w:p>
      <w:pPr>
        <w:numPr>
          <w:ilvl w:val="0"/>
          <w:numId w:val="3"/>
        </w:numPr>
        <w:spacing w:line="276" w:lineRule="auto"/>
        <w:rPr>
          <w:rFonts w:ascii="宋体" w:hAnsi="宋体" w:cs="宋体"/>
          <w:u w:val="single"/>
        </w:rPr>
      </w:pPr>
      <w:r>
        <w:rPr>
          <w:rFonts w:hint="eastAsia" w:ascii="宋体" w:hAnsi="宋体" w:cs="宋体"/>
          <w:bCs/>
          <w:u w:val="single"/>
        </w:rPr>
        <w:t>开启</w:t>
      </w:r>
      <w:bookmarkEnd w:id="22"/>
      <w:bookmarkEnd w:id="23"/>
      <w:bookmarkEnd w:id="24"/>
      <w:bookmarkEnd w:id="25"/>
      <w:r>
        <w:rPr>
          <w:rFonts w:hint="eastAsia" w:ascii="宋体" w:hAnsi="宋体" w:cs="宋体"/>
          <w:bCs/>
          <w:u w:val="single"/>
        </w:rPr>
        <w:t>时间：2</w:t>
      </w:r>
      <w:r>
        <w:rPr>
          <w:rFonts w:hint="eastAsia" w:ascii="宋体" w:hAnsi="宋体" w:cs="宋体"/>
          <w:u w:val="single"/>
        </w:rPr>
        <w:t>024年</w:t>
      </w:r>
      <w:r>
        <w:rPr>
          <w:rFonts w:ascii="宋体" w:hAnsi="宋体" w:cs="宋体"/>
          <w:u w:val="single"/>
        </w:rPr>
        <w:t>3</w:t>
      </w:r>
      <w:r>
        <w:rPr>
          <w:rFonts w:hint="eastAsia" w:ascii="宋体" w:hAnsi="宋体" w:cs="宋体"/>
          <w:u w:val="single"/>
        </w:rPr>
        <w:t>月</w:t>
      </w:r>
      <w:r>
        <w:rPr>
          <w:rFonts w:ascii="宋体" w:hAnsi="宋体" w:cs="宋体"/>
          <w:u w:val="single"/>
        </w:rPr>
        <w:t>07</w:t>
      </w:r>
      <w:r>
        <w:rPr>
          <w:rFonts w:hint="eastAsia" w:ascii="宋体" w:hAnsi="宋体" w:cs="宋体"/>
          <w:u w:val="single"/>
        </w:rPr>
        <w:t>日15点00分</w:t>
      </w:r>
      <w:r>
        <w:rPr>
          <w:rFonts w:hint="eastAsia" w:ascii="宋体" w:hAnsi="宋体" w:cs="宋体"/>
          <w:bCs/>
          <w:u w:val="single"/>
        </w:rPr>
        <w:t>（北京时间）</w:t>
      </w:r>
      <w:r>
        <w:rPr>
          <w:rFonts w:hint="eastAsia" w:ascii="宋体" w:hAnsi="宋体" w:cs="宋体"/>
          <w:u w:val="single"/>
        </w:rPr>
        <w:t>（逾期送达的为无效文件）</w:t>
      </w:r>
    </w:p>
    <w:p>
      <w:pPr>
        <w:spacing w:line="276" w:lineRule="auto"/>
        <w:ind w:firstLine="420" w:firstLineChars="200"/>
        <w:rPr>
          <w:rFonts w:ascii="宋体" w:hAnsi="宋体" w:cs="宋体"/>
          <w:bCs/>
          <w:u w:val="single"/>
        </w:rPr>
      </w:pPr>
      <w:r>
        <w:rPr>
          <w:rFonts w:hint="eastAsia" w:ascii="宋体" w:hAnsi="宋体" w:cs="宋体"/>
          <w:u w:val="single"/>
        </w:rPr>
        <w:t>地点：江苏医药职业学院（盐城市解放南路283号）行政楼210室。</w:t>
      </w:r>
    </w:p>
    <w:p>
      <w:pPr>
        <w:spacing w:line="276" w:lineRule="auto"/>
        <w:rPr>
          <w:rFonts w:ascii="宋体" w:hAnsi="宋体" w:cs="宋体"/>
          <w:b/>
          <w:bCs/>
        </w:rPr>
      </w:pPr>
      <w:r>
        <w:rPr>
          <w:rFonts w:hint="eastAsia" w:ascii="宋体" w:hAnsi="宋体" w:cs="宋体"/>
          <w:b/>
        </w:rPr>
        <w:t>六、公告期限</w:t>
      </w:r>
      <w:r>
        <w:rPr>
          <w:rFonts w:hint="eastAsia" w:ascii="宋体" w:hAnsi="宋体" w:cs="宋体"/>
          <w:b/>
          <w:bCs/>
        </w:rPr>
        <w:t>：</w:t>
      </w:r>
    </w:p>
    <w:p>
      <w:pPr>
        <w:spacing w:line="276" w:lineRule="auto"/>
        <w:ind w:firstLine="420" w:firstLineChars="200"/>
        <w:jc w:val="left"/>
        <w:rPr>
          <w:rFonts w:ascii="宋体" w:hAnsi="宋体" w:cs="宋体"/>
        </w:rPr>
      </w:pPr>
      <w:r>
        <w:rPr>
          <w:rFonts w:hint="eastAsia" w:ascii="宋体" w:hAnsi="宋体" w:cs="宋体"/>
          <w:kern w:val="0"/>
        </w:rPr>
        <w:t>自本公告发布之日起3个工作日(“江苏医药职业学院网站”)</w:t>
      </w:r>
    </w:p>
    <w:p>
      <w:pPr>
        <w:spacing w:line="276" w:lineRule="auto"/>
        <w:rPr>
          <w:rFonts w:ascii="宋体" w:hAnsi="宋体" w:cs="宋体"/>
          <w:b/>
        </w:rPr>
      </w:pPr>
      <w:r>
        <w:rPr>
          <w:rFonts w:hint="eastAsia" w:ascii="宋体" w:hAnsi="宋体"/>
          <w:b/>
          <w:bCs/>
        </w:rPr>
        <w:t>七、</w:t>
      </w:r>
      <w:r>
        <w:rPr>
          <w:rFonts w:hint="eastAsia" w:ascii="宋体" w:hAnsi="宋体" w:cs="宋体"/>
          <w:b/>
        </w:rPr>
        <w:t>凡对本次采购提出询问，请按以下方式联系</w:t>
      </w:r>
    </w:p>
    <w:bookmarkEnd w:id="26"/>
    <w:bookmarkEnd w:id="27"/>
    <w:p>
      <w:pPr>
        <w:spacing w:line="276" w:lineRule="auto"/>
        <w:ind w:firstLine="420" w:firstLineChars="200"/>
        <w:rPr>
          <w:rFonts w:ascii="宋体" w:hAnsi="宋体" w:cs="宋体"/>
          <w:szCs w:val="21"/>
        </w:rPr>
      </w:pPr>
      <w:bookmarkStart w:id="30" w:name="_Toc35393796"/>
      <w:bookmarkStart w:id="31" w:name="_Toc28359085"/>
      <w:bookmarkStart w:id="32" w:name="_Toc35393627"/>
      <w:bookmarkStart w:id="33" w:name="_Toc28359008"/>
      <w:r>
        <w:rPr>
          <w:rFonts w:hint="eastAsia" w:ascii="宋体" w:hAnsi="宋体" w:cs="宋体"/>
          <w:szCs w:val="21"/>
        </w:rPr>
        <w:t>1.项目</w:t>
      </w:r>
      <w:r>
        <w:rPr>
          <w:rFonts w:ascii="宋体" w:hAnsi="宋体" w:cs="宋体"/>
          <w:szCs w:val="21"/>
        </w:rPr>
        <w:t>联系方式</w:t>
      </w:r>
      <w:r>
        <w:rPr>
          <w:rFonts w:hint="eastAsia" w:ascii="宋体" w:hAnsi="宋体" w:cs="宋体"/>
          <w:szCs w:val="21"/>
        </w:rPr>
        <w:t>：</w:t>
      </w:r>
    </w:p>
    <w:p>
      <w:pPr>
        <w:spacing w:line="276" w:lineRule="auto"/>
        <w:ind w:firstLine="630" w:firstLineChars="300"/>
        <w:rPr>
          <w:rFonts w:ascii="宋体" w:hAnsi="宋体" w:cs="宋体"/>
          <w:szCs w:val="21"/>
        </w:rPr>
      </w:pPr>
      <w:r>
        <w:rPr>
          <w:rFonts w:hint="eastAsia" w:ascii="宋体" w:hAnsi="宋体" w:cs="宋体"/>
          <w:szCs w:val="21"/>
        </w:rPr>
        <w:t>项目联系人：贾老师；电话：18262395908；</w:t>
      </w:r>
    </w:p>
    <w:p>
      <w:pPr>
        <w:spacing w:line="276" w:lineRule="auto"/>
        <w:ind w:firstLine="420" w:firstLineChars="200"/>
        <w:rPr>
          <w:rFonts w:ascii="宋体" w:hAnsi="宋体" w:cs="宋体"/>
          <w:szCs w:val="21"/>
        </w:rPr>
      </w:pPr>
      <w:r>
        <w:rPr>
          <w:rFonts w:hint="eastAsia" w:ascii="宋体" w:hAnsi="宋体" w:cs="宋体"/>
          <w:szCs w:val="21"/>
        </w:rPr>
        <w:t>2.采购人信息：江苏医药职业学院；</w:t>
      </w:r>
    </w:p>
    <w:p>
      <w:pPr>
        <w:spacing w:line="276" w:lineRule="auto"/>
        <w:ind w:firstLine="630" w:firstLineChars="300"/>
        <w:rPr>
          <w:rFonts w:ascii="宋体" w:hAnsi="宋体" w:cs="宋体"/>
          <w:szCs w:val="21"/>
        </w:rPr>
      </w:pPr>
      <w:r>
        <w:rPr>
          <w:rFonts w:hint="eastAsia" w:ascii="宋体" w:hAnsi="宋体" w:cs="宋体"/>
          <w:szCs w:val="21"/>
        </w:rPr>
        <w:t>地址：盐城市解放南路283号行政楼208室；（邮编224005）</w:t>
      </w:r>
    </w:p>
    <w:p>
      <w:pPr>
        <w:spacing w:line="276" w:lineRule="auto"/>
        <w:ind w:firstLine="630" w:firstLineChars="300"/>
        <w:rPr>
          <w:rFonts w:ascii="宋体" w:hAnsi="宋体" w:cs="宋体"/>
          <w:szCs w:val="21"/>
        </w:rPr>
      </w:pPr>
      <w:r>
        <w:rPr>
          <w:rFonts w:hint="eastAsia" w:ascii="宋体" w:hAnsi="宋体" w:cs="宋体"/>
          <w:szCs w:val="21"/>
        </w:rPr>
        <w:t>联系方式：刘老师；电话：0515-88550311；</w:t>
      </w:r>
    </w:p>
    <w:p>
      <w:pPr>
        <w:spacing w:line="276" w:lineRule="auto"/>
        <w:ind w:firstLine="420" w:firstLineChars="200"/>
        <w:rPr>
          <w:rFonts w:ascii="宋体" w:hAnsi="宋体"/>
          <w:szCs w:val="21"/>
        </w:rPr>
      </w:pPr>
      <w:r>
        <w:rPr>
          <w:rFonts w:hint="eastAsia" w:ascii="宋体" w:hAnsi="宋体"/>
          <w:szCs w:val="21"/>
        </w:rPr>
        <w:t>3.</w:t>
      </w:r>
      <w:r>
        <w:rPr>
          <w:rFonts w:hint="eastAsia" w:ascii="宋体" w:hAnsi="宋体" w:cs="宋体"/>
          <w:szCs w:val="21"/>
        </w:rPr>
        <w:t>采购代理机构信息</w:t>
      </w:r>
      <w:r>
        <w:rPr>
          <w:rFonts w:hint="eastAsia" w:ascii="宋体" w:hAnsi="宋体"/>
          <w:szCs w:val="21"/>
        </w:rPr>
        <w:t>：盐城市携手阳光集中采购代理有限公司；</w:t>
      </w:r>
    </w:p>
    <w:p>
      <w:pPr>
        <w:spacing w:line="276" w:lineRule="auto"/>
        <w:ind w:firstLine="630" w:firstLineChars="300"/>
        <w:rPr>
          <w:rFonts w:ascii="宋体" w:hAnsi="宋体"/>
          <w:szCs w:val="21"/>
          <w:u w:val="single"/>
        </w:rPr>
      </w:pPr>
      <w:r>
        <w:rPr>
          <w:rFonts w:hint="eastAsia" w:ascii="宋体" w:hAnsi="宋体"/>
          <w:szCs w:val="21"/>
        </w:rPr>
        <w:t>联系方式：施婷婷；电话：</w:t>
      </w:r>
      <w:r>
        <w:rPr>
          <w:rFonts w:hint="eastAsia" w:ascii="宋体" w:hAnsi="宋体" w:cs="宋体"/>
          <w:szCs w:val="21"/>
        </w:rPr>
        <w:t>13270072015；</w:t>
      </w:r>
      <w:r>
        <w:rPr>
          <w:rFonts w:hint="eastAsia" w:ascii="宋体" w:hAnsi="宋体"/>
          <w:bCs/>
        </w:rPr>
        <w:t>邮箱：xsyg005@163.com</w:t>
      </w:r>
      <w:r>
        <w:rPr>
          <w:rFonts w:hint="eastAsia" w:ascii="宋体" w:hAnsi="宋体"/>
          <w:bCs/>
          <w:szCs w:val="21"/>
        </w:rPr>
        <w:t>；</w:t>
      </w:r>
    </w:p>
    <w:p>
      <w:pPr>
        <w:spacing w:line="276" w:lineRule="auto"/>
        <w:ind w:firstLine="630" w:firstLineChars="300"/>
        <w:rPr>
          <w:rFonts w:ascii="宋体" w:hAnsi="宋体"/>
          <w:szCs w:val="21"/>
        </w:rPr>
      </w:pPr>
      <w:r>
        <w:rPr>
          <w:rFonts w:hint="eastAsia" w:ascii="宋体" w:hAnsi="宋体"/>
          <w:szCs w:val="21"/>
        </w:rPr>
        <w:t>地址：盐城市府西路华邦国际西厦A区（东）302室（邮编224000）</w:t>
      </w:r>
    </w:p>
    <w:p>
      <w:pPr>
        <w:spacing w:line="276" w:lineRule="auto"/>
        <w:ind w:firstLine="630" w:firstLineChars="300"/>
        <w:rPr>
          <w:rFonts w:ascii="宋体" w:hAnsi="宋体"/>
          <w:szCs w:val="21"/>
        </w:rPr>
      </w:pPr>
      <w:r>
        <w:rPr>
          <w:rFonts w:hint="eastAsia" w:ascii="宋体" w:hAnsi="宋体"/>
          <w:szCs w:val="21"/>
        </w:rPr>
        <w:t>对项目需求部分的询问、质疑请向项目联系人提出，由项目联系人负责答复；对项目采购文件其它部分的询问、质疑向采购代理机构提出。</w:t>
      </w:r>
    </w:p>
    <w:p>
      <w:pPr>
        <w:spacing w:line="276" w:lineRule="auto"/>
        <w:rPr>
          <w:b/>
          <w:bCs/>
          <w:lang w:val="zh-TW"/>
        </w:rPr>
      </w:pPr>
      <w:r>
        <w:rPr>
          <w:rFonts w:hint="eastAsia" w:ascii="宋体" w:hAnsi="宋体"/>
          <w:b/>
        </w:rPr>
        <w:t>八、其他补充事宜</w:t>
      </w:r>
    </w:p>
    <w:p>
      <w:pPr>
        <w:widowControl/>
        <w:shd w:val="clear" w:color="auto" w:fill="FFFFFF"/>
        <w:spacing w:line="276" w:lineRule="auto"/>
        <w:ind w:firstLine="420"/>
        <w:jc w:val="left"/>
        <w:rPr>
          <w:rFonts w:ascii="微软雅黑" w:hAnsi="微软雅黑" w:eastAsia="微软雅黑" w:cs="微软雅黑"/>
          <w:color w:val="444444"/>
          <w:szCs w:val="21"/>
        </w:rPr>
      </w:pPr>
      <w:r>
        <w:rPr>
          <w:rFonts w:hint="eastAsia" w:ascii="宋体" w:hAnsi="宋体" w:cs="宋体"/>
          <w:color w:val="444444"/>
          <w:kern w:val="0"/>
          <w:szCs w:val="21"/>
          <w:shd w:val="clear" w:color="auto" w:fill="FFFFFF"/>
        </w:rPr>
        <w:t>本项目鼓励供应商开展信用担保（0515-88285999）、扶持不发达地区等政府采购政策。</w:t>
      </w:r>
    </w:p>
    <w:p>
      <w:pPr>
        <w:widowControl/>
        <w:shd w:val="clear" w:color="auto" w:fill="FFFFFF"/>
        <w:spacing w:line="276" w:lineRule="auto"/>
        <w:ind w:firstLine="420"/>
        <w:jc w:val="left"/>
        <w:rPr>
          <w:lang w:val="zh-TW"/>
        </w:rPr>
      </w:pPr>
      <w:r>
        <w:rPr>
          <w:rFonts w:hint="eastAsia" w:ascii="宋体" w:hAnsi="宋体" w:cs="宋体"/>
          <w:color w:val="444444"/>
          <w:kern w:val="0"/>
          <w:szCs w:val="21"/>
          <w:shd w:val="clear" w:color="auto" w:fill="FFFFFF"/>
        </w:rPr>
        <w:t>本项目使用时间：北京时间，24小时制；货币单位：人民币；</w:t>
      </w:r>
    </w:p>
    <w:bookmarkEnd w:id="28"/>
    <w:bookmarkEnd w:id="29"/>
    <w:bookmarkEnd w:id="30"/>
    <w:bookmarkEnd w:id="31"/>
    <w:bookmarkEnd w:id="32"/>
    <w:bookmarkEnd w:id="33"/>
    <w:p>
      <w:pPr>
        <w:spacing w:line="276" w:lineRule="auto"/>
        <w:rPr>
          <w:rFonts w:ascii="宋体" w:hAnsi="宋体" w:cs="宋体"/>
          <w:szCs w:val="21"/>
        </w:rPr>
      </w:pPr>
    </w:p>
    <w:p>
      <w:pPr>
        <w:spacing w:line="276" w:lineRule="auto"/>
        <w:jc w:val="right"/>
        <w:rPr>
          <w:rFonts w:ascii="宋体" w:hAnsi="宋体" w:cs="宋体"/>
          <w:szCs w:val="21"/>
        </w:rPr>
      </w:pPr>
      <w:r>
        <w:rPr>
          <w:rFonts w:hint="eastAsia" w:ascii="宋体" w:hAnsi="宋体" w:cs="宋体"/>
          <w:szCs w:val="21"/>
        </w:rPr>
        <w:t>盐城市携手阳光集中采购代理有限公司</w:t>
      </w:r>
    </w:p>
    <w:p>
      <w:pPr>
        <w:spacing w:line="276" w:lineRule="auto"/>
        <w:ind w:right="840"/>
        <w:jc w:val="right"/>
        <w:rPr>
          <w:rFonts w:ascii="宋体" w:hAnsi="宋体" w:cs="宋体"/>
          <w:szCs w:val="21"/>
        </w:rPr>
      </w:pPr>
      <w:r>
        <w:rPr>
          <w:rFonts w:hint="eastAsia" w:ascii="宋体" w:hAnsi="宋体" w:cs="宋体"/>
          <w:szCs w:val="21"/>
        </w:rPr>
        <w:t>2024年</w:t>
      </w:r>
      <w:r>
        <w:rPr>
          <w:rFonts w:ascii="宋体" w:hAnsi="宋体" w:cs="宋体"/>
          <w:szCs w:val="21"/>
        </w:rPr>
        <w:t>2</w:t>
      </w:r>
      <w:r>
        <w:rPr>
          <w:rFonts w:hint="eastAsia" w:ascii="宋体" w:hAnsi="宋体" w:cs="宋体"/>
          <w:szCs w:val="21"/>
        </w:rPr>
        <w:t>月</w:t>
      </w:r>
      <w:r>
        <w:rPr>
          <w:rFonts w:ascii="宋体" w:hAnsi="宋体" w:cs="宋体"/>
          <w:szCs w:val="21"/>
        </w:rPr>
        <w:t>2</w:t>
      </w:r>
      <w:r>
        <w:rPr>
          <w:rFonts w:hint="eastAsia" w:ascii="宋体" w:hAnsi="宋体" w:cs="宋体"/>
          <w:szCs w:val="21"/>
        </w:rPr>
        <w:t>5日</w:t>
      </w:r>
      <w:bookmarkStart w:id="34" w:name="_Toc20823274"/>
      <w:bookmarkStart w:id="35" w:name="_Toc16938518"/>
      <w:bookmarkStart w:id="36" w:name="_Toc403987204"/>
      <w:bookmarkStart w:id="37" w:name="_Toc120614213"/>
      <w:bookmarkStart w:id="38" w:name="_Toc436038552"/>
      <w:bookmarkStart w:id="39" w:name="_Toc513029202"/>
      <w:bookmarkStart w:id="40" w:name="_Toc436038399"/>
      <w:bookmarkStart w:id="41" w:name="_Toc436039138"/>
      <w:bookmarkStart w:id="42" w:name="_Toc436038460"/>
      <w:bookmarkStart w:id="43" w:name="_Toc436018347"/>
    </w:p>
    <w:bookmarkEnd w:id="34"/>
    <w:bookmarkEnd w:id="35"/>
    <w:bookmarkEnd w:id="36"/>
    <w:bookmarkEnd w:id="37"/>
    <w:bookmarkEnd w:id="38"/>
    <w:bookmarkEnd w:id="39"/>
    <w:bookmarkEnd w:id="40"/>
    <w:bookmarkEnd w:id="41"/>
    <w:bookmarkEnd w:id="42"/>
    <w:bookmarkEnd w:id="43"/>
    <w:p>
      <w:pPr>
        <w:spacing w:line="480" w:lineRule="auto"/>
        <w:jc w:val="center"/>
        <w:outlineLvl w:val="0"/>
        <w:rPr>
          <w:rFonts w:ascii="宋体" w:hAnsi="宋体" w:cs="宋体"/>
          <w:b/>
          <w:szCs w:val="28"/>
        </w:rPr>
      </w:pPr>
      <w:r>
        <w:rPr>
          <w:rFonts w:hint="eastAsia"/>
        </w:rPr>
        <w:br w:type="page"/>
      </w:r>
      <w:bookmarkStart w:id="44" w:name="_Toc122338085"/>
      <w:r>
        <w:rPr>
          <w:rFonts w:hint="eastAsia" w:ascii="宋体" w:hAnsi="宋体" w:cs="宋体"/>
          <w:b/>
          <w:sz w:val="32"/>
          <w:szCs w:val="21"/>
        </w:rPr>
        <w:t>第二章  供货商须知</w:t>
      </w:r>
      <w:bookmarkEnd w:id="44"/>
    </w:p>
    <w:p>
      <w:pPr>
        <w:spacing w:line="334" w:lineRule="auto"/>
        <w:jc w:val="center"/>
        <w:rPr>
          <w:rFonts w:ascii="宋体" w:hAnsi="宋体" w:cs="宋体"/>
          <w:b/>
          <w:szCs w:val="21"/>
        </w:rPr>
      </w:pPr>
      <w:r>
        <w:rPr>
          <w:rFonts w:hint="eastAsia" w:ascii="宋体" w:hAnsi="宋体" w:cs="宋体"/>
          <w:b/>
          <w:szCs w:val="21"/>
        </w:rPr>
        <w:t>供应商须知资料表</w:t>
      </w:r>
    </w:p>
    <w:p>
      <w:pPr>
        <w:spacing w:line="334" w:lineRule="auto"/>
        <w:ind w:firstLine="316" w:firstLineChars="150"/>
        <w:rPr>
          <w:rFonts w:ascii="宋体" w:hAnsi="宋体" w:cs="宋体"/>
          <w:b/>
          <w:szCs w:val="21"/>
        </w:rPr>
      </w:pPr>
      <w:r>
        <w:rPr>
          <w:rFonts w:hint="eastAsia" w:ascii="宋体" w:hAnsi="宋体" w:cs="宋体"/>
          <w:b/>
          <w:szCs w:val="21"/>
        </w:rPr>
        <w:t>★本表是本采购项目的具体资料，是对供应商须知的具体补充和修改，如有矛盾，应以本资料表为准。</w:t>
      </w:r>
    </w:p>
    <w:tbl>
      <w:tblPr>
        <w:tblStyle w:val="30"/>
        <w:tblW w:w="10160" w:type="dxa"/>
        <w:tblInd w:w="-8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80"/>
        <w:gridCol w:w="86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5" w:hRule="atLeast"/>
        </w:trPr>
        <w:tc>
          <w:tcPr>
            <w:tcW w:w="1480" w:type="dxa"/>
            <w:vAlign w:val="center"/>
          </w:tcPr>
          <w:p>
            <w:pPr>
              <w:spacing w:line="276" w:lineRule="auto"/>
              <w:jc w:val="center"/>
              <w:rPr>
                <w:rFonts w:asciiTheme="minorEastAsia" w:hAnsiTheme="minorEastAsia" w:eastAsiaTheme="minorEastAsia" w:cstheme="minorEastAsia"/>
                <w:b/>
                <w:szCs w:val="21"/>
              </w:rPr>
            </w:pPr>
            <w:bookmarkStart w:id="45" w:name="_Hlt26668836"/>
            <w:bookmarkEnd w:id="45"/>
            <w:bookmarkStart w:id="46" w:name="_Hlt26954810"/>
            <w:bookmarkEnd w:id="46"/>
            <w:bookmarkStart w:id="47" w:name="_Hlt26954907"/>
            <w:bookmarkEnd w:id="47"/>
            <w:bookmarkStart w:id="48" w:name="_Hlt26670330"/>
            <w:bookmarkEnd w:id="48"/>
            <w:bookmarkStart w:id="49" w:name="_Hlt26954824"/>
            <w:bookmarkEnd w:id="49"/>
            <w:r>
              <w:rPr>
                <w:rFonts w:hint="eastAsia" w:asciiTheme="minorEastAsia" w:hAnsiTheme="minorEastAsia" w:eastAsiaTheme="minorEastAsia" w:cstheme="minorEastAsia"/>
                <w:b/>
                <w:szCs w:val="21"/>
              </w:rPr>
              <w:t>条款号/名称</w:t>
            </w:r>
          </w:p>
        </w:tc>
        <w:tc>
          <w:tcPr>
            <w:tcW w:w="8680" w:type="dxa"/>
            <w:vAlign w:val="center"/>
          </w:tcPr>
          <w:p>
            <w:pPr>
              <w:spacing w:line="276"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3" w:hRule="atLeast"/>
        </w:trPr>
        <w:tc>
          <w:tcPr>
            <w:tcW w:w="1480" w:type="dxa"/>
            <w:vAlign w:val="center"/>
          </w:tcPr>
          <w:p>
            <w:pPr>
              <w:spacing w:line="276"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bCs/>
                <w:szCs w:val="21"/>
              </w:rPr>
              <w:t>说明</w:t>
            </w:r>
          </w:p>
        </w:tc>
        <w:tc>
          <w:tcPr>
            <w:tcW w:w="8680" w:type="dxa"/>
            <w:vAlign w:val="center"/>
          </w:tcPr>
          <w:p>
            <w:pPr>
              <w:spacing w:line="276"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江苏医药职业学院是省卫健委直属全日制公办专科层次普通高等学校。本项目预算未达到现时有效的政府采购的限额标准，同时本项目的采购内容也未列入现时有效的集中采购目录，因此，本项目并不属于政府采购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17" w:hRule="atLeast"/>
        </w:trPr>
        <w:tc>
          <w:tcPr>
            <w:tcW w:w="1480" w:type="dxa"/>
            <w:vAlign w:val="center"/>
          </w:tcPr>
          <w:p>
            <w:pPr>
              <w:spacing w:line="276"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适用</w:t>
            </w:r>
          </w:p>
          <w:p>
            <w:pPr>
              <w:spacing w:line="276"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法律</w:t>
            </w:r>
          </w:p>
        </w:tc>
        <w:tc>
          <w:tcPr>
            <w:tcW w:w="8680" w:type="dxa"/>
            <w:vAlign w:val="center"/>
          </w:tcPr>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本次采购适用于采购人的内控制度（政府采购限额以下项目）。为规范采购活动，携手阳光公司参照政府采购程序组织本次采购活动。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17" w:hRule="atLeast"/>
        </w:trPr>
        <w:tc>
          <w:tcPr>
            <w:tcW w:w="1480" w:type="dxa"/>
            <w:vAlign w:val="center"/>
          </w:tcPr>
          <w:p>
            <w:pPr>
              <w:spacing w:line="276"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采购文件</w:t>
            </w:r>
          </w:p>
          <w:p>
            <w:pPr>
              <w:spacing w:line="276"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的约束力</w:t>
            </w:r>
          </w:p>
        </w:tc>
        <w:tc>
          <w:tcPr>
            <w:tcW w:w="8680" w:type="dxa"/>
            <w:vAlign w:val="center"/>
          </w:tcPr>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供应商一旦下载了本采购文件并决定参加磋商，即代表供应商已阅读了本采购文件每一条条款，并接受了本采购文件所有的规定和约束。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3" w:hRule="atLeast"/>
        </w:trPr>
        <w:tc>
          <w:tcPr>
            <w:tcW w:w="1480" w:type="dxa"/>
            <w:vAlign w:val="center"/>
          </w:tcPr>
          <w:p>
            <w:pPr>
              <w:spacing w:line="276"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与供应商</w:t>
            </w:r>
          </w:p>
          <w:p>
            <w:pPr>
              <w:spacing w:line="276"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bCs/>
                <w:szCs w:val="21"/>
              </w:rPr>
              <w:t>的联系</w:t>
            </w:r>
          </w:p>
        </w:tc>
        <w:tc>
          <w:tcPr>
            <w:tcW w:w="8680" w:type="dxa"/>
            <w:vAlign w:val="center"/>
          </w:tcPr>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法律法规中规定采购人、采购代理机构须以书面形式通知供应商的，为提高政府采购效率，采购人、携手阳光公司可以</w:t>
            </w:r>
            <w:r>
              <w:rPr>
                <w:rFonts w:hint="eastAsia" w:asciiTheme="minorEastAsia" w:hAnsiTheme="minorEastAsia" w:eastAsiaTheme="minorEastAsia" w:cstheme="minorEastAsia"/>
                <w:bCs/>
                <w:spacing w:val="15"/>
                <w:kern w:val="0"/>
                <w:szCs w:val="21"/>
              </w:rPr>
              <w:t>以电子邮件</w:t>
            </w:r>
            <w:r>
              <w:rPr>
                <w:rFonts w:hint="eastAsia" w:asciiTheme="minorEastAsia" w:hAnsiTheme="minorEastAsia" w:eastAsiaTheme="minorEastAsia" w:cstheme="minorEastAsia"/>
                <w:bCs/>
                <w:szCs w:val="21"/>
              </w:rPr>
              <w:t>方式</w:t>
            </w:r>
            <w:r>
              <w:rPr>
                <w:rFonts w:hint="eastAsia" w:asciiTheme="minorEastAsia" w:hAnsiTheme="minorEastAsia" w:eastAsiaTheme="minorEastAsia" w:cstheme="minorEastAsia"/>
                <w:szCs w:val="21"/>
              </w:rPr>
              <w:t>通知供应商（视为书面形式）。</w:t>
            </w:r>
            <w:r>
              <w:rPr>
                <w:rFonts w:hint="eastAsia" w:asciiTheme="minorEastAsia" w:hAnsiTheme="minorEastAsia" w:eastAsiaTheme="minorEastAsia" w:cstheme="minorEastAsia"/>
                <w:bCs/>
                <w:spacing w:val="15"/>
                <w:kern w:val="0"/>
                <w:szCs w:val="21"/>
              </w:rPr>
              <w:t>本项目采购活动中，</w:t>
            </w:r>
            <w:r>
              <w:rPr>
                <w:rFonts w:hint="eastAsia" w:asciiTheme="minorEastAsia" w:hAnsiTheme="minorEastAsia" w:eastAsiaTheme="minorEastAsia" w:cstheme="minorEastAsia"/>
                <w:szCs w:val="21"/>
              </w:rPr>
              <w:t>携手阳光公司的</w:t>
            </w:r>
            <w:r>
              <w:rPr>
                <w:rFonts w:hint="eastAsia" w:asciiTheme="minorEastAsia" w:hAnsiTheme="minorEastAsia" w:eastAsiaTheme="minorEastAsia" w:cstheme="minorEastAsia"/>
                <w:bCs/>
                <w:spacing w:val="15"/>
                <w:kern w:val="0"/>
                <w:szCs w:val="21"/>
              </w:rPr>
              <w:t>电子邮箱以采购公告为准（下同</w:t>
            </w:r>
            <w:r>
              <w:rPr>
                <w:rFonts w:hint="eastAsia" w:asciiTheme="minorEastAsia" w:hAnsiTheme="minorEastAsia" w:eastAsiaTheme="minorEastAsia" w:cstheme="minorEastAsia"/>
                <w:bCs/>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1" w:hRule="atLeast"/>
        </w:trPr>
        <w:tc>
          <w:tcPr>
            <w:tcW w:w="1480" w:type="dxa"/>
            <w:vAlign w:val="center"/>
          </w:tcPr>
          <w:p>
            <w:pPr>
              <w:spacing w:line="276"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投标有效期</w:t>
            </w:r>
          </w:p>
        </w:tc>
        <w:tc>
          <w:tcPr>
            <w:tcW w:w="8680" w:type="dxa"/>
            <w:vAlign w:val="center"/>
          </w:tcPr>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投标有效期（磋商响应有效期）：提交响应文件截止之日起</w:t>
            </w:r>
            <w:r>
              <w:rPr>
                <w:rFonts w:hint="eastAsia" w:asciiTheme="minorEastAsia" w:hAnsiTheme="minorEastAsia" w:eastAsiaTheme="minorEastAsia" w:cstheme="minorEastAsia"/>
                <w:szCs w:val="21"/>
                <w:u w:val="single"/>
              </w:rPr>
              <w:t>60个日历日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17" w:hRule="atLeast"/>
        </w:trPr>
        <w:tc>
          <w:tcPr>
            <w:tcW w:w="1480" w:type="dxa"/>
            <w:vAlign w:val="center"/>
          </w:tcPr>
          <w:p>
            <w:pPr>
              <w:spacing w:line="276"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投标（响应）文件份数</w:t>
            </w:r>
          </w:p>
        </w:tc>
        <w:tc>
          <w:tcPr>
            <w:tcW w:w="8680" w:type="dxa"/>
            <w:vAlign w:val="center"/>
          </w:tcPr>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投标（响应）文件：正本：1份、副本：4份（建议正本与副本分开封装）</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除上述文件外，还须递交投标（响应）文件电子文档1份</w:t>
            </w:r>
            <w:r>
              <w:rPr>
                <w:rFonts w:hint="eastAsia" w:asciiTheme="minorEastAsia" w:hAnsiTheme="minorEastAsia" w:eastAsiaTheme="minorEastAsia" w:cstheme="minorEastAsia"/>
                <w:bCs/>
                <w:szCs w:val="21"/>
              </w:rPr>
              <w:t>（建议U盘）</w:t>
            </w:r>
            <w:r>
              <w:rPr>
                <w:rFonts w:hint="eastAsia" w:asciiTheme="minorEastAsia" w:hAnsiTheme="minorEastAsia" w:eastAsiaTheme="minorEastAsia" w:cstheme="minor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2" w:hRule="atLeast"/>
        </w:trPr>
        <w:tc>
          <w:tcPr>
            <w:tcW w:w="1480" w:type="dxa"/>
            <w:vAlign w:val="center"/>
          </w:tcPr>
          <w:p>
            <w:pPr>
              <w:spacing w:line="276"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履约保证金</w:t>
            </w:r>
          </w:p>
        </w:tc>
        <w:tc>
          <w:tcPr>
            <w:tcW w:w="8680" w:type="dxa"/>
            <w:vAlign w:val="center"/>
          </w:tcPr>
          <w:p>
            <w:pPr>
              <w:spacing w:line="276" w:lineRule="auto"/>
              <w:ind w:firstLine="420" w:firstLineChars="200"/>
              <w:jc w:val="left"/>
            </w:pPr>
            <w:r>
              <w:rPr>
                <w:rFonts w:hint="eastAsia" w:asciiTheme="minorEastAsia" w:hAnsiTheme="minorEastAsia" w:eastAsiaTheme="minorEastAsia" w:cstheme="minorEastAsia"/>
                <w:bCs/>
                <w:szCs w:val="21"/>
              </w:rPr>
              <w:t>在签订合同前，成交供应商需向招标人交纳履约保证金（请将履约保证金汇款凭证发送至QQ邮箱：</w:t>
            </w:r>
            <w:r>
              <w:fldChar w:fldCharType="begin"/>
            </w:r>
            <w:r>
              <w:instrText xml:space="preserve"> HYPERLINK "mailto:532223373@qq.com），具体金额为中标价的5%25。拟中标人应当按照招标人的要求及时、足额缴纳履约保证金，履约保证金待项目验收结束后一次性无息退还。（凭" </w:instrText>
            </w:r>
            <w:r>
              <w:fldChar w:fldCharType="separate"/>
            </w:r>
            <w:r>
              <w:rPr>
                <w:rFonts w:hint="eastAsia"/>
                <w:bCs/>
              </w:rPr>
              <w:t>532223373@qq.com），具体金额为：壹万元。拟成交供应商应当按照招标人的要求及时、足额缴纳履约保证金，履约保证金待项目验收结束后一次性无息退还。（凭“保证金请退函”到学校国资处办理退款手续）。如果成交供应商不履行合同约定的义务，未能完全履行合同规定的义务或其履行不符合合同的约定，招标人有权扣除履约保证金取得补偿。</w:t>
            </w:r>
            <w:r>
              <w:rPr>
                <w:rFonts w:hint="eastAsia"/>
                <w:bCs/>
              </w:rPr>
              <w:fldChar w:fldCharType="end"/>
            </w:r>
            <w:bookmarkStart w:id="50" w:name="_Toc118235408"/>
          </w:p>
          <w:p>
            <w:pPr>
              <w:spacing w:line="276"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详见：《供货商须知》六、合同签订相关事项。</w:t>
            </w:r>
            <w:bookmarkEnd w:id="5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8" w:hRule="atLeast"/>
        </w:trPr>
        <w:tc>
          <w:tcPr>
            <w:tcW w:w="1480" w:type="dxa"/>
            <w:vAlign w:val="center"/>
          </w:tcPr>
          <w:p>
            <w:pPr>
              <w:spacing w:line="276"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代理服务费</w:t>
            </w:r>
          </w:p>
        </w:tc>
        <w:tc>
          <w:tcPr>
            <w:tcW w:w="8680" w:type="dxa"/>
            <w:vAlign w:val="center"/>
          </w:tcPr>
          <w:p>
            <w:pPr>
              <w:spacing w:line="276" w:lineRule="auto"/>
              <w:ind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代理服务费（中标服务费）：本项目的代理服务费为5</w:t>
            </w:r>
            <w:r>
              <w:rPr>
                <w:rFonts w:asciiTheme="minorEastAsia" w:hAnsiTheme="minorEastAsia" w:eastAsiaTheme="minorEastAsia" w:cstheme="minorEastAsia"/>
                <w:bCs/>
                <w:szCs w:val="21"/>
              </w:rPr>
              <w:t>000</w:t>
            </w:r>
            <w:r>
              <w:rPr>
                <w:rFonts w:hint="eastAsia" w:asciiTheme="minorEastAsia" w:hAnsiTheme="minorEastAsia" w:eastAsiaTheme="minorEastAsia" w:cstheme="minorEastAsia"/>
                <w:bCs/>
                <w:szCs w:val="21"/>
              </w:rPr>
              <w:t>元，由入围供应商平摊。</w:t>
            </w:r>
          </w:p>
          <w:p>
            <w:pPr>
              <w:pStyle w:val="23"/>
              <w:spacing w:line="276" w:lineRule="auto"/>
              <w:ind w:left="0" w:leftChars="0"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代理服务费支付形式为：电款、转账等；发票为普通发票。账户信息：开户名：盐城市携手阳光集中采购代理有限公司；开户行：兴业银行盐城分行；账号：402010100100119375）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3" w:hRule="atLeast"/>
        </w:trPr>
        <w:tc>
          <w:tcPr>
            <w:tcW w:w="1480" w:type="dxa"/>
            <w:vAlign w:val="center"/>
          </w:tcPr>
          <w:p>
            <w:pPr>
              <w:spacing w:line="276"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版权所有</w:t>
            </w:r>
          </w:p>
          <w:p>
            <w:pPr>
              <w:spacing w:line="276"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翻版必究</w:t>
            </w:r>
          </w:p>
        </w:tc>
        <w:tc>
          <w:tcPr>
            <w:tcW w:w="8680" w:type="dxa"/>
            <w:vAlign w:val="center"/>
          </w:tcPr>
          <w:p>
            <w:pPr>
              <w:spacing w:line="276"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携手阳光公司创建之始（2012年），便致力于政府采购业务不断完善和改进。寒窗苦读不易，未经携手阳光公司书面授权，本采购文件内容严禁摘录、引用、传播或用于它处。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17" w:hRule="atLeast"/>
        </w:trPr>
        <w:tc>
          <w:tcPr>
            <w:tcW w:w="1480" w:type="dxa"/>
            <w:vAlign w:val="center"/>
          </w:tcPr>
          <w:p>
            <w:pPr>
              <w:spacing w:line="276"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CSR</w:t>
            </w:r>
          </w:p>
          <w:p>
            <w:pPr>
              <w:spacing w:line="276"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企业社会责任</w:t>
            </w:r>
          </w:p>
        </w:tc>
        <w:tc>
          <w:tcPr>
            <w:tcW w:w="8680" w:type="dxa"/>
            <w:vAlign w:val="center"/>
          </w:tcPr>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盐城市携手阳光集中采购代理有限公司从成立起，重视社会责任，在第一份采购文件中，就已公开了自己的企业社会责任。</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绿色环保：我们建议供应商响应文件技术部分使用双面打印，以减少纸张的浪费。</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社会公益：我司定期安排拥军拥属以及其它社会公益行为。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4" w:hRule="atLeast"/>
        </w:trPr>
        <w:tc>
          <w:tcPr>
            <w:tcW w:w="1480" w:type="dxa"/>
            <w:vAlign w:val="center"/>
          </w:tcPr>
          <w:p>
            <w:pPr>
              <w:spacing w:line="276"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责任说明</w:t>
            </w:r>
          </w:p>
        </w:tc>
        <w:tc>
          <w:tcPr>
            <w:tcW w:w="8680" w:type="dxa"/>
            <w:vAlign w:val="center"/>
          </w:tcPr>
          <w:p>
            <w:pPr>
              <w:spacing w:line="276" w:lineRule="auto"/>
              <w:ind w:firstLine="420" w:firstLineChars="200"/>
              <w:rPr>
                <w:rFonts w:asciiTheme="minorEastAsia" w:hAnsiTheme="minorEastAsia" w:eastAsiaTheme="minorEastAsia" w:cstheme="minorEastAsia"/>
                <w:szCs w:val="21"/>
              </w:rPr>
            </w:pPr>
            <w:r>
              <w:rPr>
                <w:rFonts w:hint="eastAsia" w:ascii="宋体" w:hAnsi="宋体" w:cs="宋体"/>
                <w:szCs w:val="21"/>
              </w:rPr>
              <w:t>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tc>
      </w:tr>
    </w:tbl>
    <w:p>
      <w:pPr>
        <w:spacing w:line="410" w:lineRule="exact"/>
        <w:jc w:val="center"/>
        <w:rPr>
          <w:rFonts w:ascii="宋体" w:hAnsi="宋体" w:cs="宋体"/>
          <w:b/>
          <w:szCs w:val="21"/>
        </w:rPr>
      </w:pPr>
      <w:r>
        <w:rPr>
          <w:rFonts w:hint="eastAsia" w:ascii="宋体" w:hAnsi="宋体" w:cs="宋体"/>
          <w:b/>
          <w:szCs w:val="21"/>
        </w:rPr>
        <w:t>（参加竞争性磋商的供应商以下简称“磋商供应商”）</w:t>
      </w:r>
    </w:p>
    <w:p>
      <w:pPr>
        <w:spacing w:line="262" w:lineRule="auto"/>
        <w:jc w:val="center"/>
        <w:outlineLvl w:val="1"/>
        <w:rPr>
          <w:rFonts w:asciiTheme="minorEastAsia" w:hAnsiTheme="minorEastAsia" w:eastAsiaTheme="minorEastAsia" w:cstheme="minorEastAsia"/>
          <w:b/>
          <w:szCs w:val="21"/>
        </w:rPr>
      </w:pPr>
      <w:bookmarkStart w:id="51" w:name="_Toc118275554"/>
      <w:bookmarkStart w:id="52" w:name="_Toc118275514"/>
      <w:bookmarkStart w:id="53" w:name="_Toc107916288"/>
      <w:bookmarkStart w:id="54" w:name="_Toc118235409"/>
      <w:bookmarkStart w:id="55" w:name="_Toc118275634"/>
      <w:r>
        <w:rPr>
          <w:rFonts w:hint="eastAsia" w:asciiTheme="minorEastAsia" w:hAnsiTheme="minorEastAsia" w:eastAsiaTheme="minorEastAsia" w:cstheme="minorEastAsia"/>
          <w:b/>
          <w:bCs/>
          <w:szCs w:val="21"/>
        </w:rPr>
        <w:t>一、</w:t>
      </w:r>
      <w:r>
        <w:rPr>
          <w:rFonts w:hint="eastAsia" w:asciiTheme="minorEastAsia" w:hAnsiTheme="minorEastAsia" w:eastAsiaTheme="minorEastAsia" w:cstheme="minorEastAsia"/>
          <w:b/>
          <w:szCs w:val="21"/>
        </w:rPr>
        <w:t>总则</w:t>
      </w:r>
      <w:bookmarkEnd w:id="51"/>
      <w:bookmarkEnd w:id="52"/>
      <w:bookmarkEnd w:id="53"/>
      <w:bookmarkEnd w:id="54"/>
      <w:bookmarkEnd w:id="55"/>
    </w:p>
    <w:p>
      <w:pPr>
        <w:pStyle w:val="11"/>
        <w:spacing w:line="240" w:lineRule="exact"/>
        <w:rPr>
          <w:rFonts w:asciiTheme="minorEastAsia" w:hAnsiTheme="minorEastAsia" w:eastAsiaTheme="minorEastAsia" w:cstheme="minorEastAsia"/>
          <w:sz w:val="21"/>
          <w:szCs w:val="21"/>
        </w:rPr>
      </w:pPr>
    </w:p>
    <w:p>
      <w:pPr>
        <w:spacing w:line="262" w:lineRule="auto"/>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w:t>
      </w:r>
      <w:bookmarkStart w:id="56" w:name="_Toc32189"/>
      <w:bookmarkStart w:id="57" w:name="_Toc5999"/>
      <w:bookmarkStart w:id="58" w:name="_Toc32623"/>
      <w:bookmarkStart w:id="59" w:name="_Toc520356144"/>
      <w:bookmarkStart w:id="60" w:name="_Toc515647758"/>
      <w:r>
        <w:rPr>
          <w:rFonts w:hint="eastAsia" w:asciiTheme="minorEastAsia" w:hAnsiTheme="minorEastAsia" w:eastAsiaTheme="minorEastAsia" w:cstheme="minorEastAsia"/>
          <w:b/>
          <w:szCs w:val="21"/>
        </w:rPr>
        <w:t>.适用法律、采购方式、采购磋商</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1.1本次采购及由此产生的合同受中华人民共和国有关的法律法规制约和保护。</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1.2本次采购方式为：</w:t>
      </w:r>
      <w:r>
        <w:rPr>
          <w:rFonts w:hint="eastAsia" w:asciiTheme="minorEastAsia" w:hAnsiTheme="minorEastAsia" w:eastAsiaTheme="minorEastAsia" w:cstheme="minorEastAsia"/>
          <w:szCs w:val="21"/>
          <w:u w:val="single"/>
        </w:rPr>
        <w:t>磋商</w:t>
      </w:r>
      <w:r>
        <w:rPr>
          <w:rFonts w:hint="eastAsia" w:asciiTheme="minorEastAsia" w:hAnsiTheme="minorEastAsia" w:eastAsiaTheme="minorEastAsia" w:cstheme="minorEastAsia"/>
          <w:szCs w:val="21"/>
        </w:rPr>
        <w:t>。</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1.3采购磋商：略，本项目的采购磋商书同</w:t>
      </w:r>
      <w:r>
        <w:rPr>
          <w:rFonts w:hint="eastAsia" w:asciiTheme="minorEastAsia" w:hAnsiTheme="minorEastAsia" w:eastAsiaTheme="minorEastAsia" w:cstheme="minorEastAsia"/>
          <w:szCs w:val="21"/>
          <w:u w:val="single"/>
        </w:rPr>
        <w:t>采购公告</w:t>
      </w:r>
      <w:r>
        <w:rPr>
          <w:rFonts w:hint="eastAsia" w:asciiTheme="minorEastAsia" w:hAnsiTheme="minorEastAsia" w:eastAsiaTheme="minorEastAsia" w:cstheme="minorEastAsia"/>
          <w:szCs w:val="21"/>
        </w:rPr>
        <w:t>。</w:t>
      </w:r>
    </w:p>
    <w:p>
      <w:pPr>
        <w:spacing w:line="262" w:lineRule="auto"/>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2.采购人、采购代理机构及</w:t>
      </w:r>
      <w:bookmarkEnd w:id="56"/>
      <w:bookmarkEnd w:id="57"/>
      <w:bookmarkEnd w:id="58"/>
      <w:bookmarkEnd w:id="59"/>
      <w:bookmarkEnd w:id="60"/>
      <w:r>
        <w:rPr>
          <w:rFonts w:hint="eastAsia" w:asciiTheme="minorEastAsia" w:hAnsiTheme="minorEastAsia" w:eastAsiaTheme="minorEastAsia" w:cstheme="minorEastAsia"/>
          <w:b/>
          <w:szCs w:val="21"/>
        </w:rPr>
        <w:t>供应商</w:t>
      </w:r>
    </w:p>
    <w:p>
      <w:pPr>
        <w:spacing w:line="262" w:lineRule="auto"/>
        <w:ind w:firstLine="420"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2.1采购人：本项目的采购人见</w:t>
      </w:r>
      <w:r>
        <w:rPr>
          <w:rFonts w:hint="eastAsia" w:asciiTheme="minorEastAsia" w:hAnsiTheme="minorEastAsia" w:eastAsiaTheme="minorEastAsia" w:cstheme="minorEastAsia"/>
          <w:bCs/>
          <w:szCs w:val="21"/>
          <w:u w:val="single"/>
        </w:rPr>
        <w:t>采购公告</w:t>
      </w:r>
      <w:r>
        <w:rPr>
          <w:rFonts w:hint="eastAsia" w:asciiTheme="minorEastAsia" w:hAnsiTheme="minorEastAsia" w:eastAsiaTheme="minorEastAsia" w:cstheme="minorEastAsia"/>
          <w:szCs w:val="21"/>
        </w:rPr>
        <w:t>。</w:t>
      </w:r>
    </w:p>
    <w:p>
      <w:pPr>
        <w:spacing w:line="26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2.2采购代理机构：盐城市携手阳光集中采购代理有限公司（本次采购活动中可简称：携手阳光公司；携手阳光公司的工作人员，可以简称工作人员）</w:t>
      </w:r>
    </w:p>
    <w:p>
      <w:pPr>
        <w:spacing w:line="262" w:lineRule="auto"/>
        <w:ind w:firstLine="420"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2.3供应商：是指向采购人提供产品（货物、工程或者服务。下同）的法人、非法人组织或者自然人。</w:t>
      </w:r>
    </w:p>
    <w:p>
      <w:pPr>
        <w:spacing w:line="262" w:lineRule="auto"/>
        <w:ind w:firstLine="422"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2.3.1供应商资格条件</w:t>
      </w:r>
    </w:p>
    <w:p>
      <w:pPr>
        <w:spacing w:line="26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2.3.1.1供应商须符合</w:t>
      </w:r>
      <w:r>
        <w:rPr>
          <w:rFonts w:hint="eastAsia" w:asciiTheme="minorEastAsia" w:hAnsiTheme="minorEastAsia" w:eastAsiaTheme="minorEastAsia" w:cstheme="minorEastAsia"/>
          <w:bCs/>
          <w:szCs w:val="21"/>
          <w:u w:val="single"/>
        </w:rPr>
        <w:t>采购公告</w:t>
      </w:r>
      <w:r>
        <w:rPr>
          <w:rFonts w:hint="eastAsia" w:asciiTheme="minorEastAsia" w:hAnsiTheme="minorEastAsia" w:eastAsiaTheme="minorEastAsia" w:cstheme="minorEastAsia"/>
          <w:bCs/>
          <w:szCs w:val="21"/>
        </w:rPr>
        <w:t>中</w:t>
      </w:r>
      <w:r>
        <w:rPr>
          <w:rFonts w:hint="eastAsia" w:asciiTheme="minorEastAsia" w:hAnsiTheme="minorEastAsia" w:eastAsiaTheme="minorEastAsia" w:cstheme="minorEastAsia"/>
          <w:szCs w:val="21"/>
        </w:rPr>
        <w:t>申请人（</w:t>
      </w:r>
      <w:r>
        <w:rPr>
          <w:rFonts w:hint="eastAsia" w:asciiTheme="minorEastAsia" w:hAnsiTheme="minorEastAsia" w:eastAsiaTheme="minorEastAsia" w:cstheme="minorEastAsia"/>
          <w:kern w:val="0"/>
          <w:szCs w:val="21"/>
        </w:rPr>
        <w:t>供应商）</w:t>
      </w:r>
      <w:r>
        <w:rPr>
          <w:rFonts w:hint="eastAsia" w:asciiTheme="minorEastAsia" w:hAnsiTheme="minorEastAsia" w:eastAsiaTheme="minorEastAsia" w:cstheme="minorEastAsia"/>
          <w:szCs w:val="21"/>
        </w:rPr>
        <w:t>的资格要求；</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2.3.1.2供应商须以携手阳光公司认可的方式获得了本采购文件；</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2.3.1.3单位负责人为同一人或者存在直接控股、管理关系的不同供应商，不得参加同一合同项下的政府采购活动。为本项目提供整体设计、规范编制或者项目管理、监理、检测等服务的供应商，不得再参加本项目的其他采购活动；</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w:t>
      </w:r>
      <w:r>
        <w:rPr>
          <w:rFonts w:hint="eastAsia" w:asciiTheme="minorEastAsia" w:hAnsiTheme="minorEastAsia" w:eastAsiaTheme="minorEastAsia" w:cstheme="minorEastAsia"/>
          <w:b/>
          <w:bCs/>
          <w:szCs w:val="21"/>
        </w:rPr>
        <w:t>资金来源、</w:t>
      </w:r>
      <w:r>
        <w:rPr>
          <w:rFonts w:hint="eastAsia" w:asciiTheme="minorEastAsia" w:hAnsiTheme="minorEastAsia" w:eastAsiaTheme="minorEastAsia" w:cstheme="minorEastAsia"/>
          <w:b/>
          <w:szCs w:val="21"/>
        </w:rPr>
        <w:t>采购预算、采购需求</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3.1本项目的采购人已获得足以支付本次采购后所签订的合同项下的资金。</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3.2本项目采购预算</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kern w:val="0"/>
          <w:szCs w:val="21"/>
        </w:rPr>
        <w:t>最高限价</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kern w:val="0"/>
          <w:szCs w:val="21"/>
        </w:rPr>
        <w:t>如有）</w:t>
      </w:r>
      <w:r>
        <w:rPr>
          <w:rFonts w:hint="eastAsia" w:asciiTheme="minorEastAsia" w:hAnsiTheme="minorEastAsia" w:eastAsiaTheme="minorEastAsia" w:cstheme="minorEastAsia"/>
          <w:szCs w:val="21"/>
        </w:rPr>
        <w:t>见</w:t>
      </w:r>
      <w:r>
        <w:rPr>
          <w:rFonts w:hint="eastAsia" w:asciiTheme="minorEastAsia" w:hAnsiTheme="minorEastAsia" w:eastAsiaTheme="minorEastAsia" w:cstheme="minorEastAsia"/>
          <w:bCs/>
          <w:szCs w:val="21"/>
          <w:u w:val="single"/>
        </w:rPr>
        <w:t>采购公告</w:t>
      </w:r>
      <w:r>
        <w:rPr>
          <w:rFonts w:hint="eastAsia" w:asciiTheme="minorEastAsia" w:hAnsiTheme="minorEastAsia" w:eastAsiaTheme="minorEastAsia" w:cstheme="minorEastAsia"/>
          <w:szCs w:val="21"/>
        </w:rPr>
        <w:t>。供应商报价超过采购文件规定的预算金额或者最高限价的，其投标将被认定为</w:t>
      </w:r>
      <w:r>
        <w:rPr>
          <w:rFonts w:hint="eastAsia" w:asciiTheme="minorEastAsia" w:hAnsiTheme="minorEastAsia" w:eastAsiaTheme="minorEastAsia" w:cstheme="minorEastAsia"/>
          <w:b/>
          <w:bCs/>
          <w:szCs w:val="21"/>
        </w:rPr>
        <w:t>投标无效</w:t>
      </w:r>
      <w:r>
        <w:rPr>
          <w:rFonts w:hint="eastAsia" w:asciiTheme="minorEastAsia" w:hAnsiTheme="minorEastAsia" w:eastAsiaTheme="minorEastAsia" w:cstheme="minorEastAsia"/>
          <w:szCs w:val="21"/>
        </w:rPr>
        <w:t>。</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3.3本项目的</w:t>
      </w:r>
      <w:r>
        <w:rPr>
          <w:rFonts w:hint="eastAsia" w:asciiTheme="minorEastAsia" w:hAnsiTheme="minorEastAsia" w:eastAsiaTheme="minorEastAsia" w:cstheme="minorEastAsia"/>
          <w:szCs w:val="21"/>
          <w:u w:val="single"/>
        </w:rPr>
        <w:t>采购需求见本采购文件第3章</w:t>
      </w:r>
      <w:r>
        <w:rPr>
          <w:rFonts w:hint="eastAsia" w:asciiTheme="minorEastAsia" w:hAnsiTheme="minorEastAsia" w:eastAsiaTheme="minorEastAsia" w:cstheme="minorEastAsia"/>
          <w:szCs w:val="21"/>
        </w:rPr>
        <w:t>“采购需求及政府采购合同（拟签订的合同文本）”。</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4.参加政府采购活动费用</w:t>
      </w:r>
    </w:p>
    <w:p>
      <w:pPr>
        <w:spacing w:line="30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不论结果如何，供应商应承担所有与准备和参加本次磋商采购有关的费用。采购人及携手阳光公司在任何情况下均无义务和责任承担这些费用。</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5.其它有关说明</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5.1供应商提交的响应文件以及供应商与采购人、携手阳光公司就有关投标的所有来往通知、函件和文件均须使用</w:t>
      </w:r>
      <w:r>
        <w:rPr>
          <w:rFonts w:hint="eastAsia" w:asciiTheme="minorEastAsia" w:hAnsiTheme="minorEastAsia" w:eastAsiaTheme="minorEastAsia" w:cstheme="minorEastAsia"/>
          <w:szCs w:val="21"/>
          <w:u w:val="single"/>
        </w:rPr>
        <w:t>简体中文</w:t>
      </w:r>
      <w:r>
        <w:rPr>
          <w:rFonts w:hint="eastAsia" w:asciiTheme="minorEastAsia" w:hAnsiTheme="minorEastAsia" w:eastAsiaTheme="minorEastAsia" w:cstheme="minorEastAsia"/>
          <w:b/>
          <w:szCs w:val="21"/>
        </w:rPr>
        <w:t>。</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5.2采购文件中所称的“以上”、“以下”、“内”、“以内”，包括本数；所称的“不足”，不包括本数。</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5.3如供应商为非法人单位的，“法定代表人”可为自然人本人、经营者本人、负责人。如供应商为自然人的，可由自然人以签字替代盖章。</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5.4本次采购活动（含采购文件）中的产品（货物、服务、工程）包括其相关伴随产品（货物、服务、工程）等为实现采购人采购需要（需求）而涉及的所有产品及事宜。</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5.5★特别说明（约定性条款）：</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供应商获取本采购文件后，应当及时、全面悉知采购文件的全部内容（含采购需求以及需实现的功能或者目标等全部内容。下同）及相关事宜。携手阳光公司不能保证本采购文件无编辑错误，如采购文件中有表述不清或不完整的（包括表述不规范完整或不准确的、界定或形容不清，可多层理解或解释的、未能达到法律规定明确的要求等任何情形），按照</w:t>
      </w:r>
      <w:r>
        <w:rPr>
          <w:rFonts w:hint="eastAsia" w:asciiTheme="minorEastAsia" w:hAnsiTheme="minorEastAsia" w:eastAsiaTheme="minorEastAsia" w:cstheme="minorEastAsia"/>
          <w:b/>
          <w:spacing w:val="15"/>
          <w:kern w:val="0"/>
          <w:szCs w:val="21"/>
        </w:rPr>
        <w:t>提高采购效率，降低纠错成本的原则，请</w:t>
      </w:r>
      <w:r>
        <w:rPr>
          <w:rFonts w:hint="eastAsia" w:asciiTheme="minorEastAsia" w:hAnsiTheme="minorEastAsia" w:eastAsiaTheme="minorEastAsia" w:cstheme="minorEastAsia"/>
          <w:b/>
          <w:szCs w:val="21"/>
        </w:rPr>
        <w:t>供应商在提交响应文件截止之日5日前，以电邮或书面方式（均须加盖公章）向携手阳光公司提出询问或要求进行澄清，以便采购人及时校正。如供应商参加了本项目采购活动，视为供应商对本采购文件无任何异议，并自愿在本项目采购活动中，一切以携手阳光公司理解、解释为准（本采购文件所有的解释权完全归携手阳光公司所有）。因此产生的风险（含响应文件无效）由供应商承担（含过错赔偿）。</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5.6采购文件的约束力</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供应商一旦下载了本采购文件并决定参加投标，即代表供应商接受了本采购文件所有的规定和约束</w:t>
      </w:r>
      <w:bookmarkStart w:id="61" w:name="_Hlt26670348"/>
      <w:bookmarkEnd w:id="61"/>
      <w:bookmarkStart w:id="62" w:name="_Hlt26670345"/>
      <w:bookmarkEnd w:id="62"/>
      <w:bookmarkStart w:id="63" w:name="_Hlt26954828"/>
      <w:bookmarkEnd w:id="63"/>
      <w:bookmarkStart w:id="64" w:name="_Hlt26954830"/>
      <w:bookmarkEnd w:id="64"/>
      <w:bookmarkStart w:id="65" w:name="_Hlt26954832"/>
      <w:bookmarkEnd w:id="65"/>
      <w:bookmarkStart w:id="66" w:name="_Hlt26670354"/>
      <w:bookmarkEnd w:id="66"/>
      <w:bookmarkStart w:id="67" w:name="_Hlt26668969"/>
      <w:bookmarkEnd w:id="67"/>
      <w:bookmarkStart w:id="68" w:name="_Toc462564072"/>
      <w:bookmarkStart w:id="69" w:name="_Toc513029213"/>
      <w:bookmarkStart w:id="70" w:name="_Toc61149553"/>
      <w:bookmarkStart w:id="71" w:name="_Toc14577351"/>
    </w:p>
    <w:p>
      <w:pPr>
        <w:pStyle w:val="11"/>
        <w:spacing w:line="240" w:lineRule="exact"/>
        <w:rPr>
          <w:rFonts w:asciiTheme="minorEastAsia" w:hAnsiTheme="minorEastAsia" w:eastAsiaTheme="minorEastAsia" w:cstheme="minorEastAsia"/>
          <w:sz w:val="21"/>
          <w:szCs w:val="21"/>
        </w:rPr>
      </w:pPr>
    </w:p>
    <w:p>
      <w:pPr>
        <w:spacing w:line="262" w:lineRule="auto"/>
        <w:ind w:firstLine="422" w:firstLineChars="200"/>
        <w:jc w:val="center"/>
        <w:outlineLvl w:val="1"/>
        <w:rPr>
          <w:rFonts w:asciiTheme="minorEastAsia" w:hAnsiTheme="minorEastAsia" w:eastAsiaTheme="minorEastAsia" w:cstheme="minorEastAsia"/>
          <w:b/>
          <w:szCs w:val="21"/>
        </w:rPr>
      </w:pPr>
      <w:bookmarkStart w:id="72" w:name="_Toc118275635"/>
      <w:bookmarkStart w:id="73" w:name="_Toc107916289"/>
      <w:bookmarkStart w:id="74" w:name="_Toc118275515"/>
      <w:bookmarkStart w:id="75" w:name="_Toc118275555"/>
      <w:bookmarkStart w:id="76" w:name="_Toc118235410"/>
      <w:r>
        <w:rPr>
          <w:rFonts w:hint="eastAsia" w:asciiTheme="minorEastAsia" w:hAnsiTheme="minorEastAsia" w:eastAsiaTheme="minorEastAsia" w:cstheme="minorEastAsia"/>
          <w:b/>
          <w:szCs w:val="21"/>
        </w:rPr>
        <w:t>二、采购文件</w:t>
      </w:r>
      <w:bookmarkEnd w:id="72"/>
      <w:bookmarkEnd w:id="73"/>
      <w:bookmarkEnd w:id="74"/>
      <w:bookmarkEnd w:id="75"/>
      <w:bookmarkEnd w:id="76"/>
    </w:p>
    <w:p>
      <w:pPr>
        <w:pStyle w:val="11"/>
        <w:spacing w:line="240" w:lineRule="exact"/>
        <w:rPr>
          <w:rFonts w:asciiTheme="minorEastAsia" w:hAnsiTheme="minorEastAsia" w:eastAsiaTheme="minorEastAsia" w:cstheme="minorEastAsia"/>
          <w:sz w:val="21"/>
          <w:szCs w:val="21"/>
        </w:rPr>
      </w:pP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1.采购文件构成</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    </w:t>
      </w:r>
      <w:r>
        <w:rPr>
          <w:rFonts w:hint="eastAsia" w:asciiTheme="minorEastAsia" w:hAnsiTheme="minorEastAsia" w:eastAsiaTheme="minorEastAsia" w:cstheme="minorEastAsia"/>
          <w:szCs w:val="21"/>
        </w:rPr>
        <w:t>1.1采购文件共5章，内容如下：</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    </w:t>
      </w:r>
      <w:r>
        <w:rPr>
          <w:rFonts w:hint="eastAsia" w:asciiTheme="minorEastAsia" w:hAnsiTheme="minorEastAsia" w:eastAsiaTheme="minorEastAsia" w:cstheme="minorEastAsia"/>
          <w:szCs w:val="21"/>
        </w:rPr>
        <w:t>第1章  采购公告（采购磋商）</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 xml:space="preserve">    第2章  供货商须知</w:t>
      </w:r>
    </w:p>
    <w:p>
      <w:pPr>
        <w:spacing w:line="262"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第3章  采购需求及政府采购合同（拟签订的合同文本）</w:t>
      </w:r>
    </w:p>
    <w:p>
      <w:pPr>
        <w:spacing w:line="262"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第4章  评审方法和标准（主要部分）</w:t>
      </w:r>
    </w:p>
    <w:p>
      <w:pPr>
        <w:spacing w:line="262"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第5章  投标（响应）文件格式</w:t>
      </w:r>
    </w:p>
    <w:p>
      <w:pPr>
        <w:spacing w:line="262" w:lineRule="auto"/>
        <w:ind w:left="785" w:leftChars="199" w:hanging="367" w:hangingChars="17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请供应商仔细检查采购文件是否齐全，如有缺漏请立即与</w:t>
      </w:r>
      <w:r>
        <w:rPr>
          <w:rFonts w:hint="eastAsia" w:asciiTheme="minorEastAsia" w:hAnsiTheme="minorEastAsia" w:eastAsiaTheme="minorEastAsia" w:cstheme="minorEastAsia"/>
          <w:bCs/>
          <w:szCs w:val="21"/>
        </w:rPr>
        <w:t>携手阳光公司</w:t>
      </w:r>
      <w:r>
        <w:rPr>
          <w:rFonts w:hint="eastAsia" w:asciiTheme="minorEastAsia" w:hAnsiTheme="minorEastAsia" w:eastAsiaTheme="minorEastAsia" w:cstheme="minorEastAsia"/>
          <w:szCs w:val="21"/>
        </w:rPr>
        <w:t>联系。</w:t>
      </w:r>
    </w:p>
    <w:p>
      <w:pPr>
        <w:tabs>
          <w:tab w:val="left" w:pos="0"/>
        </w:tabs>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1.2如本采购文件的前后内容不一致，以最后描述为准。</w:t>
      </w:r>
    </w:p>
    <w:p>
      <w:pPr>
        <w:tabs>
          <w:tab w:val="left" w:pos="0"/>
        </w:tabs>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供应商应认真阅读采购文件所有的事项、格式、条款和技术规范等。如供应商没有按照采购文件要求提交全部资料，或者响应文件没有对采购文件在各方面都做出实质性响应，可能导致其投标（响应）将被认定为</w:t>
      </w:r>
      <w:r>
        <w:rPr>
          <w:rFonts w:hint="eastAsia" w:asciiTheme="minorEastAsia" w:hAnsiTheme="minorEastAsia" w:eastAsiaTheme="minorEastAsia" w:cstheme="minorEastAsia"/>
          <w:b/>
          <w:bCs/>
          <w:szCs w:val="21"/>
        </w:rPr>
        <w:t>投标无效</w:t>
      </w:r>
      <w:r>
        <w:rPr>
          <w:rFonts w:hint="eastAsia" w:asciiTheme="minorEastAsia" w:hAnsiTheme="minorEastAsia" w:eastAsiaTheme="minorEastAsia" w:cstheme="minorEastAsia"/>
          <w:szCs w:val="21"/>
        </w:rPr>
        <w:t>。</w:t>
      </w:r>
      <w:bookmarkStart w:id="77" w:name="_Toc515904805"/>
      <w:bookmarkStart w:id="78" w:name="_Toc1922"/>
      <w:bookmarkStart w:id="79" w:name="_Toc26044"/>
      <w:bookmarkStart w:id="80" w:name="_Toc9232"/>
    </w:p>
    <w:p>
      <w:pPr>
        <w:tabs>
          <w:tab w:val="left" w:pos="0"/>
        </w:tabs>
        <w:spacing w:line="262" w:lineRule="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w:t>
      </w:r>
      <w:r>
        <w:rPr>
          <w:rFonts w:hint="eastAsia" w:asciiTheme="minorEastAsia" w:hAnsiTheme="minorEastAsia" w:eastAsiaTheme="minorEastAsia" w:cstheme="minorEastAsia"/>
          <w:b/>
          <w:szCs w:val="21"/>
        </w:rPr>
        <w:t>采购文件</w:t>
      </w:r>
      <w:r>
        <w:rPr>
          <w:rFonts w:hint="eastAsia" w:asciiTheme="minorEastAsia" w:hAnsiTheme="minorEastAsia" w:eastAsiaTheme="minorEastAsia" w:cstheme="minorEastAsia"/>
          <w:b/>
          <w:bCs/>
          <w:szCs w:val="21"/>
        </w:rPr>
        <w:t>的澄清</w:t>
      </w:r>
      <w:bookmarkEnd w:id="77"/>
      <w:r>
        <w:rPr>
          <w:rFonts w:hint="eastAsia" w:asciiTheme="minorEastAsia" w:hAnsiTheme="minorEastAsia" w:eastAsiaTheme="minorEastAsia" w:cstheme="minorEastAsia"/>
          <w:b/>
          <w:bCs/>
          <w:szCs w:val="21"/>
        </w:rPr>
        <w:t>与修改</w:t>
      </w:r>
      <w:bookmarkEnd w:id="78"/>
      <w:bookmarkEnd w:id="79"/>
      <w:bookmarkEnd w:id="80"/>
    </w:p>
    <w:p>
      <w:pPr>
        <w:spacing w:line="262" w:lineRule="auto"/>
        <w:ind w:firstLine="420" w:firstLineChars="200"/>
        <w:rPr>
          <w:rFonts w:asciiTheme="minorEastAsia" w:hAnsiTheme="minorEastAsia" w:eastAsiaTheme="minorEastAsia" w:cstheme="minorEastAsia"/>
          <w:szCs w:val="21"/>
        </w:rPr>
      </w:pPr>
      <w:bookmarkStart w:id="81" w:name="_Toc515904806"/>
      <w:r>
        <w:rPr>
          <w:rFonts w:hint="eastAsia" w:asciiTheme="minorEastAsia" w:hAnsiTheme="minorEastAsia" w:eastAsiaTheme="minorEastAsia" w:cstheme="minorEastAsia"/>
          <w:szCs w:val="21"/>
        </w:rPr>
        <w:t>2.1为了保证对采购文件的澄清和修改满足法律的时限要求，任何要求对采购文件进行澄清的供应商，均应在提交响应文件截止时间5日前按采购公告中的通讯地址，以书面形式通知采购代理机构（提出询问）。提交响应文件截止之日前，采购人、采购代理机构或者磋商小组可以对已发出的采购文件进行必要的澄清或者修改，澄清或者修改的内容作为采购文件的组成部分。</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2.2澄清或者修改的内容可能影响响应文件编制的，携手阳光公司将以书面形式通知所有购买采购文件的潜在供应商，并对其具有约束力。</w:t>
      </w:r>
      <w:r>
        <w:rPr>
          <w:rFonts w:hint="eastAsia" w:asciiTheme="minorEastAsia" w:hAnsiTheme="minorEastAsia" w:eastAsiaTheme="minorEastAsia" w:cstheme="minorEastAsia"/>
          <w:b/>
          <w:bCs/>
          <w:szCs w:val="21"/>
        </w:rPr>
        <w:t>供应商在收到上述通知后，应及时向采购代理机构回函确认，否视为该供应商已接受</w:t>
      </w:r>
      <w:r>
        <w:rPr>
          <w:rFonts w:hint="eastAsia" w:asciiTheme="minorEastAsia" w:hAnsiTheme="minorEastAsia" w:eastAsiaTheme="minorEastAsia" w:cstheme="minorEastAsia"/>
          <w:szCs w:val="21"/>
        </w:rPr>
        <w:t xml:space="preserve">。 </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w:t>
      </w:r>
      <w:bookmarkStart w:id="82" w:name="_Toc14569"/>
      <w:bookmarkStart w:id="83" w:name="_Toc25635"/>
      <w:bookmarkStart w:id="84" w:name="_Toc12448"/>
      <w:r>
        <w:rPr>
          <w:rFonts w:hint="eastAsia" w:asciiTheme="minorEastAsia" w:hAnsiTheme="minorEastAsia" w:eastAsiaTheme="minorEastAsia" w:cstheme="minorEastAsia"/>
          <w:szCs w:val="21"/>
        </w:rPr>
        <w:t>对没有加盖公章或非实名方式的询问、要求澄清等任何非实名的来函（信息），采购人、携手 阳光公司均有权</w:t>
      </w:r>
      <w:r>
        <w:rPr>
          <w:rFonts w:hint="eastAsia" w:asciiTheme="minorEastAsia" w:hAnsiTheme="minorEastAsia" w:eastAsiaTheme="minorEastAsia" w:cstheme="minorEastAsia"/>
          <w:b/>
          <w:szCs w:val="21"/>
        </w:rPr>
        <w:t>视为与本次采购活动无关而不予接收或受理</w:t>
      </w:r>
      <w:r>
        <w:rPr>
          <w:rFonts w:hint="eastAsia" w:asciiTheme="minorEastAsia" w:hAnsiTheme="minorEastAsia" w:eastAsiaTheme="minorEastAsia" w:cstheme="minorEastAsia"/>
          <w:szCs w:val="21"/>
        </w:rPr>
        <w:t>。采购人、携手阳光公司</w:t>
      </w:r>
      <w:r>
        <w:rPr>
          <w:rFonts w:hint="eastAsia" w:asciiTheme="minorEastAsia" w:hAnsiTheme="minorEastAsia" w:eastAsiaTheme="minorEastAsia" w:cstheme="minorEastAsia"/>
          <w:b/>
          <w:szCs w:val="21"/>
        </w:rPr>
        <w:t>仅对加盖公章的书面形式回复负责</w:t>
      </w:r>
      <w:r>
        <w:rPr>
          <w:rFonts w:hint="eastAsia" w:asciiTheme="minorEastAsia" w:hAnsiTheme="minorEastAsia" w:eastAsiaTheme="minorEastAsia" w:cstheme="minorEastAsia"/>
          <w:szCs w:val="21"/>
        </w:rPr>
        <w:t>，采购人或携手阳光公司不承担电话问答、口头问答等非书面形式回复的有效性。</w:t>
      </w:r>
    </w:p>
    <w:bookmarkEnd w:id="81"/>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bCs/>
          <w:szCs w:val="21"/>
        </w:rPr>
        <w:t>3.</w:t>
      </w:r>
      <w:r>
        <w:rPr>
          <w:rFonts w:hint="eastAsia" w:asciiTheme="minorEastAsia" w:hAnsiTheme="minorEastAsia" w:eastAsiaTheme="minorEastAsia" w:cstheme="minorEastAsia"/>
          <w:b/>
          <w:szCs w:val="21"/>
        </w:rPr>
        <w:t xml:space="preserve"> 提交响应文件截止时间</w:t>
      </w:r>
      <w:r>
        <w:rPr>
          <w:rFonts w:hint="eastAsia" w:asciiTheme="minorEastAsia" w:hAnsiTheme="minorEastAsia" w:eastAsiaTheme="minorEastAsia" w:cstheme="minorEastAsia"/>
          <w:b/>
          <w:bCs/>
          <w:szCs w:val="21"/>
        </w:rPr>
        <w:t>的顺延</w:t>
      </w:r>
      <w:bookmarkEnd w:id="82"/>
      <w:bookmarkEnd w:id="83"/>
      <w:bookmarkEnd w:id="84"/>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为使供应商准备投标时有足够的时间对采购文件的澄清或者修改部分进行研究，采购人将依法决定是否顺延提交响应文件截止时间。</w:t>
      </w:r>
    </w:p>
    <w:p>
      <w:pPr>
        <w:spacing w:line="262" w:lineRule="auto"/>
        <w:jc w:val="center"/>
        <w:outlineLvl w:val="1"/>
        <w:rPr>
          <w:rFonts w:asciiTheme="minorEastAsia" w:hAnsiTheme="minorEastAsia" w:eastAsiaTheme="minorEastAsia" w:cstheme="minorEastAsia"/>
          <w:b/>
          <w:szCs w:val="21"/>
        </w:rPr>
      </w:pPr>
      <w:bookmarkStart w:id="85" w:name="_Toc107916290"/>
      <w:bookmarkStart w:id="86" w:name="_Toc118275556"/>
      <w:bookmarkStart w:id="87" w:name="_Toc118275516"/>
      <w:bookmarkStart w:id="88" w:name="_Toc118235411"/>
      <w:bookmarkStart w:id="89" w:name="_Toc118275636"/>
      <w:r>
        <w:rPr>
          <w:rFonts w:hint="eastAsia" w:asciiTheme="minorEastAsia" w:hAnsiTheme="minorEastAsia" w:eastAsiaTheme="minorEastAsia" w:cstheme="minorEastAsia"/>
          <w:b/>
          <w:szCs w:val="21"/>
        </w:rPr>
        <w:t>三、</w:t>
      </w:r>
      <w:bookmarkEnd w:id="68"/>
      <w:bookmarkEnd w:id="69"/>
      <w:bookmarkEnd w:id="70"/>
      <w:bookmarkEnd w:id="71"/>
      <w:r>
        <w:rPr>
          <w:rFonts w:hint="eastAsia" w:asciiTheme="minorEastAsia" w:hAnsiTheme="minorEastAsia" w:eastAsiaTheme="minorEastAsia" w:cstheme="minorEastAsia"/>
          <w:b/>
          <w:szCs w:val="21"/>
        </w:rPr>
        <w:t>响应文件编制要求及保证金</w:t>
      </w:r>
      <w:bookmarkEnd w:id="85"/>
      <w:bookmarkEnd w:id="86"/>
      <w:bookmarkEnd w:id="87"/>
      <w:bookmarkEnd w:id="88"/>
      <w:bookmarkEnd w:id="89"/>
    </w:p>
    <w:p>
      <w:pPr>
        <w:pStyle w:val="11"/>
        <w:spacing w:line="240" w:lineRule="exact"/>
        <w:rPr>
          <w:rFonts w:asciiTheme="minorEastAsia" w:hAnsiTheme="minorEastAsia" w:eastAsiaTheme="minorEastAsia" w:cstheme="minorEastAsia"/>
          <w:sz w:val="21"/>
          <w:szCs w:val="21"/>
        </w:rPr>
      </w:pP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1.投标范围及响应文件中标准和计量单位的使用</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1.1如“采购需求”中没有限定，供应商可对采购文件其中某一个或几个采购包进行投标。</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1.2本项目按采购包确定成交供应商。供应商应当对所投采购包中“采购需求”所列的所有内容进行投标，如仅响应某一包中的部分内容，其该包投标将被认定为</w:t>
      </w:r>
      <w:r>
        <w:rPr>
          <w:rFonts w:hint="eastAsia" w:asciiTheme="minorEastAsia" w:hAnsiTheme="minorEastAsia" w:eastAsiaTheme="minorEastAsia" w:cstheme="minorEastAsia"/>
          <w:b/>
          <w:bCs/>
          <w:szCs w:val="21"/>
        </w:rPr>
        <w:t>投标无效</w:t>
      </w:r>
      <w:r>
        <w:rPr>
          <w:rFonts w:hint="eastAsia" w:asciiTheme="minorEastAsia" w:hAnsiTheme="minorEastAsia" w:eastAsiaTheme="minorEastAsia" w:cstheme="minorEastAsia"/>
          <w:szCs w:val="21"/>
        </w:rPr>
        <w:t>。</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1.3无论采购文件是否要求，供应商所投产品均应符合国家强制性标准。除采购文件中有特殊要求外，响应文件中所使用的计量单位，应采用中华人民共和国法定计量单位。</w:t>
      </w:r>
      <w:bookmarkStart w:id="90" w:name="_Toc516367022"/>
      <w:bookmarkStart w:id="91" w:name="_Ref467306676"/>
      <w:bookmarkStart w:id="92" w:name="_Ref467306195"/>
      <w:bookmarkStart w:id="93" w:name="_Toc18692"/>
      <w:bookmarkStart w:id="94" w:name="_Toc520356152"/>
      <w:bookmarkStart w:id="95" w:name="_Toc10364"/>
      <w:bookmarkStart w:id="96" w:name="_Toc28307"/>
      <w:bookmarkStart w:id="97" w:name="_Toc515647768"/>
    </w:p>
    <w:p>
      <w:pPr>
        <w:spacing w:line="262"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2.投标</w:t>
      </w:r>
      <w:bookmarkEnd w:id="90"/>
      <w:bookmarkEnd w:id="91"/>
      <w:bookmarkEnd w:id="92"/>
      <w:r>
        <w:rPr>
          <w:rFonts w:hint="eastAsia" w:asciiTheme="minorEastAsia" w:hAnsiTheme="minorEastAsia" w:eastAsiaTheme="minorEastAsia" w:cstheme="minorEastAsia"/>
          <w:b/>
          <w:szCs w:val="21"/>
        </w:rPr>
        <w:t>（响应）文件构成</w:t>
      </w:r>
      <w:bookmarkEnd w:id="93"/>
      <w:bookmarkEnd w:id="94"/>
      <w:bookmarkEnd w:id="95"/>
      <w:bookmarkEnd w:id="96"/>
      <w:bookmarkEnd w:id="97"/>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2.1供应商应完整地按采购文件提供的响应文件格式及要求编写响应文件，响应文件应装订成册，分别密封递交。供应商应承担封装失误产生的任何后果。</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2.2上述文件应按照采购文件规定的格式填写、签署和盖章</w:t>
      </w:r>
      <w:bookmarkStart w:id="98" w:name="_Toc516367023"/>
      <w:bookmarkStart w:id="99" w:name="_Toc4601"/>
      <w:bookmarkStart w:id="100" w:name="_Toc10379"/>
      <w:bookmarkStart w:id="101" w:name="_Toc13143"/>
      <w:bookmarkStart w:id="102" w:name="_Toc520356153"/>
      <w:bookmarkStart w:id="103" w:name="_Toc515647769"/>
      <w:r>
        <w:rPr>
          <w:rFonts w:hint="eastAsia" w:asciiTheme="minorEastAsia" w:hAnsiTheme="minorEastAsia" w:eastAsiaTheme="minorEastAsia" w:cstheme="minorEastAsia"/>
          <w:szCs w:val="21"/>
        </w:rPr>
        <w:t>（法定印章。不包括发票等业务专用章）。</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2.3供应商应当遵循格式规范、便于查找的原则编辑响应文件目录（如：《评分索引表》等）。如响应文件出现目录（含页码）编辑错误、漏页或缺页等情况，后果由供应商承担（含承担</w:t>
      </w:r>
      <w:r>
        <w:rPr>
          <w:rFonts w:hint="eastAsia" w:asciiTheme="minorEastAsia" w:hAnsiTheme="minorEastAsia" w:eastAsiaTheme="minorEastAsia" w:cstheme="minorEastAsia"/>
          <w:b/>
          <w:szCs w:val="21"/>
          <w:shd w:val="clear" w:color="auto" w:fill="FFFFFF"/>
        </w:rPr>
        <w:t>过错赔偿等）</w:t>
      </w:r>
      <w:r>
        <w:rPr>
          <w:rFonts w:hint="eastAsia" w:asciiTheme="minorEastAsia" w:hAnsiTheme="minorEastAsia" w:eastAsiaTheme="minorEastAsia" w:cstheme="minorEastAsia"/>
          <w:b/>
          <w:szCs w:val="21"/>
        </w:rPr>
        <w:t>。</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3.证明投标标的的合格性和符合采购文件规定的技术文件（响应文件）</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3.1供应商应提交证明文件，证明其投标内容（产品）符合采购文件规定。该证明文件是投标（响应）文件的一部分。</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3.2上款所述的证明文件，可以是文字资料、图纸和数据，它包括：</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3.2.1产品主要技术指标和性能的详细说明；</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3.2.2产品从买方开始使用至采购文件规定的保质期内正常、连续地使用所必须的各项费用价格。</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3.2.3对照采购文件技术规格，逐条说明所提供产品[含其相关伴随产品（货物、服务、工程）等]已对采购文件的技术规格做出了实质性的响应，或申明与技术规格条文的偏差和例外。</w:t>
      </w:r>
    </w:p>
    <w:p>
      <w:pPr>
        <w:spacing w:line="262"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供应商证明材料非简体中文的，供应商须同时提供简体中文翻译说明并加盖公章，否评审人员有权仅按简体中文部分评审。</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3.3</w:t>
      </w:r>
      <w:r>
        <w:rPr>
          <w:rFonts w:hint="eastAsia" w:asciiTheme="minorEastAsia" w:hAnsiTheme="minorEastAsia" w:eastAsiaTheme="minorEastAsia" w:cstheme="minorEastAsia"/>
          <w:b/>
          <w:szCs w:val="21"/>
        </w:rPr>
        <w:t>供应商提交的证明应当证明提供的产品质量和服务均能满足采购文件规定的实质性要求。供应商应当以详细具体的内容证明响应文件响应采购文件。供应商以“完全响应”等简单文字、过度复制采购文件内容等方式（无具体或无实质性内容）进行响应的，其内容按无效处理（不予认可）。</w:t>
      </w:r>
    </w:p>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4.价格构成（报价要求）</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4.1所有投标（报价）均以人民币报价。</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供应商的报价应遵守《中华人民共和国价格法》。同时，根据《中华人民共和国政府采购法》第二条的规定，为保证公平竞争，如有主体投标标的的赠与行为，其投标将被认定为</w:t>
      </w:r>
      <w:r>
        <w:rPr>
          <w:rFonts w:hint="eastAsia" w:asciiTheme="minorEastAsia" w:hAnsiTheme="minorEastAsia" w:eastAsiaTheme="minorEastAsia" w:cstheme="minorEastAsia"/>
          <w:b/>
          <w:bCs/>
          <w:szCs w:val="21"/>
        </w:rPr>
        <w:t>投标无效</w:t>
      </w:r>
      <w:r>
        <w:rPr>
          <w:rFonts w:hint="eastAsia" w:asciiTheme="minorEastAsia" w:hAnsiTheme="minorEastAsia" w:eastAsiaTheme="minorEastAsia" w:cstheme="minorEastAsia"/>
          <w:szCs w:val="21"/>
        </w:rPr>
        <w:t>。</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采购人也不接受明显不合理或者低于成本的报价（有可能影响商品质量和不能诚信履约的报价。例：主体投标标的低于进价或工资标准低于国家标准等），其投标将被认定为投标无效（视为明显不合理或者低于成本的报价）。</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4.2供应商应按照采购文件规定格式填写报价一览表(报价表)、分项报价表以及相关内容。</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如果报价一览表（报价表）内容与分项报价表内容不一致的，以报价一览表（报价表）内容为准。供应商报价大写金额和小写金额不一致的，以大写金额为准。</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应在分项报价表上标明投标产品及相关伴随产品（货物、服务、工程）的单价（如适用）和总价。供应商所报的各分项投标单价在合同履行过程中是固定不变的，不得以任何理由予以变更。任何包含价格调整要求的投标，其投标将被认定为</w:t>
      </w:r>
      <w:r>
        <w:rPr>
          <w:rFonts w:hint="eastAsia" w:asciiTheme="minorEastAsia" w:hAnsiTheme="minorEastAsia" w:eastAsiaTheme="minorEastAsia" w:cstheme="minorEastAsia"/>
          <w:b/>
          <w:bCs/>
          <w:szCs w:val="21"/>
        </w:rPr>
        <w:t>投标无效</w:t>
      </w:r>
      <w:r>
        <w:rPr>
          <w:rFonts w:hint="eastAsia" w:asciiTheme="minorEastAsia" w:hAnsiTheme="minorEastAsia" w:eastAsiaTheme="minorEastAsia" w:cstheme="minorEastAsia"/>
          <w:szCs w:val="21"/>
        </w:rPr>
        <w:t>。</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每种产品只能有一个投标报价，任何有选择的报价将不予接受 (如有备选配件，备选配件的报价不属于有选择的报价)。采购人不接受具有附加条件的报价。</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供应商分项报价表内容应当全面完整，充分体现其报价的组成。</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货物的，应当考虑：投标货物（包括备品备件、专用工具等）的出厂价（包括已在中国国内的进口货物完税后的仓库交货价、展室交货价或货架交货价），投标货物安装、调试、检验、技术服务和培训费用、货物运至最终目的地的运输费和保险费用以及相关税费等。服务的，应当考虑：知识产权（如有）、人员工资、加班费、设备使用或损耗、技术服务和培训费用、以及相关税费等。工程的，应当按照采购人提供的工程量清单、图纸（如有）等相关资料，并结合勘察情况、国家及地方标准（如：《建设工程工程量清单计价规范》、以及地方住建部门相关规定等）以及相关税费等。</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次采购采用总承包方式，因此供应商的报价应包括全部产品（含其相关伴随产品等）的价格、相关税费以及履行合同产生的所有费用等。采购文件未列明，而供应商认为必需的费用也需列入报价（在合同履行过程中，采购人不再增加任何费用）。</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5.保证金（磋商保证金）及供应商过错赔偿（不予退还保证金的情形）</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5.1保证金交纳数额和形式</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保证金交纳数额和形式见</w:t>
      </w:r>
      <w:r>
        <w:rPr>
          <w:rFonts w:hint="eastAsia" w:asciiTheme="minorEastAsia" w:hAnsiTheme="minorEastAsia" w:eastAsiaTheme="minorEastAsia" w:cstheme="minorEastAsia"/>
          <w:b/>
          <w:szCs w:val="21"/>
          <w:u w:val="single"/>
        </w:rPr>
        <w:t>采购公告</w:t>
      </w:r>
      <w:r>
        <w:rPr>
          <w:rFonts w:hint="eastAsia" w:asciiTheme="minorEastAsia" w:hAnsiTheme="minorEastAsia" w:eastAsiaTheme="minorEastAsia" w:cstheme="minorEastAsia"/>
          <w:b/>
          <w:szCs w:val="21"/>
        </w:rPr>
        <w:t>。供应商应当按照采购公告的要求提交（交纳。下同）保证金。供应商未按照采购公告要求提交保证金的，投标（响应）无效。</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5.2成交公告发布后，供应商应及时到携手阳光公司办理退还手续（如：提供账户信息、收据等），否视为因供应商自身原因导致无法及时退还。 </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5.3供应商有下列情形之一的，视为因供应商过错且造成携手阳光公司相关权益的损害，供应商应当承担侵权责任，携手阳光公司有权要求供应商进行损害赔偿（赔偿给携手阳光公司。赔偿标准：预算金额的2%）或保证金不予退还（全额）。</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（1）供应商报名后未参加投标（响应）（提前告知的除外）或在投标有效期内，撤销投标的；</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（2）因供应商原因（如响应文件目录编写错误等）导致本项目重新评审或重新采购的；</w:t>
      </w:r>
      <w:r>
        <w:rPr>
          <w:rFonts w:hint="eastAsia" w:asciiTheme="minorEastAsia" w:hAnsiTheme="minorEastAsia" w:eastAsiaTheme="minorEastAsia" w:cstheme="minorEastAsia"/>
          <w:b/>
          <w:szCs w:val="21"/>
        </w:rPr>
        <w:t xml:space="preserve"> </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（3）供应商所提供的有关资料（含质疑材料）不真实或</w:t>
      </w:r>
      <w:r>
        <w:rPr>
          <w:rFonts w:hint="eastAsia" w:asciiTheme="minorEastAsia" w:hAnsiTheme="minorEastAsia" w:eastAsiaTheme="minorEastAsia" w:cstheme="minorEastAsia"/>
          <w:kern w:val="0"/>
          <w:szCs w:val="21"/>
        </w:rPr>
        <w:t>以非法手段取得的；</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（4）除因不可抗力或采购文件认可的情形以外，成交供应商不与采购人签订合同的；</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（5）不按本须知的规定缴纳代理服务费的；</w:t>
      </w:r>
    </w:p>
    <w:p>
      <w:pPr>
        <w:spacing w:line="262"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（6）法律、法规及本采购文件规定的其他情况。</w:t>
      </w:r>
    </w:p>
    <w:p>
      <w:pPr>
        <w:spacing w:line="262" w:lineRule="auto"/>
        <w:rPr>
          <w:rFonts w:asciiTheme="minorEastAsia" w:hAnsiTheme="minorEastAsia" w:eastAsiaTheme="minorEastAsia" w:cstheme="minorEastAsia"/>
          <w:b/>
          <w:szCs w:val="21"/>
        </w:rPr>
      </w:pPr>
      <w:bookmarkStart w:id="104" w:name="_Toc23590"/>
      <w:bookmarkStart w:id="105" w:name="_Toc515647772"/>
      <w:bookmarkStart w:id="106" w:name="_Toc32569"/>
      <w:bookmarkStart w:id="107" w:name="_Toc22901"/>
      <w:bookmarkStart w:id="108" w:name="_Toc520356157"/>
      <w:r>
        <w:rPr>
          <w:rFonts w:hint="eastAsia" w:asciiTheme="minorEastAsia" w:hAnsiTheme="minorEastAsia" w:eastAsiaTheme="minorEastAsia" w:cstheme="minorEastAsia"/>
          <w:b/>
          <w:szCs w:val="21"/>
        </w:rPr>
        <w:t>6.投标有效期</w:t>
      </w:r>
      <w:bookmarkEnd w:id="104"/>
      <w:bookmarkEnd w:id="105"/>
      <w:bookmarkEnd w:id="106"/>
      <w:bookmarkEnd w:id="107"/>
      <w:bookmarkEnd w:id="108"/>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6.1投标应在</w:t>
      </w:r>
      <w:r>
        <w:rPr>
          <w:rFonts w:hint="eastAsia" w:asciiTheme="minorEastAsia" w:hAnsiTheme="minorEastAsia" w:eastAsiaTheme="minorEastAsia" w:cstheme="minorEastAsia"/>
          <w:szCs w:val="21"/>
          <w:u w:val="single"/>
        </w:rPr>
        <w:t>供应商须知资料表</w:t>
      </w:r>
      <w:r>
        <w:rPr>
          <w:rFonts w:hint="eastAsia" w:asciiTheme="minorEastAsia" w:hAnsiTheme="minorEastAsia" w:eastAsiaTheme="minorEastAsia" w:cstheme="minorEastAsia"/>
          <w:szCs w:val="21"/>
        </w:rPr>
        <w:t>中规定时间内保持有效。投标有效期不满足要求的投标，其投标将被认定为</w:t>
      </w:r>
      <w:r>
        <w:rPr>
          <w:rFonts w:hint="eastAsia" w:asciiTheme="minorEastAsia" w:hAnsiTheme="minorEastAsia" w:eastAsiaTheme="minorEastAsia" w:cstheme="minorEastAsia"/>
          <w:b/>
          <w:bCs/>
          <w:szCs w:val="21"/>
        </w:rPr>
        <w:t>投标无效</w:t>
      </w:r>
      <w:r>
        <w:rPr>
          <w:rFonts w:hint="eastAsia" w:asciiTheme="minorEastAsia" w:hAnsiTheme="minorEastAsia" w:eastAsiaTheme="minorEastAsia" w:cstheme="minorEastAsia"/>
          <w:szCs w:val="21"/>
        </w:rPr>
        <w:t>。</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6.2为保证有充分时间签订合同，采购人或采购代理机构可根据实际情况，在原投标有效期截止之前，要求供应商延长响应文件的有效期，接受该要求的供应商将不会被要求和允许修正其投标。</w:t>
      </w:r>
      <w:bookmarkStart w:id="109" w:name="_Toc520356158"/>
      <w:bookmarkStart w:id="110" w:name="_Toc17074"/>
      <w:bookmarkStart w:id="111" w:name="_Toc17609"/>
      <w:bookmarkStart w:id="112" w:name="_Toc493"/>
      <w:bookmarkStart w:id="113" w:name="_Toc515647773"/>
    </w:p>
    <w:bookmarkEnd w:id="109"/>
    <w:bookmarkEnd w:id="110"/>
    <w:bookmarkEnd w:id="111"/>
    <w:bookmarkEnd w:id="112"/>
    <w:bookmarkEnd w:id="113"/>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7.响应文件的签署及规定</w:t>
      </w:r>
    </w:p>
    <w:p>
      <w:pPr>
        <w:pStyle w:val="17"/>
        <w:spacing w:line="262" w:lineRule="auto"/>
        <w:ind w:firstLine="42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7.1供应商应按</w:t>
      </w:r>
      <w:r>
        <w:rPr>
          <w:rFonts w:hint="eastAsia" w:asciiTheme="minorEastAsia" w:hAnsiTheme="minorEastAsia" w:eastAsiaTheme="minorEastAsia" w:cstheme="minorEastAsia"/>
          <w:sz w:val="21"/>
          <w:szCs w:val="21"/>
          <w:u w:val="single"/>
        </w:rPr>
        <w:t>供应商须知资料表</w:t>
      </w:r>
      <w:r>
        <w:rPr>
          <w:rFonts w:hint="eastAsia" w:asciiTheme="minorEastAsia" w:hAnsiTheme="minorEastAsia" w:eastAsiaTheme="minorEastAsia" w:cstheme="minorEastAsia"/>
          <w:sz w:val="21"/>
          <w:szCs w:val="21"/>
        </w:rPr>
        <w:t>中的规定，准备和递交响应文件正本、副本和电子文档，每份响应文件封皮须清楚地标明“正本”或“副本”。若正本和副本不符，以正本为准。如响应文件未标明或未清楚标准明正本或副本的，所引起的后果由供应商负责（含承担过错赔偿）。</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7.2响应文件的正本需打印或用不褪色墨水书写，并由供应商的法定代表人或经其正式委托代理人按采购文件规定在响应文件上签字并加盖单位印章。如对响应文件进行了修改，则应由供应商的法定代表人或其委托代理人在每一修改处签字。响应文件的副本可采用正本的复印件。</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7.3所有响应文件请采用不可拆装的胶订或订书机方式装订。响应文件因字迹潦草、表达不清或装订不当等原因所引起的后果由供应商负责。</w:t>
      </w:r>
    </w:p>
    <w:p>
      <w:pPr>
        <w:spacing w:line="262" w:lineRule="auto"/>
        <w:ind w:firstLine="422" w:firstLineChars="200"/>
        <w:jc w:val="center"/>
        <w:outlineLvl w:val="1"/>
        <w:rPr>
          <w:rFonts w:asciiTheme="minorEastAsia" w:hAnsiTheme="minorEastAsia" w:eastAsiaTheme="minorEastAsia" w:cstheme="minorEastAsia"/>
          <w:szCs w:val="21"/>
        </w:rPr>
      </w:pPr>
      <w:bookmarkStart w:id="114" w:name="_Toc107916291"/>
      <w:bookmarkStart w:id="115" w:name="_Toc118275557"/>
      <w:bookmarkStart w:id="116" w:name="_Toc118275517"/>
      <w:bookmarkStart w:id="117" w:name="_Toc118235412"/>
      <w:bookmarkStart w:id="118" w:name="_Toc118275637"/>
      <w:r>
        <w:rPr>
          <w:rFonts w:hint="eastAsia" w:asciiTheme="minorEastAsia" w:hAnsiTheme="minorEastAsia" w:eastAsiaTheme="minorEastAsia" w:cstheme="minorEastAsia"/>
          <w:b/>
          <w:bCs/>
          <w:szCs w:val="21"/>
        </w:rPr>
        <w:t>四、响应文件的递交</w:t>
      </w:r>
      <w:r>
        <w:rPr>
          <w:rFonts w:hint="eastAsia" w:asciiTheme="minorEastAsia" w:hAnsiTheme="minorEastAsia" w:eastAsiaTheme="minorEastAsia" w:cstheme="minorEastAsia"/>
          <w:b/>
          <w:szCs w:val="21"/>
        </w:rPr>
        <w:t>及</w:t>
      </w:r>
      <w:r>
        <w:rPr>
          <w:rFonts w:hint="eastAsia" w:asciiTheme="minorEastAsia" w:hAnsiTheme="minorEastAsia" w:eastAsiaTheme="minorEastAsia" w:cstheme="minorEastAsia"/>
          <w:b/>
          <w:bCs/>
          <w:szCs w:val="21"/>
        </w:rPr>
        <w:t>接收</w:t>
      </w:r>
      <w:bookmarkEnd w:id="114"/>
      <w:bookmarkEnd w:id="115"/>
      <w:bookmarkEnd w:id="116"/>
      <w:bookmarkEnd w:id="117"/>
      <w:bookmarkEnd w:id="118"/>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1.响应文件的密封及递交（</w:t>
      </w:r>
      <w:r>
        <w:rPr>
          <w:rFonts w:hint="eastAsia" w:asciiTheme="minorEastAsia" w:hAnsiTheme="minorEastAsia" w:eastAsiaTheme="minorEastAsia" w:cstheme="minorEastAsia"/>
          <w:b/>
          <w:bCs/>
          <w:szCs w:val="21"/>
        </w:rPr>
        <w:t>接收</w:t>
      </w:r>
      <w:r>
        <w:rPr>
          <w:rFonts w:hint="eastAsia" w:asciiTheme="minorEastAsia" w:hAnsiTheme="minorEastAsia" w:eastAsiaTheme="minorEastAsia" w:cstheme="minorEastAsia"/>
          <w:b/>
          <w:szCs w:val="21"/>
        </w:rPr>
        <w:t>）</w:t>
      </w:r>
    </w:p>
    <w:p>
      <w:pPr>
        <w:spacing w:line="262"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1.1提交响应文件截止时间及地点：</w:t>
      </w:r>
      <w:r>
        <w:rPr>
          <w:rFonts w:hint="eastAsia" w:asciiTheme="minorEastAsia" w:hAnsiTheme="minorEastAsia" w:eastAsiaTheme="minorEastAsia" w:cstheme="minorEastAsia"/>
          <w:szCs w:val="21"/>
        </w:rPr>
        <w:t>提交响应文件截止时间及地点见</w:t>
      </w:r>
      <w:r>
        <w:rPr>
          <w:rFonts w:hint="eastAsia" w:asciiTheme="minorEastAsia" w:hAnsiTheme="minorEastAsia" w:eastAsiaTheme="minorEastAsia" w:cstheme="minorEastAsia"/>
          <w:szCs w:val="21"/>
          <w:u w:val="single"/>
        </w:rPr>
        <w:t>采购公告</w:t>
      </w:r>
      <w:r>
        <w:rPr>
          <w:rFonts w:hint="eastAsia" w:asciiTheme="minorEastAsia" w:hAnsiTheme="minorEastAsia" w:eastAsiaTheme="minorEastAsia" w:cstheme="minorEastAsia"/>
          <w:szCs w:val="21"/>
        </w:rPr>
        <w:t>。</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供应商应当在采购文件（</w:t>
      </w:r>
      <w:r>
        <w:rPr>
          <w:rFonts w:hint="eastAsia" w:asciiTheme="minorEastAsia" w:hAnsiTheme="minorEastAsia" w:eastAsiaTheme="minorEastAsia" w:cstheme="minorEastAsia"/>
          <w:szCs w:val="21"/>
          <w:u w:val="single"/>
        </w:rPr>
        <w:t>采购公告）</w:t>
      </w:r>
      <w:r>
        <w:rPr>
          <w:rFonts w:hint="eastAsia" w:asciiTheme="minorEastAsia" w:hAnsiTheme="minorEastAsia" w:eastAsiaTheme="minorEastAsia" w:cstheme="minorEastAsia"/>
          <w:szCs w:val="21"/>
        </w:rPr>
        <w:t>要求的截止时间前，将响应文件密封（</w:t>
      </w:r>
      <w:r>
        <w:rPr>
          <w:rFonts w:hint="eastAsia" w:asciiTheme="minorEastAsia" w:hAnsiTheme="minorEastAsia" w:eastAsiaTheme="minorEastAsia" w:cstheme="minorEastAsia"/>
          <w:b/>
          <w:szCs w:val="21"/>
        </w:rPr>
        <w:t>无法直接换取即可。但建议密封严实</w:t>
      </w:r>
      <w:r>
        <w:rPr>
          <w:rFonts w:hint="eastAsia" w:asciiTheme="minorEastAsia" w:hAnsiTheme="minorEastAsia" w:eastAsiaTheme="minorEastAsia" w:cstheme="minorEastAsia"/>
          <w:szCs w:val="21"/>
        </w:rPr>
        <w:t>）送达指定地点。在截止时间后送达的响应文件为无效文件，携手阳 光公司等予以拒收。请供应商在密封包装上注明供应商名称、项目名称（编号）等信息，以便携手阳光公司接受。</w:t>
      </w:r>
    </w:p>
    <w:p>
      <w:pPr>
        <w:pStyle w:val="17"/>
        <w:spacing w:line="262" w:lineRule="auto"/>
        <w:ind w:firstLine="420" w:firstLineChars="200"/>
        <w:jc w:val="left"/>
        <w:rPr>
          <w:rFonts w:asciiTheme="minorEastAsia" w:hAnsiTheme="minorEastAsia" w:eastAsiaTheme="minorEastAsia" w:cstheme="minorEastAsia"/>
          <w:sz w:val="21"/>
          <w:szCs w:val="21"/>
        </w:rPr>
      </w:pPr>
      <w:bookmarkStart w:id="119" w:name="_Toc2421"/>
      <w:bookmarkStart w:id="120" w:name="_Toc518926877"/>
      <w:bookmarkStart w:id="121" w:name="_Toc8324"/>
      <w:r>
        <w:rPr>
          <w:rFonts w:hint="eastAsia" w:asciiTheme="minorEastAsia" w:hAnsiTheme="minorEastAsia" w:eastAsiaTheme="minorEastAsia" w:cstheme="minorEastAsia"/>
          <w:sz w:val="21"/>
          <w:szCs w:val="21"/>
        </w:rPr>
        <w:t>1.2采购人和采购代理机构有权按本须知的规定，延迟投标截止时间。在此情况下，采购人、携手阳光公司和供应商受投标截止时间制约的所有权利和义务均应延长至新的截止时间。</w:t>
      </w:r>
    </w:p>
    <w:p>
      <w:pPr>
        <w:pStyle w:val="17"/>
        <w:spacing w:line="262" w:lineRule="auto"/>
        <w:ind w:firstLine="420" w:firstLineChars="20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1.3采购方对供应商误投或过早启封概不负责。</w:t>
      </w:r>
      <w:r>
        <w:rPr>
          <w:rFonts w:hint="eastAsia" w:asciiTheme="minorEastAsia" w:hAnsiTheme="minorEastAsia" w:eastAsiaTheme="minorEastAsia" w:cstheme="minorEastAsia"/>
          <w:bCs/>
          <w:sz w:val="21"/>
          <w:szCs w:val="21"/>
        </w:rPr>
        <w:t>不论供应商是否成交，</w:t>
      </w:r>
      <w:r>
        <w:rPr>
          <w:rFonts w:hint="eastAsia" w:asciiTheme="minorEastAsia" w:hAnsiTheme="minorEastAsia" w:eastAsiaTheme="minorEastAsia" w:cstheme="minorEastAsia"/>
          <w:sz w:val="21"/>
          <w:szCs w:val="21"/>
        </w:rPr>
        <w:t>响应文件</w:t>
      </w:r>
      <w:r>
        <w:rPr>
          <w:rFonts w:hint="eastAsia" w:asciiTheme="minorEastAsia" w:hAnsiTheme="minorEastAsia" w:eastAsiaTheme="minorEastAsia" w:cstheme="minorEastAsia"/>
          <w:bCs/>
          <w:sz w:val="21"/>
          <w:szCs w:val="21"/>
        </w:rPr>
        <w:t>均不退回。</w:t>
      </w:r>
    </w:p>
    <w:p>
      <w:pPr>
        <w:pStyle w:val="17"/>
        <w:spacing w:line="262" w:lineRule="auto"/>
        <w:jc w:val="left"/>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2.响应文件的修改与撤回</w:t>
      </w:r>
    </w:p>
    <w:p>
      <w:pPr>
        <w:pStyle w:val="17"/>
        <w:spacing w:line="262" w:lineRule="auto"/>
        <w:jc w:val="left"/>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 xml:space="preserve">    </w:t>
      </w:r>
      <w:r>
        <w:rPr>
          <w:rFonts w:hint="eastAsia" w:asciiTheme="minorEastAsia" w:hAnsiTheme="minorEastAsia" w:eastAsiaTheme="minorEastAsia" w:cstheme="minorEastAsia"/>
          <w:sz w:val="21"/>
          <w:szCs w:val="21"/>
        </w:rPr>
        <w:t>2.1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须密封并在提交响应文件截止时间前重新递交）。</w:t>
      </w:r>
    </w:p>
    <w:p>
      <w:pPr>
        <w:pStyle w:val="17"/>
        <w:spacing w:line="262" w:lineRule="auto"/>
        <w:ind w:firstLine="420" w:firstLineChars="20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w:t>
      </w:r>
      <w:bookmarkEnd w:id="119"/>
      <w:bookmarkEnd w:id="120"/>
      <w:bookmarkEnd w:id="121"/>
      <w:r>
        <w:rPr>
          <w:rFonts w:hint="eastAsia" w:asciiTheme="minorEastAsia" w:hAnsiTheme="minorEastAsia" w:eastAsiaTheme="minorEastAsia" w:cstheme="minorEastAsia"/>
          <w:sz w:val="21"/>
          <w:szCs w:val="21"/>
        </w:rPr>
        <w:t>供应商在提交响应文件截止时间后撤回响应文件的，</w:t>
      </w:r>
      <w:r>
        <w:rPr>
          <w:rFonts w:hint="eastAsia" w:asciiTheme="minorEastAsia" w:hAnsiTheme="minorEastAsia" w:eastAsiaTheme="minorEastAsia" w:cstheme="minorEastAsia"/>
          <w:b/>
          <w:sz w:val="21"/>
          <w:szCs w:val="21"/>
        </w:rPr>
        <w:t>供应商须承担</w:t>
      </w:r>
      <w:r>
        <w:rPr>
          <w:rFonts w:hint="eastAsia" w:asciiTheme="minorEastAsia" w:hAnsiTheme="minorEastAsia" w:eastAsiaTheme="minorEastAsia" w:cstheme="minorEastAsia"/>
          <w:b/>
          <w:sz w:val="21"/>
          <w:szCs w:val="21"/>
          <w:shd w:val="clear" w:color="auto" w:fill="FFFFFF"/>
        </w:rPr>
        <w:t>过错赔偿</w:t>
      </w:r>
      <w:r>
        <w:rPr>
          <w:rFonts w:hint="eastAsia" w:asciiTheme="minorEastAsia" w:hAnsiTheme="minorEastAsia" w:eastAsiaTheme="minorEastAsia" w:cstheme="minorEastAsia"/>
          <w:b/>
          <w:sz w:val="21"/>
          <w:szCs w:val="21"/>
        </w:rPr>
        <w:t>。</w:t>
      </w:r>
      <w:r>
        <w:rPr>
          <w:rFonts w:hint="eastAsia" w:asciiTheme="minorEastAsia" w:hAnsiTheme="minorEastAsia" w:eastAsiaTheme="minorEastAsia" w:cstheme="minorEastAsia"/>
          <w:b/>
          <w:bCs/>
          <w:sz w:val="21"/>
          <w:szCs w:val="21"/>
        </w:rPr>
        <w:t xml:space="preserve">   </w:t>
      </w:r>
    </w:p>
    <w:p>
      <w:pPr>
        <w:pStyle w:val="17"/>
        <w:spacing w:line="262" w:lineRule="auto"/>
        <w:ind w:firstLine="420"/>
        <w:jc w:val="lef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2.3</w:t>
      </w:r>
      <w:bookmarkEnd w:id="98"/>
      <w:bookmarkEnd w:id="99"/>
      <w:bookmarkEnd w:id="100"/>
      <w:bookmarkEnd w:id="101"/>
      <w:bookmarkEnd w:id="102"/>
      <w:bookmarkEnd w:id="103"/>
      <w:bookmarkStart w:id="122" w:name="_Toc14577362"/>
      <w:bookmarkStart w:id="123" w:name="_Toc61149562"/>
      <w:bookmarkStart w:id="124" w:name="_Toc513029224"/>
      <w:r>
        <w:rPr>
          <w:rFonts w:hint="eastAsia" w:asciiTheme="minorEastAsia" w:hAnsiTheme="minorEastAsia" w:eastAsiaTheme="minorEastAsia" w:cstheme="minorEastAsia"/>
          <w:sz w:val="21"/>
          <w:szCs w:val="21"/>
        </w:rPr>
        <w:t>供应商在提交最后报价之前，可以根据磋商情况退出磋商。但如无正当理由退出且造成在采购过程中符合竞争要求的供应商或者报价未超过采购预算的供应商不足3家的，</w:t>
      </w:r>
      <w:r>
        <w:rPr>
          <w:rFonts w:hint="eastAsia" w:asciiTheme="minorEastAsia" w:hAnsiTheme="minorEastAsia" w:eastAsiaTheme="minorEastAsia" w:cstheme="minorEastAsia"/>
          <w:b/>
          <w:sz w:val="21"/>
          <w:szCs w:val="21"/>
        </w:rPr>
        <w:t>供应商须承担</w:t>
      </w:r>
      <w:r>
        <w:rPr>
          <w:rFonts w:hint="eastAsia" w:asciiTheme="minorEastAsia" w:hAnsiTheme="minorEastAsia" w:eastAsiaTheme="minorEastAsia" w:cstheme="minorEastAsia"/>
          <w:b/>
          <w:sz w:val="21"/>
          <w:szCs w:val="21"/>
          <w:shd w:val="clear" w:color="auto" w:fill="FFFFFF"/>
        </w:rPr>
        <w:t>过错赔偿</w:t>
      </w:r>
      <w:r>
        <w:rPr>
          <w:rFonts w:hint="eastAsia" w:asciiTheme="minorEastAsia" w:hAnsiTheme="minorEastAsia" w:eastAsiaTheme="minorEastAsia" w:cstheme="minorEastAsia"/>
          <w:b/>
          <w:sz w:val="21"/>
          <w:szCs w:val="21"/>
        </w:rPr>
        <w:t>。</w:t>
      </w:r>
    </w:p>
    <w:p>
      <w:pPr>
        <w:pStyle w:val="11"/>
        <w:spacing w:line="240" w:lineRule="exact"/>
        <w:rPr>
          <w:rFonts w:asciiTheme="minorEastAsia" w:hAnsiTheme="minorEastAsia" w:eastAsiaTheme="minorEastAsia" w:cstheme="minorEastAsia"/>
          <w:sz w:val="21"/>
          <w:szCs w:val="21"/>
        </w:rPr>
      </w:pPr>
    </w:p>
    <w:bookmarkEnd w:id="122"/>
    <w:bookmarkEnd w:id="123"/>
    <w:bookmarkEnd w:id="124"/>
    <w:p>
      <w:pPr>
        <w:spacing w:line="262" w:lineRule="auto"/>
        <w:jc w:val="center"/>
        <w:outlineLvl w:val="1"/>
        <w:rPr>
          <w:rFonts w:asciiTheme="minorEastAsia" w:hAnsiTheme="minorEastAsia" w:eastAsiaTheme="minorEastAsia" w:cstheme="minorEastAsia"/>
          <w:szCs w:val="21"/>
        </w:rPr>
      </w:pPr>
      <w:bookmarkStart w:id="125" w:name="_Hlt26954856"/>
      <w:bookmarkEnd w:id="125"/>
      <w:bookmarkStart w:id="126" w:name="_Hlt26954864"/>
      <w:bookmarkEnd w:id="126"/>
      <w:bookmarkStart w:id="127" w:name="_Hlt26670523"/>
      <w:bookmarkEnd w:id="127"/>
      <w:bookmarkStart w:id="128" w:name="_Toc118275518"/>
      <w:bookmarkStart w:id="129" w:name="_Toc118275638"/>
      <w:bookmarkStart w:id="130" w:name="_Toc118275558"/>
      <w:bookmarkStart w:id="131" w:name="_Toc118235413"/>
      <w:bookmarkStart w:id="132" w:name="_Toc107916292"/>
      <w:r>
        <w:rPr>
          <w:rFonts w:hint="eastAsia" w:asciiTheme="minorEastAsia" w:hAnsiTheme="minorEastAsia" w:eastAsiaTheme="minorEastAsia" w:cstheme="minorEastAsia"/>
          <w:b/>
          <w:szCs w:val="21"/>
        </w:rPr>
        <w:t>五、响应开启、评审程序与评审</w:t>
      </w:r>
      <w:bookmarkEnd w:id="128"/>
      <w:bookmarkEnd w:id="129"/>
      <w:bookmarkEnd w:id="130"/>
      <w:bookmarkEnd w:id="131"/>
      <w:bookmarkEnd w:id="132"/>
      <w:bookmarkStart w:id="133" w:name="_Toc16938546"/>
      <w:bookmarkStart w:id="134" w:name="_Toc513029230"/>
      <w:bookmarkStart w:id="135" w:name="_Toc20823302"/>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w:t>
      </w:r>
      <w:bookmarkEnd w:id="133"/>
      <w:bookmarkEnd w:id="134"/>
      <w:bookmarkEnd w:id="135"/>
      <w:r>
        <w:rPr>
          <w:rFonts w:hint="eastAsia" w:asciiTheme="minorEastAsia" w:hAnsiTheme="minorEastAsia" w:eastAsiaTheme="minorEastAsia" w:cstheme="minorEastAsia"/>
          <w:b/>
          <w:szCs w:val="21"/>
        </w:rPr>
        <w:t>.响应</w:t>
      </w:r>
      <w:bookmarkStart w:id="136" w:name="_Toc513029231"/>
      <w:bookmarkStart w:id="137" w:name="_Toc20823303"/>
      <w:bookmarkStart w:id="138" w:name="_Toc16938547"/>
      <w:r>
        <w:rPr>
          <w:rFonts w:hint="eastAsia" w:asciiTheme="minorEastAsia" w:hAnsiTheme="minorEastAsia" w:eastAsiaTheme="minorEastAsia" w:cstheme="minorEastAsia"/>
          <w:b/>
          <w:szCs w:val="21"/>
        </w:rPr>
        <w:t>开启时间及地点</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本项目响应文件开启时间及地点见</w:t>
      </w:r>
      <w:r>
        <w:rPr>
          <w:rFonts w:hint="eastAsia" w:asciiTheme="minorEastAsia" w:hAnsiTheme="minorEastAsia" w:eastAsiaTheme="minorEastAsia" w:cstheme="minorEastAsia"/>
          <w:b/>
          <w:bCs/>
          <w:szCs w:val="21"/>
          <w:u w:val="single"/>
        </w:rPr>
        <w:t>采购公告</w:t>
      </w:r>
      <w:r>
        <w:rPr>
          <w:rFonts w:hint="eastAsia" w:asciiTheme="minorEastAsia" w:hAnsiTheme="minorEastAsia" w:eastAsiaTheme="minorEastAsia" w:cstheme="minorEastAsia"/>
          <w:szCs w:val="21"/>
        </w:rPr>
        <w:t>。</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2.评审小组</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2.1评审小组由采购人代表和评审专家共3人以上单数组成，其中评审专家人数不得少于评审小组成员总数的2/3。评审专家应当遵守评审工作纪律，不得泄露评审情况和评审中获悉的商业秘密。</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w:t>
      </w:r>
      <w:bookmarkEnd w:id="136"/>
      <w:bookmarkEnd w:id="137"/>
      <w:bookmarkEnd w:id="138"/>
      <w:r>
        <w:rPr>
          <w:rFonts w:hint="eastAsia" w:asciiTheme="minorEastAsia" w:hAnsiTheme="minorEastAsia" w:eastAsiaTheme="minorEastAsia" w:cstheme="minorEastAsia"/>
          <w:szCs w:val="21"/>
        </w:rPr>
        <w:t>评审小组成员应当按照客观、公正、审慎的原则，根据采购文件规定的评审程序、评审方法和评审标准进行独立评审。未实质性响应采购文件的响应文件按无效响应处理。</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2.3在评审过程中，供应商不得以任何行为影响评审过程，否则其响应文件将被作为无效响应文件。</w:t>
      </w:r>
      <w:bookmarkStart w:id="139" w:name="_Toc20823305"/>
      <w:bookmarkStart w:id="140" w:name="_Toc16938549"/>
      <w:bookmarkStart w:id="141" w:name="_Toc513029233"/>
    </w:p>
    <w:p>
      <w:pPr>
        <w:spacing w:line="247"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3.有效的响应文件</w:t>
      </w:r>
    </w:p>
    <w:bookmarkEnd w:id="139"/>
    <w:bookmarkEnd w:id="140"/>
    <w:bookmarkEnd w:id="141"/>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3.1评审小组在对响应文件的有效性、完整性和响应程度进行审查</w:t>
      </w:r>
      <w:r>
        <w:rPr>
          <w:rFonts w:hint="eastAsia" w:asciiTheme="minorEastAsia" w:hAnsiTheme="minorEastAsia" w:eastAsiaTheme="minorEastAsia" w:cstheme="minorEastAsia"/>
          <w:b/>
          <w:szCs w:val="21"/>
        </w:rPr>
        <w:t>。</w:t>
      </w:r>
    </w:p>
    <w:p>
      <w:pPr>
        <w:spacing w:line="262" w:lineRule="auto"/>
        <w:ind w:firstLine="420" w:firstLineChars="200"/>
        <w:rPr>
          <w:rFonts w:asciiTheme="minorEastAsia" w:hAnsiTheme="minorEastAsia" w:eastAsiaTheme="minorEastAsia" w:cstheme="minorEastAsia"/>
          <w:szCs w:val="21"/>
        </w:rPr>
      </w:pPr>
      <w:bookmarkStart w:id="142" w:name="_Toc513029234"/>
      <w:bookmarkStart w:id="143" w:name="_Toc20823306"/>
      <w:bookmarkStart w:id="144" w:name="_Toc16938550"/>
      <w:r>
        <w:rPr>
          <w:rFonts w:hint="eastAsia" w:asciiTheme="minorEastAsia" w:hAnsiTheme="minorEastAsia" w:eastAsiaTheme="minorEastAsia" w:cstheme="minorEastAsia"/>
          <w:szCs w:val="21"/>
        </w:rPr>
        <w:t>3.2被认定为未实质性响应采购文件的响应文件的情形：</w:t>
      </w:r>
    </w:p>
    <w:p>
      <w:pPr>
        <w:spacing w:line="262" w:lineRule="auto"/>
        <w:ind w:firstLine="420" w:firstLineChars="200"/>
        <w:rPr>
          <w:rFonts w:asciiTheme="minorEastAsia" w:hAnsiTheme="minorEastAsia" w:eastAsiaTheme="minorEastAsia" w:cstheme="minorEastAsia"/>
          <w:szCs w:val="21"/>
        </w:rPr>
      </w:pPr>
      <w:bookmarkStart w:id="145" w:name="_Toc20823304"/>
      <w:bookmarkStart w:id="146" w:name="_Toc513029232"/>
      <w:bookmarkStart w:id="147" w:name="_Toc16938548"/>
      <w:r>
        <w:rPr>
          <w:rFonts w:hint="eastAsia" w:asciiTheme="minorEastAsia" w:hAnsiTheme="minorEastAsia" w:eastAsiaTheme="minorEastAsia" w:cstheme="minorEastAsia"/>
          <w:szCs w:val="21"/>
        </w:rPr>
        <w:t>（1）未按要求交纳保证金的（限要求提交保证金的项目）；</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（2）未按照采购文件规定要求签署、盖章的；</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（3）提供的产品质量和服务没有满足采购文件规定的实质性要求的；</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（4）评审小组认为供应商的报价明显低于其他通过符合性检查供应商的报价</w:t>
      </w:r>
      <w:r>
        <w:rPr>
          <w:rFonts w:hint="eastAsia" w:asciiTheme="minorEastAsia" w:hAnsiTheme="minorEastAsia" w:eastAsiaTheme="minorEastAsia" w:cstheme="minorEastAsia"/>
          <w:kern w:val="0"/>
          <w:szCs w:val="21"/>
        </w:rPr>
        <w:t>，有可能影响采购质量（例：所投产品品牌档次无可比性或非同一级别的等）或者不能诚信履约的；</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（5）不符合法规和采购文件中规定的其他实质性要求的（例：</w:t>
      </w:r>
      <w:r>
        <w:rPr>
          <w:rFonts w:hint="eastAsia" w:asciiTheme="minorEastAsia" w:hAnsiTheme="minorEastAsia" w:eastAsiaTheme="minorEastAsia" w:cstheme="minorEastAsia"/>
          <w:kern w:val="0"/>
          <w:szCs w:val="21"/>
        </w:rPr>
        <w:t>超过预算金额、</w:t>
      </w:r>
      <w:r>
        <w:rPr>
          <w:rFonts w:hint="eastAsia" w:asciiTheme="minorEastAsia" w:hAnsiTheme="minorEastAsia" w:eastAsiaTheme="minorEastAsia" w:cstheme="minorEastAsia"/>
          <w:szCs w:val="21"/>
        </w:rPr>
        <w:t>采用选择性报价等）。</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4.评审过程的澄清</w:t>
      </w:r>
      <w:bookmarkEnd w:id="145"/>
      <w:bookmarkEnd w:id="146"/>
      <w:bookmarkEnd w:id="147"/>
      <w:r>
        <w:rPr>
          <w:rFonts w:hint="eastAsia" w:asciiTheme="minorEastAsia" w:hAnsiTheme="minorEastAsia" w:eastAsiaTheme="minorEastAsia" w:cstheme="minorEastAsia"/>
          <w:b/>
          <w:szCs w:val="21"/>
        </w:rPr>
        <w:t>、说明和更正</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4.1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接到评审小组要求的供应商应派人按评审小组通知的时间和地点做出书面澄清、说明或更正。供应商的澄清、说明或者更正应当由法定代表人或其授权代表签字或者加盖公章。由授权代表签字的，应当附法人授权书。</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4.3 接到评审小组澄清要求的供应商如未按规定做出澄清，其风险由供应商自行承担。</w:t>
      </w:r>
      <w:bookmarkEnd w:id="142"/>
      <w:bookmarkEnd w:id="143"/>
      <w:bookmarkEnd w:id="144"/>
    </w:p>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w:t>
      </w:r>
      <w:bookmarkStart w:id="148" w:name="_Toc20823307"/>
      <w:bookmarkStart w:id="149" w:name="_Toc513029235"/>
      <w:bookmarkStart w:id="150" w:name="_Toc16938551"/>
      <w:r>
        <w:rPr>
          <w:rFonts w:hint="eastAsia" w:asciiTheme="minorEastAsia" w:hAnsiTheme="minorEastAsia" w:eastAsiaTheme="minorEastAsia" w:cstheme="minorEastAsia"/>
          <w:b/>
          <w:szCs w:val="21"/>
        </w:rPr>
        <w:t>评审方法、评审标准</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5.1评审方法：综合评分法。</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综合评分法，是指响应文件满足采购文件全部实质性要求且按评审因素的量化指标评审得分最高的供应商为成交候选供应商的评审方法。评审时，评审小组各成员独立对每个有效响应的文件进行评价、打分，然后汇总每个供应商每项评分因素的得分。</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5.2评审标准：略，见本采购文件第4章规定。</w:t>
      </w:r>
    </w:p>
    <w:p>
      <w:pPr>
        <w:spacing w:line="262" w:lineRule="auto"/>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5.3采购人视情执行政府采购政策。具体优先采购办法见采购文件第4章。</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5.4评审小组根据综合评分情况，按照评审得分由高到低顺序推荐成交候选供应商，并编写评审报告。评审得分相同的，按照最后报价由低到高的顺序推荐。评审得分且最后报价相同的，按照技术指标优劣顺序推荐。采购人根据评审小组推荐的成交候选人确定成交供应商（多种并列情形的，采购人将自行确定）。采购人确定成交供应商后，将发布公告或以电子邮件等方式通知所有参加采购的供应商。</w:t>
      </w:r>
    </w:p>
    <w:bookmarkEnd w:id="148"/>
    <w:bookmarkEnd w:id="149"/>
    <w:bookmarkEnd w:id="150"/>
    <w:p>
      <w:pPr>
        <w:spacing w:line="262" w:lineRule="auto"/>
        <w:jc w:val="center"/>
        <w:outlineLvl w:val="1"/>
        <w:rPr>
          <w:rFonts w:asciiTheme="minorEastAsia" w:hAnsiTheme="minorEastAsia" w:eastAsiaTheme="minorEastAsia" w:cstheme="minorEastAsia"/>
          <w:szCs w:val="21"/>
        </w:rPr>
      </w:pPr>
      <w:bookmarkStart w:id="151" w:name="_Toc118275639"/>
      <w:bookmarkStart w:id="152" w:name="_Toc118275559"/>
      <w:bookmarkStart w:id="153" w:name="_Toc107916293"/>
      <w:bookmarkStart w:id="154" w:name="_Toc118235414"/>
      <w:bookmarkStart w:id="155" w:name="_Toc118275519"/>
      <w:r>
        <w:rPr>
          <w:rFonts w:hint="eastAsia" w:asciiTheme="minorEastAsia" w:hAnsiTheme="minorEastAsia" w:eastAsiaTheme="minorEastAsia" w:cstheme="minorEastAsia"/>
          <w:b/>
          <w:szCs w:val="21"/>
        </w:rPr>
        <w:t>六、合同签订相关事项</w:t>
      </w:r>
      <w:bookmarkEnd w:id="151"/>
      <w:bookmarkEnd w:id="152"/>
      <w:bookmarkEnd w:id="153"/>
      <w:bookmarkEnd w:id="154"/>
      <w:bookmarkEnd w:id="155"/>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 合同草案条款及签订合同</w:t>
      </w:r>
    </w:p>
    <w:p>
      <w:pPr>
        <w:spacing w:line="262" w:lineRule="auto"/>
        <w:ind w:firstLine="432"/>
        <w:rPr>
          <w:rFonts w:asciiTheme="minorEastAsia" w:hAnsiTheme="minorEastAsia" w:eastAsiaTheme="minorEastAsia" w:cstheme="minorEastAsia"/>
          <w:spacing w:val="15"/>
          <w:kern w:val="0"/>
          <w:szCs w:val="21"/>
        </w:rPr>
      </w:pPr>
      <w:r>
        <w:rPr>
          <w:rFonts w:hint="eastAsia" w:asciiTheme="minorEastAsia" w:hAnsiTheme="minorEastAsia" w:eastAsiaTheme="minorEastAsia" w:cstheme="minorEastAsia"/>
          <w:szCs w:val="21"/>
        </w:rPr>
        <w:t>1.l成交供应商确定后，</w:t>
      </w:r>
      <w:r>
        <w:rPr>
          <w:rFonts w:hint="eastAsia" w:asciiTheme="minorEastAsia" w:hAnsiTheme="minorEastAsia" w:eastAsiaTheme="minorEastAsia" w:cstheme="minorEastAsia"/>
          <w:bCs/>
          <w:szCs w:val="21"/>
        </w:rPr>
        <w:t>携手阳光公司</w:t>
      </w:r>
      <w:r>
        <w:rPr>
          <w:rFonts w:hint="eastAsia" w:asciiTheme="minorEastAsia" w:hAnsiTheme="minorEastAsia" w:eastAsiaTheme="minorEastAsia" w:cstheme="minorEastAsia"/>
          <w:szCs w:val="21"/>
        </w:rPr>
        <w:t>将向成交供应商发出成交通知书。</w:t>
      </w:r>
      <w:r>
        <w:rPr>
          <w:rFonts w:hint="eastAsia" w:asciiTheme="minorEastAsia" w:hAnsiTheme="minorEastAsia" w:eastAsiaTheme="minorEastAsia" w:cstheme="minorEastAsia"/>
          <w:spacing w:val="15"/>
          <w:kern w:val="0"/>
          <w:szCs w:val="21"/>
        </w:rPr>
        <w:t>成交供应商应当在成交通知书发出之日起7日内，按照采购文件确定的事项签订政府采购合同。</w:t>
      </w:r>
    </w:p>
    <w:p>
      <w:pPr>
        <w:spacing w:line="262" w:lineRule="auto"/>
        <w:ind w:firstLine="43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1.2合同草案条款（拟签订的合同文本）见采购文件第3章。采购文件、成交供应商的响应文件及采购过程中有关澄清、承诺文件均应为合同的组成部分。</w:t>
      </w:r>
    </w:p>
    <w:p>
      <w:pPr>
        <w:spacing w:line="262"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1.3成交供应商不得将政府采购合同转包。未经采购人同意，成交供应商也不得采取分包的形式履行合同。否则采购人有权终止合同及履约保证金将不予退还。造成损失的，成交供应商应承担赔偿责任。</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2.履约保证金</w:t>
      </w:r>
    </w:p>
    <w:p>
      <w:pPr>
        <w:spacing w:line="262"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2.1在签订合同前，成交供应商需向招标人交纳履约保证金（请将履约保证金汇款凭证发送至QQ邮箱：532223373@qq.com），具体金额为壹万元。拟成交供应商应当按照招标人的要求及时、足额缴纳履约保证金，履约保证金待项目验收结束后一次性无息退还。</w:t>
      </w:r>
    </w:p>
    <w:p>
      <w:pPr>
        <w:spacing w:line="262"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2.2履约保证金专户帐户信息</w:t>
      </w:r>
    </w:p>
    <w:p>
      <w:pPr>
        <w:spacing w:line="262"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单位名称：江苏医药职业学院</w:t>
      </w:r>
    </w:p>
    <w:p>
      <w:pPr>
        <w:spacing w:line="262"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开户行名称：建行盐城市城南支行</w:t>
      </w:r>
    </w:p>
    <w:p>
      <w:pPr>
        <w:spacing w:line="262"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银行帐号：32001735038052500575</w:t>
      </w:r>
    </w:p>
    <w:p>
      <w:pPr>
        <w:spacing w:line="262"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地    址：江苏省盐城市解放南路283号</w:t>
      </w:r>
    </w:p>
    <w:p>
      <w:pPr>
        <w:spacing w:line="262"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电    话：0515-88550311</w:t>
      </w:r>
    </w:p>
    <w:p>
      <w:pPr>
        <w:spacing w:line="262"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2.3如果拟成交供应商没有在规定的时间内交纳履约保证金，或放弃中标、或被查实存在影响中标结果的违法行为、或其他供应商对招标项目的质疑（投诉）成立、或拒绝遵守采购文件规定、响应承诺，或拒绝签订合同、或虽签署合同但不予履行等，则取消（拟）成交供应商资格，已经缴纳的履约保证金作为违约金不予退还。</w:t>
      </w:r>
    </w:p>
    <w:p>
      <w:pPr>
        <w:spacing w:line="262"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2.4履约保证金退还：成交供应商缴纳的履约保证金待项目验收结束后无质量问题一次性无息退还，（凭“保证金请退函”到学校国资处办理退款手续）。如果成交供应商不履行合同约定的义务，未能完全履行合同规定的义务或其履行不符合合同的约定，招标人有权扣除履约保证金取得补偿。</w:t>
      </w:r>
    </w:p>
    <w:p>
      <w:pPr>
        <w:spacing w:line="262"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2.5履约保证金用以约束成交供应商在合同履行中的行为，弥补合同执行中由于自身行为可能给采购人带来的各种损失（履约保证金将不予退还）。</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3.代理服务费</w:t>
      </w:r>
    </w:p>
    <w:p>
      <w:pPr>
        <w:spacing w:line="262" w:lineRule="auto"/>
        <w:ind w:firstLine="408"/>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3.1</w:t>
      </w:r>
      <w:r>
        <w:rPr>
          <w:rFonts w:hint="eastAsia" w:asciiTheme="minorEastAsia" w:hAnsiTheme="minorEastAsia" w:eastAsiaTheme="minorEastAsia" w:cstheme="minorEastAsia"/>
          <w:bCs/>
          <w:szCs w:val="21"/>
        </w:rPr>
        <w:t>代理服务费收费标准：见</w:t>
      </w:r>
      <w:r>
        <w:rPr>
          <w:rFonts w:hint="eastAsia" w:asciiTheme="minorEastAsia" w:hAnsiTheme="minorEastAsia" w:eastAsiaTheme="minorEastAsia" w:cstheme="minorEastAsia"/>
          <w:bCs/>
          <w:szCs w:val="21"/>
          <w:u w:val="single"/>
        </w:rPr>
        <w:t>供应商须知资料表</w:t>
      </w:r>
      <w:r>
        <w:rPr>
          <w:rFonts w:hint="eastAsia" w:asciiTheme="minorEastAsia" w:hAnsiTheme="minorEastAsia" w:eastAsiaTheme="minorEastAsia" w:cstheme="minorEastAsia"/>
          <w:szCs w:val="21"/>
        </w:rPr>
        <w:t>。</w:t>
      </w:r>
    </w:p>
    <w:p>
      <w:pPr>
        <w:spacing w:line="262" w:lineRule="auto"/>
        <w:ind w:firstLine="408"/>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3.2如</w:t>
      </w:r>
      <w:r>
        <w:rPr>
          <w:rFonts w:hint="eastAsia" w:asciiTheme="minorEastAsia" w:hAnsiTheme="minorEastAsia" w:eastAsiaTheme="minorEastAsia" w:cstheme="minorEastAsia"/>
          <w:bCs/>
          <w:szCs w:val="21"/>
          <w:u w:val="single"/>
        </w:rPr>
        <w:t>供应商须知资料表</w:t>
      </w:r>
      <w:r>
        <w:rPr>
          <w:rFonts w:hint="eastAsia" w:asciiTheme="minorEastAsia" w:hAnsiTheme="minorEastAsia" w:eastAsiaTheme="minorEastAsia" w:cstheme="minorEastAsia"/>
          <w:bCs/>
          <w:szCs w:val="21"/>
        </w:rPr>
        <w:t>规定代理服务费由成交供应商承担的。成交供应商须在领取成交通知书时，按照</w:t>
      </w:r>
      <w:r>
        <w:rPr>
          <w:rFonts w:hint="eastAsia" w:asciiTheme="minorEastAsia" w:hAnsiTheme="minorEastAsia" w:eastAsiaTheme="minorEastAsia" w:cstheme="minorEastAsia"/>
          <w:bCs/>
          <w:szCs w:val="21"/>
          <w:u w:val="single"/>
        </w:rPr>
        <w:t>供应商须知资料表</w:t>
      </w:r>
      <w:r>
        <w:rPr>
          <w:rFonts w:hint="eastAsia" w:asciiTheme="minorEastAsia" w:hAnsiTheme="minorEastAsia" w:eastAsiaTheme="minorEastAsia" w:cstheme="minorEastAsia"/>
          <w:bCs/>
          <w:szCs w:val="21"/>
        </w:rPr>
        <w:t>规定的收费标准向携手阳光公司支付代理服务费（一次性付清）。</w:t>
      </w:r>
      <w:r>
        <w:rPr>
          <w:rFonts w:hint="eastAsia" w:asciiTheme="minorEastAsia" w:hAnsiTheme="minorEastAsia" w:eastAsiaTheme="minorEastAsia" w:cstheme="minorEastAsia"/>
          <w:szCs w:val="21"/>
        </w:rPr>
        <w:t>该费用折算在供应商报价中，不在响应文件中单独列出。</w:t>
      </w:r>
    </w:p>
    <w:p>
      <w:pPr>
        <w:spacing w:line="26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3.3代理服务费支付形式为：电款、转账等；发票为</w:t>
      </w:r>
      <w:r>
        <w:rPr>
          <w:rFonts w:hint="eastAsia" w:asciiTheme="minorEastAsia" w:hAnsiTheme="minorEastAsia" w:eastAsiaTheme="minorEastAsia" w:cstheme="minorEastAsia"/>
          <w:szCs w:val="21"/>
        </w:rPr>
        <w:t>普通发票。账户信息：开户名：盐城市携手阳光集中采购代理有限公司；开户行：兴业银行盐城分行；账号：402010100100119375）。</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4.成交供应商违约、违规责任</w:t>
      </w:r>
    </w:p>
    <w:p>
      <w:pPr>
        <w:spacing w:line="262" w:lineRule="auto"/>
        <w:ind w:firstLine="420" w:firstLineChars="200"/>
        <w:rPr>
          <w:rFonts w:asciiTheme="minorEastAsia" w:hAnsiTheme="minorEastAsia" w:eastAsiaTheme="minorEastAsia" w:cstheme="minorEastAsia"/>
          <w:spacing w:val="15"/>
          <w:kern w:val="0"/>
          <w:szCs w:val="21"/>
        </w:rPr>
      </w:pPr>
      <w:r>
        <w:rPr>
          <w:rFonts w:hint="eastAsia" w:asciiTheme="minorEastAsia" w:hAnsiTheme="minorEastAsia" w:eastAsiaTheme="minorEastAsia" w:cstheme="minorEastAsia"/>
          <w:szCs w:val="21"/>
        </w:rPr>
        <w:t>4.1</w:t>
      </w:r>
      <w:r>
        <w:rPr>
          <w:rFonts w:hint="eastAsia" w:asciiTheme="minorEastAsia" w:hAnsiTheme="minorEastAsia" w:eastAsiaTheme="minorEastAsia" w:cstheme="minorEastAsia"/>
          <w:spacing w:val="15"/>
          <w:kern w:val="0"/>
          <w:szCs w:val="21"/>
        </w:rPr>
        <w:t>政府采购遵循诚实信用原则。为保证政府采购效率及采购人的合法权益，</w:t>
      </w:r>
      <w:r>
        <w:rPr>
          <w:rFonts w:hint="eastAsia" w:asciiTheme="minorEastAsia" w:hAnsiTheme="minorEastAsia" w:eastAsiaTheme="minorEastAsia" w:cstheme="minorEastAsia"/>
          <w:szCs w:val="21"/>
        </w:rPr>
        <w:t>成交供应商出现违约、违规的，按照有利于采购人的原则处理。即：如采购文件、投标（响应）文件及合同条款约定中对成交供应商有不同违约、违规规定的，按照处罚最高的规定处理（供应商承担）。</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如成交供应商出现下例情况的，采购人或采购代理机构有权拒绝其供应商参加采购代理机构代理的或采购人的各类采购活动（视为没有良好的商业信誉而拒绝参加）：1、未及时与采购人签订合同（放弃成交）；2、未按照采购文件、响应文件及合同条款履行合同的；3、未及时向携手阳光公司支持代理服务费的；4、出现其它违法、违规、违约行为的。以上情节严重的，将报请政府采购监督管理部门进行相应的行政处罚。造成采购人损失的，成交供应商须承担全部赔偿责任，采购人保留诉讼的权利。</w:t>
      </w:r>
      <w:r>
        <w:rPr>
          <w:rFonts w:hint="eastAsia" w:asciiTheme="minorEastAsia" w:hAnsiTheme="minorEastAsia" w:eastAsiaTheme="minorEastAsia" w:cstheme="minorEastAsia"/>
          <w:spacing w:val="15"/>
          <w:kern w:val="0"/>
          <w:szCs w:val="21"/>
        </w:rPr>
        <w:t> </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4.3法律法规规定的其它违约、违规责任。</w:t>
      </w:r>
    </w:p>
    <w:p>
      <w:pPr>
        <w:spacing w:line="262" w:lineRule="auto"/>
        <w:ind w:firstLine="422" w:firstLineChars="200"/>
        <w:jc w:val="center"/>
        <w:outlineLvl w:val="1"/>
        <w:rPr>
          <w:rFonts w:asciiTheme="minorEastAsia" w:hAnsiTheme="minorEastAsia" w:eastAsiaTheme="minorEastAsia" w:cstheme="minorEastAsia"/>
          <w:szCs w:val="21"/>
        </w:rPr>
      </w:pPr>
      <w:bookmarkStart w:id="156" w:name="_Toc118275520"/>
      <w:bookmarkStart w:id="157" w:name="_Toc118275560"/>
      <w:bookmarkStart w:id="158" w:name="_Toc118275640"/>
      <w:bookmarkStart w:id="159" w:name="_Toc107916294"/>
      <w:bookmarkStart w:id="160" w:name="_Toc118235415"/>
      <w:r>
        <w:rPr>
          <w:rFonts w:hint="eastAsia" w:asciiTheme="minorEastAsia" w:hAnsiTheme="minorEastAsia" w:eastAsiaTheme="minorEastAsia" w:cstheme="minorEastAsia"/>
          <w:b/>
          <w:szCs w:val="21"/>
        </w:rPr>
        <w:t>七、质疑受理</w:t>
      </w:r>
      <w:bookmarkEnd w:id="156"/>
      <w:bookmarkEnd w:id="157"/>
      <w:bookmarkEnd w:id="158"/>
      <w:bookmarkEnd w:id="159"/>
      <w:bookmarkEnd w:id="160"/>
    </w:p>
    <w:p>
      <w:pPr>
        <w:spacing w:line="262" w:lineRule="auto"/>
        <w:rPr>
          <w:rFonts w:asciiTheme="minorEastAsia" w:hAnsiTheme="minorEastAsia" w:eastAsiaTheme="minorEastAsia" w:cstheme="minorEastAsia"/>
          <w:szCs w:val="21"/>
        </w:rPr>
      </w:pPr>
      <w:bookmarkStart w:id="161" w:name="_Toc16938553"/>
      <w:bookmarkStart w:id="162" w:name="_Toc20823309"/>
      <w:bookmarkStart w:id="163" w:name="_Toc513029237"/>
      <w:r>
        <w:rPr>
          <w:rFonts w:hint="eastAsia" w:asciiTheme="minorEastAsia" w:hAnsiTheme="minorEastAsia" w:eastAsiaTheme="minorEastAsia" w:cstheme="minorEastAsia"/>
          <w:b/>
          <w:szCs w:val="21"/>
        </w:rPr>
        <w:t>1.质疑受理</w:t>
      </w:r>
    </w:p>
    <w:p>
      <w:pPr>
        <w:spacing w:line="262"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1.1供应商认为采购文件采购过程和成交结果使自己的权益受到损害的，可以在3个工作日内向</w:t>
      </w:r>
      <w:r>
        <w:rPr>
          <w:rFonts w:hint="eastAsia" w:asciiTheme="minorEastAsia" w:hAnsiTheme="minorEastAsia" w:eastAsiaTheme="minorEastAsia" w:cstheme="minorEastAsia"/>
          <w:b/>
          <w:bCs/>
          <w:szCs w:val="21"/>
        </w:rPr>
        <w:t>携手阳光公司（采购人受权接受）</w:t>
      </w:r>
      <w:r>
        <w:rPr>
          <w:rFonts w:hint="eastAsia" w:asciiTheme="minorEastAsia" w:hAnsiTheme="minorEastAsia" w:eastAsiaTheme="minorEastAsia" w:cstheme="minorEastAsia"/>
          <w:b/>
          <w:szCs w:val="21"/>
        </w:rPr>
        <w:t>提出质疑。</w:t>
      </w:r>
    </w:p>
    <w:p>
      <w:pPr>
        <w:spacing w:line="262"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1.2质疑供应商应按照财政部制定的《政府采购质疑函范本》格式（可从财政部官方网站下载）和《政府采购质疑和投诉办法》的要求，在法定质疑期内以书面形式提出质疑，针对同一采购程序环节的质疑应一次性提出。</w:t>
      </w:r>
    </w:p>
    <w:p>
      <w:pPr>
        <w:spacing w:line="262" w:lineRule="auto"/>
        <w:ind w:firstLine="422"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超出约定质疑期的、重复提出的、分次提出的或内容、形式不符合《政府采购质疑和投诉办法》的，质疑供应商将依法承担不利后果。</w:t>
      </w:r>
    </w:p>
    <w:p>
      <w:pPr>
        <w:spacing w:line="262" w:lineRule="auto"/>
        <w:ind w:firstLine="422"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1.3质疑供应商对采购人、携手阳光公司的答复不满意或者采购人、采购代理机构未在规定的时间内作出答复的，可以在答复期满后3个工作日内向采购人内控管理部门反映（投诉）</w:t>
      </w:r>
      <w:r>
        <w:rPr>
          <w:rFonts w:hint="eastAsia" w:asciiTheme="minorEastAsia" w:hAnsiTheme="minorEastAsia" w:eastAsiaTheme="minorEastAsia" w:cstheme="minorEastAsia"/>
          <w:szCs w:val="21"/>
          <w:shd w:val="clear" w:color="auto" w:fill="FFFFFF"/>
        </w:rPr>
        <w:t>。</w:t>
      </w:r>
    </w:p>
    <w:p>
      <w:pPr>
        <w:spacing w:line="262" w:lineRule="auto"/>
        <w:ind w:firstLine="422" w:firstLineChars="200"/>
        <w:jc w:val="center"/>
        <w:outlineLvl w:val="1"/>
        <w:rPr>
          <w:rFonts w:asciiTheme="minorEastAsia" w:hAnsiTheme="minorEastAsia" w:eastAsiaTheme="minorEastAsia" w:cstheme="minorEastAsia"/>
          <w:szCs w:val="21"/>
        </w:rPr>
      </w:pPr>
      <w:bookmarkStart w:id="164" w:name="_Toc118275561"/>
      <w:bookmarkStart w:id="165" w:name="_Toc107916295"/>
      <w:bookmarkStart w:id="166" w:name="_Toc118235416"/>
      <w:bookmarkStart w:id="167" w:name="_Toc118275521"/>
      <w:bookmarkStart w:id="168" w:name="_Toc118275641"/>
      <w:r>
        <w:rPr>
          <w:rFonts w:hint="eastAsia" w:asciiTheme="minorEastAsia" w:hAnsiTheme="minorEastAsia" w:eastAsiaTheme="minorEastAsia" w:cstheme="minorEastAsia"/>
          <w:b/>
          <w:szCs w:val="21"/>
        </w:rPr>
        <w:t>八、终止磋商采购活动</w:t>
      </w:r>
      <w:bookmarkEnd w:id="164"/>
      <w:bookmarkEnd w:id="165"/>
      <w:bookmarkEnd w:id="166"/>
      <w:bookmarkEnd w:id="167"/>
      <w:bookmarkEnd w:id="168"/>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终止磋商采购活动</w:t>
      </w:r>
    </w:p>
    <w:p>
      <w:pPr>
        <w:spacing w:line="26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出现下列情形之一的，采购人或者采购代理机构应当终止磋商采购活动，发布项目终止公告并说明原因，重新开展采购活动：</w:t>
      </w:r>
    </w:p>
    <w:p>
      <w:pPr>
        <w:spacing w:line="26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（1）因情况变化，不再符合规定的磋商采购方式适用情形的；</w:t>
      </w:r>
    </w:p>
    <w:p>
      <w:pPr>
        <w:spacing w:line="26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（2）出现影响采购公正的违法、违规行为的；</w:t>
      </w:r>
    </w:p>
    <w:bookmarkEnd w:id="161"/>
    <w:bookmarkEnd w:id="162"/>
    <w:bookmarkEnd w:id="163"/>
    <w:p>
      <w:pPr>
        <w:spacing w:line="386"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在采购过程中符合竞争要求的供应商或者报价未超过采购预算的供应商不足3家的，采购人可以终止采购活动，也可以按照“以合理的价格购买数量、质量合适的产品”的原则继续评审。</w:t>
      </w:r>
    </w:p>
    <w:p>
      <w:pPr>
        <w:spacing w:line="262" w:lineRule="auto"/>
        <w:jc w:val="center"/>
        <w:outlineLvl w:val="1"/>
        <w:rPr>
          <w:rFonts w:asciiTheme="minorEastAsia" w:hAnsiTheme="minorEastAsia" w:eastAsiaTheme="minorEastAsia" w:cstheme="minorEastAsia"/>
          <w:szCs w:val="21"/>
        </w:rPr>
      </w:pPr>
      <w:bookmarkStart w:id="169" w:name="_Toc118235417"/>
      <w:bookmarkStart w:id="170" w:name="_Toc118275562"/>
      <w:bookmarkStart w:id="171" w:name="_Toc107916296"/>
      <w:bookmarkStart w:id="172" w:name="_Toc118275522"/>
      <w:bookmarkStart w:id="173" w:name="_Toc118275642"/>
      <w:r>
        <w:rPr>
          <w:rFonts w:hint="eastAsia" w:asciiTheme="minorEastAsia" w:hAnsiTheme="minorEastAsia" w:eastAsiaTheme="minorEastAsia" w:cstheme="minorEastAsia"/>
          <w:b/>
          <w:szCs w:val="21"/>
        </w:rPr>
        <w:t>九、其他</w:t>
      </w:r>
      <w:bookmarkEnd w:id="169"/>
      <w:bookmarkEnd w:id="170"/>
      <w:bookmarkEnd w:id="171"/>
      <w:bookmarkEnd w:id="172"/>
      <w:bookmarkEnd w:id="173"/>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1.政府采购履约资金扶持政策</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根据国家扶持中小企业的有关政策，政府采购成交供应商在履约过程中如遇到资金困难，凭成交通知书在相关金融机构办理授信申请。相关事宜向采购代理机构咨询。</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2.解释（定义）及其它：</w:t>
      </w:r>
    </w:p>
    <w:p>
      <w:pPr>
        <w:spacing w:line="26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本采购文件当中“投标”、“投标供应商”、“投标文件”、“中标”、“成交供应商”，分别是指 “参加磋商响应”、“供应商”、“响应文件”、“成交”、“成交供应商”。</w:t>
      </w:r>
    </w:p>
    <w:p>
      <w:pPr>
        <w:spacing w:line="26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应确保响应文件中证明材料的有效性。如证明材料有效性不受其证明材料所注明的时间影响等情形的（例：证书上有效时间已过期，但政策规定向后延期），供应商应当在响应文件中进行说明并提供相关法律依据。如供应商未提供的，评审人员有权仅按自身理解评审（后果由供应商自负）。</w:t>
      </w:r>
    </w:p>
    <w:p>
      <w:pPr>
        <w:spacing w:line="262" w:lineRule="auto"/>
        <w:ind w:firstLine="422"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本采购文件仅限于政府采购参加人参加本次政府采购活动使用。版权所有（2021.4版），未经携手阳光公司书面授权，本采购文件内容严禁摘录、引用、传播或用于它处。</w:t>
      </w:r>
    </w:p>
    <w:p>
      <w:pPr>
        <w:spacing w:line="480" w:lineRule="auto"/>
        <w:jc w:val="center"/>
        <w:rPr>
          <w:rFonts w:ascii="宋体" w:hAnsi="宋体" w:cs="宋体"/>
          <w:b/>
          <w:color w:val="000000"/>
          <w:sz w:val="32"/>
          <w:szCs w:val="21"/>
        </w:rPr>
      </w:pPr>
      <w:bookmarkStart w:id="174" w:name="_Toc122338093"/>
    </w:p>
    <w:p>
      <w:pPr>
        <w:pStyle w:val="2"/>
      </w:pPr>
    </w:p>
    <w:p>
      <w:pPr>
        <w:pStyle w:val="3"/>
      </w:pPr>
    </w:p>
    <w:p>
      <w:pPr>
        <w:pStyle w:val="3"/>
      </w:pPr>
    </w:p>
    <w:p>
      <w:pPr>
        <w:pStyle w:val="3"/>
      </w:pPr>
    </w:p>
    <w:p>
      <w:pPr>
        <w:pStyle w:val="3"/>
      </w:pPr>
    </w:p>
    <w:p>
      <w:pPr>
        <w:spacing w:line="480" w:lineRule="auto"/>
        <w:jc w:val="center"/>
        <w:outlineLvl w:val="0"/>
        <w:rPr>
          <w:rFonts w:hint="eastAsia" w:ascii="宋体" w:hAnsi="宋体" w:cs="宋体"/>
          <w:b/>
          <w:color w:val="000000"/>
          <w:sz w:val="32"/>
          <w:szCs w:val="21"/>
        </w:rPr>
      </w:pPr>
    </w:p>
    <w:p>
      <w:pPr>
        <w:spacing w:line="480" w:lineRule="auto"/>
        <w:jc w:val="center"/>
        <w:outlineLvl w:val="0"/>
        <w:rPr>
          <w:rFonts w:hint="eastAsia" w:ascii="宋体" w:hAnsi="宋体" w:cs="宋体"/>
          <w:b/>
          <w:color w:val="000000"/>
          <w:sz w:val="32"/>
          <w:szCs w:val="21"/>
        </w:rPr>
      </w:pPr>
    </w:p>
    <w:p>
      <w:pPr>
        <w:spacing w:line="480" w:lineRule="auto"/>
        <w:jc w:val="center"/>
        <w:outlineLvl w:val="0"/>
        <w:rPr>
          <w:rFonts w:ascii="宋体" w:hAnsi="宋体" w:cs="宋体"/>
          <w:b/>
          <w:color w:val="000000"/>
          <w:sz w:val="32"/>
          <w:szCs w:val="21"/>
        </w:rPr>
      </w:pPr>
      <w:r>
        <w:rPr>
          <w:rFonts w:hint="eastAsia" w:ascii="宋体" w:hAnsi="宋体" w:cs="宋体"/>
          <w:b/>
          <w:color w:val="000000"/>
          <w:sz w:val="32"/>
          <w:szCs w:val="21"/>
        </w:rPr>
        <w:t>第三章  采购需求及政府采购合同（拟签订的合同文本）</w:t>
      </w:r>
      <w:bookmarkEnd w:id="174"/>
    </w:p>
    <w:p>
      <w:pPr>
        <w:spacing w:line="480" w:lineRule="auto"/>
        <w:jc w:val="center"/>
        <w:outlineLvl w:val="1"/>
        <w:rPr>
          <w:rFonts w:ascii="宋体" w:hAnsi="宋体"/>
          <w:color w:val="000000"/>
          <w:szCs w:val="21"/>
        </w:rPr>
      </w:pPr>
      <w:bookmarkStart w:id="175" w:name="_Toc122338094"/>
      <w:r>
        <w:rPr>
          <w:rFonts w:hint="eastAsia" w:ascii="宋体" w:hAnsi="宋体" w:cs="宋体"/>
          <w:b/>
          <w:bCs/>
          <w:color w:val="000000"/>
          <w:szCs w:val="21"/>
        </w:rPr>
        <w:t>采购需求及</w:t>
      </w:r>
      <w:r>
        <w:rPr>
          <w:rFonts w:hint="eastAsia" w:ascii="宋体" w:hAnsi="宋体"/>
          <w:b/>
          <w:color w:val="000000"/>
          <w:szCs w:val="21"/>
        </w:rPr>
        <w:t>政府采购合同</w:t>
      </w:r>
      <w:r>
        <w:rPr>
          <w:rFonts w:hint="eastAsia" w:ascii="宋体" w:hAnsi="宋体" w:cs="宋体"/>
          <w:b/>
          <w:bCs/>
          <w:color w:val="000000"/>
          <w:szCs w:val="21"/>
        </w:rPr>
        <w:t>前附表</w:t>
      </w:r>
      <w:bookmarkEnd w:id="175"/>
    </w:p>
    <w:p>
      <w:pPr>
        <w:spacing w:line="480" w:lineRule="auto"/>
        <w:ind w:left="420"/>
        <w:jc w:val="center"/>
        <w:rPr>
          <w:rFonts w:ascii="宋体" w:hAnsi="宋体"/>
          <w:b/>
          <w:color w:val="000000"/>
        </w:rPr>
      </w:pPr>
      <w:r>
        <w:rPr>
          <w:rFonts w:hint="eastAsia" w:ascii="宋体" w:hAnsi="宋体"/>
          <w:b/>
          <w:color w:val="000000"/>
        </w:rPr>
        <w:t>★本表是</w:t>
      </w:r>
      <w:r>
        <w:rPr>
          <w:rFonts w:hint="eastAsia" w:ascii="宋体" w:hAnsi="宋体" w:cs="宋体"/>
          <w:b/>
          <w:bCs/>
          <w:color w:val="000000"/>
          <w:szCs w:val="21"/>
        </w:rPr>
        <w:t>采购需求及</w:t>
      </w:r>
      <w:r>
        <w:rPr>
          <w:rFonts w:hint="eastAsia" w:ascii="宋体" w:hAnsi="宋体"/>
          <w:b/>
          <w:color w:val="000000"/>
          <w:szCs w:val="21"/>
        </w:rPr>
        <w:t>政府采购合同</w:t>
      </w:r>
      <w:r>
        <w:rPr>
          <w:rFonts w:hint="eastAsia" w:ascii="宋体" w:hAnsi="宋体"/>
          <w:b/>
          <w:color w:val="000000"/>
        </w:rPr>
        <w:t>相关内容的</w:t>
      </w:r>
      <w:r>
        <w:rPr>
          <w:rFonts w:ascii="宋体" w:hAnsi="宋体"/>
          <w:b/>
          <w:color w:val="000000"/>
        </w:rPr>
        <w:t>说明和补充</w:t>
      </w:r>
      <w:r>
        <w:rPr>
          <w:rFonts w:hint="eastAsia" w:ascii="宋体" w:hAnsi="宋体"/>
          <w:b/>
          <w:color w:val="000000"/>
        </w:rPr>
        <w:t>，如有矛盾，应以本表为准。</w:t>
      </w:r>
    </w:p>
    <w:tbl>
      <w:tblPr>
        <w:tblStyle w:val="30"/>
        <w:tblW w:w="99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875"/>
        <w:gridCol w:w="71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93" w:hRule="atLeast"/>
          <w:jc w:val="center"/>
        </w:trPr>
        <w:tc>
          <w:tcPr>
            <w:tcW w:w="2875" w:type="dxa"/>
            <w:noWrap/>
            <w:vAlign w:val="center"/>
          </w:tcPr>
          <w:p>
            <w:pPr>
              <w:spacing w:line="276" w:lineRule="auto"/>
              <w:jc w:val="center"/>
              <w:rPr>
                <w:rFonts w:ascii="宋体" w:hAnsi="宋体"/>
                <w:b/>
                <w:color w:val="000000"/>
              </w:rPr>
            </w:pPr>
            <w:r>
              <w:rPr>
                <w:rFonts w:hint="eastAsia" w:ascii="宋体" w:hAnsi="宋体"/>
                <w:b/>
                <w:color w:val="000000"/>
              </w:rPr>
              <w:t>内容</w:t>
            </w:r>
          </w:p>
        </w:tc>
        <w:tc>
          <w:tcPr>
            <w:tcW w:w="7105" w:type="dxa"/>
            <w:noWrap/>
            <w:vAlign w:val="center"/>
          </w:tcPr>
          <w:p>
            <w:pPr>
              <w:spacing w:line="276" w:lineRule="auto"/>
              <w:jc w:val="center"/>
              <w:rPr>
                <w:rFonts w:ascii="宋体" w:hAnsi="宋体"/>
                <w:b/>
                <w:color w:val="000000"/>
              </w:rPr>
            </w:pPr>
            <w:r>
              <w:rPr>
                <w:rFonts w:hint="eastAsia" w:ascii="宋体" w:hAnsi="宋体"/>
                <w:b/>
                <w:color w:val="000000"/>
              </w:rPr>
              <w:t>相关要求（说明）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0" w:hRule="atLeast"/>
          <w:jc w:val="center"/>
        </w:trPr>
        <w:tc>
          <w:tcPr>
            <w:tcW w:w="2875" w:type="dxa"/>
            <w:noWrap/>
            <w:vAlign w:val="center"/>
          </w:tcPr>
          <w:p>
            <w:pPr>
              <w:jc w:val="center"/>
              <w:rPr>
                <w:b/>
                <w:color w:val="000000"/>
              </w:rPr>
            </w:pPr>
            <w:r>
              <w:rPr>
                <w:rFonts w:hint="eastAsia"/>
                <w:b/>
                <w:color w:val="000000"/>
              </w:rPr>
              <w:t>采购标的需实现的功能或者目标，采购标的的数量，</w:t>
            </w:r>
            <w:r>
              <w:rPr>
                <w:b/>
                <w:color w:val="000000"/>
              </w:rPr>
              <w:t>所有技术、服务、安全等要求</w:t>
            </w:r>
          </w:p>
        </w:tc>
        <w:tc>
          <w:tcPr>
            <w:tcW w:w="7105" w:type="dxa"/>
            <w:noWrap/>
            <w:vAlign w:val="center"/>
          </w:tcPr>
          <w:p>
            <w:pPr>
              <w:spacing w:line="276" w:lineRule="auto"/>
              <w:jc w:val="center"/>
              <w:rPr>
                <w:color w:val="000000"/>
              </w:rPr>
            </w:pPr>
            <w:r>
              <w:rPr>
                <w:rFonts w:hint="eastAsia"/>
                <w:color w:val="000000"/>
              </w:rPr>
              <w:t>略，详见“采购需求”部分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8" w:hRule="atLeast"/>
          <w:jc w:val="center"/>
        </w:trPr>
        <w:tc>
          <w:tcPr>
            <w:tcW w:w="2875" w:type="dxa"/>
            <w:noWrap/>
            <w:vAlign w:val="center"/>
          </w:tcPr>
          <w:p>
            <w:pPr>
              <w:spacing w:line="276" w:lineRule="auto"/>
              <w:jc w:val="center"/>
              <w:rPr>
                <w:b/>
                <w:color w:val="000000"/>
              </w:rPr>
            </w:pPr>
            <w:r>
              <w:rPr>
                <w:rFonts w:hint="eastAsia" w:ascii="宋体" w:hAnsi="宋体"/>
                <w:b/>
                <w:color w:val="000000"/>
              </w:rPr>
              <w:t>★交付期</w:t>
            </w:r>
          </w:p>
        </w:tc>
        <w:tc>
          <w:tcPr>
            <w:tcW w:w="7105" w:type="dxa"/>
            <w:noWrap/>
            <w:vAlign w:val="center"/>
          </w:tcPr>
          <w:p>
            <w:pPr>
              <w:spacing w:line="276" w:lineRule="auto"/>
              <w:ind w:firstLine="420" w:firstLineChars="200"/>
              <w:jc w:val="left"/>
            </w:pPr>
            <w:r>
              <w:rPr>
                <w:rFonts w:hint="eastAsia" w:ascii="宋体" w:hAnsi="宋体" w:cs="宋体"/>
              </w:rPr>
              <w:t>项目分方案阶段、现场勘查阶段、施工图阶段（含初设阶段）、施工阶段，各阶段以采购人通知为准，根据项目不同体量大小和要求及时响应启动设计服务，根据采购人要求期限提交审核。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1" w:hRule="atLeast"/>
          <w:jc w:val="center"/>
        </w:trPr>
        <w:tc>
          <w:tcPr>
            <w:tcW w:w="2875" w:type="dxa"/>
            <w:noWrap/>
            <w:vAlign w:val="center"/>
          </w:tcPr>
          <w:p>
            <w:pPr>
              <w:spacing w:line="276" w:lineRule="auto"/>
              <w:jc w:val="center"/>
              <w:rPr>
                <w:rFonts w:ascii="宋体" w:hAnsi="宋体"/>
                <w:b/>
                <w:color w:val="000000"/>
              </w:rPr>
            </w:pPr>
            <w:r>
              <w:rPr>
                <w:rFonts w:hint="eastAsia" w:ascii="宋体" w:hAnsi="宋体"/>
                <w:b/>
                <w:color w:val="000000"/>
              </w:rPr>
              <w:t>★服务期</w:t>
            </w:r>
          </w:p>
        </w:tc>
        <w:tc>
          <w:tcPr>
            <w:tcW w:w="7105" w:type="dxa"/>
            <w:noWrap/>
            <w:vAlign w:val="center"/>
          </w:tcPr>
          <w:p>
            <w:pPr>
              <w:spacing w:line="276" w:lineRule="auto"/>
              <w:ind w:firstLine="420" w:firstLineChars="200"/>
              <w:rPr>
                <w:rFonts w:ascii="宋体" w:hAnsi="宋体" w:cs="宋体"/>
              </w:rPr>
            </w:pPr>
            <w:r>
              <w:rPr>
                <w:rFonts w:hint="eastAsia" w:ascii="宋体" w:hAnsi="宋体" w:cs="宋体"/>
              </w:rPr>
              <w:t>叁年（合同一年一签，根据采购人对成交供应商的考核决定是否续签下一年合同。）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4" w:hRule="atLeast"/>
          <w:jc w:val="center"/>
        </w:trPr>
        <w:tc>
          <w:tcPr>
            <w:tcW w:w="2875" w:type="dxa"/>
            <w:noWrap/>
            <w:vAlign w:val="center"/>
          </w:tcPr>
          <w:p>
            <w:pPr>
              <w:spacing w:line="276" w:lineRule="auto"/>
              <w:jc w:val="center"/>
              <w:rPr>
                <w:b/>
                <w:color w:val="000000"/>
              </w:rPr>
            </w:pPr>
            <w:r>
              <w:rPr>
                <w:rFonts w:hint="eastAsia" w:ascii="宋体" w:hAnsi="宋体"/>
                <w:b/>
                <w:color w:val="000000"/>
              </w:rPr>
              <w:t>★</w:t>
            </w:r>
            <w:r>
              <w:rPr>
                <w:rFonts w:hint="eastAsia"/>
                <w:b/>
                <w:color w:val="000000"/>
              </w:rPr>
              <w:t>交付或者实施的地点</w:t>
            </w:r>
          </w:p>
          <w:p>
            <w:pPr>
              <w:spacing w:line="276" w:lineRule="auto"/>
              <w:jc w:val="center"/>
              <w:rPr>
                <w:b/>
                <w:color w:val="000000"/>
              </w:rPr>
            </w:pPr>
            <w:r>
              <w:rPr>
                <w:rFonts w:hint="eastAsia"/>
                <w:b/>
                <w:color w:val="000000"/>
              </w:rPr>
              <w:t>（</w:t>
            </w:r>
            <w:r>
              <w:rPr>
                <w:b/>
                <w:color w:val="000000"/>
              </w:rPr>
              <w:t>交付</w:t>
            </w:r>
            <w:r>
              <w:rPr>
                <w:rFonts w:hint="eastAsia"/>
                <w:b/>
                <w:color w:val="000000"/>
              </w:rPr>
              <w:t>地点或施工地点）</w:t>
            </w:r>
          </w:p>
        </w:tc>
        <w:tc>
          <w:tcPr>
            <w:tcW w:w="7105" w:type="dxa"/>
            <w:noWrap/>
            <w:vAlign w:val="center"/>
          </w:tcPr>
          <w:p>
            <w:pPr>
              <w:spacing w:line="276" w:lineRule="auto"/>
              <w:jc w:val="center"/>
              <w:rPr>
                <w:color w:val="000000"/>
              </w:rPr>
            </w:pPr>
            <w:r>
              <w:rPr>
                <w:rFonts w:hint="eastAsia"/>
                <w:color w:val="000000"/>
              </w:rPr>
              <w:t>江苏医药职业学院指定地点（具体地点以采购人另行通知的为准）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4" w:hRule="atLeast"/>
          <w:jc w:val="center"/>
        </w:trPr>
        <w:tc>
          <w:tcPr>
            <w:tcW w:w="2875" w:type="dxa"/>
            <w:noWrap/>
            <w:vAlign w:val="center"/>
          </w:tcPr>
          <w:p>
            <w:pPr>
              <w:spacing w:line="276" w:lineRule="auto"/>
              <w:jc w:val="center"/>
              <w:rPr>
                <w:b/>
              </w:rPr>
            </w:pPr>
            <w:r>
              <w:rPr>
                <w:rFonts w:hint="eastAsia"/>
                <w:b/>
              </w:rPr>
              <w:t>现场踏勘</w:t>
            </w:r>
          </w:p>
        </w:tc>
        <w:tc>
          <w:tcPr>
            <w:tcW w:w="7105" w:type="dxa"/>
            <w:noWrap/>
            <w:vAlign w:val="center"/>
          </w:tcPr>
          <w:p>
            <w:pPr>
              <w:pStyle w:val="5"/>
              <w:topLinePunct/>
              <w:spacing w:before="0" w:after="0" w:line="276" w:lineRule="auto"/>
              <w:ind w:firstLine="422" w:firstLineChars="200"/>
              <w:jc w:val="both"/>
              <w:rPr>
                <w:rFonts w:ascii="Times New Roman" w:hAnsi="Times New Roman" w:eastAsia="宋体"/>
                <w:b w:val="0"/>
                <w:kern w:val="2"/>
                <w:sz w:val="21"/>
                <w:szCs w:val="24"/>
                <w:lang w:val="zh-TW"/>
              </w:rPr>
            </w:pPr>
            <w:r>
              <w:rPr>
                <w:rFonts w:hint="eastAsia" w:ascii="Times New Roman" w:hAnsi="Times New Roman" w:eastAsia="宋体"/>
                <w:bCs/>
                <w:kern w:val="2"/>
                <w:sz w:val="21"/>
                <w:szCs w:val="24"/>
                <w:lang w:val="zh-TW"/>
              </w:rPr>
              <w:t>项目进入现场勘查阶段，服务单位接到采购人通知后自行进行现场勘查</w:t>
            </w:r>
          </w:p>
          <w:p>
            <w:pPr>
              <w:spacing w:line="276" w:lineRule="auto"/>
              <w:ind w:firstLine="411" w:firstLineChars="196"/>
              <w:jc w:val="left"/>
            </w:pPr>
            <w:r>
              <w:rPr>
                <w:rFonts w:hint="eastAsia" w:ascii="宋体" w:hAnsi="宋体" w:cs="宋体"/>
                <w:lang w:val="zh-TW"/>
              </w:rPr>
              <w:t>踏勘现场人员须从位于盐城市解放南路283号，江苏医药职业学院南门进入，请联系：贾老师；电话：18262395908。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69" w:hRule="atLeast"/>
          <w:jc w:val="center"/>
        </w:trPr>
        <w:tc>
          <w:tcPr>
            <w:tcW w:w="2875" w:type="dxa"/>
            <w:noWrap/>
            <w:vAlign w:val="center"/>
          </w:tcPr>
          <w:p>
            <w:pPr>
              <w:spacing w:line="276" w:lineRule="auto"/>
              <w:jc w:val="center"/>
              <w:rPr>
                <w:rFonts w:ascii="宋体" w:hAnsi="宋体"/>
                <w:b/>
                <w:color w:val="000000"/>
              </w:rPr>
            </w:pPr>
            <w:r>
              <w:rPr>
                <w:rFonts w:hint="eastAsia" w:ascii="宋体" w:hAnsi="宋体"/>
                <w:b/>
              </w:rPr>
              <w:t>★采购资金的支付方式、时间、条件（付款方式）</w:t>
            </w:r>
          </w:p>
        </w:tc>
        <w:tc>
          <w:tcPr>
            <w:tcW w:w="7105" w:type="dxa"/>
            <w:noWrap/>
            <w:vAlign w:val="center"/>
          </w:tcPr>
          <w:p>
            <w:pPr>
              <w:spacing w:line="276" w:lineRule="auto"/>
              <w:ind w:firstLine="420" w:firstLineChars="200"/>
              <w:rPr>
                <w:rFonts w:ascii="宋体" w:hAnsi="宋体" w:cs="宋体"/>
              </w:rPr>
            </w:pPr>
            <w:r>
              <w:rPr>
                <w:rFonts w:hint="eastAsia" w:ascii="宋体" w:hAnsi="宋体" w:cs="宋体"/>
              </w:rPr>
              <w:t xml:space="preserve">1.支付方式：电汇或转账等非现金方式  </w:t>
            </w:r>
          </w:p>
          <w:p>
            <w:pPr>
              <w:spacing w:line="276" w:lineRule="auto"/>
              <w:ind w:firstLine="420" w:firstLineChars="200"/>
              <w:rPr>
                <w:rFonts w:ascii="宋体" w:hAnsi="宋体" w:cs="宋体"/>
              </w:rPr>
            </w:pPr>
            <w:r>
              <w:rPr>
                <w:rFonts w:hint="eastAsia" w:ascii="宋体" w:hAnsi="宋体" w:cs="宋体"/>
              </w:rPr>
              <w:t>2.支付时间、条件付款方式：</w:t>
            </w:r>
          </w:p>
          <w:p>
            <w:pPr>
              <w:spacing w:line="276" w:lineRule="auto"/>
              <w:ind w:firstLine="420" w:firstLineChars="200"/>
              <w:rPr>
                <w:rFonts w:ascii="宋体" w:hAnsi="宋体" w:cs="宋体"/>
              </w:rPr>
            </w:pPr>
            <w:r>
              <w:rPr>
                <w:rFonts w:hint="eastAsia" w:ascii="宋体" w:hAnsi="宋体" w:cs="宋体"/>
              </w:rPr>
              <w:t>每年结束，成交供应商列出各单项工程的工程设计收费及计算依据（按工程造价计费标准，原则上根据预算审计价计费，无预算审计价的按工程预算价计费），同时出具各项工程总结报告，汇总后报后勤管理处。后勤管理处根据设计服务考核结果提出调整意见，然后报审计处。审计处核实后，出具审计单。采购人依据审定单进行支付。</w:t>
            </w:r>
          </w:p>
          <w:p>
            <w:pPr>
              <w:spacing w:line="276" w:lineRule="auto"/>
              <w:ind w:firstLine="420" w:firstLineChars="200"/>
              <w:rPr>
                <w:rFonts w:ascii="宋体" w:hAnsi="宋体" w:cs="宋体"/>
              </w:rPr>
            </w:pPr>
            <w:r>
              <w:rPr>
                <w:rFonts w:hint="eastAsia" w:ascii="宋体" w:hAnsi="宋体" w:cs="宋体"/>
              </w:rPr>
              <w:t>3.付款依据：</w:t>
            </w:r>
          </w:p>
          <w:p>
            <w:pPr>
              <w:spacing w:line="276" w:lineRule="auto"/>
              <w:ind w:firstLine="420" w:firstLineChars="200"/>
              <w:rPr>
                <w:rFonts w:ascii="宋体" w:hAnsi="宋体" w:cs="宋体"/>
              </w:rPr>
            </w:pPr>
            <w:r>
              <w:rPr>
                <w:rFonts w:hint="eastAsia" w:ascii="宋体" w:hAnsi="宋体" w:cs="宋体"/>
              </w:rPr>
              <w:t>（1）方案阶段已完成并通过审核，未进行施工图设计，支付至单项工程设计服务费的10%；</w:t>
            </w:r>
          </w:p>
          <w:p>
            <w:pPr>
              <w:spacing w:line="276" w:lineRule="auto"/>
              <w:ind w:firstLine="420" w:firstLineChars="200"/>
              <w:rPr>
                <w:rFonts w:ascii="宋体" w:hAnsi="宋体" w:cs="宋体"/>
              </w:rPr>
            </w:pPr>
            <w:r>
              <w:rPr>
                <w:rFonts w:hint="eastAsia" w:ascii="宋体" w:hAnsi="宋体" w:cs="宋体"/>
              </w:rPr>
              <w:t>（2）施工图阶段（含现场勘查服务费10%）已完成并通过审核，未招标实施，支付至单项工程设计服务费的90%；</w:t>
            </w:r>
          </w:p>
          <w:p>
            <w:pPr>
              <w:spacing w:line="276" w:lineRule="auto"/>
              <w:ind w:firstLine="420" w:firstLineChars="200"/>
              <w:rPr>
                <w:rFonts w:ascii="宋体" w:hAnsi="宋体" w:cs="宋体"/>
              </w:rPr>
            </w:pPr>
            <w:r>
              <w:rPr>
                <w:rFonts w:hint="eastAsia" w:ascii="宋体" w:hAnsi="宋体" w:cs="宋体"/>
              </w:rPr>
              <w:t>（3）项目招标实施，并通过工程竣工验收，支付全部单项工程设计服务费；（因设计失误造成设计服务费核减的情况另行约定，并在审计中核减）；</w:t>
            </w:r>
          </w:p>
          <w:p>
            <w:pPr>
              <w:spacing w:line="276" w:lineRule="auto"/>
              <w:ind w:firstLine="420" w:firstLineChars="200"/>
              <w:rPr>
                <w:rFonts w:ascii="宋体" w:hAnsi="宋体" w:cs="宋体"/>
              </w:rPr>
            </w:pPr>
            <w:r>
              <w:rPr>
                <w:rFonts w:hint="eastAsia" w:ascii="宋体" w:hAnsi="宋体" w:cs="宋体"/>
              </w:rPr>
              <w:t>（4）方案阶段未审核通过的，不支付设计服务费。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1" w:hRule="atLeast"/>
          <w:jc w:val="center"/>
        </w:trPr>
        <w:tc>
          <w:tcPr>
            <w:tcW w:w="9980" w:type="dxa"/>
            <w:gridSpan w:val="2"/>
            <w:noWrap/>
            <w:vAlign w:val="center"/>
          </w:tcPr>
          <w:p>
            <w:pPr>
              <w:spacing w:line="276" w:lineRule="auto"/>
              <w:jc w:val="center"/>
              <w:rPr>
                <w:rFonts w:ascii="宋体" w:hAnsi="宋体"/>
                <w:b/>
                <w:color w:val="000000"/>
              </w:rPr>
            </w:pPr>
            <w:r>
              <w:rPr>
                <w:rFonts w:hint="eastAsia" w:ascii="宋体" w:hAnsi="宋体"/>
                <w:b/>
                <w:color w:val="000000"/>
              </w:rPr>
              <w:t>本表当中，加★部分为实质性要求，不接受负偏离。</w:t>
            </w:r>
          </w:p>
        </w:tc>
      </w:tr>
    </w:tbl>
    <w:p>
      <w:pPr>
        <w:pStyle w:val="11"/>
        <w:rPr>
          <w:rFonts w:ascii="宋体" w:hAnsi="宋体" w:eastAsia="宋体" w:cs="宋体"/>
          <w:b/>
        </w:rPr>
      </w:pPr>
      <w:bookmarkStart w:id="176" w:name="_Toc122338096"/>
    </w:p>
    <w:p>
      <w:pPr>
        <w:pStyle w:val="11"/>
        <w:jc w:val="center"/>
        <w:outlineLvl w:val="1"/>
        <w:rPr>
          <w:rFonts w:ascii="宋体" w:hAnsi="宋体" w:eastAsia="宋体" w:cs="宋体"/>
          <w:b/>
        </w:rPr>
      </w:pPr>
    </w:p>
    <w:p>
      <w:pPr>
        <w:pStyle w:val="11"/>
        <w:jc w:val="center"/>
        <w:outlineLvl w:val="1"/>
        <w:rPr>
          <w:rFonts w:ascii="宋体" w:hAnsi="宋体" w:eastAsia="宋体" w:cs="宋体"/>
          <w:b/>
        </w:rPr>
      </w:pPr>
      <w:r>
        <w:rPr>
          <w:rFonts w:hint="eastAsia" w:ascii="宋体" w:hAnsi="宋体" w:eastAsia="宋体" w:cs="宋体"/>
          <w:b/>
        </w:rPr>
        <w:t>第一项 采购需求</w:t>
      </w:r>
      <w:bookmarkEnd w:id="176"/>
    </w:p>
    <w:p>
      <w:pPr>
        <w:widowControl/>
        <w:shd w:val="clear" w:color="auto" w:fill="FFFFFF"/>
        <w:spacing w:line="435" w:lineRule="atLeast"/>
        <w:ind w:firstLine="570"/>
        <w:jc w:val="left"/>
        <w:rPr>
          <w:rFonts w:ascii="宋体" w:hAnsi="宋体" w:cs="宋体"/>
          <w:b/>
          <w:bCs/>
          <w:szCs w:val="21"/>
        </w:rPr>
      </w:pPr>
      <w:bookmarkStart w:id="177" w:name="_Toc122338097"/>
      <w:r>
        <w:rPr>
          <w:rFonts w:hint="eastAsia" w:ascii="宋体" w:hAnsi="宋体" w:cs="宋体"/>
          <w:b/>
          <w:bCs/>
          <w:szCs w:val="21"/>
        </w:rPr>
        <w:t>一、项目概况</w:t>
      </w:r>
    </w:p>
    <w:p>
      <w:pPr>
        <w:spacing w:line="440" w:lineRule="exact"/>
        <w:ind w:firstLine="420" w:firstLineChars="200"/>
        <w:rPr>
          <w:rFonts w:ascii="宋体" w:hAnsi="宋体" w:cs="宋体"/>
          <w:szCs w:val="21"/>
        </w:rPr>
      </w:pPr>
      <w:r>
        <w:rPr>
          <w:rFonts w:hint="eastAsia" w:ascii="宋体" w:hAnsi="宋体" w:cs="宋体"/>
          <w:szCs w:val="21"/>
        </w:rPr>
        <w:t>江苏医药职业学院校内各类基建、维修、装饰、装修、智能化等零星工程，包括（但不限于：实验实训场所装修改造、办公教学区域改造出新、宿舍区域改造出新、屋面维修改造、外墙维修改造、大学生活动场所改造、室外场地改造等。原则上单项工程造价在1000万元以下，特殊情况另行商定。具体内容详见项目设计任务书，同时参与方案阶段讨论，协助采购人方案审批，并提供现场设计服务及设计变更及竣工验收等相关服务工作。</w:t>
      </w:r>
    </w:p>
    <w:p>
      <w:pPr>
        <w:widowControl/>
        <w:shd w:val="clear" w:color="auto" w:fill="FFFFFF"/>
        <w:spacing w:line="435" w:lineRule="atLeast"/>
        <w:ind w:firstLine="570"/>
        <w:jc w:val="left"/>
        <w:rPr>
          <w:rFonts w:ascii="宋体" w:hAnsi="宋体" w:cs="宋体"/>
          <w:b/>
          <w:bCs/>
          <w:szCs w:val="21"/>
        </w:rPr>
      </w:pPr>
      <w:r>
        <w:rPr>
          <w:rFonts w:hint="eastAsia" w:ascii="宋体" w:hAnsi="宋体" w:cs="宋体"/>
          <w:b/>
          <w:bCs/>
          <w:szCs w:val="21"/>
        </w:rPr>
        <w:t>二、设计需求</w:t>
      </w:r>
    </w:p>
    <w:p>
      <w:pPr>
        <w:spacing w:line="440" w:lineRule="exact"/>
        <w:ind w:firstLine="420" w:firstLineChars="200"/>
        <w:rPr>
          <w:rFonts w:ascii="宋体" w:hAnsi="宋体" w:cs="宋体"/>
          <w:szCs w:val="21"/>
        </w:rPr>
      </w:pPr>
      <w:r>
        <w:rPr>
          <w:rFonts w:hint="eastAsia" w:ascii="宋体" w:hAnsi="宋体" w:cs="宋体"/>
          <w:szCs w:val="21"/>
        </w:rPr>
        <w:t>1.设计范围：学校各类基建、维修、装饰、装修、智能化等零星工程，原则上单项工程造价在1000万元以下，特殊情况另行商定。</w:t>
      </w:r>
      <w:r>
        <w:rPr>
          <w:rFonts w:hint="eastAsia" w:ascii="宋体" w:hAnsi="宋体" w:cs="宋体"/>
          <w:szCs w:val="21"/>
        </w:rPr>
        <w:br w:type="textWrapping"/>
      </w:r>
      <w:r>
        <w:rPr>
          <w:rFonts w:hint="eastAsia" w:ascii="宋体" w:hAnsi="宋体" w:cs="宋体"/>
          <w:szCs w:val="21"/>
        </w:rPr>
        <w:t xml:space="preserve">    2.收费方式：以中国建筑装饰协会《建筑装饰设计收费标准》（2014年版）为基础，结合国家计委、建设部关于发布《工程勘察设计收费管理规定》的通知（计价格〔2002〕10号），通过公开招标方式确定工程设计基准价的实际执行比例。实际执行比例的投标上限暂定为60%</w:t>
      </w:r>
      <w:r>
        <w:rPr>
          <w:rFonts w:hint="eastAsia" w:ascii="宋体" w:hAnsi="宋体" w:cs="宋体"/>
        </w:rPr>
        <w:t>（按工程造价计费标准，原则上根据预算审计价计费，无预算审计价的按工程预算价计费）</w:t>
      </w:r>
      <w:r>
        <w:rPr>
          <w:rFonts w:hint="eastAsia" w:ascii="宋体" w:hAnsi="宋体" w:cs="宋体"/>
          <w:szCs w:val="21"/>
        </w:rPr>
        <w:t>。</w:t>
      </w:r>
    </w:p>
    <w:p>
      <w:pPr>
        <w:spacing w:line="440" w:lineRule="exact"/>
        <w:ind w:firstLine="420" w:firstLineChars="200"/>
        <w:rPr>
          <w:rFonts w:ascii="宋体" w:hAnsi="宋体" w:cs="宋体"/>
          <w:szCs w:val="21"/>
        </w:rPr>
      </w:pPr>
      <w:r>
        <w:rPr>
          <w:rFonts w:hint="eastAsia" w:ascii="宋体" w:hAnsi="宋体" w:cs="宋体"/>
          <w:szCs w:val="21"/>
        </w:rPr>
        <w:t>3.本次采购确定2家设计服务单位。2家设计服务单位投标的执行比例不同时，取2家的低值作为共同的执行比例。如有实验室设计服务、景观设计服务等专项设计项目，由本次入围的设计服务单位邀请第三方专业设计服务单位进行前期方案设计，以本次入围的设计服务单位作为设计总包提交设计审核。（专业系数、复杂系数、附加调整系数等均在投标执行比例中考虑）</w:t>
      </w:r>
    </w:p>
    <w:p>
      <w:pPr>
        <w:spacing w:line="440" w:lineRule="exact"/>
        <w:ind w:firstLine="420" w:firstLineChars="200"/>
        <w:rPr>
          <w:rFonts w:ascii="宋体" w:hAnsi="宋体" w:cs="宋体"/>
          <w:szCs w:val="21"/>
        </w:rPr>
      </w:pPr>
      <w:r>
        <w:rPr>
          <w:rFonts w:hint="eastAsia" w:ascii="宋体" w:hAnsi="宋体" w:cs="宋体"/>
          <w:szCs w:val="21"/>
        </w:rPr>
        <w:t>4.本次入围设计服务单位要严格履行设计职责，为采购人把好各项工程的设计质量关、工程造价关，同时配合采购人做好项目立项工作。</w:t>
      </w:r>
    </w:p>
    <w:p>
      <w:pPr>
        <w:spacing w:line="440" w:lineRule="exact"/>
        <w:ind w:firstLine="420" w:firstLineChars="200"/>
        <w:rPr>
          <w:rFonts w:ascii="宋体" w:hAnsi="宋体" w:cs="宋体"/>
          <w:szCs w:val="21"/>
        </w:rPr>
      </w:pPr>
      <w:r>
        <w:rPr>
          <w:rFonts w:hint="eastAsia" w:ascii="宋体" w:hAnsi="宋体" w:cs="宋体"/>
          <w:szCs w:val="21"/>
        </w:rPr>
        <w:t>5.项目方案确认后，根据初步方案及概算进行项目校内预立项，为深化设计工作提供依据，尽可能减少项目施工图设计完成，但项目未实施造成的损失；</w:t>
      </w:r>
    </w:p>
    <w:p>
      <w:pPr>
        <w:spacing w:line="440" w:lineRule="exact"/>
        <w:ind w:firstLine="420" w:firstLineChars="200"/>
        <w:rPr>
          <w:rFonts w:ascii="宋体" w:hAnsi="宋体" w:cs="宋体"/>
          <w:szCs w:val="21"/>
        </w:rPr>
      </w:pPr>
      <w:r>
        <w:rPr>
          <w:rFonts w:hint="eastAsia" w:ascii="宋体" w:hAnsi="宋体" w:cs="宋体"/>
          <w:szCs w:val="21"/>
        </w:rPr>
        <w:t>6.由于本次入围设计服务单位提供的设计文件，不符合国家规定的工程技术质量标准，或不能通过图审，不能满足合同约定的内容、质量等要求的，入围设计服务单位应当返工。由于返工增加工作量的，采购人不再另外支付设计费。</w:t>
      </w:r>
    </w:p>
    <w:p>
      <w:pPr>
        <w:spacing w:line="440" w:lineRule="exact"/>
        <w:ind w:firstLine="422" w:firstLineChars="200"/>
        <w:rPr>
          <w:rFonts w:ascii="宋体" w:hAnsi="宋体" w:cs="宋体"/>
          <w:b/>
          <w:bCs/>
          <w:szCs w:val="21"/>
        </w:rPr>
      </w:pPr>
      <w:r>
        <w:rPr>
          <w:rFonts w:hint="eastAsia" w:ascii="宋体" w:hAnsi="宋体" w:cs="宋体"/>
          <w:b/>
          <w:bCs/>
          <w:szCs w:val="21"/>
        </w:rPr>
        <w:t>三、入围设计服务单位应向采购人交付的设计资料及文件</w:t>
      </w:r>
    </w:p>
    <w:p>
      <w:pPr>
        <w:spacing w:line="440" w:lineRule="exact"/>
        <w:ind w:firstLine="420" w:firstLineChars="200"/>
        <w:rPr>
          <w:rFonts w:ascii="宋体" w:hAnsi="宋体" w:cs="宋体"/>
          <w:szCs w:val="21"/>
        </w:rPr>
      </w:pPr>
      <w:r>
        <w:rPr>
          <w:rFonts w:hint="eastAsia" w:ascii="宋体" w:hAnsi="宋体" w:cs="宋体"/>
          <w:szCs w:val="21"/>
        </w:rPr>
        <w:t>1.设计深度要求：完成具体项目设计任务书内的方案设计、深化及修改调整、初步设计、施工图设计及相关的配合工作。</w:t>
      </w:r>
    </w:p>
    <w:p>
      <w:pPr>
        <w:spacing w:line="440" w:lineRule="exact"/>
        <w:ind w:firstLine="420" w:firstLineChars="200"/>
        <w:rPr>
          <w:rFonts w:ascii="宋体" w:hAnsi="宋体" w:cs="宋体"/>
          <w:szCs w:val="21"/>
        </w:rPr>
      </w:pPr>
      <w:r>
        <w:rPr>
          <w:rFonts w:hint="eastAsia" w:ascii="宋体" w:hAnsi="宋体" w:cs="宋体"/>
          <w:szCs w:val="21"/>
        </w:rPr>
        <w:t>2.设计成果内容及要求</w:t>
      </w:r>
    </w:p>
    <w:p>
      <w:pPr>
        <w:spacing w:line="440" w:lineRule="exact"/>
        <w:ind w:firstLine="420" w:firstLineChars="200"/>
        <w:rPr>
          <w:rFonts w:ascii="宋体" w:hAnsi="宋体" w:cs="宋体"/>
          <w:szCs w:val="21"/>
        </w:rPr>
      </w:pPr>
      <w:r>
        <w:rPr>
          <w:rFonts w:hint="eastAsia" w:ascii="宋体" w:hAnsi="宋体" w:cs="宋体"/>
          <w:szCs w:val="21"/>
        </w:rPr>
        <w:t>（1）方案设计阶段</w:t>
      </w:r>
    </w:p>
    <w:p>
      <w:pPr>
        <w:spacing w:line="440" w:lineRule="exact"/>
        <w:ind w:firstLine="420" w:firstLineChars="200"/>
        <w:rPr>
          <w:rFonts w:ascii="宋体" w:hAnsi="宋体" w:cs="宋体"/>
          <w:szCs w:val="21"/>
        </w:rPr>
      </w:pPr>
      <w:r>
        <w:rPr>
          <w:rFonts w:hint="eastAsia" w:ascii="宋体" w:hAnsi="宋体" w:cs="宋体"/>
          <w:szCs w:val="21"/>
        </w:rPr>
        <w:t>1）设计说明：设计依据、设计理念、设计手法、设计原则。</w:t>
      </w:r>
    </w:p>
    <w:p>
      <w:pPr>
        <w:spacing w:line="440" w:lineRule="exact"/>
        <w:ind w:firstLine="420" w:firstLineChars="200"/>
        <w:rPr>
          <w:rFonts w:ascii="宋体" w:hAnsi="宋体" w:cs="宋体"/>
          <w:szCs w:val="21"/>
        </w:rPr>
      </w:pPr>
      <w:r>
        <w:rPr>
          <w:rFonts w:hint="eastAsia" w:ascii="宋体" w:hAnsi="宋体" w:cs="宋体"/>
          <w:szCs w:val="21"/>
        </w:rPr>
        <w:t>2）设计图纸：满足施工及施工准备需求。</w:t>
      </w:r>
    </w:p>
    <w:p>
      <w:pPr>
        <w:spacing w:line="440" w:lineRule="exact"/>
        <w:ind w:firstLine="420" w:firstLineChars="200"/>
        <w:rPr>
          <w:rFonts w:ascii="宋体" w:hAnsi="宋体" w:cs="宋体"/>
          <w:szCs w:val="21"/>
        </w:rPr>
      </w:pPr>
      <w:r>
        <w:rPr>
          <w:rFonts w:hint="eastAsia" w:ascii="宋体" w:hAnsi="宋体" w:cs="宋体"/>
          <w:szCs w:val="21"/>
        </w:rPr>
        <w:t>3）根据校方需要提供相关项目重点区域效果图</w:t>
      </w:r>
    </w:p>
    <w:p>
      <w:pPr>
        <w:spacing w:line="440" w:lineRule="exact"/>
        <w:ind w:firstLine="210" w:firstLineChars="100"/>
        <w:rPr>
          <w:rFonts w:ascii="宋体" w:hAnsi="宋体" w:cs="宋体"/>
          <w:szCs w:val="21"/>
        </w:rPr>
      </w:pPr>
      <w:r>
        <w:rPr>
          <w:rFonts w:hint="eastAsia" w:ascii="宋体" w:hAnsi="宋体" w:cs="宋体"/>
          <w:szCs w:val="21"/>
        </w:rPr>
        <w:t>（2）施工图设计阶段</w:t>
      </w:r>
    </w:p>
    <w:p>
      <w:pPr>
        <w:spacing w:line="440" w:lineRule="exact"/>
        <w:ind w:firstLine="420" w:firstLineChars="200"/>
        <w:rPr>
          <w:rFonts w:ascii="宋体" w:hAnsi="宋体" w:cs="宋体"/>
          <w:szCs w:val="21"/>
        </w:rPr>
      </w:pPr>
      <w:r>
        <w:rPr>
          <w:rFonts w:hint="eastAsia" w:ascii="宋体" w:hAnsi="宋体" w:cs="宋体"/>
          <w:szCs w:val="21"/>
        </w:rPr>
        <w:t>1）完成整个施工图设计（包含但不限于总体设计说明、平立剖、局部大样、节点图、材料清单、各专项设计图纸等），施工图可供编制工程量清单、预算进行公开招标。</w:t>
      </w:r>
    </w:p>
    <w:p>
      <w:pPr>
        <w:spacing w:line="440" w:lineRule="exact"/>
        <w:ind w:firstLine="420" w:firstLineChars="200"/>
        <w:rPr>
          <w:rFonts w:ascii="宋体" w:hAnsi="宋体" w:cs="宋体"/>
          <w:szCs w:val="21"/>
        </w:rPr>
      </w:pPr>
      <w:r>
        <w:rPr>
          <w:rFonts w:hint="eastAsia" w:ascii="宋体" w:hAnsi="宋体" w:cs="宋体"/>
          <w:szCs w:val="21"/>
        </w:rPr>
        <w:t>2）施工现场配合服务，设计交底、参加相关交工验收等服务工作</w:t>
      </w:r>
    </w:p>
    <w:p>
      <w:pPr>
        <w:spacing w:line="440" w:lineRule="exact"/>
        <w:ind w:firstLine="210" w:firstLineChars="100"/>
        <w:rPr>
          <w:rFonts w:ascii="宋体" w:hAnsi="宋体" w:cs="宋体"/>
          <w:szCs w:val="21"/>
        </w:rPr>
      </w:pPr>
      <w:r>
        <w:rPr>
          <w:rFonts w:hint="eastAsia" w:ascii="宋体" w:hAnsi="宋体" w:cs="宋体"/>
          <w:szCs w:val="21"/>
        </w:rPr>
        <w:t>（3）出图要求</w:t>
      </w:r>
    </w:p>
    <w:p>
      <w:pPr>
        <w:pStyle w:val="60"/>
        <w:snapToGrid w:val="0"/>
        <w:spacing w:line="420" w:lineRule="exact"/>
        <w:ind w:firstLine="420" w:firstLineChars="200"/>
        <w:rPr>
          <w:rFonts w:ascii="宋体" w:hAnsi="宋体" w:cs="宋体"/>
        </w:rPr>
      </w:pPr>
      <w:r>
        <w:rPr>
          <w:rFonts w:hint="eastAsia" w:ascii="宋体" w:hAnsi="宋体" w:cs="宋体"/>
        </w:rPr>
        <w:t>1）图纸目录；</w:t>
      </w:r>
    </w:p>
    <w:p>
      <w:pPr>
        <w:pStyle w:val="60"/>
        <w:snapToGrid w:val="0"/>
        <w:spacing w:line="420" w:lineRule="exact"/>
        <w:ind w:firstLine="420" w:firstLineChars="200"/>
        <w:rPr>
          <w:rFonts w:ascii="宋体" w:hAnsi="宋体" w:cs="宋体"/>
          <w:u w:val="single"/>
        </w:rPr>
      </w:pPr>
      <w:r>
        <w:rPr>
          <w:rFonts w:hint="eastAsia" w:ascii="宋体" w:hAnsi="宋体" w:cs="宋体"/>
        </w:rPr>
        <w:t>2）施工图设计说明；</w:t>
      </w:r>
    </w:p>
    <w:p>
      <w:pPr>
        <w:pStyle w:val="60"/>
        <w:snapToGrid w:val="0"/>
        <w:spacing w:line="420" w:lineRule="exact"/>
        <w:ind w:firstLine="420" w:firstLineChars="200"/>
        <w:rPr>
          <w:rFonts w:ascii="宋体" w:hAnsi="宋体" w:cs="宋体"/>
          <w:u w:val="single"/>
        </w:rPr>
      </w:pPr>
      <w:r>
        <w:rPr>
          <w:rFonts w:hint="eastAsia" w:ascii="宋体" w:hAnsi="宋体" w:cs="宋体"/>
        </w:rPr>
        <w:t>3）主要材料及耐火等级一览表；</w:t>
      </w:r>
    </w:p>
    <w:p>
      <w:pPr>
        <w:pStyle w:val="60"/>
        <w:snapToGrid w:val="0"/>
        <w:spacing w:line="420" w:lineRule="exact"/>
        <w:ind w:firstLine="420" w:firstLineChars="200"/>
        <w:rPr>
          <w:rFonts w:ascii="宋体" w:hAnsi="宋体" w:cs="宋体"/>
          <w:u w:val="single"/>
        </w:rPr>
      </w:pPr>
      <w:r>
        <w:rPr>
          <w:rFonts w:hint="eastAsia" w:ascii="宋体" w:hAnsi="宋体" w:cs="宋体"/>
        </w:rPr>
        <w:t>4）平面图（含：平面功能布置、家具布置、固定家具尺寸定位、新增墙体放线尺寸）；</w:t>
      </w:r>
    </w:p>
    <w:p>
      <w:pPr>
        <w:pStyle w:val="60"/>
        <w:snapToGrid w:val="0"/>
        <w:spacing w:line="420" w:lineRule="exact"/>
        <w:ind w:firstLine="420" w:firstLineChars="200"/>
        <w:rPr>
          <w:rFonts w:ascii="宋体" w:hAnsi="宋体" w:cs="宋体"/>
        </w:rPr>
      </w:pPr>
      <w:r>
        <w:rPr>
          <w:rFonts w:hint="eastAsia" w:ascii="宋体" w:hAnsi="宋体" w:cs="宋体"/>
        </w:rPr>
        <w:t>5）天棚图（含：灯具布置及尺寸定位图、灯具型号及图例、照明方式、完成面标高、顶面用材、顶面造型尺寸）；</w:t>
      </w:r>
    </w:p>
    <w:p>
      <w:pPr>
        <w:pStyle w:val="60"/>
        <w:snapToGrid w:val="0"/>
        <w:spacing w:line="420" w:lineRule="exact"/>
        <w:ind w:left="359" w:leftChars="171" w:firstLine="105" w:firstLineChars="50"/>
        <w:rPr>
          <w:rFonts w:ascii="宋体" w:hAnsi="宋体" w:cs="宋体"/>
        </w:rPr>
      </w:pPr>
      <w:r>
        <w:rPr>
          <w:rFonts w:hint="eastAsia" w:ascii="宋体" w:hAnsi="宋体" w:cs="宋体"/>
        </w:rPr>
        <w:t>6）地坪图（含：地面物料及铺装图）；</w:t>
      </w:r>
    </w:p>
    <w:p>
      <w:pPr>
        <w:pStyle w:val="60"/>
        <w:snapToGrid w:val="0"/>
        <w:spacing w:line="420" w:lineRule="exact"/>
        <w:ind w:firstLine="420" w:firstLineChars="200"/>
        <w:rPr>
          <w:rFonts w:ascii="宋体" w:hAnsi="宋体" w:cs="宋体"/>
          <w:u w:val="single"/>
        </w:rPr>
      </w:pPr>
      <w:r>
        <w:rPr>
          <w:rFonts w:hint="eastAsia" w:ascii="宋体" w:hAnsi="宋体" w:cs="宋体"/>
        </w:rPr>
        <w:t>7）各主要空间立面图(含：主题墙、端景墙、特殊造型墙立面图；标准立面图；块材装饰立面拼装图如：墙砖、石材、硬包、软包、铝板等。）；</w:t>
      </w:r>
    </w:p>
    <w:p>
      <w:pPr>
        <w:pStyle w:val="60"/>
        <w:snapToGrid w:val="0"/>
        <w:spacing w:line="420" w:lineRule="exact"/>
        <w:ind w:firstLine="420" w:firstLineChars="200"/>
        <w:rPr>
          <w:rFonts w:ascii="宋体" w:hAnsi="宋体" w:cs="宋体"/>
          <w:u w:val="single"/>
        </w:rPr>
      </w:pPr>
      <w:r>
        <w:rPr>
          <w:rFonts w:hint="eastAsia" w:ascii="宋体" w:hAnsi="宋体" w:cs="宋体"/>
        </w:rPr>
        <w:t>8）重要部位及定制家具的节点、大样及剖面详图，并需明确各节点中基层、面层材料的规格、尺寸、颜色等要求；</w:t>
      </w:r>
    </w:p>
    <w:p>
      <w:pPr>
        <w:pStyle w:val="60"/>
        <w:snapToGrid w:val="0"/>
        <w:spacing w:line="420" w:lineRule="exact"/>
        <w:ind w:firstLine="420" w:firstLineChars="200"/>
        <w:rPr>
          <w:rFonts w:ascii="宋体" w:hAnsi="宋体" w:cs="宋体"/>
        </w:rPr>
      </w:pPr>
      <w:r>
        <w:rPr>
          <w:rFonts w:hint="eastAsia" w:ascii="宋体" w:hAnsi="宋体" w:cs="宋体"/>
        </w:rPr>
        <w:t>9）电气施工图（依据原土建电气系统及电箱位置设计）；</w:t>
      </w:r>
    </w:p>
    <w:p>
      <w:pPr>
        <w:pStyle w:val="60"/>
        <w:snapToGrid w:val="0"/>
        <w:spacing w:line="420" w:lineRule="exact"/>
        <w:ind w:firstLine="420" w:firstLineChars="200"/>
        <w:rPr>
          <w:rFonts w:ascii="宋体" w:hAnsi="宋体" w:cs="宋体"/>
        </w:rPr>
      </w:pPr>
      <w:r>
        <w:rPr>
          <w:rFonts w:hint="eastAsia" w:ascii="宋体" w:hAnsi="宋体" w:cs="宋体"/>
        </w:rPr>
        <w:t>10）给排水施工图（依据原土建给排水系统图）；</w:t>
      </w:r>
    </w:p>
    <w:p>
      <w:pPr>
        <w:pStyle w:val="60"/>
        <w:snapToGrid w:val="0"/>
        <w:spacing w:line="420" w:lineRule="exact"/>
        <w:ind w:firstLine="420" w:firstLineChars="200"/>
        <w:rPr>
          <w:rFonts w:ascii="宋体" w:hAnsi="宋体" w:cs="宋体"/>
        </w:rPr>
      </w:pPr>
      <w:r>
        <w:rPr>
          <w:rFonts w:hint="eastAsia" w:ascii="宋体" w:hAnsi="宋体" w:cs="宋体"/>
        </w:rPr>
        <w:t>11）其他规范应当出具的图纸。</w:t>
      </w:r>
    </w:p>
    <w:p>
      <w:pPr>
        <w:spacing w:line="440" w:lineRule="exact"/>
        <w:ind w:firstLine="210" w:firstLineChars="100"/>
        <w:rPr>
          <w:rFonts w:ascii="宋体" w:hAnsi="宋体" w:cs="宋体"/>
          <w:szCs w:val="21"/>
        </w:rPr>
      </w:pPr>
      <w:r>
        <w:rPr>
          <w:rFonts w:hint="eastAsia" w:ascii="宋体" w:hAnsi="宋体" w:cs="宋体"/>
          <w:szCs w:val="21"/>
        </w:rPr>
        <w:t>（4）成果提交形式</w:t>
      </w:r>
    </w:p>
    <w:p>
      <w:pPr>
        <w:pStyle w:val="2"/>
        <w:rPr>
          <w:rFonts w:ascii="宋体" w:hAnsi="宋体" w:eastAsia="宋体" w:cs="宋体"/>
          <w:kern w:val="2"/>
          <w:sz w:val="21"/>
          <w:szCs w:val="21"/>
        </w:rPr>
      </w:pPr>
      <w:r>
        <w:rPr>
          <w:rFonts w:hint="eastAsia" w:ascii="宋体" w:hAnsi="宋体" w:eastAsia="宋体" w:cs="宋体"/>
          <w:kern w:val="2"/>
          <w:sz w:val="21"/>
          <w:szCs w:val="21"/>
        </w:rPr>
        <w:t>方案设计文件以文本形式提交，一式四份；</w:t>
      </w:r>
    </w:p>
    <w:p>
      <w:pPr>
        <w:pStyle w:val="2"/>
        <w:rPr>
          <w:rFonts w:ascii="宋体" w:hAnsi="宋体" w:eastAsia="宋体" w:cs="宋体"/>
          <w:kern w:val="2"/>
          <w:sz w:val="21"/>
          <w:szCs w:val="21"/>
        </w:rPr>
      </w:pPr>
      <w:r>
        <w:rPr>
          <w:rFonts w:hint="eastAsia" w:ascii="宋体" w:hAnsi="宋体" w:eastAsia="宋体" w:cs="宋体"/>
          <w:kern w:val="2"/>
          <w:sz w:val="21"/>
          <w:szCs w:val="21"/>
        </w:rPr>
        <w:t>最终图纸出蓝图，一式六份；</w:t>
      </w:r>
    </w:p>
    <w:p>
      <w:pPr>
        <w:pStyle w:val="2"/>
        <w:rPr>
          <w:rFonts w:ascii="宋体" w:hAnsi="宋体" w:eastAsia="宋体" w:cs="宋体"/>
          <w:kern w:val="2"/>
          <w:sz w:val="21"/>
          <w:szCs w:val="21"/>
        </w:rPr>
      </w:pPr>
      <w:r>
        <w:rPr>
          <w:rFonts w:hint="eastAsia" w:ascii="宋体" w:hAnsi="宋体" w:eastAsia="宋体" w:cs="宋体"/>
          <w:kern w:val="2"/>
          <w:sz w:val="21"/>
          <w:szCs w:val="21"/>
        </w:rPr>
        <w:t>图纸应严格遵守国家和地方现行规范及标准文件。</w:t>
      </w:r>
    </w:p>
    <w:p>
      <w:pPr>
        <w:spacing w:line="440" w:lineRule="exact"/>
        <w:ind w:firstLine="420" w:firstLineChars="200"/>
        <w:rPr>
          <w:rFonts w:ascii="宋体" w:hAnsi="宋体" w:cs="宋体"/>
          <w:szCs w:val="21"/>
        </w:rPr>
      </w:pPr>
      <w:r>
        <w:rPr>
          <w:rFonts w:hint="eastAsia" w:ascii="宋体" w:hAnsi="宋体" w:cs="宋体"/>
          <w:szCs w:val="21"/>
        </w:rPr>
        <w:t>3.选材要求：设计人员按方案需要考虑用材。所有材料材质不低于国标标准，满足使用功能及各项技术规范要求。</w:t>
      </w:r>
    </w:p>
    <w:p>
      <w:pPr>
        <w:spacing w:line="440" w:lineRule="exact"/>
        <w:ind w:firstLine="420" w:firstLineChars="200"/>
        <w:rPr>
          <w:rFonts w:ascii="宋体" w:hAnsi="宋体" w:cs="宋体"/>
          <w:szCs w:val="21"/>
        </w:rPr>
      </w:pPr>
      <w:r>
        <w:rPr>
          <w:rFonts w:hint="eastAsia" w:ascii="宋体" w:hAnsi="宋体" w:cs="宋体"/>
          <w:szCs w:val="21"/>
        </w:rPr>
        <w:t>4.进度要求方案阶段：</w:t>
      </w:r>
    </w:p>
    <w:p>
      <w:pPr>
        <w:spacing w:line="440" w:lineRule="exact"/>
        <w:ind w:firstLine="420" w:firstLineChars="200"/>
        <w:rPr>
          <w:rFonts w:ascii="宋体" w:hAnsi="宋体" w:cs="宋体"/>
          <w:szCs w:val="21"/>
        </w:rPr>
      </w:pPr>
      <w:r>
        <w:rPr>
          <w:rFonts w:hint="eastAsia" w:ascii="宋体" w:hAnsi="宋体" w:cs="宋体"/>
          <w:szCs w:val="21"/>
        </w:rPr>
        <w:t>项目分方案阶段、现场勘查阶段、施工图阶段（含初设阶段）、施工阶段、竣工验收阶段，各阶段以采购人通知为准，根据项目不同体量大小和要求及时响应启动设计服务，根据采购人要求期限提交审核。</w:t>
      </w:r>
    </w:p>
    <w:p>
      <w:pPr>
        <w:spacing w:line="440" w:lineRule="exact"/>
        <w:ind w:firstLine="420" w:firstLineChars="200"/>
        <w:rPr>
          <w:rFonts w:ascii="宋体" w:hAnsi="宋体" w:cs="宋体"/>
          <w:szCs w:val="21"/>
        </w:rPr>
      </w:pPr>
      <w:r>
        <w:rPr>
          <w:rFonts w:hint="eastAsia" w:ascii="宋体" w:hAnsi="宋体" w:cs="宋体"/>
          <w:szCs w:val="21"/>
        </w:rPr>
        <w:t>5.服务要求：</w:t>
      </w:r>
    </w:p>
    <w:p>
      <w:pPr>
        <w:spacing w:line="300" w:lineRule="auto"/>
        <w:ind w:firstLine="420" w:firstLineChars="200"/>
        <w:rPr>
          <w:rFonts w:ascii="宋体" w:hAnsi="宋体" w:cs="宋体"/>
          <w:bCs/>
          <w:szCs w:val="21"/>
        </w:rPr>
      </w:pPr>
      <w:r>
        <w:rPr>
          <w:rFonts w:hint="eastAsia" w:ascii="宋体" w:hAnsi="宋体" w:cs="宋体"/>
          <w:bCs/>
          <w:szCs w:val="21"/>
        </w:rPr>
        <w:t>1）设计阶段，要求按照甲方要求，细致勘察现场，结合现场实际情况与使用需求，编制设计方案，提供建设性意见与合理的设计理念，出具设计效果图、施工图、设计技术说明等设计文件。</w:t>
      </w:r>
    </w:p>
    <w:p>
      <w:pPr>
        <w:spacing w:line="300" w:lineRule="auto"/>
        <w:ind w:firstLine="420" w:firstLineChars="200"/>
        <w:rPr>
          <w:rFonts w:ascii="宋体" w:hAnsi="宋体" w:cs="宋体"/>
          <w:bCs/>
          <w:szCs w:val="21"/>
        </w:rPr>
      </w:pPr>
      <w:r>
        <w:rPr>
          <w:rFonts w:hint="eastAsia" w:ascii="宋体" w:hAnsi="宋体" w:cs="宋体"/>
          <w:bCs/>
          <w:szCs w:val="21"/>
        </w:rPr>
        <w:t>2）施工阶段，按程序进行图纸会审与设计技术交底工作，无条件、随时配合甲方到施工现场进行技术指导，对前期因隐蔽工程、地下工程等原因，无法勘察的不可预见性技术难题须给予专业支持与方案论证，配合甲方出具各项文件。</w:t>
      </w:r>
    </w:p>
    <w:p>
      <w:pPr>
        <w:spacing w:line="300" w:lineRule="auto"/>
        <w:ind w:firstLine="420" w:firstLineChars="200"/>
        <w:rPr>
          <w:rFonts w:ascii="宋体" w:hAnsi="宋体" w:cs="宋体"/>
          <w:bCs/>
          <w:szCs w:val="21"/>
        </w:rPr>
      </w:pPr>
      <w:r>
        <w:rPr>
          <w:rFonts w:hint="eastAsia" w:ascii="宋体" w:hAnsi="宋体" w:cs="宋体"/>
          <w:bCs/>
          <w:szCs w:val="21"/>
        </w:rPr>
        <w:t>3）竣工验收阶段，配合建设单位参加工程项目竣工验收，对工程项目涉及的技术难点、工艺难点、结构安全、功能实现程度等进行综合性验收，出具工程竣工评估报告等。</w:t>
      </w:r>
    </w:p>
    <w:p>
      <w:pPr>
        <w:spacing w:line="300" w:lineRule="auto"/>
        <w:ind w:firstLine="420" w:firstLineChars="200"/>
        <w:rPr>
          <w:rFonts w:ascii="宋体" w:hAnsi="宋体" w:cs="宋体"/>
          <w:bCs/>
          <w:szCs w:val="21"/>
        </w:rPr>
      </w:pPr>
      <w:r>
        <w:rPr>
          <w:rFonts w:hint="eastAsia" w:ascii="宋体" w:hAnsi="宋体" w:cs="宋体"/>
          <w:bCs/>
          <w:szCs w:val="21"/>
        </w:rPr>
        <w:t>4）对于其它未尽事宜按照国家、地方及行业相关规定配合甲方做好设计服务。</w:t>
      </w:r>
    </w:p>
    <w:p>
      <w:pPr>
        <w:spacing w:line="440" w:lineRule="exact"/>
        <w:ind w:firstLine="420" w:firstLineChars="200"/>
        <w:rPr>
          <w:rFonts w:ascii="宋体" w:hAnsi="宋体" w:cs="宋体"/>
          <w:szCs w:val="21"/>
        </w:rPr>
      </w:pPr>
      <w:r>
        <w:rPr>
          <w:rFonts w:ascii="宋体" w:hAnsi="宋体" w:cs="宋体"/>
          <w:bCs/>
          <w:szCs w:val="21"/>
        </w:rPr>
        <w:t>6.</w:t>
      </w:r>
      <w:r>
        <w:rPr>
          <w:rFonts w:hint="eastAsia" w:ascii="宋体" w:hAnsi="宋体"/>
          <w:szCs w:val="21"/>
        </w:rPr>
        <w:t>设计工作分配方法：本项目中标的两家单位，设计任务由甲方平均分配，在实施过程中，甲方会进行考核，并且甲方有权根据考核结果调整任务分配。</w:t>
      </w:r>
    </w:p>
    <w:p>
      <w:pPr>
        <w:spacing w:line="440" w:lineRule="exact"/>
        <w:ind w:firstLine="420" w:firstLineChars="200"/>
        <w:rPr>
          <w:rFonts w:ascii="宋体" w:hAnsi="宋体" w:cs="宋体"/>
          <w:bCs/>
          <w:szCs w:val="21"/>
        </w:rPr>
      </w:pPr>
      <w:r>
        <w:rPr>
          <w:rFonts w:hint="eastAsia" w:ascii="宋体" w:hAnsi="宋体" w:cs="宋体"/>
          <w:bCs/>
          <w:szCs w:val="21"/>
        </w:rPr>
        <w:t>7.付款方式：每年结束，设计服务单位列出各单项工程的工程设计收费及计算依据（</w:t>
      </w:r>
      <w:r>
        <w:rPr>
          <w:rFonts w:hint="eastAsia" w:ascii="宋体" w:hAnsi="宋体" w:cs="宋体"/>
        </w:rPr>
        <w:t>按工程造价计费标准，原则上根据预算审计价计费，无预算审计价的按工程预算价计费</w:t>
      </w:r>
      <w:r>
        <w:rPr>
          <w:rFonts w:hint="eastAsia" w:ascii="宋体" w:hAnsi="宋体" w:cs="宋体"/>
          <w:bCs/>
          <w:szCs w:val="21"/>
        </w:rPr>
        <w:t>），同时出具各项工程总结报告，汇总后报后勤管理处。后勤管理处根据设计服务考核结果提出调整意见，然后报审计处。审计处核实后，出具审计单。学校依据审定单进行支付。</w:t>
      </w:r>
    </w:p>
    <w:p>
      <w:pPr>
        <w:spacing w:line="440" w:lineRule="exact"/>
        <w:ind w:firstLine="420" w:firstLineChars="200"/>
        <w:rPr>
          <w:rFonts w:ascii="宋体" w:hAnsi="宋体" w:cs="宋体"/>
          <w:bCs/>
          <w:szCs w:val="21"/>
        </w:rPr>
      </w:pPr>
      <w:r>
        <w:rPr>
          <w:rFonts w:hint="eastAsia" w:ascii="宋体" w:hAnsi="宋体" w:cs="宋体"/>
          <w:bCs/>
          <w:szCs w:val="21"/>
        </w:rPr>
        <w:t>付款依据：</w:t>
      </w:r>
    </w:p>
    <w:p>
      <w:pPr>
        <w:spacing w:line="440" w:lineRule="exact"/>
        <w:ind w:firstLine="420" w:firstLineChars="200"/>
        <w:rPr>
          <w:rFonts w:ascii="宋体" w:hAnsi="宋体" w:cs="宋体"/>
          <w:bCs/>
          <w:szCs w:val="21"/>
        </w:rPr>
      </w:pPr>
      <w:r>
        <w:rPr>
          <w:rFonts w:hint="eastAsia" w:ascii="宋体" w:hAnsi="宋体" w:cs="宋体"/>
          <w:bCs/>
          <w:szCs w:val="21"/>
        </w:rPr>
        <w:t>（1）方案阶段已完成并通过审核，未进行施工图设计，支付至单项工程设计服务费的10%；</w:t>
      </w:r>
    </w:p>
    <w:p>
      <w:pPr>
        <w:spacing w:line="440" w:lineRule="exact"/>
        <w:ind w:firstLine="420" w:firstLineChars="200"/>
        <w:rPr>
          <w:rFonts w:ascii="宋体" w:hAnsi="宋体" w:cs="宋体"/>
          <w:bCs/>
          <w:szCs w:val="21"/>
        </w:rPr>
      </w:pPr>
      <w:r>
        <w:rPr>
          <w:rFonts w:hint="eastAsia" w:ascii="宋体" w:hAnsi="宋体" w:cs="宋体"/>
          <w:bCs/>
          <w:szCs w:val="21"/>
        </w:rPr>
        <w:t>（2）施工图阶段（含现场勘查服务费10%）已完成并通过审核，未招标实施，支付至单项工程设计服务费的90%；</w:t>
      </w:r>
    </w:p>
    <w:p>
      <w:pPr>
        <w:spacing w:line="440" w:lineRule="exact"/>
        <w:ind w:firstLine="420" w:firstLineChars="200"/>
        <w:rPr>
          <w:rFonts w:ascii="宋体" w:hAnsi="宋体" w:cs="宋体"/>
          <w:bCs/>
          <w:szCs w:val="21"/>
        </w:rPr>
      </w:pPr>
      <w:r>
        <w:rPr>
          <w:rFonts w:hint="eastAsia" w:ascii="宋体" w:hAnsi="宋体" w:cs="宋体"/>
          <w:bCs/>
          <w:szCs w:val="21"/>
        </w:rPr>
        <w:t>（3）项目招标实施，并通过工程竣工验收，支付全部单项工程设计服务费；（因设计失误造成设计服务费核减的情况另行约定，并在审计中核减）；</w:t>
      </w:r>
    </w:p>
    <w:p>
      <w:pPr>
        <w:spacing w:line="440" w:lineRule="exact"/>
        <w:ind w:firstLine="420" w:firstLineChars="200"/>
        <w:rPr>
          <w:rFonts w:ascii="宋体" w:hAnsi="宋体" w:cs="宋体"/>
          <w:bCs/>
          <w:szCs w:val="21"/>
        </w:rPr>
      </w:pPr>
      <w:r>
        <w:rPr>
          <w:rFonts w:hint="eastAsia" w:ascii="宋体" w:hAnsi="宋体" w:cs="宋体"/>
          <w:bCs/>
          <w:szCs w:val="21"/>
        </w:rPr>
        <w:t>（4）方案阶段未审核通过的，不支付设计服务费。</w:t>
      </w:r>
    </w:p>
    <w:p>
      <w:pPr>
        <w:spacing w:line="440" w:lineRule="exact"/>
        <w:ind w:firstLine="420" w:firstLineChars="200"/>
        <w:rPr>
          <w:rFonts w:ascii="宋体" w:hAnsi="宋体" w:cs="宋体"/>
          <w:szCs w:val="21"/>
        </w:rPr>
      </w:pPr>
      <w:r>
        <w:rPr>
          <w:rFonts w:hint="eastAsia" w:ascii="宋体" w:hAnsi="宋体" w:cs="宋体"/>
          <w:szCs w:val="21"/>
        </w:rPr>
        <w:t>8.现场踏勘：本项目为入围设计服务单位采购，则</w:t>
      </w:r>
      <w:r>
        <w:rPr>
          <w:rFonts w:hint="eastAsia" w:ascii="宋体" w:hAnsi="宋体" w:cs="宋体"/>
          <w:szCs w:val="21"/>
          <w:lang w:val="zh-TW"/>
        </w:rPr>
        <w:t>项目进入现场勘查阶段，服务单位接到采购人通知后自行</w:t>
      </w:r>
      <w:r>
        <w:rPr>
          <w:rFonts w:hint="eastAsia" w:ascii="宋体" w:hAnsi="宋体" w:cs="宋体"/>
          <w:szCs w:val="21"/>
        </w:rPr>
        <w:t>与采购人联系踏勘现场，充分了解项目现场情况。熟悉了解一切可能影响施工，投标人踏勘现场发生的费用自理。采购人在踏勘现场中介绍的工程场地和相关的周边环境情况（踏勘联系方式详见前附表）。</w:t>
      </w:r>
    </w:p>
    <w:p/>
    <w:p>
      <w:pPr>
        <w:pStyle w:val="23"/>
        <w:ind w:left="3360"/>
      </w:pPr>
    </w:p>
    <w:p/>
    <w:p>
      <w:pPr>
        <w:pStyle w:val="23"/>
        <w:ind w:left="3360"/>
      </w:pPr>
    </w:p>
    <w:p/>
    <w:p>
      <w:pPr>
        <w:pStyle w:val="23"/>
        <w:ind w:left="3360"/>
      </w:pPr>
    </w:p>
    <w:p/>
    <w:bookmarkEnd w:id="177"/>
    <w:p>
      <w:pPr>
        <w:jc w:val="center"/>
        <w:rPr>
          <w:rFonts w:ascii="宋体" w:hAnsi="宋体" w:cs="宋体"/>
          <w:b/>
          <w:kern w:val="0"/>
          <w:sz w:val="28"/>
          <w:szCs w:val="20"/>
        </w:rPr>
      </w:pPr>
      <w:bookmarkStart w:id="178" w:name="_Toc122338098"/>
      <w:r>
        <w:rPr>
          <w:rFonts w:ascii="宋体" w:hAnsi="宋体" w:cs="宋体"/>
          <w:b/>
          <w:kern w:val="0"/>
          <w:sz w:val="28"/>
          <w:szCs w:val="20"/>
        </w:rPr>
        <w:br w:type="textWrapping"/>
      </w:r>
    </w:p>
    <w:p>
      <w:pPr>
        <w:jc w:val="center"/>
        <w:rPr>
          <w:rFonts w:ascii="宋体" w:hAnsi="宋体" w:cs="宋体"/>
          <w:b/>
          <w:kern w:val="0"/>
          <w:sz w:val="28"/>
          <w:szCs w:val="20"/>
        </w:rPr>
      </w:pPr>
    </w:p>
    <w:p>
      <w:pPr>
        <w:jc w:val="center"/>
        <w:rPr>
          <w:rFonts w:ascii="宋体" w:hAnsi="宋体" w:cs="宋体"/>
          <w:b/>
          <w:kern w:val="0"/>
          <w:sz w:val="28"/>
          <w:szCs w:val="20"/>
        </w:rPr>
      </w:pPr>
    </w:p>
    <w:p>
      <w:pPr>
        <w:jc w:val="center"/>
        <w:rPr>
          <w:rFonts w:ascii="宋体" w:hAnsi="宋体" w:cs="宋体"/>
          <w:b/>
          <w:kern w:val="0"/>
          <w:sz w:val="28"/>
          <w:szCs w:val="20"/>
        </w:rPr>
      </w:pPr>
    </w:p>
    <w:p>
      <w:pPr>
        <w:jc w:val="center"/>
        <w:rPr>
          <w:rFonts w:ascii="宋体" w:hAnsi="宋体" w:cs="宋体"/>
          <w:b/>
          <w:kern w:val="0"/>
          <w:sz w:val="28"/>
          <w:szCs w:val="20"/>
        </w:rPr>
      </w:pPr>
      <w:r>
        <w:rPr>
          <w:rFonts w:hint="eastAsia" w:ascii="宋体" w:hAnsi="宋体" w:cs="宋体"/>
          <w:b/>
          <w:kern w:val="0"/>
          <w:sz w:val="28"/>
          <w:szCs w:val="20"/>
        </w:rPr>
        <w:t>第二项 政府采购合同（拟签订的合同文本）</w:t>
      </w:r>
    </w:p>
    <w:p>
      <w:pPr>
        <w:snapToGrid w:val="0"/>
        <w:spacing w:before="50" w:line="276"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（样稿，在未改变实质性条件下，可双方协商确定）</w:t>
      </w:r>
    </w:p>
    <w:p>
      <w:pPr>
        <w:spacing w:line="400" w:lineRule="exact"/>
        <w:jc w:val="center"/>
        <w:outlineLvl w:val="0"/>
        <w:rPr>
          <w:rFonts w:ascii="黑体" w:hAnsi="黑体" w:eastAsia="黑体" w:cs="Arial Unicode MS"/>
          <w:sz w:val="32"/>
          <w:szCs w:val="32"/>
        </w:rPr>
      </w:pPr>
      <w:bookmarkStart w:id="179" w:name="_Toc145928992"/>
      <w:r>
        <w:rPr>
          <w:rFonts w:hint="eastAsia" w:ascii="黑体" w:hAnsi="黑体" w:eastAsia="黑体" w:cs="Arial Unicode MS"/>
          <w:sz w:val="32"/>
          <w:szCs w:val="32"/>
        </w:rPr>
        <w:t>服务采购合同</w:t>
      </w:r>
      <w:bookmarkEnd w:id="179"/>
    </w:p>
    <w:p>
      <w:pPr>
        <w:spacing w:line="400" w:lineRule="exact"/>
        <w:ind w:firstLine="4006" w:firstLineChars="1900"/>
        <w:rPr>
          <w:rFonts w:ascii="宋体" w:hAnsi="宋体" w:cs="宋体"/>
          <w:b/>
          <w:szCs w:val="21"/>
          <w:lang w:val="zh-CN"/>
        </w:rPr>
      </w:pPr>
    </w:p>
    <w:p>
      <w:pPr>
        <w:spacing w:line="400" w:lineRule="exact"/>
        <w:ind w:firstLine="6257" w:firstLineChars="2968"/>
        <w:rPr>
          <w:rFonts w:ascii="宋体" w:hAnsi="宋体" w:cs="宋体"/>
          <w:szCs w:val="21"/>
          <w:lang w:val="zh-CN"/>
        </w:rPr>
      </w:pPr>
      <w:r>
        <w:rPr>
          <w:rFonts w:hint="eastAsia" w:ascii="宋体" w:hAnsi="宋体" w:cs="宋体"/>
          <w:b/>
          <w:szCs w:val="21"/>
          <w:lang w:val="zh-CN"/>
        </w:rPr>
        <w:t>合同编号：</w:t>
      </w:r>
      <w:r>
        <w:rPr>
          <w:rFonts w:hint="eastAsia" w:ascii="宋体" w:hAnsi="宋体" w:cs="宋体"/>
          <w:szCs w:val="21"/>
          <w:lang w:val="zh-CN"/>
        </w:rPr>
        <w:t>（采购编号）</w:t>
      </w:r>
    </w:p>
    <w:p>
      <w:pPr>
        <w:spacing w:line="400" w:lineRule="exact"/>
        <w:ind w:firstLine="6257" w:firstLineChars="2968"/>
        <w:rPr>
          <w:rFonts w:ascii="宋体" w:hAnsi="宋体" w:cs="宋体"/>
          <w:szCs w:val="21"/>
          <w:lang w:val="zh-CN"/>
        </w:rPr>
      </w:pPr>
      <w:r>
        <w:rPr>
          <w:rFonts w:hint="eastAsia" w:ascii="宋体" w:hAnsi="宋体" w:cs="宋体"/>
          <w:b/>
          <w:szCs w:val="21"/>
          <w:lang w:val="zh-CN"/>
        </w:rPr>
        <w:t>签署地点：</w:t>
      </w:r>
      <w:r>
        <w:rPr>
          <w:rFonts w:hint="eastAsia" w:ascii="宋体" w:hAnsi="宋体" w:cs="宋体"/>
          <w:szCs w:val="21"/>
          <w:lang w:val="zh-CN"/>
        </w:rPr>
        <w:t>江苏医药职业学院</w:t>
      </w:r>
    </w:p>
    <w:p>
      <w:pPr>
        <w:rPr>
          <w:rFonts w:ascii="仿宋" w:hAnsi="仿宋" w:eastAsia="仿宋" w:cs="仿宋"/>
          <w:sz w:val="24"/>
          <w:lang w:val="zh-CN"/>
        </w:rPr>
      </w:pPr>
    </w:p>
    <w:p>
      <w:pPr>
        <w:rPr>
          <w:rFonts w:cs="仿宋" w:asciiTheme="minorEastAsia" w:hAnsiTheme="minorEastAsia" w:eastAsiaTheme="minorEastAsia"/>
          <w:szCs w:val="21"/>
        </w:rPr>
      </w:pPr>
      <w:r>
        <w:rPr>
          <w:rFonts w:hint="eastAsia" w:cs="仿宋" w:asciiTheme="minorEastAsia" w:hAnsiTheme="minorEastAsia" w:eastAsiaTheme="minorEastAsia"/>
          <w:szCs w:val="21"/>
          <w:lang w:val="zh-CN"/>
        </w:rPr>
        <w:t>甲方（</w:t>
      </w:r>
      <w:r>
        <w:rPr>
          <w:rFonts w:hint="eastAsia" w:cs="仿宋" w:asciiTheme="minorEastAsia" w:hAnsiTheme="minorEastAsia" w:eastAsiaTheme="minorEastAsia"/>
          <w:szCs w:val="21"/>
        </w:rPr>
        <w:t>需方</w:t>
      </w:r>
      <w:r>
        <w:rPr>
          <w:rFonts w:hint="eastAsia" w:cs="仿宋" w:asciiTheme="minorEastAsia" w:hAnsiTheme="minorEastAsia" w:eastAsiaTheme="minorEastAsia"/>
          <w:szCs w:val="21"/>
          <w:lang w:val="zh-CN"/>
        </w:rPr>
        <w:t>）：</w:t>
      </w:r>
      <w:r>
        <w:rPr>
          <w:rFonts w:hint="eastAsia" w:cs="仿宋" w:asciiTheme="minorEastAsia" w:hAnsiTheme="minorEastAsia" w:eastAsiaTheme="minorEastAsia"/>
          <w:szCs w:val="21"/>
        </w:rPr>
        <w:t>江苏医药职业学院</w:t>
      </w:r>
    </w:p>
    <w:p>
      <w:pPr>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乙方（供方）：</w:t>
      </w:r>
    </w:p>
    <w:p>
      <w:pPr>
        <w:autoSpaceDE w:val="0"/>
        <w:autoSpaceDN w:val="0"/>
        <w:adjustRightInd w:val="0"/>
        <w:ind w:firstLine="482"/>
        <w:rPr>
          <w:rFonts w:cs="仿宋" w:asciiTheme="minorEastAsia" w:hAnsiTheme="minorEastAsia" w:eastAsiaTheme="minorEastAsia"/>
          <w:szCs w:val="21"/>
          <w:lang w:val="zh-CN"/>
        </w:rPr>
      </w:pPr>
    </w:p>
    <w:p>
      <w:pPr>
        <w:autoSpaceDE w:val="0"/>
        <w:autoSpaceDN w:val="0"/>
        <w:adjustRightInd w:val="0"/>
        <w:ind w:firstLine="420" w:firstLineChars="200"/>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为了维护甲、乙双方合法权益，根据《中华人民共和国民法典》和江苏医药职业学院</w:t>
      </w:r>
      <w:r>
        <w:rPr>
          <w:rFonts w:hint="eastAsia" w:cs="仿宋" w:asciiTheme="minorEastAsia" w:hAnsiTheme="minorEastAsia" w:eastAsiaTheme="minorEastAsia"/>
          <w:szCs w:val="21"/>
          <w:u w:val="single"/>
          <w:lang w:val="zh-CN"/>
        </w:rPr>
        <w:t>项目名称</w:t>
      </w:r>
      <w:r>
        <w:rPr>
          <w:rFonts w:hint="eastAsia" w:cs="仿宋" w:asciiTheme="minorEastAsia" w:hAnsiTheme="minorEastAsia" w:eastAsiaTheme="minorEastAsia"/>
          <w:szCs w:val="21"/>
          <w:lang w:val="zh-CN"/>
        </w:rPr>
        <w:t>的采购文件、响应文件及其在采购过程中的承诺，经双方协商，同意签定本合同，共同遵守。</w:t>
      </w:r>
    </w:p>
    <w:p>
      <w:pPr>
        <w:autoSpaceDE w:val="0"/>
        <w:autoSpaceDN w:val="0"/>
        <w:adjustRightInd w:val="0"/>
        <w:ind w:firstLine="422" w:firstLineChars="200"/>
        <w:outlineLvl w:val="1"/>
        <w:rPr>
          <w:rFonts w:cs="仿宋" w:asciiTheme="minorEastAsia" w:hAnsiTheme="minorEastAsia" w:eastAsiaTheme="minorEastAsia"/>
          <w:b/>
          <w:bCs/>
          <w:szCs w:val="21"/>
        </w:rPr>
      </w:pPr>
      <w:bookmarkStart w:id="180" w:name="_Toc145928993"/>
      <w:r>
        <w:rPr>
          <w:rFonts w:hint="eastAsia" w:cs="仿宋" w:asciiTheme="minorEastAsia" w:hAnsiTheme="minorEastAsia" w:eastAsiaTheme="minorEastAsia"/>
          <w:b/>
          <w:bCs/>
          <w:szCs w:val="21"/>
        </w:rPr>
        <w:t>一、合同文件</w:t>
      </w:r>
      <w:bookmarkEnd w:id="180"/>
    </w:p>
    <w:p>
      <w:pPr>
        <w:autoSpaceDE w:val="0"/>
        <w:autoSpaceDN w:val="0"/>
        <w:adjustRightInd w:val="0"/>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lang w:val="zh-CN"/>
        </w:rPr>
        <w:t>本合同所附下列文件资料为本合同不可分割的部分：</w:t>
      </w:r>
    </w:p>
    <w:p>
      <w:pPr>
        <w:autoSpaceDE w:val="0"/>
        <w:autoSpaceDN w:val="0"/>
        <w:adjustRightInd w:val="0"/>
        <w:ind w:firstLine="420" w:firstLineChars="200"/>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1、政府采购招标文件（包括澄清、修改）；</w:t>
      </w:r>
    </w:p>
    <w:p>
      <w:pPr>
        <w:autoSpaceDE w:val="0"/>
        <w:autoSpaceDN w:val="0"/>
        <w:adjustRightInd w:val="0"/>
        <w:ind w:firstLine="420" w:firstLineChars="200"/>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2、乙方投标文件；</w:t>
      </w:r>
    </w:p>
    <w:p>
      <w:pPr>
        <w:autoSpaceDE w:val="0"/>
        <w:autoSpaceDN w:val="0"/>
        <w:adjustRightInd w:val="0"/>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3、中标（成交）通知书；</w:t>
      </w:r>
    </w:p>
    <w:p>
      <w:pPr>
        <w:autoSpaceDE w:val="0"/>
        <w:autoSpaceDN w:val="0"/>
        <w:adjustRightInd w:val="0"/>
        <w:ind w:firstLine="420" w:firstLineChars="200"/>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4、中标人在评标过程中做出的有关澄清、说明、承诺或者补正文件；</w:t>
      </w:r>
    </w:p>
    <w:p>
      <w:pPr>
        <w:autoSpaceDE w:val="0"/>
        <w:autoSpaceDN w:val="0"/>
        <w:adjustRightInd w:val="0"/>
        <w:ind w:firstLine="420" w:firstLineChars="200"/>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5、政府采购委托协议书。</w:t>
      </w:r>
    </w:p>
    <w:p>
      <w:pPr>
        <w:autoSpaceDE w:val="0"/>
        <w:autoSpaceDN w:val="0"/>
        <w:adjustRightInd w:val="0"/>
        <w:ind w:firstLine="422" w:firstLineChars="200"/>
        <w:outlineLvl w:val="1"/>
        <w:rPr>
          <w:rFonts w:cs="仿宋" w:asciiTheme="minorEastAsia" w:hAnsiTheme="minorEastAsia" w:eastAsiaTheme="minorEastAsia"/>
          <w:b/>
          <w:bCs/>
          <w:szCs w:val="21"/>
        </w:rPr>
      </w:pPr>
      <w:bookmarkStart w:id="181" w:name="_Toc145928994"/>
      <w:r>
        <w:rPr>
          <w:rFonts w:hint="eastAsia" w:cs="仿宋" w:asciiTheme="minorEastAsia" w:hAnsiTheme="minorEastAsia" w:eastAsiaTheme="minorEastAsia"/>
          <w:b/>
          <w:bCs/>
          <w:szCs w:val="21"/>
        </w:rPr>
        <w:t>二、合同范围和条件</w:t>
      </w:r>
      <w:bookmarkEnd w:id="181"/>
    </w:p>
    <w:p>
      <w:pPr>
        <w:autoSpaceDE w:val="0"/>
        <w:autoSpaceDN w:val="0"/>
        <w:adjustRightInd w:val="0"/>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本合同的范围和条件应与上述合同文件的规定相一致。</w:t>
      </w:r>
    </w:p>
    <w:p>
      <w:pPr>
        <w:autoSpaceDE w:val="0"/>
        <w:autoSpaceDN w:val="0"/>
        <w:adjustRightInd w:val="0"/>
        <w:ind w:firstLine="422" w:firstLineChars="200"/>
        <w:outlineLvl w:val="1"/>
        <w:rPr>
          <w:rFonts w:cs="仿宋" w:asciiTheme="minorEastAsia" w:hAnsiTheme="minorEastAsia" w:eastAsiaTheme="minorEastAsia"/>
          <w:b/>
          <w:bCs/>
          <w:szCs w:val="21"/>
        </w:rPr>
      </w:pPr>
      <w:bookmarkStart w:id="182" w:name="_Toc145928995"/>
      <w:r>
        <w:rPr>
          <w:rFonts w:hint="eastAsia" w:cs="仿宋" w:asciiTheme="minorEastAsia" w:hAnsiTheme="minorEastAsia" w:eastAsiaTheme="minorEastAsia"/>
          <w:b/>
          <w:bCs/>
          <w:szCs w:val="21"/>
        </w:rPr>
        <w:t>三、采购服务信息</w:t>
      </w:r>
      <w:bookmarkEnd w:id="182"/>
    </w:p>
    <w:tbl>
      <w:tblPr>
        <w:tblStyle w:val="30"/>
        <w:tblW w:w="8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247"/>
        <w:gridCol w:w="1943"/>
        <w:gridCol w:w="2258"/>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708" w:type="dxa"/>
            <w:tcMar>
              <w:left w:w="0" w:type="dxa"/>
              <w:right w:w="0" w:type="dxa"/>
            </w:tcMar>
            <w:vAlign w:val="center"/>
          </w:tcPr>
          <w:p>
            <w:pPr>
              <w:autoSpaceDE w:val="0"/>
              <w:autoSpaceDN w:val="0"/>
              <w:adjustRightInd w:val="0"/>
              <w:spacing w:line="40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编号</w:t>
            </w:r>
          </w:p>
        </w:tc>
        <w:tc>
          <w:tcPr>
            <w:tcW w:w="2247" w:type="dxa"/>
            <w:vAlign w:val="center"/>
          </w:tcPr>
          <w:p>
            <w:pPr>
              <w:autoSpaceDE w:val="0"/>
              <w:autoSpaceDN w:val="0"/>
              <w:adjustRightInd w:val="0"/>
              <w:spacing w:line="40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服务名称</w:t>
            </w:r>
          </w:p>
        </w:tc>
        <w:tc>
          <w:tcPr>
            <w:tcW w:w="1943" w:type="dxa"/>
            <w:vAlign w:val="center"/>
          </w:tcPr>
          <w:p>
            <w:pPr>
              <w:autoSpaceDE w:val="0"/>
              <w:autoSpaceDN w:val="0"/>
              <w:adjustRightInd w:val="0"/>
              <w:spacing w:line="400" w:lineRule="exact"/>
              <w:ind w:firstLine="420" w:firstLineChars="200"/>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服务内容</w:t>
            </w:r>
          </w:p>
        </w:tc>
        <w:tc>
          <w:tcPr>
            <w:tcW w:w="2258" w:type="dxa"/>
            <w:vAlign w:val="center"/>
          </w:tcPr>
          <w:p>
            <w:pPr>
              <w:autoSpaceDE w:val="0"/>
              <w:autoSpaceDN w:val="0"/>
              <w:adjustRightInd w:val="0"/>
              <w:spacing w:line="40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技术参数</w:t>
            </w:r>
          </w:p>
        </w:tc>
        <w:tc>
          <w:tcPr>
            <w:tcW w:w="1044" w:type="dxa"/>
            <w:vAlign w:val="center"/>
          </w:tcPr>
          <w:p>
            <w:pPr>
              <w:autoSpaceDE w:val="0"/>
              <w:autoSpaceDN w:val="0"/>
              <w:adjustRightInd w:val="0"/>
              <w:spacing w:line="40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08" w:type="dxa"/>
            <w:tcMar>
              <w:left w:w="0" w:type="dxa"/>
              <w:right w:w="0" w:type="dxa"/>
            </w:tcMar>
            <w:vAlign w:val="center"/>
          </w:tcPr>
          <w:p>
            <w:pPr>
              <w:autoSpaceDE w:val="0"/>
              <w:autoSpaceDN w:val="0"/>
              <w:adjustRightInd w:val="0"/>
              <w:spacing w:line="40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w:t>
            </w:r>
          </w:p>
        </w:tc>
        <w:tc>
          <w:tcPr>
            <w:tcW w:w="2247" w:type="dxa"/>
            <w:vAlign w:val="center"/>
          </w:tcPr>
          <w:p>
            <w:pPr>
              <w:autoSpaceDE w:val="0"/>
              <w:autoSpaceDN w:val="0"/>
              <w:adjustRightInd w:val="0"/>
              <w:spacing w:line="400" w:lineRule="exact"/>
              <w:ind w:firstLine="420" w:firstLineChars="200"/>
              <w:rPr>
                <w:rFonts w:cs="仿宋" w:asciiTheme="minorEastAsia" w:hAnsiTheme="minorEastAsia" w:eastAsiaTheme="minorEastAsia"/>
                <w:szCs w:val="21"/>
                <w:lang w:val="zh-CN"/>
              </w:rPr>
            </w:pPr>
          </w:p>
        </w:tc>
        <w:tc>
          <w:tcPr>
            <w:tcW w:w="1943" w:type="dxa"/>
            <w:vAlign w:val="center"/>
          </w:tcPr>
          <w:p>
            <w:pPr>
              <w:autoSpaceDE w:val="0"/>
              <w:autoSpaceDN w:val="0"/>
              <w:adjustRightInd w:val="0"/>
              <w:spacing w:line="40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详见投标</w:t>
            </w:r>
          </w:p>
          <w:p>
            <w:pPr>
              <w:autoSpaceDE w:val="0"/>
              <w:autoSpaceDN w:val="0"/>
              <w:adjustRightInd w:val="0"/>
              <w:spacing w:line="40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（响应文件）</w:t>
            </w:r>
          </w:p>
        </w:tc>
        <w:tc>
          <w:tcPr>
            <w:tcW w:w="2258" w:type="dxa"/>
            <w:vAlign w:val="center"/>
          </w:tcPr>
          <w:p>
            <w:pPr>
              <w:autoSpaceDE w:val="0"/>
              <w:autoSpaceDN w:val="0"/>
              <w:adjustRightInd w:val="0"/>
              <w:spacing w:line="400" w:lineRule="exact"/>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详细清单及技术参数见后附表</w:t>
            </w:r>
          </w:p>
        </w:tc>
        <w:tc>
          <w:tcPr>
            <w:tcW w:w="1044" w:type="dxa"/>
            <w:vAlign w:val="center"/>
          </w:tcPr>
          <w:p>
            <w:pPr>
              <w:autoSpaceDE w:val="0"/>
              <w:autoSpaceDN w:val="0"/>
              <w:adjustRightInd w:val="0"/>
              <w:spacing w:line="400" w:lineRule="exact"/>
              <w:ind w:firstLine="420" w:firstLineChars="200"/>
              <w:rPr>
                <w:rFonts w:cs="仿宋" w:asciiTheme="minorEastAsia" w:hAnsiTheme="minorEastAsia" w:eastAsiaTheme="minorEastAsia"/>
                <w:szCs w:val="21"/>
                <w:lang w:val="zh-CN"/>
              </w:rPr>
            </w:pPr>
          </w:p>
        </w:tc>
      </w:tr>
    </w:tbl>
    <w:p>
      <w:pPr>
        <w:autoSpaceDE w:val="0"/>
        <w:autoSpaceDN w:val="0"/>
        <w:adjustRightInd w:val="0"/>
        <w:spacing w:line="276" w:lineRule="auto"/>
        <w:ind w:firstLine="422" w:firstLineChars="200"/>
        <w:outlineLvl w:val="1"/>
        <w:rPr>
          <w:rFonts w:cs="仿宋" w:asciiTheme="minorEastAsia" w:hAnsiTheme="minorEastAsia" w:eastAsiaTheme="minorEastAsia"/>
          <w:b/>
          <w:bCs/>
          <w:szCs w:val="21"/>
        </w:rPr>
      </w:pPr>
      <w:bookmarkStart w:id="183" w:name="_Toc145928996"/>
      <w:r>
        <w:rPr>
          <w:rFonts w:hint="eastAsia" w:cs="仿宋" w:asciiTheme="minorEastAsia" w:hAnsiTheme="minorEastAsia" w:eastAsiaTheme="minorEastAsia"/>
          <w:b/>
          <w:bCs/>
          <w:szCs w:val="21"/>
        </w:rPr>
        <w:t>四、合同金额</w:t>
      </w:r>
      <w:bookmarkEnd w:id="183"/>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根据中标（成交）通知书中规定，合同总金额为人民币（大写）：  （￥    ）</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此价格为合同执行不变价，不因国家政策变化而变化，该价款包括了服务价格及与之配套的设计、制造、正版软件、检验、包装、运输、保险、税费以及安装、组织验收、培训、技术服务（包括技术资料、图纸提供等）、质保期服务等全部价款，除此之外，甲方不再向乙方支付其他任何费用。</w:t>
      </w:r>
    </w:p>
    <w:p>
      <w:pPr>
        <w:autoSpaceDE w:val="0"/>
        <w:autoSpaceDN w:val="0"/>
        <w:adjustRightInd w:val="0"/>
        <w:spacing w:line="276" w:lineRule="auto"/>
        <w:ind w:firstLine="422" w:firstLineChars="200"/>
        <w:outlineLvl w:val="1"/>
        <w:rPr>
          <w:rFonts w:cs="仿宋" w:asciiTheme="minorEastAsia" w:hAnsiTheme="minorEastAsia" w:eastAsiaTheme="minorEastAsia"/>
          <w:b/>
          <w:bCs/>
          <w:szCs w:val="21"/>
        </w:rPr>
      </w:pPr>
      <w:bookmarkStart w:id="184" w:name="_Toc145928997"/>
      <w:r>
        <w:rPr>
          <w:rFonts w:hint="eastAsia" w:cs="仿宋" w:asciiTheme="minorEastAsia" w:hAnsiTheme="minorEastAsia" w:eastAsiaTheme="minorEastAsia"/>
          <w:b/>
          <w:bCs/>
          <w:szCs w:val="21"/>
        </w:rPr>
        <w:t>五、服务时间和地点</w:t>
      </w:r>
      <w:bookmarkEnd w:id="184"/>
    </w:p>
    <w:p>
      <w:pPr>
        <w:autoSpaceDE w:val="0"/>
        <w:autoSpaceDN w:val="0"/>
        <w:adjustRightInd w:val="0"/>
        <w:spacing w:line="276" w:lineRule="auto"/>
        <w:ind w:firstLine="482"/>
        <w:rPr>
          <w:rFonts w:cs="仿宋" w:asciiTheme="minorEastAsia" w:hAnsiTheme="minorEastAsia" w:eastAsiaTheme="minorEastAsia"/>
          <w:szCs w:val="21"/>
          <w:lang w:val="zh-CN"/>
        </w:rPr>
      </w:pPr>
      <w:bookmarkStart w:id="185" w:name="_Toc414743944"/>
      <w:r>
        <w:rPr>
          <w:rFonts w:hint="eastAsia" w:cs="仿宋" w:asciiTheme="minorEastAsia" w:hAnsiTheme="minorEastAsia" w:eastAsiaTheme="minorEastAsia"/>
          <w:szCs w:val="21"/>
          <w:lang w:val="zh-CN"/>
        </w:rPr>
        <w:t>本合同服务期限为</w:t>
      </w:r>
      <w:r>
        <w:rPr>
          <w:rFonts w:hint="eastAsia" w:cs="仿宋" w:asciiTheme="minorEastAsia" w:hAnsiTheme="minorEastAsia" w:eastAsiaTheme="minorEastAsia"/>
          <w:szCs w:val="21"/>
        </w:rPr>
        <w:t xml:space="preserve"> </w:t>
      </w:r>
      <w:r>
        <w:rPr>
          <w:rFonts w:hint="eastAsia" w:cs="仿宋" w:asciiTheme="minorEastAsia" w:hAnsiTheme="minorEastAsia" w:eastAsiaTheme="minorEastAsia"/>
          <w:szCs w:val="21"/>
          <w:lang w:val="zh-CN"/>
        </w:rPr>
        <w:t>年；服务期限自 年月日起至年月日止。</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 xml:space="preserve">本合同服务地点为：江苏医药职业学院指定地点 </w:t>
      </w:r>
    </w:p>
    <w:bookmarkEnd w:id="185"/>
    <w:p>
      <w:pPr>
        <w:autoSpaceDE w:val="0"/>
        <w:autoSpaceDN w:val="0"/>
        <w:adjustRightInd w:val="0"/>
        <w:spacing w:line="276" w:lineRule="auto"/>
        <w:ind w:firstLine="422" w:firstLineChars="200"/>
        <w:outlineLvl w:val="1"/>
        <w:rPr>
          <w:rFonts w:cs="仿宋" w:asciiTheme="minorEastAsia" w:hAnsiTheme="minorEastAsia" w:eastAsiaTheme="minorEastAsia"/>
          <w:b/>
          <w:bCs/>
          <w:szCs w:val="21"/>
        </w:rPr>
      </w:pPr>
      <w:bookmarkStart w:id="186" w:name="_Toc145928998"/>
      <w:bookmarkStart w:id="187" w:name="_Toc414743945"/>
      <w:r>
        <w:rPr>
          <w:rFonts w:hint="eastAsia" w:cs="仿宋" w:asciiTheme="minorEastAsia" w:hAnsiTheme="minorEastAsia" w:eastAsiaTheme="minorEastAsia"/>
          <w:b/>
          <w:bCs/>
          <w:szCs w:val="21"/>
        </w:rPr>
        <w:t>六、服务质量标准</w:t>
      </w:r>
      <w:bookmarkEnd w:id="186"/>
    </w:p>
    <w:p>
      <w:pPr>
        <w:autoSpaceDE w:val="0"/>
        <w:autoSpaceDN w:val="0"/>
        <w:adjustRightInd w:val="0"/>
        <w:spacing w:line="276" w:lineRule="auto"/>
        <w:ind w:firstLine="482"/>
        <w:rPr>
          <w:rFonts w:cs="仿宋" w:asciiTheme="minorEastAsia" w:hAnsiTheme="minorEastAsia" w:eastAsiaTheme="minorEastAsia"/>
          <w:szCs w:val="21"/>
        </w:rPr>
      </w:pPr>
      <w:r>
        <w:rPr>
          <w:rFonts w:hint="eastAsia" w:cs="仿宋" w:asciiTheme="minorEastAsia" w:hAnsiTheme="minorEastAsia" w:eastAsiaTheme="minorEastAsia"/>
          <w:szCs w:val="21"/>
        </w:rPr>
        <w:t>（由采购人结合项目特点和具体要求拟定）</w:t>
      </w:r>
    </w:p>
    <w:p>
      <w:pPr>
        <w:autoSpaceDE w:val="0"/>
        <w:autoSpaceDN w:val="0"/>
        <w:adjustRightInd w:val="0"/>
        <w:spacing w:line="276" w:lineRule="auto"/>
        <w:ind w:firstLine="422" w:firstLineChars="200"/>
        <w:outlineLvl w:val="1"/>
        <w:rPr>
          <w:rFonts w:cs="仿宋" w:asciiTheme="minorEastAsia" w:hAnsiTheme="minorEastAsia" w:eastAsiaTheme="minorEastAsia"/>
          <w:b/>
          <w:bCs/>
          <w:szCs w:val="21"/>
        </w:rPr>
      </w:pPr>
      <w:bookmarkStart w:id="188" w:name="_Toc145928999"/>
      <w:r>
        <w:rPr>
          <w:rFonts w:hint="eastAsia" w:cs="仿宋" w:asciiTheme="minorEastAsia" w:hAnsiTheme="minorEastAsia" w:eastAsiaTheme="minorEastAsia"/>
          <w:b/>
          <w:bCs/>
          <w:szCs w:val="21"/>
        </w:rPr>
        <w:t>七、验收办法</w:t>
      </w:r>
      <w:bookmarkEnd w:id="187"/>
      <w:bookmarkEnd w:id="188"/>
    </w:p>
    <w:p>
      <w:pPr>
        <w:autoSpaceDE w:val="0"/>
        <w:autoSpaceDN w:val="0"/>
        <w:adjustRightInd w:val="0"/>
        <w:spacing w:line="276"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按学校相关要求，组织专家组对照技术指标进行验收。</w:t>
      </w:r>
    </w:p>
    <w:p>
      <w:pPr>
        <w:autoSpaceDE w:val="0"/>
        <w:autoSpaceDN w:val="0"/>
        <w:adjustRightInd w:val="0"/>
        <w:spacing w:line="276" w:lineRule="auto"/>
        <w:ind w:firstLine="422" w:firstLineChars="200"/>
        <w:outlineLvl w:val="1"/>
        <w:rPr>
          <w:rFonts w:cs="仿宋" w:asciiTheme="minorEastAsia" w:hAnsiTheme="minorEastAsia" w:eastAsiaTheme="minorEastAsia"/>
          <w:b/>
          <w:bCs/>
          <w:szCs w:val="21"/>
        </w:rPr>
      </w:pPr>
      <w:bookmarkStart w:id="189" w:name="_Toc145929000"/>
      <w:r>
        <w:rPr>
          <w:rFonts w:hint="eastAsia" w:cs="仿宋" w:asciiTheme="minorEastAsia" w:hAnsiTheme="minorEastAsia" w:eastAsiaTheme="minorEastAsia"/>
          <w:b/>
          <w:bCs/>
          <w:szCs w:val="21"/>
        </w:rPr>
        <w:t>八、付款方式</w:t>
      </w:r>
      <w:bookmarkEnd w:id="189"/>
    </w:p>
    <w:p>
      <w:pPr>
        <w:spacing w:line="440" w:lineRule="exact"/>
        <w:ind w:firstLine="420" w:firstLineChars="200"/>
        <w:rPr>
          <w:rFonts w:ascii="宋体" w:hAnsi="宋体" w:cs="宋体"/>
          <w:szCs w:val="21"/>
        </w:rPr>
      </w:pPr>
      <w:r>
        <w:rPr>
          <w:rFonts w:hint="eastAsia" w:ascii="宋体" w:hAnsi="宋体" w:cs="宋体"/>
          <w:szCs w:val="21"/>
        </w:rPr>
        <w:t>每年结束，设计服务单位列出各单项工程的工程设计收费及计算依据</w:t>
      </w:r>
      <w:r>
        <w:rPr>
          <w:rFonts w:hint="eastAsia" w:ascii="宋体" w:hAnsi="宋体" w:cs="宋体"/>
        </w:rPr>
        <w:t>（按工程造价计费标准，原则上根据预算审计价计费，无预算审计价的按工程预算价计费）</w:t>
      </w:r>
      <w:r>
        <w:rPr>
          <w:rFonts w:hint="eastAsia" w:ascii="宋体" w:hAnsi="宋体" w:cs="宋体"/>
          <w:szCs w:val="21"/>
        </w:rPr>
        <w:t>，同时出具各项工程总结报告，汇总后报后勤管理处。后勤管理处根据设计服务考核结果提出调整意见，然后报审计处。审计处核实后，出具审计单。学校依据审定单进行支付。</w:t>
      </w:r>
    </w:p>
    <w:p>
      <w:pPr>
        <w:spacing w:line="440" w:lineRule="exact"/>
        <w:ind w:firstLine="420" w:firstLineChars="200"/>
        <w:rPr>
          <w:rFonts w:ascii="宋体" w:hAnsi="宋体" w:cs="宋体"/>
          <w:szCs w:val="21"/>
        </w:rPr>
      </w:pPr>
      <w:r>
        <w:rPr>
          <w:rFonts w:hint="eastAsia" w:ascii="宋体" w:hAnsi="宋体" w:cs="宋体"/>
          <w:szCs w:val="21"/>
        </w:rPr>
        <w:t>付款依据：</w:t>
      </w:r>
    </w:p>
    <w:p>
      <w:pPr>
        <w:spacing w:line="440" w:lineRule="exact"/>
        <w:ind w:firstLine="420" w:firstLineChars="200"/>
        <w:rPr>
          <w:rFonts w:ascii="宋体" w:hAnsi="宋体" w:cs="宋体"/>
          <w:szCs w:val="21"/>
        </w:rPr>
      </w:pPr>
      <w:r>
        <w:rPr>
          <w:rFonts w:hint="eastAsia" w:ascii="宋体" w:hAnsi="宋体" w:cs="宋体"/>
          <w:szCs w:val="21"/>
        </w:rPr>
        <w:t>（1）方案阶段已完成并通过审核，未进行施工图设计，支付至单项工程设计服务费的10%；</w:t>
      </w:r>
    </w:p>
    <w:p>
      <w:pPr>
        <w:spacing w:line="440" w:lineRule="exact"/>
        <w:ind w:firstLine="420" w:firstLineChars="200"/>
        <w:rPr>
          <w:rFonts w:ascii="宋体" w:hAnsi="宋体" w:cs="宋体"/>
          <w:szCs w:val="21"/>
        </w:rPr>
      </w:pPr>
      <w:r>
        <w:rPr>
          <w:rFonts w:hint="eastAsia" w:ascii="宋体" w:hAnsi="宋体" w:cs="宋体"/>
          <w:szCs w:val="21"/>
        </w:rPr>
        <w:t>（2）施工图阶段（含现场勘查服务费10%）已完成并通过审核，未招标实施，支付至单项工程设计服务费的90%；</w:t>
      </w:r>
    </w:p>
    <w:p>
      <w:pPr>
        <w:spacing w:line="440" w:lineRule="exact"/>
        <w:ind w:firstLine="420" w:firstLineChars="200"/>
        <w:rPr>
          <w:rFonts w:ascii="宋体" w:hAnsi="宋体" w:cs="宋体"/>
          <w:szCs w:val="21"/>
        </w:rPr>
      </w:pPr>
      <w:r>
        <w:rPr>
          <w:rFonts w:hint="eastAsia" w:ascii="宋体" w:hAnsi="宋体" w:cs="宋体"/>
          <w:szCs w:val="21"/>
        </w:rPr>
        <w:t>（3）项目招标实施，并通过工程竣工验收，支付全部单项工程设计服务费；（因设计失误造成设计服务费核减的情况另行约定，并在审计中核减）；</w:t>
      </w:r>
    </w:p>
    <w:p>
      <w:pPr>
        <w:spacing w:line="440" w:lineRule="exact"/>
        <w:ind w:firstLine="420" w:firstLineChars="200"/>
        <w:rPr>
          <w:rFonts w:ascii="宋体" w:hAnsi="宋体" w:cs="宋体"/>
          <w:szCs w:val="21"/>
        </w:rPr>
      </w:pPr>
      <w:r>
        <w:rPr>
          <w:rFonts w:hint="eastAsia" w:ascii="宋体" w:hAnsi="宋体" w:cs="宋体"/>
          <w:szCs w:val="21"/>
        </w:rPr>
        <w:t>（4）方案阶段未审核通过的，不支付设计服务费。</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甲方发票开票信息</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甲方名称：江苏医药职业学院纳税人识别号：</w:t>
      </w:r>
      <w:r>
        <w:rPr>
          <w:rFonts w:cs="仿宋" w:asciiTheme="minorEastAsia" w:hAnsiTheme="minorEastAsia" w:eastAsiaTheme="minorEastAsia"/>
          <w:szCs w:val="21"/>
          <w:lang w:val="zh-CN"/>
        </w:rPr>
        <w:t>123200004660027966</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开户行及账号：建设银行盐城城南支行  32001735038052500575</w:t>
      </w:r>
    </w:p>
    <w:p>
      <w:pPr>
        <w:spacing w:line="276"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3、乙方收取货款开户行名称、账号等信息：</w:t>
      </w:r>
    </w:p>
    <w:p>
      <w:pPr>
        <w:spacing w:line="276"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单位名称：</w:t>
      </w:r>
    </w:p>
    <w:p>
      <w:pPr>
        <w:spacing w:line="276"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开户行名称：</w:t>
      </w:r>
    </w:p>
    <w:p>
      <w:pPr>
        <w:spacing w:line="276"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行号：</w:t>
      </w:r>
    </w:p>
    <w:p>
      <w:pPr>
        <w:spacing w:line="276"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账号：</w:t>
      </w:r>
    </w:p>
    <w:p>
      <w:pPr>
        <w:autoSpaceDE w:val="0"/>
        <w:autoSpaceDN w:val="0"/>
        <w:adjustRightInd w:val="0"/>
        <w:spacing w:line="276" w:lineRule="auto"/>
        <w:ind w:firstLine="422" w:firstLineChars="200"/>
        <w:outlineLvl w:val="1"/>
        <w:rPr>
          <w:rFonts w:cs="仿宋" w:asciiTheme="minorEastAsia" w:hAnsiTheme="minorEastAsia" w:eastAsiaTheme="minorEastAsia"/>
          <w:b/>
          <w:bCs/>
          <w:szCs w:val="21"/>
        </w:rPr>
      </w:pPr>
      <w:bookmarkStart w:id="190" w:name="_Toc145929001"/>
      <w:r>
        <w:rPr>
          <w:rFonts w:hint="eastAsia" w:cs="仿宋" w:asciiTheme="minorEastAsia" w:hAnsiTheme="minorEastAsia" w:eastAsiaTheme="minorEastAsia"/>
          <w:b/>
          <w:bCs/>
          <w:szCs w:val="21"/>
        </w:rPr>
        <w:t>九、履约保证金</w:t>
      </w:r>
      <w:bookmarkEnd w:id="190"/>
    </w:p>
    <w:p>
      <w:pPr>
        <w:autoSpaceDE w:val="0"/>
        <w:autoSpaceDN w:val="0"/>
        <w:adjustRightInd w:val="0"/>
        <w:spacing w:line="276" w:lineRule="auto"/>
        <w:ind w:firstLine="482"/>
        <w:jc w:val="left"/>
        <w:rPr>
          <w:rFonts w:cs="仿宋" w:asciiTheme="minorEastAsia" w:hAnsiTheme="minorEastAsia" w:eastAsiaTheme="minorEastAsia"/>
          <w:szCs w:val="21"/>
          <w:lang w:val="zh-CN"/>
        </w:rPr>
      </w:pPr>
      <w:r>
        <w:rPr>
          <w:rFonts w:cs="仿宋" w:asciiTheme="minorEastAsia" w:hAnsiTheme="minorEastAsia" w:eastAsiaTheme="minorEastAsia"/>
          <w:szCs w:val="21"/>
          <w:lang w:val="zh-CN"/>
        </w:rPr>
        <w:t>1</w:t>
      </w:r>
      <w:r>
        <w:rPr>
          <w:rFonts w:hint="eastAsia" w:cs="仿宋" w:asciiTheme="minorEastAsia" w:hAnsiTheme="minorEastAsia" w:eastAsiaTheme="minorEastAsia"/>
          <w:szCs w:val="21"/>
        </w:rPr>
        <w:t>、</w:t>
      </w:r>
      <w:r>
        <w:rPr>
          <w:rFonts w:hint="eastAsia" w:cs="仿宋" w:asciiTheme="minorEastAsia" w:hAnsiTheme="minorEastAsia" w:eastAsiaTheme="minorEastAsia"/>
          <w:szCs w:val="21"/>
          <w:lang w:val="zh-CN"/>
        </w:rPr>
        <w:t>履约保证金用于补偿甲方因乙方不能履行或不能完全履行合同义务而蒙受的损失。</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cs="仿宋" w:asciiTheme="minorEastAsia" w:hAnsiTheme="minorEastAsia" w:eastAsiaTheme="minorEastAsia"/>
          <w:szCs w:val="21"/>
          <w:lang w:val="zh-CN"/>
        </w:rPr>
        <w:t>2</w:t>
      </w:r>
      <w:r>
        <w:rPr>
          <w:rFonts w:hint="eastAsia" w:cs="仿宋" w:asciiTheme="minorEastAsia" w:hAnsiTheme="minorEastAsia" w:eastAsiaTheme="minorEastAsia"/>
          <w:szCs w:val="21"/>
        </w:rPr>
        <w:t>、</w:t>
      </w:r>
      <w:r>
        <w:rPr>
          <w:rFonts w:hint="eastAsia" w:cs="仿宋" w:asciiTheme="minorEastAsia" w:hAnsiTheme="minorEastAsia" w:eastAsiaTheme="minorEastAsia"/>
          <w:szCs w:val="21"/>
          <w:lang w:val="zh-CN"/>
        </w:rPr>
        <w:t>在签订合同前，乙方需向招标人交纳人民币_______元作为本合同的履约保证金（具体金额为中标价的5%）。履约保证金以转帐、电汇或网汇形式汇转至招标人指定帐户并存于甲方处，待项目验收结束后无质量问题一次性无息退还。</w:t>
      </w:r>
    </w:p>
    <w:p>
      <w:pPr>
        <w:spacing w:line="276" w:lineRule="auto"/>
        <w:ind w:firstLine="420" w:firstLineChars="200"/>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3、乙方如提供AA级以上信用报告的（需经信用管理部门备案的第三方信用报告），只需缴纳合同金额的2.5%的履约保证金。如果乙方不履行合同约定的义务，未能完全履行合同规定的义务或其履行不符合合同的约定，甲方有权扣除履约保证金取得补偿。</w:t>
      </w:r>
    </w:p>
    <w:p>
      <w:pPr>
        <w:autoSpaceDE w:val="0"/>
        <w:autoSpaceDN w:val="0"/>
        <w:adjustRightInd w:val="0"/>
        <w:spacing w:line="276" w:lineRule="auto"/>
        <w:ind w:firstLine="422" w:firstLineChars="200"/>
        <w:outlineLvl w:val="1"/>
        <w:rPr>
          <w:rFonts w:cs="仿宋" w:asciiTheme="minorEastAsia" w:hAnsiTheme="minorEastAsia" w:eastAsiaTheme="minorEastAsia"/>
          <w:b/>
          <w:bCs/>
          <w:szCs w:val="21"/>
        </w:rPr>
      </w:pPr>
      <w:bookmarkStart w:id="191" w:name="_Toc145929002"/>
      <w:r>
        <w:rPr>
          <w:rFonts w:hint="eastAsia" w:cs="仿宋" w:asciiTheme="minorEastAsia" w:hAnsiTheme="minorEastAsia" w:eastAsiaTheme="minorEastAsia"/>
          <w:b/>
          <w:bCs/>
          <w:szCs w:val="21"/>
        </w:rPr>
        <w:t>十、所有权归属</w:t>
      </w:r>
      <w:bookmarkEnd w:id="191"/>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乙方将服务成果交付甲方，并且经甲乙双方共同验收合格后所有权转移给甲方，在所有权转移之前，标的物损毁、灭失的风险归乙方，乙方保证所交付的服务成果的所有权完全属于乙方且无任何抵押、查封等产权瑕疵。</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如乙方交付的服务成果有产权瑕疵的，视为乙方违约，乙方须向甲方支付20%的违约金；如果合同总金额价款已经支付完毕或者开始支付合同价款时才发现产权有瑕疵的，乙方仍须支付上述违约金并且赔偿甲方由此所遭受的一切损失。</w:t>
      </w:r>
    </w:p>
    <w:p>
      <w:pPr>
        <w:autoSpaceDE w:val="0"/>
        <w:autoSpaceDN w:val="0"/>
        <w:adjustRightInd w:val="0"/>
        <w:spacing w:line="276" w:lineRule="auto"/>
        <w:ind w:firstLine="422" w:firstLineChars="200"/>
        <w:outlineLvl w:val="1"/>
        <w:rPr>
          <w:rFonts w:cs="仿宋" w:asciiTheme="minorEastAsia" w:hAnsiTheme="minorEastAsia" w:eastAsiaTheme="minorEastAsia"/>
          <w:b/>
          <w:bCs/>
          <w:szCs w:val="21"/>
        </w:rPr>
      </w:pPr>
      <w:bookmarkStart w:id="192" w:name="_Toc145929003"/>
      <w:r>
        <w:rPr>
          <w:rFonts w:hint="eastAsia" w:cs="仿宋" w:asciiTheme="minorEastAsia" w:hAnsiTheme="minorEastAsia" w:eastAsiaTheme="minorEastAsia"/>
          <w:b/>
          <w:bCs/>
          <w:szCs w:val="21"/>
        </w:rPr>
        <w:t>十一、售后服务及承诺</w:t>
      </w:r>
      <w:bookmarkEnd w:id="192"/>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1、服务质量保证期限自提交服务验收合格之日起个月，在质量保证期内，乙方应对服务出现的问题负责处理并承担一切费用，并且赔偿甲方的损失。</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2、乙方有完善的服务体系，有能力提供持续的、本地化售后服务。</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3、乙方负责系统安装和调试以及操作人员培训，并制定详细的培训计划，使操作人员能独立进行管理、操作、维护和故障处理等工作，做好相关记录及技术文档收集整理，待验收后移交。</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4、服务范围：负责招标文件所涉及到的所有服务。</w:t>
      </w:r>
    </w:p>
    <w:p>
      <w:pPr>
        <w:autoSpaceDE w:val="0"/>
        <w:autoSpaceDN w:val="0"/>
        <w:adjustRightInd w:val="0"/>
        <w:spacing w:line="276" w:lineRule="auto"/>
        <w:ind w:firstLine="422" w:firstLineChars="200"/>
        <w:outlineLvl w:val="1"/>
        <w:rPr>
          <w:rFonts w:cs="仿宋" w:asciiTheme="minorEastAsia" w:hAnsiTheme="minorEastAsia" w:eastAsiaTheme="minorEastAsia"/>
          <w:b/>
          <w:bCs/>
          <w:szCs w:val="21"/>
        </w:rPr>
      </w:pPr>
      <w:bookmarkStart w:id="193" w:name="_Toc145929004"/>
      <w:r>
        <w:rPr>
          <w:rFonts w:hint="eastAsia" w:cs="仿宋" w:asciiTheme="minorEastAsia" w:hAnsiTheme="minorEastAsia" w:eastAsiaTheme="minorEastAsia"/>
          <w:b/>
          <w:bCs/>
          <w:szCs w:val="21"/>
        </w:rPr>
        <w:t>十二、知识产权</w:t>
      </w:r>
      <w:bookmarkEnd w:id="193"/>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乙方保证，甲方在享受服务或者服务的任何一部分时，免受第三方提出的侵犯其专利权、商标权或其他知识产权的起诉。如发生此类纠纷，由乙方承担一切责任；如因此给甲方造成损失的，乙方负责全额赔偿。</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2、乙方为执行本合同而提供的技术资料或者其他相关资料、软件等由甲方永久免费使用。</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rPr>
        <w:t>3、</w:t>
      </w:r>
      <w:r>
        <w:rPr>
          <w:rFonts w:hint="eastAsia" w:cs="仿宋" w:asciiTheme="minorEastAsia" w:hAnsiTheme="minorEastAsia" w:eastAsiaTheme="minorEastAsia"/>
          <w:szCs w:val="21"/>
          <w:lang w:val="zh-CN"/>
        </w:rPr>
        <w:t>未经</w:t>
      </w:r>
      <w:r>
        <w:rPr>
          <w:rFonts w:hint="eastAsia" w:cs="仿宋" w:asciiTheme="minorEastAsia" w:hAnsiTheme="minorEastAsia" w:eastAsiaTheme="minorEastAsia"/>
          <w:szCs w:val="21"/>
        </w:rPr>
        <w:t>甲</w:t>
      </w:r>
      <w:r>
        <w:rPr>
          <w:rFonts w:hint="eastAsia" w:cs="仿宋" w:asciiTheme="minorEastAsia" w:hAnsiTheme="minorEastAsia" w:eastAsiaTheme="minorEastAsia"/>
          <w:szCs w:val="21"/>
          <w:lang w:val="zh-CN"/>
        </w:rPr>
        <w:t>方书面同意，</w:t>
      </w:r>
      <w:r>
        <w:rPr>
          <w:rFonts w:hint="eastAsia" w:cs="仿宋" w:asciiTheme="minorEastAsia" w:hAnsiTheme="minorEastAsia" w:eastAsiaTheme="minorEastAsia"/>
          <w:szCs w:val="21"/>
        </w:rPr>
        <w:t>乙</w:t>
      </w:r>
      <w:r>
        <w:rPr>
          <w:rFonts w:hint="eastAsia" w:cs="仿宋" w:asciiTheme="minorEastAsia" w:hAnsiTheme="minorEastAsia" w:eastAsiaTheme="minorEastAsia"/>
          <w:szCs w:val="21"/>
          <w:lang w:val="zh-CN"/>
        </w:rPr>
        <w:t>方不得将需方针对该采购标的物所提供的技术标准、技术要求、图纸、工艺、采购订单内容等泄露给任何第三方，否则，需方将依据有关法律追究供方责任，并要求供方赔偿由此给需方造成的损失。</w:t>
      </w:r>
    </w:p>
    <w:p>
      <w:pPr>
        <w:autoSpaceDE w:val="0"/>
        <w:autoSpaceDN w:val="0"/>
        <w:adjustRightInd w:val="0"/>
        <w:spacing w:line="276" w:lineRule="auto"/>
        <w:ind w:firstLine="482"/>
        <w:rPr>
          <w:rFonts w:asciiTheme="minorEastAsia" w:hAnsiTheme="minorEastAsia" w:eastAsiaTheme="minorEastAsia"/>
          <w:szCs w:val="21"/>
          <w:lang w:val="zh-CN"/>
        </w:rPr>
      </w:pPr>
      <w:r>
        <w:rPr>
          <w:rFonts w:hint="eastAsia" w:cs="仿宋" w:asciiTheme="minorEastAsia" w:hAnsiTheme="minorEastAsia" w:eastAsiaTheme="minorEastAsia"/>
          <w:szCs w:val="21"/>
        </w:rPr>
        <w:t>4、对于上述涉及的知识产权权利，供方许可需方在本合同约定范围内使用。</w:t>
      </w:r>
    </w:p>
    <w:p>
      <w:pPr>
        <w:autoSpaceDE w:val="0"/>
        <w:autoSpaceDN w:val="0"/>
        <w:adjustRightInd w:val="0"/>
        <w:spacing w:line="276" w:lineRule="auto"/>
        <w:ind w:firstLine="422" w:firstLineChars="200"/>
        <w:outlineLvl w:val="1"/>
        <w:rPr>
          <w:rFonts w:cs="仿宋" w:asciiTheme="minorEastAsia" w:hAnsiTheme="minorEastAsia" w:eastAsiaTheme="minorEastAsia"/>
          <w:b/>
          <w:bCs/>
          <w:szCs w:val="21"/>
        </w:rPr>
      </w:pPr>
      <w:bookmarkStart w:id="194" w:name="_Toc145929005"/>
      <w:r>
        <w:rPr>
          <w:rFonts w:hint="eastAsia" w:cs="仿宋" w:asciiTheme="minorEastAsia" w:hAnsiTheme="minorEastAsia" w:eastAsiaTheme="minorEastAsia"/>
          <w:b/>
          <w:bCs/>
          <w:szCs w:val="21"/>
        </w:rPr>
        <w:t>十三、甲方责任</w:t>
      </w:r>
      <w:bookmarkEnd w:id="194"/>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1、及时办理付款手续。</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2、负责提供工作场地，协助乙方办理有关事宜。</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3、对合同条款及所知悉的乙方商业秘密负有保密义务。</w:t>
      </w:r>
    </w:p>
    <w:p>
      <w:pPr>
        <w:autoSpaceDE w:val="0"/>
        <w:autoSpaceDN w:val="0"/>
        <w:adjustRightInd w:val="0"/>
        <w:spacing w:line="276" w:lineRule="auto"/>
        <w:ind w:firstLine="422" w:firstLineChars="200"/>
        <w:outlineLvl w:val="1"/>
        <w:rPr>
          <w:rFonts w:cs="仿宋" w:asciiTheme="minorEastAsia" w:hAnsiTheme="minorEastAsia" w:eastAsiaTheme="minorEastAsia"/>
          <w:b/>
          <w:bCs/>
          <w:szCs w:val="21"/>
        </w:rPr>
      </w:pPr>
      <w:bookmarkStart w:id="195" w:name="_Toc145929006"/>
      <w:r>
        <w:rPr>
          <w:rFonts w:hint="eastAsia" w:cs="仿宋" w:asciiTheme="minorEastAsia" w:hAnsiTheme="minorEastAsia" w:eastAsiaTheme="minorEastAsia"/>
          <w:b/>
          <w:bCs/>
          <w:szCs w:val="21"/>
        </w:rPr>
        <w:t>十四、乙方责任</w:t>
      </w:r>
      <w:bookmarkEnd w:id="195"/>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w:t>
      </w:r>
      <w:r>
        <w:rPr>
          <w:rFonts w:cs="仿宋" w:asciiTheme="minorEastAsia" w:hAnsiTheme="minorEastAsia" w:eastAsiaTheme="minorEastAsia"/>
          <w:szCs w:val="21"/>
          <w:lang w:val="zh-CN"/>
        </w:rPr>
        <w:t>乙方应按国家及地方技术规范、标准、规程，同时满足甲方根据本项目的特殊性提出的有关设计图纸方面的要求进行工程设计。乙方应对其提交的全部设计成果的质量负责，保证所有的设计成果符合国家及地方有关规范规定且满足</w:t>
      </w:r>
      <w:r>
        <w:rPr>
          <w:rFonts w:hint="eastAsia" w:cs="仿宋" w:asciiTheme="minorEastAsia" w:hAnsiTheme="minorEastAsia" w:eastAsiaTheme="minorEastAsia"/>
          <w:szCs w:val="21"/>
          <w:lang w:val="zh-CN"/>
        </w:rPr>
        <w:t>甲方的设计</w:t>
      </w:r>
      <w:r>
        <w:rPr>
          <w:rFonts w:cs="仿宋" w:asciiTheme="minorEastAsia" w:hAnsiTheme="minorEastAsia" w:eastAsiaTheme="minorEastAsia"/>
          <w:szCs w:val="21"/>
          <w:lang w:val="zh-CN"/>
        </w:rPr>
        <w:t>要求。</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2、</w:t>
      </w:r>
      <w:r>
        <w:rPr>
          <w:rFonts w:cs="仿宋" w:asciiTheme="minorEastAsia" w:hAnsiTheme="minorEastAsia" w:eastAsiaTheme="minorEastAsia"/>
          <w:szCs w:val="21"/>
          <w:lang w:val="zh-CN"/>
        </w:rPr>
        <w:t>乙方应按合同</w:t>
      </w:r>
      <w:r>
        <w:rPr>
          <w:rFonts w:hint="eastAsia" w:cs="仿宋" w:asciiTheme="minorEastAsia" w:hAnsiTheme="minorEastAsia" w:eastAsiaTheme="minorEastAsia"/>
          <w:szCs w:val="21"/>
          <w:lang w:val="zh-CN"/>
        </w:rPr>
        <w:t>约定，根据</w:t>
      </w:r>
      <w:r>
        <w:rPr>
          <w:rFonts w:cs="仿宋" w:asciiTheme="minorEastAsia" w:hAnsiTheme="minorEastAsia" w:eastAsiaTheme="minorEastAsia"/>
          <w:szCs w:val="21"/>
          <w:lang w:val="zh-CN"/>
        </w:rPr>
        <w:t>进度要求及份数向甲方提交合格的设计成果。并在项目实施全过程向相关单位进行设计交底、解决各阶段设计技术问题、及时对工程变更进行变更设计或优化完善设计，并参加规范规定或应甲方要求的专题例会和各阶段验收。</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3、</w:t>
      </w:r>
      <w:r>
        <w:rPr>
          <w:rFonts w:cs="仿宋" w:asciiTheme="minorEastAsia" w:hAnsiTheme="minorEastAsia" w:eastAsiaTheme="minorEastAsia"/>
          <w:szCs w:val="21"/>
          <w:lang w:val="zh-CN"/>
        </w:rPr>
        <w:t>乙方需配合施工单位完成设计交底和技术核定等工作；配合甲方完成相关</w:t>
      </w:r>
      <w:r>
        <w:rPr>
          <w:rFonts w:hint="eastAsia" w:cs="仿宋" w:asciiTheme="minorEastAsia" w:hAnsiTheme="minorEastAsia" w:eastAsiaTheme="minorEastAsia"/>
          <w:szCs w:val="21"/>
          <w:lang w:val="zh-CN"/>
        </w:rPr>
        <w:t>主材选样、</w:t>
      </w:r>
      <w:r>
        <w:rPr>
          <w:rFonts w:cs="仿宋" w:asciiTheme="minorEastAsia" w:hAnsiTheme="minorEastAsia" w:eastAsiaTheme="minorEastAsia"/>
          <w:szCs w:val="21"/>
          <w:lang w:val="zh-CN"/>
        </w:rPr>
        <w:t>设备选型</w:t>
      </w:r>
      <w:r>
        <w:rPr>
          <w:rFonts w:hint="eastAsia" w:cs="仿宋" w:asciiTheme="minorEastAsia" w:hAnsiTheme="minorEastAsia" w:eastAsiaTheme="minorEastAsia"/>
          <w:szCs w:val="21"/>
          <w:lang w:val="zh-CN"/>
        </w:rPr>
        <w:t>等</w:t>
      </w:r>
      <w:r>
        <w:rPr>
          <w:rFonts w:cs="仿宋" w:asciiTheme="minorEastAsia" w:hAnsiTheme="minorEastAsia" w:eastAsiaTheme="minorEastAsia"/>
          <w:szCs w:val="21"/>
          <w:lang w:val="zh-CN"/>
        </w:rPr>
        <w:t>工作；</w:t>
      </w:r>
      <w:r>
        <w:rPr>
          <w:rFonts w:hint="eastAsia" w:cs="仿宋" w:asciiTheme="minorEastAsia" w:hAnsiTheme="minorEastAsia" w:eastAsiaTheme="minorEastAsia"/>
          <w:szCs w:val="21"/>
          <w:lang w:val="zh-CN"/>
        </w:rPr>
        <w:t>必要时</w:t>
      </w:r>
      <w:r>
        <w:rPr>
          <w:rFonts w:cs="仿宋" w:asciiTheme="minorEastAsia" w:hAnsiTheme="minorEastAsia" w:eastAsiaTheme="minorEastAsia"/>
          <w:szCs w:val="21"/>
          <w:lang w:val="zh-CN"/>
        </w:rPr>
        <w:t>配合甲方完成工程报建工作；相关费用已包含在本合同设计费用中。</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4、</w:t>
      </w:r>
      <w:r>
        <w:rPr>
          <w:rFonts w:cs="仿宋" w:asciiTheme="minorEastAsia" w:hAnsiTheme="minorEastAsia" w:eastAsiaTheme="minorEastAsia"/>
          <w:szCs w:val="21"/>
          <w:lang w:val="zh-CN"/>
        </w:rPr>
        <w:t>对涉及建筑安全或对投资影响重大的有关数据，在甲方提出要求时，乙方必须提供设计输入条件、基础数据、计算原理和方法以及计算成果，方便甲方在必要时用其他计算程序进行验算。乙方有解释的义务，不得以专利和知识产权为借口拒绝配合。</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5、</w:t>
      </w:r>
      <w:r>
        <w:rPr>
          <w:rFonts w:cs="仿宋" w:asciiTheme="minorEastAsia" w:hAnsiTheme="minorEastAsia" w:eastAsiaTheme="minorEastAsia"/>
          <w:szCs w:val="21"/>
          <w:lang w:val="zh-CN"/>
        </w:rPr>
        <w:t>在项目实施全过程中（包括</w:t>
      </w:r>
      <w:r>
        <w:rPr>
          <w:rFonts w:hint="eastAsia" w:cs="仿宋" w:asciiTheme="minorEastAsia" w:hAnsiTheme="minorEastAsia" w:eastAsiaTheme="minorEastAsia"/>
          <w:szCs w:val="21"/>
          <w:lang w:val="zh-CN"/>
        </w:rPr>
        <w:t>设计</w:t>
      </w:r>
      <w:r>
        <w:rPr>
          <w:rFonts w:cs="仿宋" w:asciiTheme="minorEastAsia" w:hAnsiTheme="minorEastAsia" w:eastAsiaTheme="minorEastAsia"/>
          <w:szCs w:val="21"/>
          <w:lang w:val="zh-CN"/>
        </w:rPr>
        <w:t>、施工和验收阶段），乙方应按甲方要求准时</w:t>
      </w:r>
      <w:r>
        <w:rPr>
          <w:rFonts w:hint="eastAsia" w:cs="仿宋" w:asciiTheme="minorEastAsia" w:hAnsiTheme="minorEastAsia" w:eastAsiaTheme="minorEastAsia"/>
          <w:szCs w:val="21"/>
          <w:lang w:val="zh-CN"/>
        </w:rPr>
        <w:t>委派人员</w:t>
      </w:r>
      <w:r>
        <w:rPr>
          <w:rFonts w:cs="仿宋" w:asciiTheme="minorEastAsia" w:hAnsiTheme="minorEastAsia" w:eastAsiaTheme="minorEastAsia"/>
          <w:szCs w:val="21"/>
          <w:lang w:val="zh-CN"/>
        </w:rPr>
        <w:t>参加甲方组织的所有技术交底、评审等专题会议，并根据甲方或政府主管部门的意见，及时修改、完善设计，负责完成由于未获政府主管部门批准或因现场实际施工需要而出现的反复修改的工作。</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6、保证其所供服务不存在侵犯第三方知识产权的行为，否则由此产生的损失由乙方承担。</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7、保证所提供服务的售后服务，严格依据投标文件及相关承诺，对服务以及与之配套的项目进行保修、维护等服务。</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8、</w:t>
      </w:r>
      <w:r>
        <w:rPr>
          <w:rFonts w:cs="仿宋" w:asciiTheme="minorEastAsia" w:hAnsiTheme="minorEastAsia" w:eastAsiaTheme="minorEastAsia"/>
          <w:szCs w:val="21"/>
          <w:lang w:val="zh-CN"/>
        </w:rPr>
        <w:t>乙方履行投标承诺的相关责任和其他依据合同和法律规定应由乙方履行的责任。</w:t>
      </w:r>
    </w:p>
    <w:p>
      <w:pPr>
        <w:autoSpaceDE w:val="0"/>
        <w:autoSpaceDN w:val="0"/>
        <w:adjustRightInd w:val="0"/>
        <w:spacing w:line="276" w:lineRule="auto"/>
        <w:ind w:firstLine="422" w:firstLineChars="200"/>
        <w:outlineLvl w:val="1"/>
        <w:rPr>
          <w:rFonts w:cs="仿宋" w:asciiTheme="minorEastAsia" w:hAnsiTheme="minorEastAsia" w:eastAsiaTheme="minorEastAsia"/>
          <w:b/>
          <w:bCs/>
          <w:szCs w:val="21"/>
        </w:rPr>
      </w:pPr>
      <w:bookmarkStart w:id="196" w:name="_Toc145929007"/>
      <w:r>
        <w:rPr>
          <w:rFonts w:hint="eastAsia" w:cs="仿宋" w:asciiTheme="minorEastAsia" w:hAnsiTheme="minorEastAsia" w:eastAsiaTheme="minorEastAsia"/>
          <w:b/>
          <w:bCs/>
          <w:szCs w:val="21"/>
        </w:rPr>
        <w:t>十五、违约责任</w:t>
      </w:r>
      <w:bookmarkEnd w:id="196"/>
    </w:p>
    <w:p>
      <w:pPr>
        <w:autoSpaceDE w:val="0"/>
        <w:autoSpaceDN w:val="0"/>
        <w:adjustRightInd w:val="0"/>
        <w:spacing w:line="276" w:lineRule="auto"/>
        <w:ind w:firstLine="420" w:firstLineChars="200"/>
        <w:outlineLvl w:val="1"/>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w:t>
      </w:r>
      <w:r>
        <w:rPr>
          <w:rFonts w:cs="仿宋" w:asciiTheme="minorEastAsia" w:hAnsiTheme="minorEastAsia" w:eastAsiaTheme="minorEastAsia"/>
          <w:szCs w:val="21"/>
          <w:lang w:val="zh-CN"/>
        </w:rPr>
        <w:t>乙方在投标和履行合同过程中贿赂甲方人员和建设项目有关主管人员的，视为不正当竞争并须承担严重违约责任，构成犯罪的，交司法部门处理。</w:t>
      </w:r>
      <w:r>
        <w:rPr>
          <w:rFonts w:hint="eastAsia" w:cs="仿宋" w:asciiTheme="minorEastAsia" w:hAnsiTheme="minorEastAsia" w:eastAsiaTheme="minorEastAsia"/>
          <w:szCs w:val="21"/>
          <w:lang w:val="zh-CN"/>
        </w:rPr>
        <w:t>同时</w:t>
      </w:r>
      <w:r>
        <w:rPr>
          <w:rFonts w:cs="仿宋" w:asciiTheme="minorEastAsia" w:hAnsiTheme="minorEastAsia" w:eastAsiaTheme="minorEastAsia"/>
          <w:szCs w:val="21"/>
          <w:lang w:val="zh-CN"/>
        </w:rPr>
        <w:t>，甲方有解除合同的权利。</w:t>
      </w:r>
    </w:p>
    <w:p>
      <w:pPr>
        <w:autoSpaceDE w:val="0"/>
        <w:autoSpaceDN w:val="0"/>
        <w:adjustRightInd w:val="0"/>
        <w:spacing w:line="276" w:lineRule="auto"/>
        <w:ind w:firstLine="420" w:firstLineChars="200"/>
        <w:outlineLvl w:val="1"/>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2、</w:t>
      </w:r>
      <w:r>
        <w:rPr>
          <w:rFonts w:cs="仿宋" w:asciiTheme="minorEastAsia" w:hAnsiTheme="minorEastAsia" w:eastAsiaTheme="minorEastAsia"/>
          <w:szCs w:val="21"/>
          <w:lang w:val="zh-CN"/>
        </w:rPr>
        <w:t>乙方无故要求终止或解除合同，需向甲方支付相当于约定的设计费总额两倍的违约金，并承担由此造成的拖延工期的损失。</w:t>
      </w:r>
    </w:p>
    <w:p>
      <w:pPr>
        <w:autoSpaceDE w:val="0"/>
        <w:autoSpaceDN w:val="0"/>
        <w:adjustRightInd w:val="0"/>
        <w:spacing w:line="276" w:lineRule="auto"/>
        <w:ind w:firstLine="420" w:firstLineChars="200"/>
        <w:outlineLvl w:val="1"/>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3、在项目实施过程中，擅自更换合同约定的设计人员，乙方需向甲方支付违约金500元/次；擅自更换项目负责人，乙方需向甲方支付违约金2000元/次。</w:t>
      </w:r>
    </w:p>
    <w:p>
      <w:pPr>
        <w:autoSpaceDE w:val="0"/>
        <w:autoSpaceDN w:val="0"/>
        <w:adjustRightInd w:val="0"/>
        <w:spacing w:line="276" w:lineRule="auto"/>
        <w:ind w:firstLine="420" w:firstLineChars="200"/>
        <w:outlineLvl w:val="1"/>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4、乙方未对项目现场情况进行勘察或现场现有条件勘察不全面导致工程量变更的，或设计成果有较大缺漏项、多专业明显未交圈、较大设计缺陷、设计深度明显不满足、未按相关标准规范设计，给采购人造成经济损失或导致项目签证的，支付违约金500元/次；影响较为重大，导致损失或签证超过合同价的1</w:t>
      </w:r>
      <w:r>
        <w:rPr>
          <w:rFonts w:cs="仿宋" w:asciiTheme="minorEastAsia" w:hAnsiTheme="minorEastAsia" w:eastAsiaTheme="minorEastAsia"/>
          <w:szCs w:val="21"/>
          <w:lang w:val="zh-CN"/>
        </w:rPr>
        <w:t>0</w:t>
      </w:r>
      <w:r>
        <w:rPr>
          <w:rFonts w:hint="eastAsia" w:cs="仿宋" w:asciiTheme="minorEastAsia" w:hAnsiTheme="minorEastAsia" w:eastAsiaTheme="minorEastAsia"/>
          <w:szCs w:val="21"/>
          <w:lang w:val="zh-CN"/>
        </w:rPr>
        <w:t>%的，单项设计费不予支付。（</w:t>
      </w:r>
      <w:r>
        <w:rPr>
          <w:rFonts w:hint="eastAsia" w:cs="仿宋" w:asciiTheme="minorEastAsia" w:hAnsiTheme="minorEastAsia" w:eastAsiaTheme="minorEastAsia"/>
          <w:szCs w:val="21"/>
        </w:rPr>
        <w:t>注：</w:t>
      </w:r>
      <w:r>
        <w:rPr>
          <w:rFonts w:hint="eastAsia" w:cs="仿宋" w:asciiTheme="minorEastAsia" w:hAnsiTheme="minorEastAsia" w:eastAsiaTheme="minorEastAsia"/>
          <w:szCs w:val="21"/>
          <w:lang w:val="zh-CN"/>
        </w:rPr>
        <w:t>设计</w:t>
      </w:r>
      <w:r>
        <w:rPr>
          <w:rFonts w:hint="eastAsia" w:cs="仿宋" w:asciiTheme="minorEastAsia" w:hAnsiTheme="minorEastAsia" w:eastAsiaTheme="minorEastAsia"/>
          <w:szCs w:val="21"/>
        </w:rPr>
        <w:t>完成</w:t>
      </w:r>
      <w:r>
        <w:rPr>
          <w:rFonts w:hint="eastAsia" w:cs="仿宋" w:asciiTheme="minorEastAsia" w:hAnsiTheme="minorEastAsia" w:eastAsiaTheme="minorEastAsia"/>
          <w:szCs w:val="21"/>
          <w:lang w:val="zh-CN"/>
        </w:rPr>
        <w:t>后</w:t>
      </w:r>
      <w:r>
        <w:rPr>
          <w:rFonts w:hint="eastAsia" w:cs="仿宋" w:asciiTheme="minorEastAsia" w:hAnsiTheme="minorEastAsia" w:eastAsiaTheme="minorEastAsia"/>
          <w:szCs w:val="21"/>
        </w:rPr>
        <w:t>因</w:t>
      </w:r>
      <w:r>
        <w:rPr>
          <w:rFonts w:hint="eastAsia" w:cs="仿宋" w:asciiTheme="minorEastAsia" w:hAnsiTheme="minorEastAsia" w:eastAsiaTheme="minorEastAsia"/>
          <w:szCs w:val="21"/>
          <w:lang w:val="zh-CN"/>
        </w:rPr>
        <w:t>甲方</w:t>
      </w:r>
      <w:r>
        <w:rPr>
          <w:rFonts w:hint="eastAsia" w:cs="仿宋" w:asciiTheme="minorEastAsia" w:hAnsiTheme="minorEastAsia" w:eastAsiaTheme="minorEastAsia"/>
          <w:szCs w:val="21"/>
        </w:rPr>
        <w:t>需要而</w:t>
      </w:r>
      <w:r>
        <w:rPr>
          <w:rFonts w:hint="eastAsia" w:cs="仿宋" w:asciiTheme="minorEastAsia" w:hAnsiTheme="minorEastAsia" w:eastAsiaTheme="minorEastAsia"/>
          <w:szCs w:val="21"/>
          <w:lang w:val="zh-CN"/>
        </w:rPr>
        <w:t>增加的要求和</w:t>
      </w:r>
      <w:r>
        <w:rPr>
          <w:rFonts w:hint="eastAsia" w:cs="仿宋" w:asciiTheme="minorEastAsia" w:hAnsiTheme="minorEastAsia" w:eastAsiaTheme="minorEastAsia"/>
          <w:szCs w:val="21"/>
        </w:rPr>
        <w:t>因</w:t>
      </w:r>
      <w:r>
        <w:rPr>
          <w:rFonts w:hint="eastAsia" w:cs="仿宋" w:asciiTheme="minorEastAsia" w:hAnsiTheme="minorEastAsia" w:eastAsiaTheme="minorEastAsia"/>
          <w:szCs w:val="21"/>
          <w:lang w:val="zh-CN"/>
        </w:rPr>
        <w:t>不可预见</w:t>
      </w:r>
      <w:r>
        <w:rPr>
          <w:rFonts w:hint="eastAsia" w:cs="仿宋" w:asciiTheme="minorEastAsia" w:hAnsiTheme="minorEastAsia" w:eastAsiaTheme="minorEastAsia"/>
          <w:szCs w:val="21"/>
        </w:rPr>
        <w:t>因素造成</w:t>
      </w:r>
      <w:r>
        <w:rPr>
          <w:rFonts w:hint="eastAsia" w:cs="仿宋" w:asciiTheme="minorEastAsia" w:hAnsiTheme="minorEastAsia" w:eastAsiaTheme="minorEastAsia"/>
          <w:szCs w:val="21"/>
          <w:lang w:val="zh-CN"/>
        </w:rPr>
        <w:t>的设计</w:t>
      </w:r>
      <w:r>
        <w:rPr>
          <w:rFonts w:hint="eastAsia" w:cs="仿宋" w:asciiTheme="minorEastAsia" w:hAnsiTheme="minorEastAsia" w:eastAsiaTheme="minorEastAsia"/>
          <w:szCs w:val="21"/>
        </w:rPr>
        <w:t>变更</w:t>
      </w:r>
      <w:r>
        <w:rPr>
          <w:rFonts w:hint="eastAsia" w:cs="仿宋" w:asciiTheme="minorEastAsia" w:hAnsiTheme="minorEastAsia" w:eastAsiaTheme="minorEastAsia"/>
          <w:szCs w:val="21"/>
          <w:lang w:val="zh-CN"/>
        </w:rPr>
        <w:t>不在</w:t>
      </w:r>
      <w:r>
        <w:rPr>
          <w:rFonts w:hint="eastAsia" w:cs="仿宋" w:asciiTheme="minorEastAsia" w:hAnsiTheme="minorEastAsia" w:eastAsiaTheme="minorEastAsia"/>
          <w:szCs w:val="21"/>
        </w:rPr>
        <w:t>违约</w:t>
      </w:r>
      <w:r>
        <w:rPr>
          <w:rFonts w:hint="eastAsia" w:cs="仿宋" w:asciiTheme="minorEastAsia" w:hAnsiTheme="minorEastAsia" w:eastAsiaTheme="minorEastAsia"/>
          <w:szCs w:val="21"/>
          <w:lang w:val="zh-CN"/>
        </w:rPr>
        <w:t>范围内）</w:t>
      </w:r>
    </w:p>
    <w:p>
      <w:pPr>
        <w:autoSpaceDE w:val="0"/>
        <w:autoSpaceDN w:val="0"/>
        <w:adjustRightInd w:val="0"/>
        <w:spacing w:line="276" w:lineRule="auto"/>
        <w:ind w:firstLine="420" w:firstLineChars="200"/>
        <w:outlineLvl w:val="1"/>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5、乙方不配合招标人、相关服务单位进行技术完善、调整、变更，资料提供不及时，影响项目推进的，乙方需向甲方支付违约金500元/次。</w:t>
      </w:r>
    </w:p>
    <w:p>
      <w:pPr>
        <w:autoSpaceDE w:val="0"/>
        <w:autoSpaceDN w:val="0"/>
        <w:adjustRightInd w:val="0"/>
        <w:spacing w:line="276" w:lineRule="auto"/>
        <w:ind w:firstLine="420" w:firstLineChars="200"/>
        <w:outlineLvl w:val="1"/>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6、</w:t>
      </w:r>
      <w:r>
        <w:rPr>
          <w:rFonts w:cs="仿宋" w:asciiTheme="minorEastAsia" w:hAnsiTheme="minorEastAsia" w:eastAsiaTheme="minorEastAsia"/>
          <w:szCs w:val="21"/>
          <w:lang w:val="zh-CN"/>
        </w:rPr>
        <w:t>乙方承诺熟悉国家、江苏省及</w:t>
      </w:r>
      <w:r>
        <w:rPr>
          <w:rFonts w:hint="eastAsia" w:cs="仿宋" w:asciiTheme="minorEastAsia" w:hAnsiTheme="minorEastAsia" w:eastAsiaTheme="minorEastAsia"/>
          <w:szCs w:val="21"/>
          <w:lang w:val="zh-CN"/>
        </w:rPr>
        <w:t>盐城</w:t>
      </w:r>
      <w:r>
        <w:rPr>
          <w:rFonts w:cs="仿宋" w:asciiTheme="minorEastAsia" w:hAnsiTheme="minorEastAsia" w:eastAsiaTheme="minorEastAsia"/>
          <w:szCs w:val="21"/>
          <w:lang w:val="zh-CN"/>
        </w:rPr>
        <w:t>市所有有关本项目的设计规范和标准，如违反强制性规定被甲方或政府相关部门责令整改的，一经发现，乙方按</w:t>
      </w:r>
      <w:r>
        <w:rPr>
          <w:rFonts w:hint="eastAsia" w:cs="仿宋" w:asciiTheme="minorEastAsia" w:hAnsiTheme="minorEastAsia" w:eastAsiaTheme="minorEastAsia"/>
          <w:szCs w:val="21"/>
          <w:lang w:val="zh-CN"/>
        </w:rPr>
        <w:t>0.5</w:t>
      </w:r>
      <w:r>
        <w:rPr>
          <w:rFonts w:cs="仿宋" w:asciiTheme="minorEastAsia" w:hAnsiTheme="minorEastAsia" w:eastAsiaTheme="minorEastAsia"/>
          <w:szCs w:val="21"/>
          <w:lang w:val="zh-CN"/>
        </w:rPr>
        <w:t>万元/次向甲方支付违约金。同时</w:t>
      </w:r>
      <w:r>
        <w:rPr>
          <w:rFonts w:hint="eastAsia" w:cs="仿宋" w:asciiTheme="minorEastAsia" w:hAnsiTheme="minorEastAsia" w:eastAsiaTheme="minorEastAsia"/>
          <w:szCs w:val="21"/>
          <w:lang w:val="zh-CN"/>
        </w:rPr>
        <w:t>，</w:t>
      </w:r>
      <w:r>
        <w:rPr>
          <w:rFonts w:cs="仿宋" w:asciiTheme="minorEastAsia" w:hAnsiTheme="minorEastAsia" w:eastAsiaTheme="minorEastAsia"/>
          <w:szCs w:val="21"/>
          <w:lang w:val="zh-CN"/>
        </w:rPr>
        <w:t>甲方有权解除合同，未支付的设计费不予支付，给甲方造成严重损失的，应向甲方支付赔偿金。</w:t>
      </w:r>
    </w:p>
    <w:p>
      <w:pPr>
        <w:autoSpaceDE w:val="0"/>
        <w:autoSpaceDN w:val="0"/>
        <w:adjustRightInd w:val="0"/>
        <w:spacing w:line="276" w:lineRule="auto"/>
        <w:ind w:firstLine="420" w:firstLineChars="200"/>
        <w:outlineLvl w:val="1"/>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7、</w:t>
      </w:r>
      <w:r>
        <w:rPr>
          <w:rFonts w:cs="仿宋" w:asciiTheme="minorEastAsia" w:hAnsiTheme="minorEastAsia" w:eastAsiaTheme="minorEastAsia"/>
          <w:szCs w:val="21"/>
          <w:lang w:val="zh-CN"/>
        </w:rPr>
        <w:t>乙方承诺准时派</w:t>
      </w:r>
      <w:r>
        <w:rPr>
          <w:rFonts w:hint="eastAsia" w:cs="仿宋" w:asciiTheme="minorEastAsia" w:hAnsiTheme="minorEastAsia" w:eastAsiaTheme="minorEastAsia"/>
          <w:szCs w:val="21"/>
          <w:lang w:val="zh-CN"/>
        </w:rPr>
        <w:t>专人</w:t>
      </w:r>
      <w:r>
        <w:rPr>
          <w:rFonts w:cs="仿宋" w:asciiTheme="minorEastAsia" w:hAnsiTheme="minorEastAsia" w:eastAsiaTheme="minorEastAsia"/>
          <w:szCs w:val="21"/>
          <w:lang w:val="zh-CN"/>
        </w:rPr>
        <w:t>参加项目实施全过程中甲方要求乙方出席的各种会议，并切实做好会议资料的准备工作，如有违反，乙方按500元/次向甲方支付违约金。</w:t>
      </w:r>
    </w:p>
    <w:p>
      <w:pPr>
        <w:autoSpaceDE w:val="0"/>
        <w:autoSpaceDN w:val="0"/>
        <w:adjustRightInd w:val="0"/>
        <w:spacing w:line="276" w:lineRule="auto"/>
        <w:ind w:firstLine="420" w:firstLineChars="200"/>
        <w:outlineLvl w:val="1"/>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8、</w:t>
      </w:r>
      <w:r>
        <w:rPr>
          <w:rFonts w:cs="仿宋" w:asciiTheme="minorEastAsia" w:hAnsiTheme="minorEastAsia" w:eastAsiaTheme="minorEastAsia"/>
          <w:szCs w:val="21"/>
          <w:lang w:val="zh-CN"/>
        </w:rPr>
        <w:t>乙方承诺在项目实施全过程中，指派</w:t>
      </w:r>
      <w:r>
        <w:rPr>
          <w:rFonts w:hint="eastAsia" w:cs="仿宋" w:asciiTheme="minorEastAsia" w:hAnsiTheme="minorEastAsia" w:eastAsiaTheme="minorEastAsia"/>
          <w:szCs w:val="21"/>
          <w:lang w:val="zh-CN"/>
        </w:rPr>
        <w:t>专人</w:t>
      </w:r>
      <w:r>
        <w:rPr>
          <w:rFonts w:cs="仿宋" w:asciiTheme="minorEastAsia" w:hAnsiTheme="minorEastAsia" w:eastAsiaTheme="minorEastAsia"/>
          <w:szCs w:val="21"/>
          <w:lang w:val="zh-CN"/>
        </w:rPr>
        <w:t>进行跟踪服务，如乙方未在接到甲方通知后</w:t>
      </w:r>
      <w:r>
        <w:rPr>
          <w:rFonts w:hint="eastAsia" w:cs="仿宋" w:asciiTheme="minorEastAsia" w:hAnsiTheme="minorEastAsia" w:eastAsiaTheme="minorEastAsia"/>
          <w:szCs w:val="21"/>
          <w:lang w:val="zh-CN"/>
        </w:rPr>
        <w:t>24</w:t>
      </w:r>
      <w:r>
        <w:rPr>
          <w:rFonts w:cs="仿宋" w:asciiTheme="minorEastAsia" w:hAnsiTheme="minorEastAsia" w:eastAsiaTheme="minorEastAsia"/>
          <w:szCs w:val="21"/>
          <w:lang w:val="zh-CN"/>
        </w:rPr>
        <w:t>小时内予以响应或中断联系的，每发现一次，乙方按每次</w:t>
      </w:r>
      <w:r>
        <w:rPr>
          <w:rFonts w:hint="eastAsia" w:cs="仿宋" w:asciiTheme="minorEastAsia" w:hAnsiTheme="minorEastAsia" w:eastAsiaTheme="minorEastAsia"/>
          <w:szCs w:val="21"/>
          <w:lang w:val="zh-CN"/>
        </w:rPr>
        <w:t>500</w:t>
      </w:r>
      <w:r>
        <w:rPr>
          <w:rFonts w:cs="仿宋" w:asciiTheme="minorEastAsia" w:hAnsiTheme="minorEastAsia" w:eastAsiaTheme="minorEastAsia"/>
          <w:szCs w:val="21"/>
          <w:lang w:val="zh-CN"/>
        </w:rPr>
        <w:t>元向甲方支付违约金。</w:t>
      </w:r>
    </w:p>
    <w:p>
      <w:pPr>
        <w:autoSpaceDE w:val="0"/>
        <w:autoSpaceDN w:val="0"/>
        <w:adjustRightInd w:val="0"/>
        <w:spacing w:line="276" w:lineRule="auto"/>
        <w:ind w:firstLine="420" w:firstLineChars="200"/>
        <w:outlineLvl w:val="1"/>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9、</w:t>
      </w:r>
      <w:r>
        <w:rPr>
          <w:rFonts w:cs="仿宋" w:asciiTheme="minorEastAsia" w:hAnsiTheme="minorEastAsia" w:eastAsiaTheme="minorEastAsia"/>
          <w:szCs w:val="21"/>
          <w:lang w:val="zh-CN"/>
        </w:rPr>
        <w:t>乙方</w:t>
      </w:r>
      <w:r>
        <w:rPr>
          <w:rFonts w:hint="eastAsia" w:cs="仿宋" w:asciiTheme="minorEastAsia" w:hAnsiTheme="minorEastAsia" w:eastAsiaTheme="minorEastAsia"/>
          <w:szCs w:val="21"/>
          <w:lang w:val="zh-CN"/>
        </w:rPr>
        <w:t>因</w:t>
      </w:r>
      <w:r>
        <w:rPr>
          <w:rFonts w:cs="仿宋" w:asciiTheme="minorEastAsia" w:hAnsiTheme="minorEastAsia" w:eastAsiaTheme="minorEastAsia"/>
          <w:szCs w:val="21"/>
          <w:lang w:val="zh-CN"/>
        </w:rPr>
        <w:t>自身原因造成的逾期交付</w:t>
      </w:r>
      <w:r>
        <w:rPr>
          <w:rFonts w:hint="eastAsia" w:cs="仿宋" w:asciiTheme="minorEastAsia" w:hAnsiTheme="minorEastAsia" w:eastAsiaTheme="minorEastAsia"/>
          <w:szCs w:val="21"/>
          <w:lang w:val="zh-CN"/>
        </w:rPr>
        <w:t>各阶段</w:t>
      </w:r>
      <w:r>
        <w:rPr>
          <w:rFonts w:cs="仿宋" w:asciiTheme="minorEastAsia" w:hAnsiTheme="minorEastAsia" w:eastAsiaTheme="minorEastAsia"/>
          <w:szCs w:val="21"/>
          <w:lang w:val="zh-CN"/>
        </w:rPr>
        <w:t>设计</w:t>
      </w:r>
      <w:r>
        <w:rPr>
          <w:rFonts w:hint="eastAsia" w:cs="仿宋" w:asciiTheme="minorEastAsia" w:hAnsiTheme="minorEastAsia" w:eastAsiaTheme="minorEastAsia"/>
          <w:szCs w:val="21"/>
          <w:lang w:val="zh-CN"/>
        </w:rPr>
        <w:t>成果，</w:t>
      </w:r>
      <w:r>
        <w:rPr>
          <w:rFonts w:cs="仿宋" w:asciiTheme="minorEastAsia" w:hAnsiTheme="minorEastAsia" w:eastAsiaTheme="minorEastAsia"/>
          <w:szCs w:val="21"/>
          <w:lang w:val="zh-CN"/>
        </w:rPr>
        <w:t>按每逾期一天，乙方向甲方支付违约金</w:t>
      </w:r>
      <w:r>
        <w:rPr>
          <w:rFonts w:hint="eastAsia" w:cs="仿宋" w:asciiTheme="minorEastAsia" w:hAnsiTheme="minorEastAsia" w:eastAsiaTheme="minorEastAsia"/>
          <w:szCs w:val="21"/>
          <w:lang w:val="zh-CN"/>
        </w:rPr>
        <w:t>200元</w:t>
      </w:r>
      <w:r>
        <w:rPr>
          <w:rFonts w:cs="仿宋" w:asciiTheme="minorEastAsia" w:hAnsiTheme="minorEastAsia" w:eastAsiaTheme="minorEastAsia"/>
          <w:szCs w:val="21"/>
          <w:lang w:val="zh-CN"/>
        </w:rPr>
        <w:t>；逾期超过</w:t>
      </w:r>
      <w:r>
        <w:rPr>
          <w:rFonts w:hint="eastAsia" w:cs="仿宋" w:asciiTheme="minorEastAsia" w:hAnsiTheme="minorEastAsia" w:eastAsiaTheme="minorEastAsia"/>
          <w:szCs w:val="21"/>
          <w:lang w:val="zh-CN"/>
        </w:rPr>
        <w:t>20</w:t>
      </w:r>
      <w:r>
        <w:rPr>
          <w:rFonts w:cs="仿宋" w:asciiTheme="minorEastAsia" w:hAnsiTheme="minorEastAsia" w:eastAsiaTheme="minorEastAsia"/>
          <w:szCs w:val="21"/>
          <w:lang w:val="zh-CN"/>
        </w:rPr>
        <w:t>天的</w:t>
      </w:r>
      <w:r>
        <w:rPr>
          <w:rFonts w:hint="eastAsia" w:cs="仿宋" w:asciiTheme="minorEastAsia" w:hAnsiTheme="minorEastAsia" w:eastAsiaTheme="minorEastAsia"/>
          <w:szCs w:val="21"/>
          <w:lang w:val="zh-CN"/>
        </w:rPr>
        <w:t>，</w:t>
      </w:r>
      <w:r>
        <w:rPr>
          <w:rFonts w:cs="仿宋" w:asciiTheme="minorEastAsia" w:hAnsiTheme="minorEastAsia" w:eastAsiaTheme="minorEastAsia"/>
          <w:szCs w:val="21"/>
          <w:lang w:val="zh-CN"/>
        </w:rPr>
        <w:t>甲方有权解除合同，未支付的设计费不予支付。</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10、乙方所供服务成果及与之配套项目等不符合合同约定标准，甲方有权拒收。同时，乙方向甲方支付合同总金额20%的违约金。</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w:t>
      </w:r>
      <w:r>
        <w:rPr>
          <w:rFonts w:cs="仿宋" w:asciiTheme="minorEastAsia" w:hAnsiTheme="minorEastAsia" w:eastAsiaTheme="minorEastAsia"/>
          <w:szCs w:val="21"/>
          <w:lang w:val="zh-CN"/>
        </w:rPr>
        <w:t>1</w:t>
      </w:r>
      <w:r>
        <w:rPr>
          <w:rFonts w:hint="eastAsia" w:cs="仿宋" w:asciiTheme="minorEastAsia" w:hAnsiTheme="minorEastAsia" w:eastAsiaTheme="minorEastAsia"/>
          <w:szCs w:val="21"/>
          <w:lang w:val="zh-CN"/>
        </w:rPr>
        <w:t>、任何一方由于不可抗力原因不能履行合同时，在不可抗力事件结束后1日内向对方通报，以尽量减轻可能给对方造成的损失，在取得有关机构的不可抗力证明或双方谅解确认后，根据情况可部分或全部免于承担违约责任。</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12、甲方应配合乙方的工作，若因甲方原因造成乙方未完成规定采购内容，甲方不得扣除乙方相应费用。</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13、乙方未经甲方书面同意将本合同的全部或部分服务转让给第三方，或者将合同权利、对甲方享有的债权转让给第三方的，该等转让对甲方无效，且甲方有权单方解除本合同，</w:t>
      </w:r>
      <w:r>
        <w:rPr>
          <w:rFonts w:cs="仿宋" w:asciiTheme="minorEastAsia" w:hAnsiTheme="minorEastAsia" w:eastAsiaTheme="minorEastAsia"/>
          <w:szCs w:val="21"/>
          <w:lang w:val="zh-CN"/>
        </w:rPr>
        <w:t>未支付的设计费不予支付</w:t>
      </w:r>
      <w:r>
        <w:rPr>
          <w:rFonts w:hint="eastAsia" w:cs="仿宋" w:asciiTheme="minorEastAsia" w:hAnsiTheme="minorEastAsia" w:eastAsiaTheme="minorEastAsia"/>
          <w:szCs w:val="21"/>
          <w:lang w:val="zh-CN"/>
        </w:rPr>
        <w:t>。</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14、如乙方不履行质保义务，甲方有权委托第三方进行替换或从第三方购买替代品，由此发生的费用由乙方承担，除此之外乙方还应向甲方承担本合同总金额20%的违约金。</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15、因乙方存在其他违约行为或因乙方原因导致合同目的无法实现或合同无法继续履行的，甲方有权解除合同，</w:t>
      </w:r>
      <w:r>
        <w:rPr>
          <w:rFonts w:cs="仿宋" w:asciiTheme="minorEastAsia" w:hAnsiTheme="minorEastAsia" w:eastAsiaTheme="minorEastAsia"/>
          <w:szCs w:val="21"/>
          <w:lang w:val="zh-CN"/>
        </w:rPr>
        <w:t>未支付的设计费不予支付</w:t>
      </w:r>
      <w:r>
        <w:rPr>
          <w:rFonts w:hint="eastAsia" w:cs="仿宋" w:asciiTheme="minorEastAsia" w:hAnsiTheme="minorEastAsia" w:eastAsiaTheme="minorEastAsia"/>
          <w:szCs w:val="21"/>
          <w:lang w:val="zh-CN"/>
        </w:rPr>
        <w:t>。</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16、乙方违反本合同的约定，除按本合同的约定承担违约责任外，还应赔偿甲方包括但不限于直接损失、甲方向第三方的违约或赔偿损失、误工费、鉴定费、损失的评估费、律师费、诉讼费或仲裁费、保全费、保险费、公告费、执行费等全部损失。</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17、本合同所涉及全部违约金，甲方均有权从未付合同价款中扣除，乙方对此无异议。</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18、其它违约责任按《中华人民共和国民法典》处理。</w:t>
      </w:r>
    </w:p>
    <w:p>
      <w:pPr>
        <w:autoSpaceDE w:val="0"/>
        <w:autoSpaceDN w:val="0"/>
        <w:adjustRightInd w:val="0"/>
        <w:spacing w:line="276" w:lineRule="auto"/>
        <w:ind w:firstLine="422" w:firstLineChars="200"/>
        <w:outlineLvl w:val="1"/>
        <w:rPr>
          <w:rFonts w:cs="仿宋" w:asciiTheme="minorEastAsia" w:hAnsiTheme="minorEastAsia" w:eastAsiaTheme="minorEastAsia"/>
          <w:b/>
          <w:bCs/>
          <w:szCs w:val="21"/>
        </w:rPr>
      </w:pPr>
      <w:bookmarkStart w:id="197" w:name="_Toc145929008"/>
      <w:r>
        <w:rPr>
          <w:rFonts w:hint="eastAsia" w:cs="仿宋" w:asciiTheme="minorEastAsia" w:hAnsiTheme="minorEastAsia" w:eastAsiaTheme="minorEastAsia"/>
          <w:b/>
          <w:bCs/>
          <w:szCs w:val="21"/>
        </w:rPr>
        <w:t>十六、不可抗力</w:t>
      </w:r>
      <w:bookmarkEnd w:id="197"/>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甲乙双方的任何一方由于不可抗力不能履行合同时，应当及时通知对方不能履行或不能完全履行的情况和理由；经双方共同确认后，允许延期履行、部分履行或者终止履行合同的，根据情况可部分或全部免予承担违约责任。</w:t>
      </w:r>
    </w:p>
    <w:p>
      <w:pPr>
        <w:autoSpaceDE w:val="0"/>
        <w:autoSpaceDN w:val="0"/>
        <w:adjustRightInd w:val="0"/>
        <w:spacing w:line="276" w:lineRule="auto"/>
        <w:ind w:firstLine="422" w:firstLineChars="200"/>
        <w:outlineLvl w:val="1"/>
        <w:rPr>
          <w:rFonts w:cs="仿宋" w:asciiTheme="minorEastAsia" w:hAnsiTheme="minorEastAsia" w:eastAsiaTheme="minorEastAsia"/>
          <w:b/>
          <w:bCs/>
          <w:szCs w:val="21"/>
        </w:rPr>
      </w:pPr>
      <w:bookmarkStart w:id="198" w:name="_Toc145929009"/>
      <w:r>
        <w:rPr>
          <w:rFonts w:hint="eastAsia" w:cs="仿宋" w:asciiTheme="minorEastAsia" w:hAnsiTheme="minorEastAsia" w:eastAsiaTheme="minorEastAsia"/>
          <w:b/>
          <w:bCs/>
          <w:szCs w:val="21"/>
        </w:rPr>
        <w:t>十七、保密</w:t>
      </w:r>
      <w:bookmarkEnd w:id="198"/>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乙方在合同履行期间知悉甲方的工作秘密（包括相关业务信息），不得透露或以其他方式提供给合同双方以外的其他方（包括乙方内部与本合同无关的任何人员），乙方的保密责任不因本合同的终止而终止。乙方违反本合同所规定的保密义务，应按照本合同总金额的10%支付违约金。</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甲方有义务保护乙方的知识产权，未经乙方同意，甲方对乙方交付的成果文件、资料不得向第三方转让或用于本合同以外的项目。如发生以上情况，乙方有权索赔。</w:t>
      </w:r>
    </w:p>
    <w:p>
      <w:pPr>
        <w:autoSpaceDE w:val="0"/>
        <w:autoSpaceDN w:val="0"/>
        <w:adjustRightInd w:val="0"/>
        <w:spacing w:line="276" w:lineRule="auto"/>
        <w:ind w:firstLine="422" w:firstLineChars="200"/>
        <w:outlineLvl w:val="1"/>
        <w:rPr>
          <w:rFonts w:cs="仿宋" w:asciiTheme="minorEastAsia" w:hAnsiTheme="minorEastAsia" w:eastAsiaTheme="minorEastAsia"/>
          <w:b/>
          <w:bCs/>
          <w:szCs w:val="21"/>
        </w:rPr>
      </w:pPr>
      <w:bookmarkStart w:id="199" w:name="_Toc145929010"/>
      <w:r>
        <w:rPr>
          <w:rFonts w:hint="eastAsia" w:cs="仿宋" w:asciiTheme="minorEastAsia" w:hAnsiTheme="minorEastAsia" w:eastAsiaTheme="minorEastAsia"/>
          <w:b/>
          <w:bCs/>
          <w:szCs w:val="21"/>
        </w:rPr>
        <w:t>十八、合同解除</w:t>
      </w:r>
      <w:bookmarkEnd w:id="199"/>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甲方依据本合同约定或法律规定单方解除合同的，自解除合同的通知到达乙方时，合同自行终止。乙方应于合同解除之日起15日内退还甲方全部已支付款项并按一年期贷款市场报价利率四倍计取的资金占用期间的利息，赔偿甲方因此造成的损失，并支付甲方合同总价款30%的违约金。</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2、按合同约定或法律规定，解除合同的事由发生时，解除权人可以解除合同。享有解除权的一方应当自解除事由发生之日起三年内行使解除权，期限届满不行使的，解除权消灭。</w:t>
      </w:r>
    </w:p>
    <w:p>
      <w:pPr>
        <w:autoSpaceDE w:val="0"/>
        <w:autoSpaceDN w:val="0"/>
        <w:adjustRightInd w:val="0"/>
        <w:spacing w:line="276" w:lineRule="auto"/>
        <w:ind w:firstLine="422" w:firstLineChars="200"/>
        <w:outlineLvl w:val="1"/>
        <w:rPr>
          <w:rFonts w:cs="仿宋" w:asciiTheme="minorEastAsia" w:hAnsiTheme="minorEastAsia" w:eastAsiaTheme="minorEastAsia"/>
          <w:b/>
          <w:bCs/>
          <w:szCs w:val="21"/>
        </w:rPr>
      </w:pPr>
      <w:bookmarkStart w:id="200" w:name="_Toc145929011"/>
      <w:r>
        <w:rPr>
          <w:rFonts w:hint="eastAsia" w:cs="仿宋" w:asciiTheme="minorEastAsia" w:hAnsiTheme="minorEastAsia" w:eastAsiaTheme="minorEastAsia"/>
          <w:b/>
          <w:bCs/>
          <w:szCs w:val="21"/>
        </w:rPr>
        <w:t>十九、通知与送达</w:t>
      </w:r>
      <w:bookmarkEnd w:id="200"/>
    </w:p>
    <w:p>
      <w:pPr>
        <w:tabs>
          <w:tab w:val="left" w:pos="993"/>
          <w:tab w:val="left" w:pos="1276"/>
        </w:tabs>
        <w:spacing w:line="276" w:lineRule="auto"/>
        <w:ind w:firstLine="420" w:firstLineChars="200"/>
        <w:jc w:val="left"/>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1、乙方的通知与送达方式为：</w:t>
      </w:r>
    </w:p>
    <w:p>
      <w:pPr>
        <w:tabs>
          <w:tab w:val="left" w:pos="993"/>
          <w:tab w:val="left" w:pos="1276"/>
        </w:tabs>
        <w:spacing w:line="276" w:lineRule="auto"/>
        <w:ind w:firstLine="420" w:firstLineChars="200"/>
        <w:jc w:val="left"/>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乙方：</w:t>
      </w:r>
    </w:p>
    <w:p>
      <w:pPr>
        <w:tabs>
          <w:tab w:val="left" w:pos="993"/>
          <w:tab w:val="left" w:pos="1276"/>
        </w:tabs>
        <w:spacing w:line="276" w:lineRule="auto"/>
        <w:ind w:firstLine="420" w:firstLineChars="200"/>
        <w:jc w:val="left"/>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通讯地址：                      ；</w:t>
      </w:r>
    </w:p>
    <w:p>
      <w:pPr>
        <w:tabs>
          <w:tab w:val="left" w:pos="993"/>
          <w:tab w:val="left" w:pos="1276"/>
        </w:tabs>
        <w:spacing w:line="276" w:lineRule="auto"/>
        <w:ind w:firstLine="420" w:firstLineChars="200"/>
        <w:jc w:val="left"/>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联系人：                        ；联系电话（手机）：</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2、本合同涉及有关通知事项可按照本合同中约定的通知与送达方式，采用邮寄、直接送达、致电或发送短信、E-mail等任一方式进行，邮寄到达（拒收、退回）当日、直接送达或致电以及短信息、E-mail、微信发送当时，即视为乙方接到该通知。</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3、乙方必须保证本合同约定的联络方式真实有效，乙方前述联系方式不真实、不准确或未留联系方式，一切责任均由乙方承担。联系方式如有变更，必须于变更后3日内书面通知甲方。否则，甲方按照本合同约定的通知与送达方式向其发出的任何通知均视为合法有效。乙方拒收、不在指定地址或联系不上导致通知被退回，均视为通知已经合法有效送达。</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4、乙方同意，乙方在本通知与送达条款中预留的地址及电话、传真、电子邮箱等，均可作为送达诉讼（或仲裁）文书（包括但不限于起诉状、上诉状、申请书、传票、举证通知书、出庭通知书、各类裁定、判决等）的确认地址。即，只要人民法院（或仲裁委员会）将诉讼（或仲裁）文书发送至乙方预留的地址、传真、电子邮箱，即视为送达。因乙方自己提供或者确认的送达地址不准确、送达地址变更未及时告知甲方，乙方或者乙方指定的联系人拒绝签收，导致诉讼（或仲裁）文书未能被乙方实际接收的，文书退回之日视为送达之日。</w:t>
      </w:r>
    </w:p>
    <w:p>
      <w:pPr>
        <w:autoSpaceDE w:val="0"/>
        <w:autoSpaceDN w:val="0"/>
        <w:adjustRightInd w:val="0"/>
        <w:spacing w:line="276" w:lineRule="auto"/>
        <w:ind w:firstLine="422" w:firstLineChars="200"/>
        <w:outlineLvl w:val="1"/>
        <w:rPr>
          <w:rFonts w:cs="仿宋" w:asciiTheme="minorEastAsia" w:hAnsiTheme="minorEastAsia" w:eastAsiaTheme="minorEastAsia"/>
          <w:b/>
          <w:bCs/>
          <w:szCs w:val="21"/>
        </w:rPr>
      </w:pPr>
      <w:bookmarkStart w:id="201" w:name="_Toc145929012"/>
      <w:r>
        <w:rPr>
          <w:rFonts w:hint="eastAsia" w:cs="仿宋" w:asciiTheme="minorEastAsia" w:hAnsiTheme="minorEastAsia" w:eastAsiaTheme="minorEastAsia"/>
          <w:b/>
          <w:bCs/>
          <w:szCs w:val="21"/>
        </w:rPr>
        <w:t>二十、争议解决</w:t>
      </w:r>
      <w:bookmarkEnd w:id="201"/>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甲乙双方在合同履行中发生争议，应通过协商解决。如协商不成，可以向甲方所在地人民法院提起诉讼。</w:t>
      </w:r>
    </w:p>
    <w:p>
      <w:pPr>
        <w:autoSpaceDE w:val="0"/>
        <w:autoSpaceDN w:val="0"/>
        <w:adjustRightInd w:val="0"/>
        <w:spacing w:line="276" w:lineRule="auto"/>
        <w:ind w:firstLine="422" w:firstLineChars="200"/>
        <w:outlineLvl w:val="1"/>
        <w:rPr>
          <w:rFonts w:cs="仿宋" w:asciiTheme="minorEastAsia" w:hAnsiTheme="minorEastAsia" w:eastAsiaTheme="minorEastAsia"/>
          <w:b/>
          <w:bCs/>
          <w:szCs w:val="21"/>
        </w:rPr>
      </w:pPr>
      <w:bookmarkStart w:id="202" w:name="_Toc145929013"/>
      <w:r>
        <w:rPr>
          <w:rFonts w:hint="eastAsia" w:cs="仿宋" w:asciiTheme="minorEastAsia" w:hAnsiTheme="minorEastAsia" w:eastAsiaTheme="minorEastAsia"/>
          <w:b/>
          <w:bCs/>
          <w:szCs w:val="21"/>
        </w:rPr>
        <w:t>二十一、合同生效及其他</w:t>
      </w:r>
      <w:bookmarkEnd w:id="202"/>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 本合同一式</w:t>
      </w:r>
      <w:r>
        <w:rPr>
          <w:rFonts w:hint="eastAsia" w:cs="仿宋" w:asciiTheme="minorEastAsia" w:hAnsiTheme="minorEastAsia" w:eastAsiaTheme="minorEastAsia"/>
          <w:szCs w:val="21"/>
        </w:rPr>
        <w:t>伍</w:t>
      </w:r>
      <w:r>
        <w:rPr>
          <w:rFonts w:hint="eastAsia" w:cs="仿宋" w:asciiTheme="minorEastAsia" w:hAnsiTheme="minorEastAsia" w:eastAsiaTheme="minorEastAsia"/>
          <w:szCs w:val="21"/>
          <w:lang w:val="zh-CN"/>
        </w:rPr>
        <w:t>份，甲方执叁份、乙方执</w:t>
      </w:r>
      <w:r>
        <w:rPr>
          <w:rFonts w:hint="eastAsia" w:cs="仿宋" w:asciiTheme="minorEastAsia" w:hAnsiTheme="minorEastAsia" w:eastAsiaTheme="minorEastAsia"/>
          <w:szCs w:val="21"/>
        </w:rPr>
        <w:t>贰</w:t>
      </w:r>
      <w:r>
        <w:rPr>
          <w:rFonts w:hint="eastAsia" w:cs="仿宋" w:asciiTheme="minorEastAsia" w:hAnsiTheme="minorEastAsia" w:eastAsiaTheme="minorEastAsia"/>
          <w:szCs w:val="21"/>
          <w:lang w:val="zh-CN"/>
        </w:rPr>
        <w:t>份，经甲乙双方代表签字、加盖公章后生效，合同履行完成后自行终止。招标（采购）和投标（响应性）文件为本合同组成部分。</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2、组成本合同的文件及解释顺序为：本合同及补充条款、中标通知书、投标（响应性）文件及其附件；招标（采购）文件及补充通知。如果乙方的投标（响应性）文件及其附件高于国家行业标准的，以投标文件及其附件为准。</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3、本合同生效之后，任何一方违反本合同规定，除了承担违约金外，还要承担守约方向违约方追究违约责任所支付的一切费用，包括但不限于律师费、诉讼费、保全费、公告费、鉴定费、交通食宿费等。</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4、本合同未尽事宜，供需双方可签订补充协议，与本合同具有同等法律效力。</w:t>
      </w:r>
    </w:p>
    <w:p>
      <w:pPr>
        <w:autoSpaceDE w:val="0"/>
        <w:autoSpaceDN w:val="0"/>
        <w:adjustRightInd w:val="0"/>
        <w:spacing w:line="276" w:lineRule="auto"/>
        <w:ind w:firstLine="482"/>
        <w:rPr>
          <w:rFonts w:cs="仿宋" w:asciiTheme="minorEastAsia" w:hAnsiTheme="minorEastAsia" w:eastAsiaTheme="minorEastAsia"/>
          <w:szCs w:val="21"/>
        </w:rPr>
      </w:pPr>
      <w:r>
        <w:rPr>
          <w:rFonts w:hint="eastAsia" w:cs="仿宋" w:asciiTheme="minorEastAsia" w:hAnsiTheme="minorEastAsia" w:eastAsiaTheme="minorEastAsia"/>
          <w:szCs w:val="21"/>
          <w:lang w:val="zh-CN"/>
        </w:rPr>
        <w:t>5、本合同相关的招投标资料/谈判纪要以及与本合同相关的其他文件均为本合同附件，与本合同具有同等法律效力。若本合同附件与本合同内容存在不一致之处，以本合同约定为准。</w:t>
      </w:r>
    </w:p>
    <w:p>
      <w:pPr>
        <w:spacing w:after="120" w:line="276" w:lineRule="auto"/>
        <w:rPr>
          <w:rFonts w:asciiTheme="minorEastAsia" w:hAnsiTheme="minorEastAsia" w:eastAsiaTheme="minorEastAsia"/>
          <w:szCs w:val="21"/>
        </w:rPr>
      </w:pPr>
    </w:p>
    <w:p>
      <w:pPr>
        <w:autoSpaceDE w:val="0"/>
        <w:autoSpaceDN w:val="0"/>
        <w:adjustRightInd w:val="0"/>
        <w:spacing w:line="276" w:lineRule="auto"/>
        <w:ind w:firstLine="422" w:firstLineChars="200"/>
        <w:rPr>
          <w:rFonts w:cs="仿宋" w:asciiTheme="minorEastAsia" w:hAnsiTheme="minorEastAsia" w:eastAsiaTheme="minorEastAsia"/>
          <w:b/>
          <w:bCs/>
          <w:szCs w:val="21"/>
        </w:rPr>
      </w:pPr>
      <w:bookmarkStart w:id="203" w:name="_Toc145929014"/>
      <w:r>
        <w:rPr>
          <w:rFonts w:hint="eastAsia" w:cs="仿宋" w:asciiTheme="minorEastAsia" w:hAnsiTheme="minorEastAsia" w:eastAsiaTheme="minorEastAsia"/>
          <w:b/>
          <w:bCs/>
          <w:szCs w:val="21"/>
        </w:rPr>
        <w:t>附件</w:t>
      </w:r>
      <w:r>
        <w:rPr>
          <w:rFonts w:cs="仿宋" w:asciiTheme="minorEastAsia" w:hAnsiTheme="minorEastAsia" w:eastAsiaTheme="minorEastAsia"/>
          <w:b/>
          <w:bCs/>
          <w:szCs w:val="21"/>
        </w:rPr>
        <w:t>：</w:t>
      </w:r>
      <w:r>
        <w:rPr>
          <w:rFonts w:hint="eastAsia" w:cs="仿宋" w:asciiTheme="minorEastAsia" w:hAnsiTheme="minorEastAsia" w:eastAsiaTheme="minorEastAsia"/>
          <w:b/>
          <w:bCs/>
          <w:szCs w:val="21"/>
        </w:rPr>
        <w:t>清单明细（如有）</w:t>
      </w:r>
      <w:bookmarkEnd w:id="203"/>
    </w:p>
    <w:p>
      <w:pPr>
        <w:spacing w:line="276" w:lineRule="auto"/>
        <w:ind w:firstLine="420"/>
        <w:rPr>
          <w:rFonts w:asciiTheme="minorEastAsia" w:hAnsiTheme="minorEastAsia" w:eastAsiaTheme="minorEastAsia"/>
          <w:bCs/>
          <w:szCs w:val="21"/>
        </w:rPr>
      </w:pPr>
    </w:p>
    <w:p>
      <w:pPr>
        <w:spacing w:line="276" w:lineRule="auto"/>
        <w:ind w:firstLine="420"/>
        <w:rPr>
          <w:rFonts w:asciiTheme="minorEastAsia" w:hAnsiTheme="minorEastAsia" w:eastAsiaTheme="minorEastAsia"/>
          <w:bCs/>
          <w:szCs w:val="21"/>
        </w:rPr>
      </w:pPr>
      <w:r>
        <w:rPr>
          <w:rFonts w:hint="eastAsia" w:asciiTheme="minorEastAsia" w:hAnsiTheme="minorEastAsia" w:eastAsiaTheme="minorEastAsia"/>
          <w:bCs/>
          <w:szCs w:val="21"/>
        </w:rPr>
        <w:t>（以下无正文）</w:t>
      </w:r>
    </w:p>
    <w:p>
      <w:pPr>
        <w:spacing w:after="120" w:line="276" w:lineRule="auto"/>
        <w:rPr>
          <w:rFonts w:asciiTheme="minorEastAsia" w:hAnsiTheme="minorEastAsia" w:eastAsiaTheme="minorEastAsia"/>
          <w:szCs w:val="21"/>
        </w:rPr>
      </w:pPr>
    </w:p>
    <w:p>
      <w:pPr>
        <w:autoSpaceDE w:val="0"/>
        <w:autoSpaceDN w:val="0"/>
        <w:adjustRightInd w:val="0"/>
        <w:spacing w:line="276" w:lineRule="auto"/>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 xml:space="preserve">甲方(印章): 江苏医药职业学院               乙方(印章):                  </w:t>
      </w:r>
    </w:p>
    <w:p>
      <w:pPr>
        <w:snapToGrid w:val="0"/>
        <w:spacing w:line="276" w:lineRule="auto"/>
        <w:jc w:val="left"/>
        <w:rPr>
          <w:rFonts w:ascii="宋体" w:hAnsi="宋体" w:cs="Arial Unicode MS"/>
          <w:szCs w:val="21"/>
        </w:rPr>
      </w:pPr>
      <w:r>
        <w:rPr>
          <w:rFonts w:hint="eastAsia" w:ascii="宋体" w:hAnsi="宋体" w:cs="Arial Unicode MS"/>
          <w:szCs w:val="21"/>
        </w:rPr>
        <w:t>法定代表人或其委托代理人：                 法定代表人或其委托代理人：</w:t>
      </w:r>
    </w:p>
    <w:p>
      <w:pPr>
        <w:snapToGrid w:val="0"/>
        <w:spacing w:line="276" w:lineRule="auto"/>
        <w:ind w:firstLine="420" w:firstLineChars="200"/>
        <w:jc w:val="left"/>
        <w:rPr>
          <w:rFonts w:ascii="宋体" w:hAnsi="宋体" w:cs="Arial Unicode MS"/>
          <w:szCs w:val="21"/>
        </w:rPr>
      </w:pPr>
      <w:r>
        <w:rPr>
          <w:rFonts w:hint="eastAsia" w:ascii="宋体" w:hAnsi="宋体" w:cs="Arial Unicode MS"/>
          <w:szCs w:val="21"/>
        </w:rPr>
        <w:t>（签字）:                                     (签字):</w:t>
      </w:r>
    </w:p>
    <w:p>
      <w:pPr>
        <w:autoSpaceDE w:val="0"/>
        <w:autoSpaceDN w:val="0"/>
        <w:adjustRightInd w:val="0"/>
        <w:spacing w:line="276" w:lineRule="auto"/>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 xml:space="preserve">地址: 盐城市解放南路283号                  地址:                       </w:t>
      </w:r>
    </w:p>
    <w:p>
      <w:pPr>
        <w:autoSpaceDE w:val="0"/>
        <w:autoSpaceDN w:val="0"/>
        <w:adjustRightInd w:val="0"/>
        <w:spacing w:line="276" w:lineRule="auto"/>
        <w:jc w:val="left"/>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 xml:space="preserve">电话:051588550311                          电话:                             </w:t>
      </w:r>
    </w:p>
    <w:p>
      <w:pPr>
        <w:spacing w:after="120"/>
        <w:rPr>
          <w:rFonts w:asciiTheme="minorEastAsia" w:hAnsiTheme="minorEastAsia" w:eastAsiaTheme="minorEastAsia"/>
          <w:lang w:val="zh-CN"/>
        </w:rPr>
      </w:pPr>
    </w:p>
    <w:p>
      <w:pPr>
        <w:tabs>
          <w:tab w:val="left" w:pos="7820"/>
        </w:tabs>
        <w:autoSpaceDE w:val="0"/>
        <w:autoSpaceDN w:val="0"/>
        <w:adjustRightInd w:val="0"/>
        <w:spacing w:line="400" w:lineRule="exact"/>
        <w:ind w:firstLine="3080" w:firstLineChars="1400"/>
      </w:pPr>
      <w:r>
        <w:rPr>
          <w:rFonts w:hint="eastAsia" w:cs="仿宋" w:asciiTheme="minorEastAsia" w:hAnsiTheme="minorEastAsia" w:eastAsiaTheme="minorEastAsia"/>
          <w:sz w:val="22"/>
          <w:lang w:val="zh-CN"/>
        </w:rPr>
        <w:t xml:space="preserve">                           年   月   日</w:t>
      </w:r>
    </w:p>
    <w:p>
      <w:pPr>
        <w:spacing w:line="360" w:lineRule="auto"/>
        <w:jc w:val="center"/>
        <w:rPr>
          <w:rFonts w:ascii="宋体" w:hAnsi="宋体" w:cs="宋体"/>
          <w:b/>
          <w:color w:val="000000"/>
          <w:sz w:val="28"/>
          <w:szCs w:val="28"/>
        </w:rPr>
      </w:pPr>
    </w:p>
    <w:p>
      <w:pPr>
        <w:spacing w:line="360" w:lineRule="auto"/>
        <w:jc w:val="center"/>
        <w:rPr>
          <w:rFonts w:ascii="宋体" w:hAnsi="宋体" w:cs="宋体"/>
          <w:b/>
          <w:color w:val="000000"/>
          <w:sz w:val="28"/>
          <w:szCs w:val="28"/>
        </w:rPr>
      </w:pPr>
    </w:p>
    <w:p>
      <w:pPr>
        <w:spacing w:line="360" w:lineRule="auto"/>
        <w:jc w:val="center"/>
        <w:rPr>
          <w:rFonts w:ascii="宋体" w:hAnsi="宋体" w:cs="宋体"/>
          <w:b/>
          <w:color w:val="000000"/>
          <w:sz w:val="28"/>
          <w:szCs w:val="28"/>
        </w:rPr>
      </w:pPr>
    </w:p>
    <w:p>
      <w:pPr>
        <w:spacing w:line="360" w:lineRule="auto"/>
        <w:rPr>
          <w:rFonts w:ascii="宋体" w:hAnsi="宋体" w:cs="宋体"/>
          <w:b/>
          <w:color w:val="000000"/>
          <w:sz w:val="28"/>
          <w:szCs w:val="28"/>
        </w:rPr>
      </w:pPr>
    </w:p>
    <w:p>
      <w:pPr>
        <w:spacing w:line="360" w:lineRule="auto"/>
        <w:jc w:val="center"/>
        <w:rPr>
          <w:rFonts w:ascii="宋体" w:hAnsi="宋体" w:cs="宋体"/>
          <w:b/>
          <w:color w:val="000000"/>
          <w:sz w:val="28"/>
          <w:szCs w:val="28"/>
        </w:rPr>
      </w:pPr>
    </w:p>
    <w:p>
      <w:pPr>
        <w:pStyle w:val="2"/>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spacing w:line="360" w:lineRule="auto"/>
        <w:jc w:val="center"/>
        <w:outlineLvl w:val="0"/>
        <w:rPr>
          <w:rFonts w:ascii="宋体" w:hAnsi="宋体" w:cs="宋体"/>
          <w:b/>
          <w:color w:val="000000"/>
          <w:kern w:val="0"/>
          <w:sz w:val="24"/>
        </w:rPr>
      </w:pPr>
      <w:r>
        <w:rPr>
          <w:rFonts w:hint="eastAsia" w:ascii="宋体" w:hAnsi="宋体" w:cs="宋体"/>
          <w:b/>
          <w:color w:val="000000"/>
          <w:sz w:val="28"/>
          <w:szCs w:val="28"/>
        </w:rPr>
        <w:t>第四章  评标方法和标准</w:t>
      </w:r>
      <w:r>
        <w:rPr>
          <w:rFonts w:hint="eastAsia" w:ascii="宋体" w:hAnsi="宋体"/>
          <w:b/>
          <w:color w:val="000000"/>
          <w:sz w:val="28"/>
          <w:szCs w:val="28"/>
        </w:rPr>
        <w:t>（主要部分）</w:t>
      </w:r>
      <w:bookmarkEnd w:id="178"/>
    </w:p>
    <w:p>
      <w:pPr>
        <w:pStyle w:val="41"/>
        <w:snapToGrid w:val="0"/>
        <w:spacing w:line="360" w:lineRule="auto"/>
        <w:ind w:firstLine="0" w:firstLineChars="0"/>
        <w:jc w:val="center"/>
        <w:outlineLvl w:val="1"/>
        <w:rPr>
          <w:rFonts w:asciiTheme="minorEastAsia" w:hAnsiTheme="minorEastAsia" w:eastAsiaTheme="minorEastAsia" w:cstheme="minorEastAsia"/>
          <w:szCs w:val="21"/>
        </w:rPr>
      </w:pPr>
      <w:bookmarkStart w:id="204" w:name="_Toc122338099"/>
      <w:r>
        <w:rPr>
          <w:rFonts w:hint="eastAsia" w:asciiTheme="minorEastAsia" w:hAnsiTheme="minorEastAsia" w:eastAsiaTheme="minorEastAsia" w:cstheme="minorEastAsia"/>
          <w:b/>
          <w:color w:val="000000"/>
          <w:sz w:val="21"/>
          <w:szCs w:val="21"/>
        </w:rPr>
        <w:t>一、评标方法</w:t>
      </w:r>
      <w:bookmarkEnd w:id="204"/>
    </w:p>
    <w:p>
      <w:pPr>
        <w:snapToGrid w:val="0"/>
        <w:spacing w:line="360" w:lineRule="auto"/>
        <w:ind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宋体" w:hAnsi="宋体" w:cs="宋体"/>
          <w:szCs w:val="21"/>
        </w:rPr>
        <w:t>.根据《政府采购促进中小企业发展管理办法》等有关规定，对满足价格扣除条件的</w:t>
      </w:r>
      <w:r>
        <w:rPr>
          <w:rFonts w:ascii="宋体" w:hAnsi="宋体" w:cs="宋体"/>
          <w:szCs w:val="21"/>
        </w:rPr>
        <w:t>小微企业报价</w:t>
      </w:r>
      <w:r>
        <w:rPr>
          <w:rFonts w:hint="eastAsia" w:ascii="宋体" w:hAnsi="宋体" w:cs="宋体"/>
          <w:szCs w:val="21"/>
        </w:rPr>
        <w:t>给予20%的扣除（符合联合体扣除的，给予联合体6%的价格扣除），用扣除后的价格参与评审。</w:t>
      </w:r>
      <w:r>
        <w:rPr>
          <w:rFonts w:ascii="宋体" w:hAnsi="宋体" w:cs="宋体"/>
          <w:szCs w:val="21"/>
        </w:rPr>
        <w:t>中小企业参加政府采购活动，应当出具</w:t>
      </w:r>
      <w:r>
        <w:rPr>
          <w:rFonts w:hint="eastAsia" w:ascii="宋体" w:hAnsi="宋体" w:cs="宋体"/>
          <w:szCs w:val="21"/>
        </w:rPr>
        <w:t>《</w:t>
      </w:r>
      <w:r>
        <w:rPr>
          <w:rFonts w:ascii="宋体" w:hAnsi="宋体" w:cs="宋体"/>
          <w:szCs w:val="21"/>
        </w:rPr>
        <w:t>政府采购促进中小企业发展管理办法</w:t>
      </w:r>
      <w:r>
        <w:rPr>
          <w:rFonts w:hint="eastAsia" w:ascii="宋体" w:hAnsi="宋体" w:cs="宋体"/>
          <w:szCs w:val="21"/>
        </w:rPr>
        <w:t>》</w:t>
      </w:r>
      <w:r>
        <w:rPr>
          <w:rFonts w:ascii="宋体" w:hAnsi="宋体" w:cs="宋体"/>
          <w:szCs w:val="21"/>
        </w:rPr>
        <w:t>规定的《中小企业声明函》</w:t>
      </w:r>
      <w:r>
        <w:rPr>
          <w:rFonts w:hint="eastAsia" w:ascii="宋体" w:hAnsi="宋体" w:cs="宋体"/>
          <w:szCs w:val="21"/>
        </w:rPr>
        <w:t>（请从财政部官方网站下载。以财政部官方网站公布的为准）</w:t>
      </w:r>
      <w:r>
        <w:rPr>
          <w:rFonts w:ascii="宋体" w:hAnsi="宋体" w:cs="宋体"/>
          <w:szCs w:val="21"/>
        </w:rPr>
        <w:t>，否则不得享受相关中小企业扶持政策。</w:t>
      </w:r>
      <w:r>
        <w:rPr>
          <w:rFonts w:hint="eastAsia" w:ascii="宋体" w:hAnsi="宋体" w:cs="宋体"/>
          <w:szCs w:val="21"/>
        </w:rPr>
        <w:t>专门面向中小企业采购的项目，投标供应商未出具</w:t>
      </w:r>
      <w:r>
        <w:rPr>
          <w:rFonts w:ascii="宋体" w:hAnsi="宋体" w:cs="宋体"/>
          <w:szCs w:val="21"/>
        </w:rPr>
        <w:t>《中小企业声明函》</w:t>
      </w:r>
      <w:r>
        <w:rPr>
          <w:rFonts w:hint="eastAsia" w:ascii="宋体" w:hAnsi="宋体" w:cs="宋体"/>
          <w:szCs w:val="21"/>
        </w:rPr>
        <w:t>的，按无效处理。</w:t>
      </w:r>
    </w:p>
    <w:p>
      <w:pPr>
        <w:snapToGrid w:val="0"/>
        <w:spacing w:line="360" w:lineRule="auto"/>
        <w:ind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投标供应商应当以合理的报价参加竞争。评标委员会认为投标供应商的报价明显低于其他通过符合性检查投标供应商的报价，有可能影响产品质量或者不能诚信履约的，且投标供应商未按照规定证明其报价合理性的，按无效投标处理。</w:t>
      </w:r>
    </w:p>
    <w:p>
      <w:pPr>
        <w:snapToGrid w:val="0"/>
        <w:spacing w:line="360" w:lineRule="auto"/>
        <w:ind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3.本项目采用“综合评分法”。本项目将按照法律法规及采购文件规定（投标供应商须知等）及本章的规定评标。各项评分均保证到小数点后2位；评分统计（含报价分计算）按4舍5入精确到小数点后 2 位。</w:t>
      </w:r>
    </w:p>
    <w:p>
      <w:pPr>
        <w:pStyle w:val="41"/>
        <w:snapToGrid w:val="0"/>
        <w:spacing w:line="360" w:lineRule="auto"/>
        <w:ind w:left="482" w:firstLine="0" w:firstLineChars="0"/>
        <w:jc w:val="center"/>
        <w:outlineLvl w:val="1"/>
        <w:rPr>
          <w:rFonts w:asciiTheme="minorEastAsia" w:hAnsiTheme="minorEastAsia" w:eastAsiaTheme="minorEastAsia" w:cstheme="minorEastAsia"/>
          <w:b/>
          <w:color w:val="000000"/>
          <w:sz w:val="21"/>
          <w:szCs w:val="21"/>
        </w:rPr>
      </w:pPr>
      <w:bookmarkStart w:id="205" w:name="_Toc122338100"/>
      <w:r>
        <w:rPr>
          <w:rFonts w:hint="eastAsia" w:asciiTheme="minorEastAsia" w:hAnsiTheme="minorEastAsia" w:eastAsiaTheme="minorEastAsia" w:cstheme="minorEastAsia"/>
          <w:b/>
          <w:color w:val="000000"/>
          <w:sz w:val="21"/>
          <w:szCs w:val="21"/>
        </w:rPr>
        <w:t>二、评分标准</w:t>
      </w:r>
      <w:bookmarkEnd w:id="205"/>
    </w:p>
    <w:tbl>
      <w:tblPr>
        <w:tblStyle w:val="30"/>
        <w:tblpPr w:leftFromText="180" w:rightFromText="180" w:vertAnchor="text" w:horzAnchor="margin" w:tblpXSpec="center" w:tblpY="130"/>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745"/>
        <w:gridCol w:w="1559"/>
        <w:gridCol w:w="6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206" w:type="dxa"/>
            <w:vAlign w:val="center"/>
          </w:tcPr>
          <w:p>
            <w:pPr>
              <w:snapToGrid w:val="0"/>
              <w:spacing w:line="300" w:lineRule="exact"/>
              <w:jc w:val="center"/>
              <w:rPr>
                <w:rFonts w:ascii="宋体" w:hAnsi="宋体"/>
                <w:b/>
                <w:bCs/>
                <w:szCs w:val="21"/>
              </w:rPr>
            </w:pPr>
            <w:bookmarkStart w:id="206" w:name="_Toc122338101"/>
            <w:r>
              <w:rPr>
                <w:rFonts w:hint="eastAsia" w:ascii="宋体" w:hAnsi="宋体"/>
                <w:b/>
                <w:bCs/>
                <w:szCs w:val="21"/>
              </w:rPr>
              <w:t>评分项目</w:t>
            </w:r>
          </w:p>
        </w:tc>
        <w:tc>
          <w:tcPr>
            <w:tcW w:w="745" w:type="dxa"/>
            <w:vAlign w:val="center"/>
          </w:tcPr>
          <w:p>
            <w:pPr>
              <w:snapToGrid w:val="0"/>
              <w:spacing w:line="300" w:lineRule="exact"/>
              <w:jc w:val="center"/>
              <w:rPr>
                <w:rFonts w:ascii="宋体" w:hAnsi="宋体"/>
                <w:b/>
                <w:bCs/>
                <w:szCs w:val="21"/>
              </w:rPr>
            </w:pPr>
            <w:r>
              <w:rPr>
                <w:rFonts w:hint="eastAsia" w:ascii="宋体" w:hAnsi="宋体"/>
                <w:b/>
                <w:bCs/>
                <w:szCs w:val="21"/>
              </w:rPr>
              <w:t>分值</w:t>
            </w:r>
          </w:p>
        </w:tc>
        <w:tc>
          <w:tcPr>
            <w:tcW w:w="7829" w:type="dxa"/>
            <w:gridSpan w:val="2"/>
            <w:vAlign w:val="center"/>
          </w:tcPr>
          <w:p>
            <w:pPr>
              <w:snapToGrid w:val="0"/>
              <w:spacing w:line="300" w:lineRule="exact"/>
              <w:ind w:firstLine="527" w:firstLineChars="250"/>
              <w:jc w:val="center"/>
              <w:rPr>
                <w:rFonts w:ascii="宋体" w:hAnsi="宋体"/>
                <w:b/>
                <w:bCs/>
                <w:szCs w:val="21"/>
              </w:rPr>
            </w:pPr>
            <w:r>
              <w:rPr>
                <w:rFonts w:hint="eastAsia" w:ascii="宋体" w:hAnsi="宋体"/>
                <w:b/>
                <w:bCs/>
                <w:szCs w:val="21"/>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206" w:type="dxa"/>
            <w:vAlign w:val="center"/>
          </w:tcPr>
          <w:p>
            <w:pPr>
              <w:snapToGrid w:val="0"/>
              <w:spacing w:line="300" w:lineRule="exact"/>
              <w:jc w:val="center"/>
              <w:rPr>
                <w:rFonts w:ascii="宋体" w:hAnsi="宋体" w:cs="宋体"/>
                <w:b/>
                <w:szCs w:val="21"/>
              </w:rPr>
            </w:pPr>
            <w:r>
              <w:rPr>
                <w:rFonts w:hint="eastAsia" w:ascii="宋体" w:hAnsi="宋体" w:cs="宋体"/>
                <w:b/>
                <w:szCs w:val="21"/>
              </w:rPr>
              <w:t>报价分</w:t>
            </w:r>
          </w:p>
        </w:tc>
        <w:tc>
          <w:tcPr>
            <w:tcW w:w="745" w:type="dxa"/>
            <w:vAlign w:val="center"/>
          </w:tcPr>
          <w:p>
            <w:pPr>
              <w:snapToGrid w:val="0"/>
              <w:spacing w:line="300" w:lineRule="exact"/>
              <w:jc w:val="center"/>
              <w:rPr>
                <w:rFonts w:ascii="宋体" w:hAnsi="宋体" w:cs="宋体"/>
                <w:szCs w:val="21"/>
              </w:rPr>
            </w:pPr>
            <w:r>
              <w:rPr>
                <w:rFonts w:hint="eastAsia" w:ascii="宋体" w:hAnsi="宋体" w:cs="宋体"/>
                <w:szCs w:val="21"/>
              </w:rPr>
              <w:t>30分</w:t>
            </w:r>
          </w:p>
        </w:tc>
        <w:tc>
          <w:tcPr>
            <w:tcW w:w="7829" w:type="dxa"/>
            <w:gridSpan w:val="2"/>
            <w:vAlign w:val="center"/>
          </w:tcPr>
          <w:p>
            <w:pPr>
              <w:spacing w:line="300" w:lineRule="exact"/>
              <w:ind w:firstLine="420" w:firstLineChars="200"/>
              <w:jc w:val="left"/>
              <w:rPr>
                <w:rFonts w:ascii="宋体" w:hAnsi="宋体" w:cs="宋体"/>
                <w:szCs w:val="21"/>
              </w:rPr>
            </w:pPr>
            <w:r>
              <w:rPr>
                <w:rFonts w:hint="eastAsia" w:ascii="宋体" w:hAnsi="宋体" w:cs="宋体"/>
                <w:szCs w:val="21"/>
              </w:rPr>
              <w:t>满足采购文件要求且投标费率最低的投标报价为评标基准价，其价格分为满分。其他投标供应商的价格分按照下列公式计算（小数点保留两位）</w:t>
            </w:r>
          </w:p>
          <w:p>
            <w:pPr>
              <w:snapToGrid w:val="0"/>
              <w:spacing w:line="300" w:lineRule="exact"/>
              <w:ind w:firstLine="420" w:firstLineChars="200"/>
              <w:rPr>
                <w:rFonts w:ascii="宋体" w:hAnsi="宋体" w:cs="宋体"/>
                <w:szCs w:val="21"/>
              </w:rPr>
            </w:pPr>
            <w:r>
              <w:rPr>
                <w:rFonts w:hint="eastAsia" w:ascii="宋体" w:hAnsi="宋体" w:cs="宋体"/>
                <w:szCs w:val="21"/>
              </w:rPr>
              <w:t>投标费率得分=(评标基准价／投标费率)×30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rPr>
        <w:tc>
          <w:tcPr>
            <w:tcW w:w="1206" w:type="dxa"/>
            <w:vAlign w:val="center"/>
          </w:tcPr>
          <w:p>
            <w:pPr>
              <w:snapToGrid w:val="0"/>
              <w:spacing w:line="300" w:lineRule="exact"/>
              <w:jc w:val="center"/>
              <w:rPr>
                <w:rFonts w:ascii="宋体" w:hAnsi="宋体" w:cs="宋体"/>
                <w:b/>
                <w:szCs w:val="21"/>
              </w:rPr>
            </w:pPr>
            <w:r>
              <w:rPr>
                <w:rFonts w:hint="eastAsia" w:ascii="宋体" w:hAnsi="宋体" w:cs="宋体"/>
                <w:b/>
                <w:szCs w:val="21"/>
              </w:rPr>
              <w:t>类似业绩</w:t>
            </w:r>
          </w:p>
        </w:tc>
        <w:tc>
          <w:tcPr>
            <w:tcW w:w="745" w:type="dxa"/>
            <w:vAlign w:val="center"/>
          </w:tcPr>
          <w:p>
            <w:pPr>
              <w:snapToGrid w:val="0"/>
              <w:spacing w:line="300" w:lineRule="exact"/>
              <w:jc w:val="center"/>
              <w:rPr>
                <w:rFonts w:ascii="宋体" w:hAnsi="宋体" w:cs="宋体"/>
                <w:szCs w:val="21"/>
              </w:rPr>
            </w:pPr>
            <w:r>
              <w:rPr>
                <w:rFonts w:ascii="宋体" w:hAnsi="宋体" w:cs="宋体"/>
                <w:szCs w:val="21"/>
              </w:rPr>
              <w:t>10</w:t>
            </w:r>
            <w:r>
              <w:rPr>
                <w:rFonts w:hint="eastAsia" w:ascii="宋体" w:hAnsi="宋体" w:cs="宋体"/>
                <w:szCs w:val="21"/>
              </w:rPr>
              <w:t>分</w:t>
            </w:r>
          </w:p>
        </w:tc>
        <w:tc>
          <w:tcPr>
            <w:tcW w:w="7829" w:type="dxa"/>
            <w:gridSpan w:val="2"/>
            <w:vAlign w:val="center"/>
          </w:tcPr>
          <w:p>
            <w:pPr>
              <w:tabs>
                <w:tab w:val="left" w:pos="-540"/>
                <w:tab w:val="left" w:pos="2880"/>
                <w:tab w:val="left" w:pos="3600"/>
                <w:tab w:val="left" w:pos="4320"/>
                <w:tab w:val="center" w:pos="4433"/>
              </w:tabs>
              <w:autoSpaceDE w:val="0"/>
              <w:autoSpaceDN w:val="0"/>
              <w:adjustRightInd w:val="0"/>
              <w:spacing w:line="300" w:lineRule="exact"/>
              <w:ind w:firstLine="420" w:firstLineChars="200"/>
              <w:jc w:val="left"/>
            </w:pPr>
            <w:r>
              <w:rPr>
                <w:rFonts w:hint="eastAsia" w:ascii="宋体" w:hAnsi="宋体" w:cs="宋体"/>
              </w:rPr>
              <w:t>供应商自2021年1月1日</w:t>
            </w:r>
            <w:r>
              <w:rPr>
                <w:rFonts w:hint="eastAsia" w:ascii="宋体" w:hAnsi="宋体" w:cs="宋体"/>
                <w:color w:val="auto"/>
              </w:rPr>
              <w:t>以来（以</w:t>
            </w:r>
            <w:r>
              <w:rPr>
                <w:rFonts w:hint="eastAsia" w:ascii="宋体" w:hAnsi="宋体" w:cs="宋体"/>
                <w:color w:val="auto"/>
                <w:lang w:val="en-US" w:eastAsia="zh-CN"/>
              </w:rPr>
              <w:t>合同签订</w:t>
            </w:r>
            <w:r>
              <w:rPr>
                <w:rFonts w:hint="eastAsia" w:ascii="宋体" w:hAnsi="宋体" w:cs="宋体"/>
                <w:color w:val="auto"/>
              </w:rPr>
              <w:t>时间为准）承</w:t>
            </w:r>
            <w:r>
              <w:rPr>
                <w:rFonts w:hint="eastAsia" w:ascii="宋体" w:hAnsi="宋体" w:cs="宋体"/>
              </w:rPr>
              <w:t>接过同类业绩（维修改造设计）的每提供1个得</w:t>
            </w:r>
            <w:r>
              <w:rPr>
                <w:rFonts w:ascii="宋体" w:hAnsi="宋体" w:cs="宋体"/>
              </w:rPr>
              <w:t>2</w:t>
            </w:r>
            <w:r>
              <w:rPr>
                <w:rFonts w:hint="eastAsia" w:ascii="宋体" w:hAnsi="宋体" w:cs="宋体"/>
              </w:rPr>
              <w:t>分，最多得</w:t>
            </w:r>
            <w:r>
              <w:rPr>
                <w:rFonts w:ascii="宋体" w:hAnsi="宋体" w:cs="宋体"/>
              </w:rPr>
              <w:t>10</w:t>
            </w:r>
            <w:r>
              <w:rPr>
                <w:rFonts w:hint="eastAsia" w:ascii="宋体" w:hAnsi="宋体" w:cs="宋体"/>
              </w:rPr>
              <w:t xml:space="preserve">分； </w:t>
            </w:r>
            <w:r>
              <w:t xml:space="preserve">             </w:t>
            </w:r>
          </w:p>
          <w:p>
            <w:pPr>
              <w:tabs>
                <w:tab w:val="left" w:pos="-540"/>
                <w:tab w:val="left" w:pos="2880"/>
                <w:tab w:val="left" w:pos="3600"/>
                <w:tab w:val="left" w:pos="4320"/>
                <w:tab w:val="center" w:pos="4433"/>
              </w:tabs>
              <w:autoSpaceDE w:val="0"/>
              <w:autoSpaceDN w:val="0"/>
              <w:adjustRightInd w:val="0"/>
              <w:spacing w:line="300" w:lineRule="exact"/>
              <w:ind w:firstLine="420" w:firstLineChars="200"/>
              <w:jc w:val="left"/>
              <w:rPr>
                <w:bCs/>
              </w:rPr>
            </w:pPr>
            <w:r>
              <w:rPr>
                <w:rFonts w:hint="eastAsia"/>
                <w:bCs/>
              </w:rPr>
              <w:t>须提供合同复印件并加盖投标供应商公章，原件备查。【如合同中不能充分反映的，须提供其合同甲方（采购人）出具的（加盖其合同甲方公章）相关证明文件（充分证明或说明的复印件</w:t>
            </w:r>
            <w:r>
              <w:rPr>
                <w:bCs/>
              </w:rPr>
              <w:t>】</w:t>
            </w:r>
            <w:r>
              <w:rPr>
                <w:rFonts w:hint="eastAsia"/>
                <w:bCs/>
              </w:rPr>
              <w:t>未提供上述证明材料</w:t>
            </w:r>
            <w:bookmarkStart w:id="216" w:name="_GoBack"/>
            <w:bookmarkEnd w:id="216"/>
            <w:r>
              <w:rPr>
                <w:rFonts w:hint="eastAsia"/>
                <w:bCs/>
              </w:rPr>
              <w:t>或提供不全的不得分。</w:t>
            </w:r>
          </w:p>
          <w:p>
            <w:pPr>
              <w:tabs>
                <w:tab w:val="left" w:pos="-540"/>
                <w:tab w:val="left" w:pos="2880"/>
                <w:tab w:val="left" w:pos="3600"/>
                <w:tab w:val="left" w:pos="4320"/>
                <w:tab w:val="center" w:pos="4433"/>
              </w:tabs>
              <w:autoSpaceDE w:val="0"/>
              <w:autoSpaceDN w:val="0"/>
              <w:adjustRightInd w:val="0"/>
              <w:spacing w:line="300" w:lineRule="exact"/>
              <w:ind w:firstLine="420" w:firstLineChars="200"/>
              <w:jc w:val="left"/>
              <w:rPr>
                <w:rFonts w:ascii="宋体" w:hAnsi="宋体" w:cs="宋体"/>
                <w:szCs w:val="21"/>
              </w:rPr>
            </w:pPr>
            <w:r>
              <w:rPr>
                <w:rFonts w:hint="eastAsia"/>
                <w:bCs/>
              </w:rPr>
              <w:t>注：以上合同业绩原件备查，如投标文件中合同业绩不清楚或评标小组有异议的，且投标供应商提供原件备查的，此单个业绩不得分。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1206" w:type="dxa"/>
            <w:vAlign w:val="center"/>
          </w:tcPr>
          <w:p>
            <w:pPr>
              <w:snapToGrid w:val="0"/>
              <w:spacing w:line="300" w:lineRule="exact"/>
              <w:jc w:val="center"/>
              <w:rPr>
                <w:rFonts w:ascii="宋体" w:hAnsi="宋体" w:cs="宋体"/>
                <w:b/>
                <w:szCs w:val="21"/>
              </w:rPr>
            </w:pPr>
            <w:r>
              <w:rPr>
                <w:rFonts w:hint="eastAsia" w:ascii="宋体" w:hAnsi="宋体" w:cs="宋体"/>
                <w:b/>
                <w:bCs/>
                <w:szCs w:val="21"/>
              </w:rPr>
              <w:t>人员配备</w:t>
            </w:r>
          </w:p>
        </w:tc>
        <w:tc>
          <w:tcPr>
            <w:tcW w:w="745" w:type="dxa"/>
            <w:vAlign w:val="center"/>
          </w:tcPr>
          <w:p>
            <w:pPr>
              <w:snapToGrid w:val="0"/>
              <w:spacing w:line="300" w:lineRule="exact"/>
              <w:jc w:val="center"/>
              <w:rPr>
                <w:rFonts w:ascii="宋体" w:hAnsi="宋体" w:cs="宋体"/>
                <w:szCs w:val="21"/>
              </w:rPr>
            </w:pPr>
            <w:r>
              <w:rPr>
                <w:rFonts w:ascii="宋体" w:hAnsi="宋体" w:cs="宋体"/>
                <w:szCs w:val="21"/>
              </w:rPr>
              <w:t>4</w:t>
            </w:r>
            <w:r>
              <w:rPr>
                <w:rFonts w:hint="eastAsia" w:ascii="宋体" w:hAnsi="宋体" w:cs="宋体"/>
                <w:szCs w:val="21"/>
              </w:rPr>
              <w:t>分</w:t>
            </w:r>
          </w:p>
        </w:tc>
        <w:tc>
          <w:tcPr>
            <w:tcW w:w="7829" w:type="dxa"/>
            <w:gridSpan w:val="2"/>
            <w:vAlign w:val="center"/>
          </w:tcPr>
          <w:p>
            <w:pPr>
              <w:snapToGrid w:val="0"/>
              <w:spacing w:line="300" w:lineRule="exact"/>
              <w:ind w:firstLine="525" w:firstLineChars="250"/>
              <w:rPr>
                <w:rFonts w:ascii="宋体" w:hAnsi="宋体" w:cs="宋体"/>
                <w:szCs w:val="21"/>
              </w:rPr>
            </w:pPr>
            <w:r>
              <w:rPr>
                <w:rFonts w:hint="eastAsia" w:ascii="宋体" w:hAnsi="宋体" w:cs="宋体"/>
                <w:szCs w:val="21"/>
              </w:rPr>
              <w:t>针对本项目拟投入的其他项目组成员（除项目负责人以外）中每有一名具有国家一级注册建筑师或一级注册结构工程师的，得1分，最多得</w:t>
            </w:r>
            <w:r>
              <w:rPr>
                <w:rFonts w:ascii="宋体" w:hAnsi="宋体" w:cs="宋体"/>
                <w:szCs w:val="21"/>
              </w:rPr>
              <w:t>4</w:t>
            </w:r>
            <w:r>
              <w:rPr>
                <w:rFonts w:hint="eastAsia" w:ascii="宋体" w:hAnsi="宋体" w:cs="宋体"/>
                <w:szCs w:val="21"/>
              </w:rPr>
              <w:t>分。</w:t>
            </w:r>
          </w:p>
          <w:p>
            <w:pPr>
              <w:snapToGrid w:val="0"/>
              <w:spacing w:line="300" w:lineRule="exact"/>
              <w:ind w:firstLine="420" w:firstLineChars="200"/>
              <w:jc w:val="left"/>
              <w:rPr>
                <w:rFonts w:ascii="宋体" w:hAnsi="宋体" w:cs="宋体"/>
                <w:szCs w:val="21"/>
              </w:rPr>
            </w:pPr>
            <w:r>
              <w:rPr>
                <w:rFonts w:hint="eastAsia"/>
                <w:bCs/>
              </w:rPr>
              <w:t>投标时须提供相关资质、证书的复印件及该人员的近三月以来任意一个月的社保证明材料复印件并加盖投标人公章，未提供不得分。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6" w:type="dxa"/>
            <w:vAlign w:val="center"/>
          </w:tcPr>
          <w:p>
            <w:pPr>
              <w:snapToGrid w:val="0"/>
              <w:spacing w:line="300" w:lineRule="exact"/>
              <w:jc w:val="center"/>
              <w:rPr>
                <w:rFonts w:ascii="宋体" w:hAnsi="宋体" w:cs="宋体"/>
                <w:b/>
                <w:szCs w:val="21"/>
              </w:rPr>
            </w:pPr>
            <w:r>
              <w:rPr>
                <w:rFonts w:hint="eastAsia" w:ascii="宋体" w:hAnsi="宋体" w:cs="宋体"/>
                <w:b/>
                <w:szCs w:val="21"/>
              </w:rPr>
              <w:t>荣誉奖项</w:t>
            </w:r>
          </w:p>
        </w:tc>
        <w:tc>
          <w:tcPr>
            <w:tcW w:w="745" w:type="dxa"/>
            <w:vAlign w:val="center"/>
          </w:tcPr>
          <w:p>
            <w:pPr>
              <w:snapToGrid w:val="0"/>
              <w:spacing w:line="300" w:lineRule="exact"/>
              <w:jc w:val="left"/>
              <w:rPr>
                <w:rFonts w:ascii="宋体" w:hAnsi="宋体" w:cs="宋体"/>
                <w:szCs w:val="21"/>
              </w:rPr>
            </w:pPr>
            <w:r>
              <w:rPr>
                <w:rFonts w:hint="eastAsia" w:ascii="宋体" w:hAnsi="宋体" w:cs="宋体"/>
                <w:szCs w:val="21"/>
              </w:rPr>
              <w:t xml:space="preserve"> 6分</w:t>
            </w:r>
          </w:p>
        </w:tc>
        <w:tc>
          <w:tcPr>
            <w:tcW w:w="7829" w:type="dxa"/>
            <w:gridSpan w:val="2"/>
            <w:vAlign w:val="center"/>
          </w:tcPr>
          <w:p>
            <w:pPr>
              <w:snapToGrid w:val="0"/>
              <w:spacing w:line="300" w:lineRule="exact"/>
              <w:ind w:firstLine="525" w:firstLineChars="250"/>
              <w:rPr>
                <w:rFonts w:ascii="宋体" w:hAnsi="宋体" w:cs="宋体"/>
                <w:szCs w:val="21"/>
              </w:rPr>
            </w:pPr>
            <w:r>
              <w:rPr>
                <w:rFonts w:hint="eastAsia" w:ascii="宋体" w:hAnsi="宋体" w:cs="宋体"/>
                <w:szCs w:val="21"/>
              </w:rPr>
              <w:t>投标供应商自2021年1月1日以来（以获奖时间为准）承担的工程设计项目中，获得省或部级或以上设计奖的，每提供一个得2分；获得市或厅级的设计奖的，每提供一个得1分。此项最高得6分。</w:t>
            </w:r>
          </w:p>
          <w:p>
            <w:pPr>
              <w:snapToGrid w:val="0"/>
              <w:spacing w:line="300" w:lineRule="exact"/>
              <w:ind w:firstLine="420" w:firstLineChars="200"/>
              <w:jc w:val="left"/>
              <w:rPr>
                <w:rFonts w:ascii="宋体" w:hAnsi="宋体" w:cs="宋体"/>
                <w:szCs w:val="21"/>
              </w:rPr>
            </w:pPr>
            <w:r>
              <w:rPr>
                <w:rFonts w:hint="eastAsia" w:ascii="宋体" w:hAnsi="宋体" w:cs="宋体"/>
                <w:bCs/>
                <w:szCs w:val="21"/>
              </w:rPr>
              <w:t>投标时须提供获奖证书复印件并加盖供应商公章，未提供此项不得分。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206" w:type="dxa"/>
            <w:vMerge w:val="restart"/>
            <w:vAlign w:val="center"/>
          </w:tcPr>
          <w:p>
            <w:pPr>
              <w:snapToGrid w:val="0"/>
              <w:spacing w:line="300" w:lineRule="exact"/>
              <w:jc w:val="center"/>
            </w:pPr>
            <w:r>
              <w:rPr>
                <w:rFonts w:hint="eastAsia" w:ascii="宋体" w:hAnsi="宋体" w:cs="宋体"/>
                <w:b/>
                <w:szCs w:val="21"/>
              </w:rPr>
              <w:t>技术方案</w:t>
            </w:r>
          </w:p>
        </w:tc>
        <w:tc>
          <w:tcPr>
            <w:tcW w:w="745" w:type="dxa"/>
            <w:vMerge w:val="restart"/>
            <w:vAlign w:val="center"/>
          </w:tcPr>
          <w:p>
            <w:pPr>
              <w:snapToGrid w:val="0"/>
              <w:spacing w:line="300" w:lineRule="exact"/>
              <w:jc w:val="center"/>
              <w:rPr>
                <w:rFonts w:ascii="宋体" w:hAnsi="宋体" w:cs="宋体"/>
                <w:szCs w:val="21"/>
              </w:rPr>
            </w:pPr>
            <w:r>
              <w:rPr>
                <w:rFonts w:ascii="宋体" w:hAnsi="宋体" w:cs="宋体"/>
                <w:szCs w:val="21"/>
              </w:rPr>
              <w:t>30</w:t>
            </w:r>
            <w:r>
              <w:rPr>
                <w:rFonts w:hint="eastAsia" w:ascii="宋体" w:hAnsi="宋体" w:cs="宋体"/>
                <w:szCs w:val="21"/>
              </w:rPr>
              <w:t>分</w:t>
            </w:r>
          </w:p>
        </w:tc>
        <w:tc>
          <w:tcPr>
            <w:tcW w:w="1559" w:type="dxa"/>
            <w:vAlign w:val="center"/>
          </w:tcPr>
          <w:p>
            <w:pPr>
              <w:tabs>
                <w:tab w:val="left" w:pos="-540"/>
                <w:tab w:val="left" w:pos="2880"/>
                <w:tab w:val="left" w:pos="3600"/>
                <w:tab w:val="left" w:pos="4320"/>
                <w:tab w:val="center" w:pos="4433"/>
              </w:tabs>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设计方案</w:t>
            </w:r>
          </w:p>
          <w:p>
            <w:pPr>
              <w:tabs>
                <w:tab w:val="left" w:pos="-540"/>
                <w:tab w:val="left" w:pos="2880"/>
                <w:tab w:val="left" w:pos="3600"/>
                <w:tab w:val="left" w:pos="4320"/>
                <w:tab w:val="center" w:pos="4433"/>
              </w:tabs>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分）</w:t>
            </w:r>
          </w:p>
        </w:tc>
        <w:tc>
          <w:tcPr>
            <w:tcW w:w="6270" w:type="dxa"/>
            <w:vAlign w:val="center"/>
          </w:tcPr>
          <w:p>
            <w:pPr>
              <w:tabs>
                <w:tab w:val="left" w:pos="-540"/>
                <w:tab w:val="left" w:pos="2880"/>
                <w:tab w:val="left" w:pos="3600"/>
                <w:tab w:val="left" w:pos="4320"/>
                <w:tab w:val="center" w:pos="4433"/>
              </w:tabs>
              <w:autoSpaceDE w:val="0"/>
              <w:autoSpaceDN w:val="0"/>
              <w:adjustRightInd w:val="0"/>
              <w:spacing w:line="300" w:lineRule="exact"/>
              <w:ind w:firstLine="420" w:firstLineChars="200"/>
              <w:jc w:val="left"/>
              <w:rPr>
                <w:rFonts w:ascii="宋体" w:hAnsi="宋体" w:cs="宋体"/>
                <w:bCs/>
                <w:kern w:val="0"/>
                <w:szCs w:val="21"/>
              </w:rPr>
            </w:pPr>
            <w:r>
              <w:rPr>
                <w:rFonts w:hint="eastAsia" w:ascii="宋体" w:hAnsi="宋体" w:cs="宋体"/>
                <w:bCs/>
                <w:kern w:val="0"/>
                <w:szCs w:val="21"/>
              </w:rPr>
              <w:t>投标供应商根据采购人对本项目的实际需求进行总体设计方案编制，切实服务采购人实际情况：(</w:t>
            </w:r>
            <w:r>
              <w:rPr>
                <w:rFonts w:ascii="宋体" w:hAnsi="宋体" w:cs="宋体"/>
                <w:bCs/>
                <w:kern w:val="0"/>
                <w:szCs w:val="21"/>
              </w:rPr>
              <w:t>5</w:t>
            </w:r>
            <w:r>
              <w:rPr>
                <w:rFonts w:hint="eastAsia" w:ascii="宋体" w:hAnsi="宋体" w:cs="宋体"/>
                <w:bCs/>
                <w:kern w:val="0"/>
                <w:szCs w:val="21"/>
              </w:rPr>
              <w:t>分)</w:t>
            </w:r>
          </w:p>
          <w:p>
            <w:pPr>
              <w:tabs>
                <w:tab w:val="left" w:pos="-540"/>
                <w:tab w:val="left" w:pos="2880"/>
                <w:tab w:val="left" w:pos="3600"/>
                <w:tab w:val="left" w:pos="4320"/>
                <w:tab w:val="center" w:pos="4433"/>
              </w:tabs>
              <w:autoSpaceDE w:val="0"/>
              <w:autoSpaceDN w:val="0"/>
              <w:adjustRightInd w:val="0"/>
              <w:spacing w:line="300" w:lineRule="exact"/>
              <w:ind w:firstLine="420" w:firstLineChars="200"/>
              <w:jc w:val="left"/>
              <w:rPr>
                <w:rFonts w:ascii="宋体" w:hAnsi="宋体" w:cs="宋体"/>
                <w:kern w:val="0"/>
                <w:szCs w:val="21"/>
              </w:rPr>
            </w:pPr>
            <w:r>
              <w:rPr>
                <w:rFonts w:hint="eastAsia" w:ascii="宋体" w:hAnsi="宋体" w:cs="宋体"/>
                <w:kern w:val="0"/>
                <w:szCs w:val="21"/>
              </w:rPr>
              <w:t>方案内容全面完整、分析清晰明确有针对性、切实服务采购人实际情况的，得</w:t>
            </w:r>
            <w:r>
              <w:rPr>
                <w:rFonts w:ascii="宋体" w:hAnsi="宋体" w:cs="宋体"/>
                <w:kern w:val="0"/>
                <w:szCs w:val="21"/>
              </w:rPr>
              <w:t>5</w:t>
            </w:r>
            <w:r>
              <w:rPr>
                <w:rFonts w:hint="eastAsia" w:ascii="宋体" w:hAnsi="宋体" w:cs="宋体"/>
                <w:kern w:val="0"/>
                <w:szCs w:val="21"/>
              </w:rPr>
              <w:t>分；</w:t>
            </w:r>
          </w:p>
          <w:p>
            <w:pPr>
              <w:tabs>
                <w:tab w:val="left" w:pos="-540"/>
                <w:tab w:val="left" w:pos="2880"/>
                <w:tab w:val="left" w:pos="3600"/>
                <w:tab w:val="left" w:pos="4320"/>
                <w:tab w:val="center" w:pos="4433"/>
              </w:tabs>
              <w:autoSpaceDE w:val="0"/>
              <w:autoSpaceDN w:val="0"/>
              <w:adjustRightInd w:val="0"/>
              <w:spacing w:line="300" w:lineRule="exact"/>
              <w:ind w:firstLine="420" w:firstLineChars="200"/>
              <w:jc w:val="left"/>
              <w:rPr>
                <w:rFonts w:ascii="宋体" w:hAnsi="宋体" w:cs="宋体"/>
                <w:kern w:val="0"/>
                <w:szCs w:val="21"/>
              </w:rPr>
            </w:pPr>
            <w:r>
              <w:rPr>
                <w:rFonts w:hint="eastAsia" w:ascii="宋体" w:hAnsi="宋体" w:cs="宋体"/>
                <w:kern w:val="0"/>
                <w:szCs w:val="21"/>
              </w:rPr>
              <w:t>方案内容完整，分析基本贴合实际情况的，得</w:t>
            </w:r>
            <w:r>
              <w:rPr>
                <w:rFonts w:ascii="宋体" w:hAnsi="宋体" w:cs="宋体"/>
                <w:kern w:val="0"/>
                <w:szCs w:val="21"/>
              </w:rPr>
              <w:t>3</w:t>
            </w:r>
            <w:r>
              <w:rPr>
                <w:rFonts w:hint="eastAsia" w:ascii="宋体" w:hAnsi="宋体" w:cs="宋体"/>
                <w:kern w:val="0"/>
                <w:szCs w:val="21"/>
              </w:rPr>
              <w:t>分；</w:t>
            </w:r>
          </w:p>
          <w:p>
            <w:pPr>
              <w:tabs>
                <w:tab w:val="left" w:pos="-540"/>
                <w:tab w:val="left" w:pos="2880"/>
                <w:tab w:val="left" w:pos="3600"/>
                <w:tab w:val="left" w:pos="4320"/>
                <w:tab w:val="center" w:pos="4433"/>
              </w:tabs>
              <w:autoSpaceDE w:val="0"/>
              <w:autoSpaceDN w:val="0"/>
              <w:adjustRightInd w:val="0"/>
              <w:spacing w:line="300" w:lineRule="exact"/>
              <w:ind w:firstLine="420" w:firstLineChars="200"/>
              <w:jc w:val="left"/>
              <w:rPr>
                <w:rFonts w:ascii="宋体" w:hAnsi="宋体" w:cs="宋体"/>
                <w:kern w:val="0"/>
                <w:szCs w:val="21"/>
              </w:rPr>
            </w:pPr>
            <w:r>
              <w:rPr>
                <w:rFonts w:hint="eastAsia" w:ascii="宋体" w:hAnsi="宋体" w:cs="宋体"/>
                <w:kern w:val="0"/>
                <w:szCs w:val="21"/>
              </w:rPr>
              <w:t>方案内容有缺失，分析简单没有针对性的得</w:t>
            </w:r>
            <w:r>
              <w:rPr>
                <w:rFonts w:ascii="宋体" w:hAnsi="宋体" w:cs="宋体"/>
                <w:kern w:val="0"/>
                <w:szCs w:val="21"/>
              </w:rPr>
              <w:t>1</w:t>
            </w:r>
            <w:r>
              <w:rPr>
                <w:rFonts w:hint="eastAsia" w:ascii="宋体" w:hAnsi="宋体" w:cs="宋体"/>
                <w:kern w:val="0"/>
                <w:szCs w:val="21"/>
              </w:rPr>
              <w:t>分；</w:t>
            </w:r>
          </w:p>
          <w:p>
            <w:pPr>
              <w:tabs>
                <w:tab w:val="left" w:pos="-540"/>
                <w:tab w:val="left" w:pos="2880"/>
                <w:tab w:val="left" w:pos="3600"/>
                <w:tab w:val="left" w:pos="4320"/>
                <w:tab w:val="center" w:pos="4433"/>
              </w:tabs>
              <w:autoSpaceDE w:val="0"/>
              <w:autoSpaceDN w:val="0"/>
              <w:adjustRightInd w:val="0"/>
              <w:spacing w:line="300" w:lineRule="exact"/>
              <w:ind w:firstLine="420" w:firstLineChars="200"/>
              <w:jc w:val="left"/>
              <w:rPr>
                <w:rFonts w:ascii="宋体" w:hAnsi="宋体" w:cs="宋体"/>
                <w:szCs w:val="21"/>
              </w:rPr>
            </w:pPr>
            <w:r>
              <w:rPr>
                <w:rFonts w:hint="eastAsia" w:ascii="宋体" w:hAnsi="宋体" w:cs="宋体"/>
                <w:kern w:val="0"/>
                <w:szCs w:val="21"/>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206" w:type="dxa"/>
            <w:vMerge w:val="continue"/>
            <w:vAlign w:val="center"/>
          </w:tcPr>
          <w:p>
            <w:pPr>
              <w:shd w:val="clear" w:color="auto" w:fill="FFFFFF"/>
              <w:adjustRightInd w:val="0"/>
              <w:snapToGrid w:val="0"/>
              <w:spacing w:line="300" w:lineRule="exact"/>
              <w:jc w:val="center"/>
              <w:rPr>
                <w:rFonts w:ascii="宋体" w:hAnsi="宋体" w:cs="宋体"/>
                <w:bCs/>
                <w:szCs w:val="21"/>
              </w:rPr>
            </w:pPr>
          </w:p>
        </w:tc>
        <w:tc>
          <w:tcPr>
            <w:tcW w:w="745" w:type="dxa"/>
            <w:vMerge w:val="continue"/>
            <w:vAlign w:val="center"/>
          </w:tcPr>
          <w:p>
            <w:pPr>
              <w:shd w:val="clear" w:color="auto" w:fill="FFFFFF"/>
              <w:adjustRightInd w:val="0"/>
              <w:snapToGrid w:val="0"/>
              <w:spacing w:line="300" w:lineRule="exact"/>
              <w:jc w:val="left"/>
              <w:rPr>
                <w:rFonts w:ascii="宋体" w:hAnsi="宋体" w:cs="宋体"/>
                <w:bCs/>
                <w:szCs w:val="21"/>
              </w:rPr>
            </w:pPr>
          </w:p>
        </w:tc>
        <w:tc>
          <w:tcPr>
            <w:tcW w:w="1559" w:type="dxa"/>
            <w:vAlign w:val="center"/>
          </w:tcPr>
          <w:p>
            <w:pPr>
              <w:tabs>
                <w:tab w:val="left" w:pos="-540"/>
                <w:tab w:val="left" w:pos="2880"/>
                <w:tab w:val="left" w:pos="3600"/>
                <w:tab w:val="left" w:pos="4320"/>
                <w:tab w:val="center" w:pos="4433"/>
              </w:tabs>
              <w:autoSpaceDE w:val="0"/>
              <w:autoSpaceDN w:val="0"/>
              <w:adjustRightInd w:val="0"/>
              <w:spacing w:line="300" w:lineRule="exact"/>
              <w:jc w:val="center"/>
              <w:rPr>
                <w:rFonts w:ascii="宋体" w:hAnsi="宋体" w:cs="宋体"/>
                <w:bCs/>
                <w:szCs w:val="21"/>
              </w:rPr>
            </w:pPr>
            <w:r>
              <w:rPr>
                <w:rFonts w:hint="eastAsia" w:ascii="宋体" w:hAnsi="宋体" w:cs="宋体"/>
                <w:bCs/>
                <w:szCs w:val="21"/>
              </w:rPr>
              <w:t>设计工作依据、设计工作目标</w:t>
            </w:r>
          </w:p>
          <w:p>
            <w:pPr>
              <w:tabs>
                <w:tab w:val="left" w:pos="-540"/>
                <w:tab w:val="left" w:pos="2880"/>
                <w:tab w:val="left" w:pos="3600"/>
                <w:tab w:val="left" w:pos="4320"/>
                <w:tab w:val="center" w:pos="4433"/>
              </w:tabs>
              <w:autoSpaceDE w:val="0"/>
              <w:autoSpaceDN w:val="0"/>
              <w:adjustRightInd w:val="0"/>
              <w:spacing w:line="300" w:lineRule="exact"/>
              <w:jc w:val="center"/>
              <w:rPr>
                <w:rFonts w:ascii="宋体" w:hAnsi="宋体" w:cs="宋体"/>
                <w:kern w:val="0"/>
                <w:szCs w:val="21"/>
              </w:rPr>
            </w:pPr>
            <w:r>
              <w:rPr>
                <w:rFonts w:hint="eastAsia" w:ascii="宋体" w:hAnsi="宋体" w:cs="宋体"/>
                <w:bCs/>
                <w:szCs w:val="21"/>
              </w:rPr>
              <w:t>（</w:t>
            </w:r>
            <w:r>
              <w:rPr>
                <w:rFonts w:ascii="宋体" w:hAnsi="宋体" w:cs="宋体"/>
                <w:bCs/>
                <w:szCs w:val="21"/>
              </w:rPr>
              <w:t>5</w:t>
            </w:r>
            <w:r>
              <w:rPr>
                <w:rFonts w:hint="eastAsia" w:ascii="宋体" w:hAnsi="宋体" w:cs="宋体"/>
                <w:bCs/>
                <w:szCs w:val="21"/>
              </w:rPr>
              <w:t>分）</w:t>
            </w:r>
          </w:p>
        </w:tc>
        <w:tc>
          <w:tcPr>
            <w:tcW w:w="6270" w:type="dxa"/>
            <w:vAlign w:val="center"/>
          </w:tcPr>
          <w:p>
            <w:pPr>
              <w:tabs>
                <w:tab w:val="left" w:pos="-540"/>
                <w:tab w:val="left" w:pos="2880"/>
                <w:tab w:val="left" w:pos="3600"/>
                <w:tab w:val="left" w:pos="4320"/>
                <w:tab w:val="center" w:pos="4433"/>
              </w:tabs>
              <w:autoSpaceDE w:val="0"/>
              <w:autoSpaceDN w:val="0"/>
              <w:adjustRightInd w:val="0"/>
              <w:spacing w:line="300" w:lineRule="exact"/>
              <w:ind w:firstLine="420" w:firstLineChars="200"/>
              <w:jc w:val="left"/>
              <w:rPr>
                <w:rFonts w:ascii="宋体" w:hAnsi="宋体" w:cs="宋体"/>
                <w:bCs/>
                <w:kern w:val="0"/>
                <w:szCs w:val="21"/>
              </w:rPr>
            </w:pPr>
            <w:r>
              <w:rPr>
                <w:rFonts w:hint="eastAsia" w:ascii="宋体" w:hAnsi="宋体" w:cs="宋体"/>
                <w:bCs/>
                <w:kern w:val="0"/>
                <w:szCs w:val="21"/>
              </w:rPr>
              <w:t>根据投标供应商提供的设计工作依据、设计工作目标进行综合评价：(</w:t>
            </w:r>
            <w:r>
              <w:rPr>
                <w:rFonts w:ascii="宋体" w:hAnsi="宋体" w:cs="宋体"/>
                <w:bCs/>
                <w:kern w:val="0"/>
                <w:szCs w:val="21"/>
              </w:rPr>
              <w:t>5</w:t>
            </w:r>
            <w:r>
              <w:rPr>
                <w:rFonts w:hint="eastAsia" w:ascii="宋体" w:hAnsi="宋体" w:cs="宋体"/>
                <w:bCs/>
                <w:kern w:val="0"/>
                <w:szCs w:val="21"/>
              </w:rPr>
              <w:t xml:space="preserve">分) </w:t>
            </w:r>
          </w:p>
          <w:p>
            <w:pPr>
              <w:tabs>
                <w:tab w:val="left" w:pos="-540"/>
                <w:tab w:val="left" w:pos="2880"/>
                <w:tab w:val="left" w:pos="3600"/>
                <w:tab w:val="left" w:pos="4320"/>
                <w:tab w:val="center" w:pos="4433"/>
              </w:tabs>
              <w:autoSpaceDE w:val="0"/>
              <w:autoSpaceDN w:val="0"/>
              <w:adjustRightInd w:val="0"/>
              <w:spacing w:line="300" w:lineRule="exact"/>
              <w:ind w:firstLine="420" w:firstLineChars="200"/>
              <w:jc w:val="left"/>
              <w:rPr>
                <w:rFonts w:ascii="宋体" w:hAnsi="宋体" w:cs="宋体"/>
                <w:kern w:val="0"/>
                <w:szCs w:val="21"/>
              </w:rPr>
            </w:pPr>
            <w:r>
              <w:rPr>
                <w:rFonts w:hint="eastAsia" w:ascii="宋体" w:hAnsi="宋体" w:cs="宋体"/>
                <w:kern w:val="0"/>
                <w:szCs w:val="21"/>
              </w:rPr>
              <w:t>内容把握准确，对策的分析清晰准确，得</w:t>
            </w:r>
            <w:r>
              <w:rPr>
                <w:rFonts w:ascii="宋体" w:hAnsi="宋体" w:cs="宋体"/>
                <w:kern w:val="0"/>
                <w:szCs w:val="21"/>
              </w:rPr>
              <w:t>5</w:t>
            </w:r>
            <w:r>
              <w:rPr>
                <w:rFonts w:hint="eastAsia" w:ascii="宋体" w:hAnsi="宋体" w:cs="宋体"/>
                <w:kern w:val="0"/>
                <w:szCs w:val="21"/>
              </w:rPr>
              <w:t xml:space="preserve">分；                                  </w:t>
            </w:r>
          </w:p>
          <w:p>
            <w:pPr>
              <w:tabs>
                <w:tab w:val="left" w:pos="-540"/>
                <w:tab w:val="left" w:pos="2880"/>
                <w:tab w:val="left" w:pos="3600"/>
                <w:tab w:val="left" w:pos="4320"/>
                <w:tab w:val="center" w:pos="4433"/>
              </w:tabs>
              <w:autoSpaceDE w:val="0"/>
              <w:autoSpaceDN w:val="0"/>
              <w:adjustRightInd w:val="0"/>
              <w:spacing w:line="300" w:lineRule="exact"/>
              <w:ind w:firstLine="420" w:firstLineChars="200"/>
              <w:jc w:val="left"/>
              <w:rPr>
                <w:rFonts w:ascii="宋体" w:hAnsi="宋体" w:cs="宋体"/>
                <w:kern w:val="0"/>
                <w:szCs w:val="21"/>
              </w:rPr>
            </w:pPr>
            <w:r>
              <w:rPr>
                <w:rFonts w:hint="eastAsia" w:ascii="宋体" w:hAnsi="宋体" w:cs="宋体"/>
                <w:kern w:val="0"/>
                <w:szCs w:val="21"/>
              </w:rPr>
              <w:t>内容设计基本全面、基本符合实际、思路基本清晰，可操作性一般，对重点、难点的把握一般，对策的分析一般，得</w:t>
            </w:r>
            <w:r>
              <w:rPr>
                <w:rFonts w:ascii="宋体" w:hAnsi="宋体" w:cs="宋体"/>
                <w:kern w:val="0"/>
                <w:szCs w:val="21"/>
              </w:rPr>
              <w:t>3</w:t>
            </w:r>
            <w:r>
              <w:rPr>
                <w:rFonts w:hint="eastAsia" w:ascii="宋体" w:hAnsi="宋体" w:cs="宋体"/>
                <w:kern w:val="0"/>
                <w:szCs w:val="21"/>
              </w:rPr>
              <w:t>分；</w:t>
            </w:r>
          </w:p>
          <w:p>
            <w:pPr>
              <w:tabs>
                <w:tab w:val="left" w:pos="-540"/>
                <w:tab w:val="left" w:pos="2880"/>
                <w:tab w:val="left" w:pos="3600"/>
                <w:tab w:val="left" w:pos="4320"/>
                <w:tab w:val="center" w:pos="4433"/>
              </w:tabs>
              <w:autoSpaceDE w:val="0"/>
              <w:autoSpaceDN w:val="0"/>
              <w:adjustRightInd w:val="0"/>
              <w:spacing w:line="300" w:lineRule="exact"/>
              <w:ind w:firstLine="420" w:firstLineChars="200"/>
              <w:jc w:val="left"/>
              <w:rPr>
                <w:rFonts w:ascii="宋体" w:hAnsi="宋体" w:cs="宋体"/>
                <w:kern w:val="0"/>
                <w:szCs w:val="21"/>
              </w:rPr>
            </w:pPr>
            <w:r>
              <w:rPr>
                <w:rFonts w:hint="eastAsia" w:ascii="宋体" w:hAnsi="宋体" w:cs="宋体"/>
                <w:kern w:val="0"/>
                <w:szCs w:val="21"/>
              </w:rPr>
              <w:t>内容设计不够全面、不切合实际、思路不够清晰合理，可操作性较弱，得</w:t>
            </w:r>
            <w:r>
              <w:rPr>
                <w:rFonts w:ascii="宋体" w:hAnsi="宋体" w:cs="宋体"/>
                <w:kern w:val="0"/>
                <w:szCs w:val="21"/>
              </w:rPr>
              <w:t>1</w:t>
            </w:r>
            <w:r>
              <w:rPr>
                <w:rFonts w:hint="eastAsia" w:ascii="宋体" w:hAnsi="宋体" w:cs="宋体"/>
                <w:kern w:val="0"/>
                <w:szCs w:val="21"/>
              </w:rPr>
              <w:t>分；</w:t>
            </w:r>
          </w:p>
          <w:p>
            <w:pPr>
              <w:tabs>
                <w:tab w:val="left" w:pos="-540"/>
                <w:tab w:val="left" w:pos="2880"/>
                <w:tab w:val="left" w:pos="3600"/>
                <w:tab w:val="left" w:pos="4320"/>
                <w:tab w:val="center" w:pos="4433"/>
              </w:tabs>
              <w:autoSpaceDE w:val="0"/>
              <w:autoSpaceDN w:val="0"/>
              <w:adjustRightInd w:val="0"/>
              <w:spacing w:line="300" w:lineRule="exact"/>
              <w:ind w:firstLine="420" w:firstLineChars="200"/>
              <w:jc w:val="left"/>
              <w:rPr>
                <w:rFonts w:ascii="宋体" w:hAnsi="宋体" w:cs="宋体"/>
                <w:kern w:val="0"/>
                <w:szCs w:val="21"/>
              </w:rPr>
            </w:pPr>
            <w:r>
              <w:rPr>
                <w:rFonts w:hint="eastAsia" w:ascii="宋体" w:hAnsi="宋体" w:cs="宋体"/>
                <w:kern w:val="0"/>
                <w:szCs w:val="21"/>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206" w:type="dxa"/>
            <w:vMerge w:val="continue"/>
            <w:vAlign w:val="center"/>
          </w:tcPr>
          <w:p>
            <w:pPr>
              <w:shd w:val="clear" w:color="auto" w:fill="FFFFFF"/>
              <w:adjustRightInd w:val="0"/>
              <w:snapToGrid w:val="0"/>
              <w:spacing w:line="300" w:lineRule="exact"/>
              <w:jc w:val="center"/>
              <w:rPr>
                <w:rFonts w:ascii="宋体" w:hAnsi="宋体" w:cs="宋体"/>
                <w:bCs/>
                <w:szCs w:val="21"/>
              </w:rPr>
            </w:pPr>
          </w:p>
        </w:tc>
        <w:tc>
          <w:tcPr>
            <w:tcW w:w="745" w:type="dxa"/>
            <w:vMerge w:val="continue"/>
            <w:vAlign w:val="center"/>
          </w:tcPr>
          <w:p>
            <w:pPr>
              <w:shd w:val="clear" w:color="auto" w:fill="FFFFFF"/>
              <w:adjustRightInd w:val="0"/>
              <w:snapToGrid w:val="0"/>
              <w:spacing w:line="300" w:lineRule="exact"/>
              <w:jc w:val="left"/>
              <w:rPr>
                <w:rFonts w:ascii="宋体" w:hAnsi="宋体" w:cs="宋体"/>
                <w:bCs/>
                <w:szCs w:val="21"/>
              </w:rPr>
            </w:pPr>
          </w:p>
        </w:tc>
        <w:tc>
          <w:tcPr>
            <w:tcW w:w="1559" w:type="dxa"/>
            <w:vAlign w:val="center"/>
          </w:tcPr>
          <w:p>
            <w:pPr>
              <w:tabs>
                <w:tab w:val="left" w:pos="-540"/>
                <w:tab w:val="left" w:pos="2880"/>
                <w:tab w:val="left" w:pos="3600"/>
                <w:tab w:val="left" w:pos="4320"/>
                <w:tab w:val="center" w:pos="4433"/>
              </w:tabs>
              <w:autoSpaceDE w:val="0"/>
              <w:autoSpaceDN w:val="0"/>
              <w:adjustRightInd w:val="0"/>
              <w:spacing w:line="300" w:lineRule="exact"/>
              <w:jc w:val="center"/>
              <w:rPr>
                <w:rFonts w:ascii="宋体" w:hAnsi="宋体" w:cs="宋体"/>
                <w:bCs/>
                <w:szCs w:val="21"/>
              </w:rPr>
            </w:pPr>
            <w:r>
              <w:rPr>
                <w:rFonts w:hint="eastAsia" w:ascii="宋体" w:hAnsi="宋体" w:cs="宋体"/>
                <w:bCs/>
                <w:szCs w:val="21"/>
              </w:rPr>
              <w:t>设计机构设置和岗位职责</w:t>
            </w:r>
          </w:p>
          <w:p>
            <w:pPr>
              <w:tabs>
                <w:tab w:val="left" w:pos="-540"/>
                <w:tab w:val="left" w:pos="2880"/>
                <w:tab w:val="left" w:pos="3600"/>
                <w:tab w:val="left" w:pos="4320"/>
                <w:tab w:val="center" w:pos="4433"/>
              </w:tabs>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分)</w:t>
            </w:r>
          </w:p>
        </w:tc>
        <w:tc>
          <w:tcPr>
            <w:tcW w:w="6270" w:type="dxa"/>
            <w:vAlign w:val="center"/>
          </w:tcPr>
          <w:p>
            <w:pPr>
              <w:tabs>
                <w:tab w:val="left" w:pos="-540"/>
                <w:tab w:val="left" w:pos="2880"/>
                <w:tab w:val="left" w:pos="3600"/>
                <w:tab w:val="left" w:pos="4320"/>
                <w:tab w:val="center" w:pos="4433"/>
              </w:tabs>
              <w:autoSpaceDE w:val="0"/>
              <w:autoSpaceDN w:val="0"/>
              <w:adjustRightInd w:val="0"/>
              <w:spacing w:line="300" w:lineRule="exact"/>
              <w:ind w:firstLine="420" w:firstLineChars="200"/>
              <w:jc w:val="left"/>
              <w:rPr>
                <w:rFonts w:ascii="宋体" w:hAnsi="宋体" w:cs="宋体"/>
                <w:bCs/>
                <w:kern w:val="0"/>
                <w:szCs w:val="21"/>
              </w:rPr>
            </w:pPr>
            <w:r>
              <w:rPr>
                <w:rFonts w:hint="eastAsia" w:ascii="宋体" w:hAnsi="宋体" w:cs="宋体"/>
                <w:bCs/>
                <w:szCs w:val="21"/>
              </w:rPr>
              <w:t>根据投标供应商提供的</w:t>
            </w:r>
            <w:r>
              <w:rPr>
                <w:rFonts w:hint="eastAsia" w:ascii="宋体" w:hAnsi="宋体" w:cs="宋体"/>
                <w:bCs/>
                <w:szCs w:val="21"/>
                <w:lang w:val="zh-CN"/>
              </w:rPr>
              <w:t>设计机构设置和岗位职责内容进行</w:t>
            </w:r>
            <w:r>
              <w:rPr>
                <w:rFonts w:hint="eastAsia" w:ascii="宋体" w:hAnsi="宋体" w:cs="宋体"/>
                <w:bCs/>
                <w:szCs w:val="21"/>
              </w:rPr>
              <w:t>综合评价</w:t>
            </w:r>
            <w:r>
              <w:rPr>
                <w:rFonts w:hint="eastAsia" w:ascii="宋体" w:hAnsi="宋体" w:cs="宋体"/>
                <w:bCs/>
                <w:kern w:val="0"/>
                <w:szCs w:val="21"/>
              </w:rPr>
              <w:t>：(</w:t>
            </w:r>
            <w:r>
              <w:rPr>
                <w:rFonts w:ascii="宋体" w:hAnsi="宋体" w:cs="宋体"/>
                <w:bCs/>
                <w:kern w:val="0"/>
                <w:szCs w:val="21"/>
              </w:rPr>
              <w:t>5</w:t>
            </w:r>
            <w:r>
              <w:rPr>
                <w:rFonts w:hint="eastAsia" w:ascii="宋体" w:hAnsi="宋体" w:cs="宋体"/>
                <w:bCs/>
                <w:kern w:val="0"/>
                <w:szCs w:val="21"/>
              </w:rPr>
              <w:t>分)</w:t>
            </w:r>
          </w:p>
          <w:p>
            <w:pPr>
              <w:widowControl/>
              <w:spacing w:line="300" w:lineRule="exact"/>
              <w:ind w:firstLine="420" w:firstLineChars="200"/>
              <w:jc w:val="left"/>
              <w:rPr>
                <w:rFonts w:ascii="宋体" w:hAnsi="宋体" w:cs="宋体"/>
              </w:rPr>
            </w:pPr>
            <w:r>
              <w:rPr>
                <w:rFonts w:hint="eastAsia" w:ascii="宋体" w:hAnsi="宋体" w:cs="宋体"/>
                <w:szCs w:val="21"/>
                <w:lang w:val="zh-CN"/>
              </w:rPr>
              <w:t>设计机构设置</w:t>
            </w:r>
            <w:r>
              <w:rPr>
                <w:rFonts w:hint="eastAsia" w:ascii="宋体" w:hAnsi="宋体" w:cs="宋体"/>
                <w:szCs w:val="21"/>
              </w:rPr>
              <w:t>结构</w:t>
            </w:r>
            <w:r>
              <w:rPr>
                <w:rFonts w:hint="eastAsia" w:ascii="宋体" w:hAnsi="宋体" w:cs="宋体"/>
                <w:szCs w:val="21"/>
                <w:lang w:val="zh-CN"/>
              </w:rPr>
              <w:t>和岗位职责</w:t>
            </w:r>
            <w:r>
              <w:rPr>
                <w:rFonts w:hint="eastAsia" w:ascii="宋体" w:hAnsi="宋体" w:cs="宋体"/>
                <w:szCs w:val="21"/>
              </w:rPr>
              <w:t>内容合理，各方面等描述详细，能满足采购人的实际需求的</w:t>
            </w:r>
            <w:r>
              <w:rPr>
                <w:rFonts w:hint="eastAsia" w:ascii="宋体" w:hAnsi="宋体" w:cs="宋体"/>
              </w:rPr>
              <w:t>得</w:t>
            </w:r>
            <w:r>
              <w:rPr>
                <w:rFonts w:ascii="宋体" w:hAnsi="宋体" w:cs="宋体"/>
              </w:rPr>
              <w:t>5</w:t>
            </w:r>
            <w:r>
              <w:rPr>
                <w:rFonts w:hint="eastAsia" w:ascii="宋体" w:hAnsi="宋体" w:cs="宋体"/>
              </w:rPr>
              <w:t>分；</w:t>
            </w:r>
          </w:p>
          <w:p>
            <w:pPr>
              <w:widowControl/>
              <w:spacing w:line="300" w:lineRule="exact"/>
              <w:ind w:firstLine="420" w:firstLineChars="200"/>
              <w:jc w:val="left"/>
              <w:rPr>
                <w:rFonts w:ascii="宋体" w:hAnsi="宋体" w:cs="宋体"/>
              </w:rPr>
            </w:pPr>
            <w:r>
              <w:rPr>
                <w:rFonts w:hint="eastAsia" w:ascii="宋体" w:hAnsi="宋体" w:cs="宋体"/>
                <w:szCs w:val="21"/>
                <w:lang w:val="zh-CN"/>
              </w:rPr>
              <w:t>设计机构设置</w:t>
            </w:r>
            <w:r>
              <w:rPr>
                <w:rFonts w:hint="eastAsia" w:ascii="宋体" w:hAnsi="宋体" w:cs="宋体"/>
                <w:szCs w:val="21"/>
              </w:rPr>
              <w:t>结构</w:t>
            </w:r>
            <w:r>
              <w:rPr>
                <w:rFonts w:hint="eastAsia" w:ascii="宋体" w:hAnsi="宋体" w:cs="宋体"/>
                <w:szCs w:val="21"/>
                <w:lang w:val="zh-CN"/>
              </w:rPr>
              <w:t>和岗位职责</w:t>
            </w:r>
            <w:r>
              <w:rPr>
                <w:rFonts w:hint="eastAsia" w:ascii="宋体" w:hAnsi="宋体" w:cs="宋体"/>
                <w:szCs w:val="21"/>
              </w:rPr>
              <w:t>内容比较合理，各方面等描述比较清晰，基本能满足招标人的实际需求的得</w:t>
            </w:r>
            <w:r>
              <w:rPr>
                <w:rFonts w:ascii="宋体" w:hAnsi="宋体" w:cs="宋体"/>
              </w:rPr>
              <w:t>3</w:t>
            </w:r>
            <w:r>
              <w:rPr>
                <w:rFonts w:hint="eastAsia" w:ascii="宋体" w:hAnsi="宋体" w:cs="宋体"/>
              </w:rPr>
              <w:t>分；</w:t>
            </w:r>
          </w:p>
          <w:p>
            <w:pPr>
              <w:tabs>
                <w:tab w:val="left" w:pos="-540"/>
                <w:tab w:val="left" w:pos="2880"/>
                <w:tab w:val="left" w:pos="3600"/>
                <w:tab w:val="left" w:pos="4320"/>
                <w:tab w:val="center" w:pos="4433"/>
              </w:tabs>
              <w:autoSpaceDE w:val="0"/>
              <w:autoSpaceDN w:val="0"/>
              <w:adjustRightInd w:val="0"/>
              <w:spacing w:line="300" w:lineRule="exact"/>
              <w:ind w:firstLine="420" w:firstLineChars="200"/>
              <w:jc w:val="left"/>
              <w:rPr>
                <w:rFonts w:ascii="宋体" w:hAnsi="宋体" w:cs="宋体"/>
                <w:szCs w:val="21"/>
              </w:rPr>
            </w:pPr>
            <w:r>
              <w:rPr>
                <w:rFonts w:hint="eastAsia" w:ascii="宋体" w:hAnsi="宋体" w:cs="宋体"/>
                <w:szCs w:val="21"/>
                <w:lang w:val="zh-CN"/>
              </w:rPr>
              <w:t>设计机构设置</w:t>
            </w:r>
            <w:r>
              <w:rPr>
                <w:rFonts w:hint="eastAsia" w:ascii="宋体" w:hAnsi="宋体" w:cs="宋体"/>
                <w:szCs w:val="21"/>
              </w:rPr>
              <w:t>结构</w:t>
            </w:r>
            <w:r>
              <w:rPr>
                <w:rFonts w:hint="eastAsia" w:ascii="宋体" w:hAnsi="宋体" w:cs="宋体"/>
                <w:szCs w:val="21"/>
                <w:lang w:val="zh-CN"/>
              </w:rPr>
              <w:t>和岗位职责</w:t>
            </w:r>
            <w:r>
              <w:rPr>
                <w:rFonts w:hint="eastAsia" w:ascii="宋体" w:hAnsi="宋体" w:cs="宋体"/>
                <w:szCs w:val="21"/>
              </w:rPr>
              <w:t>内容、各方面内容有欠缺的得</w:t>
            </w:r>
            <w:r>
              <w:rPr>
                <w:rFonts w:ascii="宋体" w:hAnsi="宋体" w:cs="宋体"/>
                <w:szCs w:val="21"/>
              </w:rPr>
              <w:t>1</w:t>
            </w:r>
            <w:r>
              <w:rPr>
                <w:rFonts w:hint="eastAsia" w:ascii="宋体" w:hAnsi="宋体" w:cs="宋体"/>
                <w:szCs w:val="21"/>
              </w:rPr>
              <w:t>分；</w:t>
            </w:r>
          </w:p>
          <w:p>
            <w:pPr>
              <w:tabs>
                <w:tab w:val="left" w:pos="-540"/>
                <w:tab w:val="left" w:pos="2880"/>
                <w:tab w:val="left" w:pos="3600"/>
                <w:tab w:val="left" w:pos="4320"/>
                <w:tab w:val="center" w:pos="4433"/>
              </w:tabs>
              <w:autoSpaceDE w:val="0"/>
              <w:autoSpaceDN w:val="0"/>
              <w:adjustRightInd w:val="0"/>
              <w:spacing w:line="300" w:lineRule="exact"/>
              <w:ind w:firstLine="420" w:firstLineChars="200"/>
              <w:jc w:val="left"/>
              <w:rPr>
                <w:rFonts w:ascii="宋体" w:hAnsi="宋体" w:cs="宋体"/>
                <w:kern w:val="0"/>
                <w:szCs w:val="21"/>
              </w:rPr>
            </w:pPr>
            <w:r>
              <w:rPr>
                <w:rFonts w:hint="eastAsia" w:ascii="宋体" w:hAnsi="宋体" w:cs="宋体"/>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206" w:type="dxa"/>
            <w:vMerge w:val="continue"/>
            <w:vAlign w:val="center"/>
          </w:tcPr>
          <w:p>
            <w:pPr>
              <w:shd w:val="clear" w:color="auto" w:fill="FFFFFF"/>
              <w:adjustRightInd w:val="0"/>
              <w:snapToGrid w:val="0"/>
              <w:spacing w:line="300" w:lineRule="exact"/>
              <w:jc w:val="left"/>
              <w:rPr>
                <w:rFonts w:ascii="宋体" w:hAnsi="宋体" w:cs="宋体"/>
                <w:szCs w:val="21"/>
              </w:rPr>
            </w:pPr>
          </w:p>
        </w:tc>
        <w:tc>
          <w:tcPr>
            <w:tcW w:w="745" w:type="dxa"/>
            <w:vMerge w:val="continue"/>
            <w:vAlign w:val="center"/>
          </w:tcPr>
          <w:p>
            <w:pPr>
              <w:shd w:val="clear" w:color="auto" w:fill="FFFFFF"/>
              <w:adjustRightInd w:val="0"/>
              <w:snapToGrid w:val="0"/>
              <w:spacing w:line="300" w:lineRule="exact"/>
              <w:jc w:val="left"/>
              <w:rPr>
                <w:rFonts w:ascii="宋体" w:hAnsi="宋体" w:cs="宋体"/>
                <w:szCs w:val="21"/>
              </w:rPr>
            </w:pPr>
          </w:p>
        </w:tc>
        <w:tc>
          <w:tcPr>
            <w:tcW w:w="1559" w:type="dxa"/>
            <w:vAlign w:val="center"/>
          </w:tcPr>
          <w:p>
            <w:pPr>
              <w:tabs>
                <w:tab w:val="left" w:pos="-540"/>
                <w:tab w:val="left" w:pos="2880"/>
                <w:tab w:val="left" w:pos="3600"/>
                <w:tab w:val="left" w:pos="4320"/>
                <w:tab w:val="center" w:pos="4433"/>
              </w:tabs>
              <w:autoSpaceDE w:val="0"/>
              <w:autoSpaceDN w:val="0"/>
              <w:adjustRightInd w:val="0"/>
              <w:spacing w:line="300" w:lineRule="exact"/>
              <w:jc w:val="center"/>
              <w:rPr>
                <w:rFonts w:ascii="宋体" w:hAnsi="宋体" w:cs="宋体"/>
                <w:bCs/>
                <w:szCs w:val="21"/>
              </w:rPr>
            </w:pPr>
            <w:r>
              <w:rPr>
                <w:rFonts w:hint="eastAsia" w:ascii="宋体" w:hAnsi="宋体" w:cs="宋体"/>
                <w:bCs/>
                <w:szCs w:val="21"/>
              </w:rPr>
              <w:t>设计工作重点、难点分析</w:t>
            </w:r>
          </w:p>
          <w:p>
            <w:pPr>
              <w:tabs>
                <w:tab w:val="left" w:pos="-540"/>
                <w:tab w:val="left" w:pos="2880"/>
                <w:tab w:val="left" w:pos="3600"/>
                <w:tab w:val="left" w:pos="4320"/>
                <w:tab w:val="center" w:pos="4433"/>
              </w:tabs>
              <w:autoSpaceDE w:val="0"/>
              <w:autoSpaceDN w:val="0"/>
              <w:adjustRightInd w:val="0"/>
              <w:spacing w:line="300" w:lineRule="exact"/>
              <w:jc w:val="center"/>
              <w:rPr>
                <w:rFonts w:ascii="宋体" w:hAnsi="宋体" w:cs="宋体"/>
                <w:kern w:val="0"/>
                <w:szCs w:val="21"/>
              </w:rPr>
            </w:pPr>
            <w:r>
              <w:rPr>
                <w:rFonts w:hint="eastAsia" w:ascii="宋体" w:hAnsi="宋体" w:cs="宋体"/>
                <w:bCs/>
                <w:szCs w:val="21"/>
              </w:rPr>
              <w:t>（</w:t>
            </w:r>
            <w:r>
              <w:rPr>
                <w:rFonts w:ascii="宋体" w:hAnsi="宋体" w:cs="宋体"/>
                <w:bCs/>
                <w:szCs w:val="21"/>
              </w:rPr>
              <w:t>5</w:t>
            </w:r>
            <w:r>
              <w:rPr>
                <w:rFonts w:hint="eastAsia" w:ascii="宋体" w:hAnsi="宋体" w:cs="宋体"/>
                <w:bCs/>
                <w:szCs w:val="21"/>
              </w:rPr>
              <w:t>分）</w:t>
            </w:r>
          </w:p>
        </w:tc>
        <w:tc>
          <w:tcPr>
            <w:tcW w:w="6270" w:type="dxa"/>
            <w:vAlign w:val="center"/>
          </w:tcPr>
          <w:p>
            <w:pPr>
              <w:tabs>
                <w:tab w:val="left" w:pos="-540"/>
                <w:tab w:val="left" w:pos="2880"/>
                <w:tab w:val="left" w:pos="3600"/>
                <w:tab w:val="left" w:pos="4320"/>
                <w:tab w:val="center" w:pos="4433"/>
              </w:tabs>
              <w:autoSpaceDE w:val="0"/>
              <w:autoSpaceDN w:val="0"/>
              <w:adjustRightInd w:val="0"/>
              <w:spacing w:line="300" w:lineRule="exact"/>
              <w:ind w:firstLine="420" w:firstLineChars="200"/>
              <w:jc w:val="left"/>
              <w:rPr>
                <w:rFonts w:ascii="宋体" w:hAnsi="宋体" w:cs="宋体"/>
                <w:bCs/>
                <w:kern w:val="0"/>
                <w:szCs w:val="21"/>
              </w:rPr>
            </w:pPr>
            <w:r>
              <w:rPr>
                <w:rFonts w:hint="eastAsia" w:ascii="宋体" w:hAnsi="宋体" w:cs="宋体"/>
                <w:bCs/>
                <w:kern w:val="0"/>
                <w:szCs w:val="21"/>
              </w:rPr>
              <w:t>设计工作重点难点分析（</w:t>
            </w:r>
            <w:r>
              <w:rPr>
                <w:rFonts w:ascii="宋体" w:hAnsi="宋体" w:cs="宋体"/>
                <w:bCs/>
                <w:kern w:val="0"/>
                <w:szCs w:val="21"/>
              </w:rPr>
              <w:t>5</w:t>
            </w:r>
            <w:r>
              <w:rPr>
                <w:rFonts w:hint="eastAsia" w:ascii="宋体" w:hAnsi="宋体" w:cs="宋体"/>
                <w:bCs/>
                <w:kern w:val="0"/>
                <w:szCs w:val="21"/>
              </w:rPr>
              <w:t>分）</w:t>
            </w:r>
          </w:p>
          <w:p>
            <w:pPr>
              <w:tabs>
                <w:tab w:val="left" w:pos="-540"/>
                <w:tab w:val="left" w:pos="2880"/>
                <w:tab w:val="left" w:pos="3600"/>
                <w:tab w:val="left" w:pos="4320"/>
                <w:tab w:val="center" w:pos="4433"/>
              </w:tabs>
              <w:autoSpaceDE w:val="0"/>
              <w:autoSpaceDN w:val="0"/>
              <w:adjustRightInd w:val="0"/>
              <w:spacing w:line="300" w:lineRule="exact"/>
              <w:ind w:firstLine="420" w:firstLineChars="200"/>
              <w:jc w:val="left"/>
              <w:rPr>
                <w:rFonts w:ascii="宋体" w:hAnsi="宋体" w:cs="宋体"/>
                <w:kern w:val="0"/>
                <w:szCs w:val="21"/>
              </w:rPr>
            </w:pPr>
            <w:r>
              <w:rPr>
                <w:rFonts w:hint="eastAsia" w:ascii="宋体" w:hAnsi="宋体" w:cs="宋体"/>
                <w:kern w:val="0"/>
                <w:szCs w:val="21"/>
              </w:rPr>
              <w:t>投标供应商根据经验、实际情况，进行项目重点难点分析，重、难点突出，并有切实可行的解决方案的得</w:t>
            </w:r>
            <w:r>
              <w:rPr>
                <w:rFonts w:ascii="宋体" w:hAnsi="宋体" w:cs="宋体"/>
                <w:kern w:val="0"/>
                <w:szCs w:val="21"/>
              </w:rPr>
              <w:t>5</w:t>
            </w:r>
            <w:r>
              <w:rPr>
                <w:rFonts w:hint="eastAsia" w:ascii="宋体" w:hAnsi="宋体" w:cs="宋体"/>
                <w:kern w:val="0"/>
                <w:szCs w:val="21"/>
              </w:rPr>
              <w:t>分；</w:t>
            </w:r>
          </w:p>
          <w:p>
            <w:pPr>
              <w:tabs>
                <w:tab w:val="left" w:pos="-540"/>
                <w:tab w:val="left" w:pos="2880"/>
                <w:tab w:val="left" w:pos="3600"/>
                <w:tab w:val="left" w:pos="4320"/>
                <w:tab w:val="center" w:pos="4433"/>
              </w:tabs>
              <w:autoSpaceDE w:val="0"/>
              <w:autoSpaceDN w:val="0"/>
              <w:adjustRightInd w:val="0"/>
              <w:spacing w:line="300" w:lineRule="exact"/>
              <w:ind w:firstLine="420" w:firstLineChars="200"/>
              <w:jc w:val="left"/>
              <w:rPr>
                <w:rFonts w:ascii="宋体" w:hAnsi="宋体" w:cs="宋体"/>
                <w:kern w:val="0"/>
                <w:szCs w:val="21"/>
              </w:rPr>
            </w:pPr>
            <w:r>
              <w:rPr>
                <w:rFonts w:hint="eastAsia" w:ascii="宋体" w:hAnsi="宋体" w:cs="宋体"/>
                <w:kern w:val="0"/>
                <w:szCs w:val="21"/>
              </w:rPr>
              <w:t>方案科学较合理，重、难点突出，可操作性较可行的得6分；</w:t>
            </w:r>
          </w:p>
          <w:p>
            <w:pPr>
              <w:tabs>
                <w:tab w:val="left" w:pos="-540"/>
                <w:tab w:val="left" w:pos="2880"/>
                <w:tab w:val="left" w:pos="3600"/>
                <w:tab w:val="left" w:pos="4320"/>
                <w:tab w:val="center" w:pos="4433"/>
              </w:tabs>
              <w:autoSpaceDE w:val="0"/>
              <w:autoSpaceDN w:val="0"/>
              <w:adjustRightInd w:val="0"/>
              <w:spacing w:line="300" w:lineRule="exact"/>
              <w:ind w:firstLine="420" w:firstLineChars="200"/>
              <w:jc w:val="left"/>
              <w:rPr>
                <w:rFonts w:ascii="宋体" w:hAnsi="宋体" w:cs="宋体"/>
                <w:kern w:val="0"/>
                <w:szCs w:val="21"/>
              </w:rPr>
            </w:pPr>
            <w:r>
              <w:rPr>
                <w:rFonts w:hint="eastAsia" w:ascii="宋体" w:hAnsi="宋体" w:cs="宋体"/>
                <w:kern w:val="0"/>
                <w:szCs w:val="21"/>
              </w:rPr>
              <w:t>方案科学合理，重、难点突出，针对性一般，可操作性一般的得</w:t>
            </w:r>
            <w:r>
              <w:rPr>
                <w:rFonts w:ascii="宋体" w:hAnsi="宋体" w:cs="宋体"/>
                <w:kern w:val="0"/>
                <w:szCs w:val="21"/>
              </w:rPr>
              <w:t>3</w:t>
            </w:r>
            <w:r>
              <w:rPr>
                <w:rFonts w:hint="eastAsia" w:ascii="宋体" w:hAnsi="宋体" w:cs="宋体"/>
                <w:kern w:val="0"/>
                <w:szCs w:val="21"/>
              </w:rPr>
              <w:t>分；</w:t>
            </w:r>
          </w:p>
          <w:p>
            <w:pPr>
              <w:tabs>
                <w:tab w:val="left" w:pos="-540"/>
                <w:tab w:val="left" w:pos="2880"/>
                <w:tab w:val="left" w:pos="3600"/>
                <w:tab w:val="left" w:pos="4320"/>
                <w:tab w:val="center" w:pos="4433"/>
              </w:tabs>
              <w:autoSpaceDE w:val="0"/>
              <w:autoSpaceDN w:val="0"/>
              <w:adjustRightInd w:val="0"/>
              <w:spacing w:line="300" w:lineRule="exact"/>
              <w:ind w:firstLine="420" w:firstLineChars="200"/>
              <w:jc w:val="left"/>
              <w:rPr>
                <w:rFonts w:ascii="宋体" w:hAnsi="宋体" w:cs="宋体"/>
                <w:kern w:val="0"/>
                <w:szCs w:val="21"/>
              </w:rPr>
            </w:pPr>
            <w:r>
              <w:rPr>
                <w:rFonts w:hint="eastAsia" w:ascii="宋体" w:hAnsi="宋体" w:cs="宋体"/>
                <w:kern w:val="0"/>
                <w:szCs w:val="21"/>
              </w:rPr>
              <w:t>方案分析不到位或不合理的得</w:t>
            </w:r>
            <w:r>
              <w:rPr>
                <w:rFonts w:ascii="宋体" w:hAnsi="宋体" w:cs="宋体"/>
                <w:kern w:val="0"/>
                <w:szCs w:val="21"/>
              </w:rPr>
              <w:t>1</w:t>
            </w:r>
            <w:r>
              <w:rPr>
                <w:rFonts w:hint="eastAsia" w:ascii="宋体" w:hAnsi="宋体" w:cs="宋体"/>
                <w:kern w:val="0"/>
                <w:szCs w:val="21"/>
              </w:rPr>
              <w:t>分；</w:t>
            </w:r>
          </w:p>
          <w:p>
            <w:pPr>
              <w:tabs>
                <w:tab w:val="left" w:pos="-540"/>
                <w:tab w:val="left" w:pos="2880"/>
                <w:tab w:val="left" w:pos="3600"/>
                <w:tab w:val="left" w:pos="4320"/>
                <w:tab w:val="center" w:pos="4433"/>
              </w:tabs>
              <w:autoSpaceDE w:val="0"/>
              <w:autoSpaceDN w:val="0"/>
              <w:adjustRightInd w:val="0"/>
              <w:spacing w:line="300" w:lineRule="exact"/>
              <w:ind w:firstLine="420" w:firstLineChars="200"/>
              <w:jc w:val="left"/>
              <w:rPr>
                <w:rFonts w:ascii="宋体" w:hAnsi="宋体" w:cs="宋体"/>
                <w:szCs w:val="21"/>
              </w:rPr>
            </w:pPr>
            <w:r>
              <w:rPr>
                <w:rFonts w:hint="eastAsia" w:ascii="宋体" w:hAnsi="宋体" w:cs="宋体"/>
                <w:kern w:val="0"/>
                <w:szCs w:val="21"/>
              </w:rPr>
              <w:t>未提供相应方案的不得分。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206" w:type="dxa"/>
            <w:vMerge w:val="continue"/>
            <w:vAlign w:val="center"/>
          </w:tcPr>
          <w:p>
            <w:pPr>
              <w:shd w:val="clear" w:color="auto" w:fill="FFFFFF"/>
              <w:adjustRightInd w:val="0"/>
              <w:snapToGrid w:val="0"/>
              <w:spacing w:line="300" w:lineRule="exact"/>
              <w:jc w:val="left"/>
              <w:rPr>
                <w:rFonts w:ascii="宋体" w:hAnsi="宋体" w:cs="宋体"/>
                <w:bCs/>
                <w:szCs w:val="21"/>
              </w:rPr>
            </w:pPr>
          </w:p>
        </w:tc>
        <w:tc>
          <w:tcPr>
            <w:tcW w:w="745" w:type="dxa"/>
            <w:vMerge w:val="continue"/>
            <w:vAlign w:val="center"/>
          </w:tcPr>
          <w:p>
            <w:pPr>
              <w:shd w:val="clear" w:color="auto" w:fill="FFFFFF"/>
              <w:adjustRightInd w:val="0"/>
              <w:snapToGrid w:val="0"/>
              <w:spacing w:line="300" w:lineRule="exact"/>
              <w:jc w:val="left"/>
              <w:rPr>
                <w:rFonts w:ascii="宋体" w:hAnsi="宋体" w:cs="宋体"/>
                <w:bCs/>
                <w:szCs w:val="21"/>
              </w:rPr>
            </w:pPr>
          </w:p>
        </w:tc>
        <w:tc>
          <w:tcPr>
            <w:tcW w:w="1559" w:type="dxa"/>
            <w:vAlign w:val="center"/>
          </w:tcPr>
          <w:p>
            <w:pPr>
              <w:tabs>
                <w:tab w:val="left" w:pos="-540"/>
                <w:tab w:val="left" w:pos="2880"/>
                <w:tab w:val="left" w:pos="3600"/>
                <w:tab w:val="left" w:pos="4320"/>
                <w:tab w:val="center" w:pos="4433"/>
              </w:tabs>
              <w:autoSpaceDE w:val="0"/>
              <w:autoSpaceDN w:val="0"/>
              <w:adjustRightInd w:val="0"/>
              <w:spacing w:line="300" w:lineRule="exact"/>
              <w:jc w:val="center"/>
              <w:rPr>
                <w:rFonts w:ascii="宋体" w:hAnsi="宋体" w:cs="宋体"/>
                <w:bCs/>
                <w:szCs w:val="21"/>
              </w:rPr>
            </w:pPr>
            <w:r>
              <w:rPr>
                <w:rFonts w:hint="eastAsia" w:ascii="宋体" w:hAnsi="宋体" w:cs="宋体"/>
                <w:bCs/>
                <w:szCs w:val="21"/>
              </w:rPr>
              <w:t>设计质量、进度、保密等保证措施</w:t>
            </w:r>
          </w:p>
          <w:p>
            <w:pPr>
              <w:tabs>
                <w:tab w:val="left" w:pos="-540"/>
                <w:tab w:val="left" w:pos="2880"/>
                <w:tab w:val="left" w:pos="3600"/>
                <w:tab w:val="left" w:pos="4320"/>
                <w:tab w:val="center" w:pos="4433"/>
              </w:tabs>
              <w:autoSpaceDE w:val="0"/>
              <w:autoSpaceDN w:val="0"/>
              <w:adjustRightInd w:val="0"/>
              <w:spacing w:line="300" w:lineRule="exact"/>
              <w:jc w:val="center"/>
              <w:rPr>
                <w:rFonts w:ascii="宋体" w:hAnsi="宋体" w:cs="宋体"/>
                <w:kern w:val="0"/>
                <w:szCs w:val="21"/>
              </w:rPr>
            </w:pPr>
            <w:r>
              <w:rPr>
                <w:rFonts w:hint="eastAsia" w:ascii="宋体" w:hAnsi="宋体" w:cs="宋体"/>
                <w:bCs/>
                <w:szCs w:val="21"/>
              </w:rPr>
              <w:t>（</w:t>
            </w:r>
            <w:r>
              <w:rPr>
                <w:rFonts w:ascii="宋体" w:hAnsi="宋体" w:cs="宋体"/>
                <w:bCs/>
                <w:szCs w:val="21"/>
              </w:rPr>
              <w:t>5</w:t>
            </w:r>
            <w:r>
              <w:rPr>
                <w:rFonts w:hint="eastAsia" w:ascii="宋体" w:hAnsi="宋体" w:cs="宋体"/>
                <w:bCs/>
                <w:szCs w:val="21"/>
              </w:rPr>
              <w:t>分）</w:t>
            </w:r>
          </w:p>
        </w:tc>
        <w:tc>
          <w:tcPr>
            <w:tcW w:w="6270" w:type="dxa"/>
            <w:vAlign w:val="center"/>
          </w:tcPr>
          <w:p>
            <w:pPr>
              <w:tabs>
                <w:tab w:val="left" w:pos="-540"/>
                <w:tab w:val="left" w:pos="2880"/>
                <w:tab w:val="left" w:pos="3600"/>
                <w:tab w:val="left" w:pos="4320"/>
                <w:tab w:val="center" w:pos="4433"/>
              </w:tabs>
              <w:autoSpaceDE w:val="0"/>
              <w:autoSpaceDN w:val="0"/>
              <w:adjustRightInd w:val="0"/>
              <w:spacing w:line="300" w:lineRule="exact"/>
              <w:ind w:firstLine="420" w:firstLineChars="200"/>
              <w:jc w:val="left"/>
              <w:rPr>
                <w:rFonts w:ascii="宋体" w:hAnsi="宋体" w:cs="宋体"/>
              </w:rPr>
            </w:pPr>
            <w:r>
              <w:rPr>
                <w:rFonts w:hint="eastAsia"/>
                <w:bCs/>
              </w:rPr>
              <w:t>根据设计质量、进度安排、保密措施等内容进行综合评价</w:t>
            </w:r>
            <w:r>
              <w:rPr>
                <w:rFonts w:hint="eastAsia" w:ascii="宋体" w:hAnsi="宋体" w:cs="宋体"/>
                <w:bCs/>
              </w:rPr>
              <w:t>：（</w:t>
            </w:r>
            <w:r>
              <w:rPr>
                <w:rFonts w:ascii="宋体" w:hAnsi="宋体" w:cs="宋体"/>
                <w:bCs/>
              </w:rPr>
              <w:t>5</w:t>
            </w:r>
          </w:p>
          <w:p>
            <w:pPr>
              <w:tabs>
                <w:tab w:val="left" w:pos="-540"/>
                <w:tab w:val="left" w:pos="2880"/>
                <w:tab w:val="left" w:pos="3600"/>
                <w:tab w:val="left" w:pos="4320"/>
                <w:tab w:val="center" w:pos="4433"/>
              </w:tabs>
              <w:autoSpaceDE w:val="0"/>
              <w:autoSpaceDN w:val="0"/>
              <w:adjustRightInd w:val="0"/>
              <w:spacing w:line="300" w:lineRule="exact"/>
              <w:ind w:firstLine="420" w:firstLineChars="200"/>
              <w:jc w:val="left"/>
            </w:pPr>
            <w:r>
              <w:rPr>
                <w:rFonts w:hint="eastAsia" w:ascii="宋体" w:hAnsi="宋体" w:cs="宋体"/>
              </w:rPr>
              <w:t>项目设计质量、进度安排、保密措施方案内容详细完整、</w:t>
            </w:r>
            <w:r>
              <w:rPr>
                <w:rFonts w:hint="eastAsia"/>
              </w:rPr>
              <w:t>条理清晰，科学合理、可操作性高的得</w:t>
            </w:r>
            <w:r>
              <w:t>5</w:t>
            </w:r>
            <w:r>
              <w:rPr>
                <w:rFonts w:hint="eastAsia"/>
              </w:rPr>
              <w:t>分；</w:t>
            </w:r>
          </w:p>
          <w:p>
            <w:pPr>
              <w:tabs>
                <w:tab w:val="left" w:pos="-540"/>
                <w:tab w:val="left" w:pos="2880"/>
                <w:tab w:val="left" w:pos="3600"/>
                <w:tab w:val="left" w:pos="4320"/>
                <w:tab w:val="center" w:pos="4433"/>
              </w:tabs>
              <w:autoSpaceDE w:val="0"/>
              <w:autoSpaceDN w:val="0"/>
              <w:adjustRightInd w:val="0"/>
              <w:spacing w:line="300" w:lineRule="exact"/>
              <w:ind w:firstLine="420" w:firstLineChars="200"/>
              <w:jc w:val="left"/>
            </w:pPr>
            <w:r>
              <w:rPr>
                <w:rFonts w:hint="eastAsia"/>
              </w:rPr>
              <w:t>项目设计质量、进度安排、保密措施方案内容描述比较详细、条理基本清晰，合理性较好、可操作性较高的得</w:t>
            </w:r>
            <w:r>
              <w:t>3</w:t>
            </w:r>
            <w:r>
              <w:rPr>
                <w:rFonts w:hint="eastAsia"/>
              </w:rPr>
              <w:t>分；</w:t>
            </w:r>
          </w:p>
          <w:p>
            <w:pPr>
              <w:tabs>
                <w:tab w:val="left" w:pos="-540"/>
                <w:tab w:val="left" w:pos="2880"/>
                <w:tab w:val="left" w:pos="3600"/>
                <w:tab w:val="left" w:pos="4320"/>
                <w:tab w:val="center" w:pos="4433"/>
              </w:tabs>
              <w:autoSpaceDE w:val="0"/>
              <w:autoSpaceDN w:val="0"/>
              <w:adjustRightInd w:val="0"/>
              <w:spacing w:line="300" w:lineRule="exact"/>
              <w:ind w:firstLine="420" w:firstLineChars="200"/>
              <w:jc w:val="left"/>
            </w:pPr>
            <w:r>
              <w:rPr>
                <w:rFonts w:hint="eastAsia"/>
              </w:rPr>
              <w:t>项目设计质量、进度安排、保密措施方案内容描述简略、条理不够清晰，与项目实际情况相差较大的得</w:t>
            </w:r>
            <w:r>
              <w:t>1</w:t>
            </w:r>
            <w:r>
              <w:rPr>
                <w:rFonts w:hint="eastAsia"/>
              </w:rPr>
              <w:t>分；</w:t>
            </w:r>
          </w:p>
          <w:p>
            <w:pPr>
              <w:tabs>
                <w:tab w:val="left" w:pos="-540"/>
                <w:tab w:val="left" w:pos="2880"/>
                <w:tab w:val="left" w:pos="3600"/>
                <w:tab w:val="left" w:pos="4320"/>
                <w:tab w:val="center" w:pos="4433"/>
              </w:tabs>
              <w:autoSpaceDE w:val="0"/>
              <w:autoSpaceDN w:val="0"/>
              <w:adjustRightInd w:val="0"/>
              <w:spacing w:line="300" w:lineRule="exact"/>
              <w:ind w:firstLine="420" w:firstLineChars="200"/>
              <w:jc w:val="left"/>
            </w:pPr>
            <w:r>
              <w:rPr>
                <w:rFonts w:hint="eastAsia"/>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206" w:type="dxa"/>
            <w:vMerge w:val="continue"/>
            <w:vAlign w:val="center"/>
          </w:tcPr>
          <w:p>
            <w:pPr>
              <w:shd w:val="clear" w:color="auto" w:fill="FFFFFF"/>
              <w:adjustRightInd w:val="0"/>
              <w:snapToGrid w:val="0"/>
              <w:spacing w:line="300" w:lineRule="exact"/>
              <w:jc w:val="left"/>
              <w:rPr>
                <w:rFonts w:ascii="宋体" w:hAnsi="宋体" w:cs="宋体"/>
                <w:bCs/>
                <w:szCs w:val="21"/>
              </w:rPr>
            </w:pPr>
          </w:p>
        </w:tc>
        <w:tc>
          <w:tcPr>
            <w:tcW w:w="745" w:type="dxa"/>
            <w:vMerge w:val="continue"/>
            <w:vAlign w:val="center"/>
          </w:tcPr>
          <w:p>
            <w:pPr>
              <w:shd w:val="clear" w:color="auto" w:fill="FFFFFF"/>
              <w:adjustRightInd w:val="0"/>
              <w:snapToGrid w:val="0"/>
              <w:spacing w:line="300" w:lineRule="exact"/>
              <w:jc w:val="left"/>
              <w:rPr>
                <w:rFonts w:ascii="宋体" w:hAnsi="宋体" w:cs="宋体"/>
                <w:bCs/>
                <w:szCs w:val="21"/>
              </w:rPr>
            </w:pPr>
          </w:p>
        </w:tc>
        <w:tc>
          <w:tcPr>
            <w:tcW w:w="1559" w:type="dxa"/>
            <w:vAlign w:val="center"/>
          </w:tcPr>
          <w:p>
            <w:pPr>
              <w:tabs>
                <w:tab w:val="left" w:pos="-540"/>
                <w:tab w:val="left" w:pos="2880"/>
                <w:tab w:val="left" w:pos="3600"/>
                <w:tab w:val="left" w:pos="4320"/>
                <w:tab w:val="center" w:pos="4433"/>
              </w:tabs>
              <w:autoSpaceDE w:val="0"/>
              <w:autoSpaceDN w:val="0"/>
              <w:adjustRightInd w:val="0"/>
              <w:spacing w:line="300" w:lineRule="exact"/>
              <w:jc w:val="center"/>
              <w:rPr>
                <w:rFonts w:ascii="宋体" w:hAnsi="宋体" w:cs="宋体"/>
                <w:bCs/>
                <w:szCs w:val="21"/>
              </w:rPr>
            </w:pPr>
            <w:r>
              <w:rPr>
                <w:rFonts w:hint="eastAsia" w:ascii="宋体" w:hAnsi="宋体" w:cs="宋体"/>
                <w:bCs/>
                <w:szCs w:val="21"/>
              </w:rPr>
              <w:t>合理化建议</w:t>
            </w:r>
          </w:p>
          <w:p>
            <w:pPr>
              <w:tabs>
                <w:tab w:val="left" w:pos="-540"/>
                <w:tab w:val="left" w:pos="2880"/>
                <w:tab w:val="left" w:pos="3600"/>
                <w:tab w:val="left" w:pos="4320"/>
                <w:tab w:val="center" w:pos="4433"/>
              </w:tabs>
              <w:autoSpaceDE w:val="0"/>
              <w:autoSpaceDN w:val="0"/>
              <w:adjustRightInd w:val="0"/>
              <w:spacing w:line="300" w:lineRule="exact"/>
              <w:jc w:val="center"/>
              <w:rPr>
                <w:rFonts w:ascii="宋体" w:hAnsi="宋体" w:cs="宋体"/>
                <w:bCs/>
                <w:szCs w:val="21"/>
              </w:rPr>
            </w:pPr>
            <w:r>
              <w:rPr>
                <w:rFonts w:hint="eastAsia" w:ascii="宋体" w:hAnsi="宋体" w:cs="宋体"/>
                <w:bCs/>
                <w:szCs w:val="21"/>
              </w:rPr>
              <w:t>（</w:t>
            </w:r>
            <w:r>
              <w:rPr>
                <w:rFonts w:ascii="宋体" w:hAnsi="宋体" w:cs="宋体"/>
                <w:bCs/>
                <w:szCs w:val="21"/>
              </w:rPr>
              <w:t>5</w:t>
            </w:r>
            <w:r>
              <w:rPr>
                <w:rFonts w:hint="eastAsia" w:ascii="宋体" w:hAnsi="宋体" w:cs="宋体"/>
                <w:bCs/>
                <w:szCs w:val="21"/>
              </w:rPr>
              <w:t>分）</w:t>
            </w:r>
          </w:p>
        </w:tc>
        <w:tc>
          <w:tcPr>
            <w:tcW w:w="6270" w:type="dxa"/>
            <w:vAlign w:val="center"/>
          </w:tcPr>
          <w:p>
            <w:pPr>
              <w:tabs>
                <w:tab w:val="left" w:pos="-540"/>
                <w:tab w:val="left" w:pos="2880"/>
                <w:tab w:val="left" w:pos="3600"/>
                <w:tab w:val="left" w:pos="4320"/>
                <w:tab w:val="center" w:pos="4433"/>
              </w:tabs>
              <w:autoSpaceDE w:val="0"/>
              <w:autoSpaceDN w:val="0"/>
              <w:adjustRightInd w:val="0"/>
              <w:spacing w:line="300" w:lineRule="exact"/>
              <w:ind w:firstLine="420" w:firstLineChars="200"/>
              <w:jc w:val="left"/>
              <w:rPr>
                <w:rFonts w:ascii="宋体" w:hAnsi="宋体" w:cs="宋体"/>
                <w:bCs/>
                <w:kern w:val="0"/>
                <w:szCs w:val="21"/>
              </w:rPr>
            </w:pPr>
            <w:r>
              <w:rPr>
                <w:rFonts w:hint="eastAsia" w:ascii="宋体" w:hAnsi="宋体" w:cs="宋体"/>
                <w:bCs/>
                <w:kern w:val="0"/>
                <w:szCs w:val="21"/>
              </w:rPr>
              <w:t>为本项目提供合理化建议方案。针对本项目未提及的要求，投标供应商能够从采购人现有需求的基础上提供合理化建议并在后续项目中实施：(</w:t>
            </w:r>
            <w:r>
              <w:rPr>
                <w:rFonts w:ascii="宋体" w:hAnsi="宋体" w:cs="宋体"/>
                <w:bCs/>
                <w:kern w:val="0"/>
                <w:szCs w:val="21"/>
              </w:rPr>
              <w:t>5</w:t>
            </w:r>
            <w:r>
              <w:rPr>
                <w:rFonts w:hint="eastAsia" w:ascii="宋体" w:hAnsi="宋体" w:cs="宋体"/>
                <w:bCs/>
                <w:kern w:val="0"/>
                <w:szCs w:val="21"/>
              </w:rPr>
              <w:t>分)</w:t>
            </w:r>
          </w:p>
          <w:p>
            <w:pPr>
              <w:tabs>
                <w:tab w:val="left" w:pos="-540"/>
                <w:tab w:val="left" w:pos="2880"/>
                <w:tab w:val="left" w:pos="3600"/>
                <w:tab w:val="left" w:pos="4320"/>
                <w:tab w:val="center" w:pos="4433"/>
              </w:tabs>
              <w:autoSpaceDE w:val="0"/>
              <w:autoSpaceDN w:val="0"/>
              <w:adjustRightInd w:val="0"/>
              <w:spacing w:line="300" w:lineRule="exact"/>
              <w:ind w:firstLine="420" w:firstLineChars="200"/>
              <w:jc w:val="left"/>
              <w:rPr>
                <w:rFonts w:ascii="宋体" w:hAnsi="宋体" w:cs="宋体"/>
                <w:kern w:val="0"/>
                <w:szCs w:val="21"/>
              </w:rPr>
            </w:pPr>
            <w:r>
              <w:rPr>
                <w:rFonts w:hint="eastAsia" w:ascii="宋体" w:hAnsi="宋体" w:cs="宋体"/>
                <w:kern w:val="0"/>
                <w:szCs w:val="21"/>
              </w:rPr>
              <w:t>建议方案全面、符合实际、思路清晰合理，可操作性强，对重点、难点的把握准确，对策的分析清晰准确，得</w:t>
            </w:r>
            <w:r>
              <w:rPr>
                <w:rFonts w:ascii="宋体" w:hAnsi="宋体" w:cs="宋体"/>
                <w:kern w:val="0"/>
                <w:szCs w:val="21"/>
              </w:rPr>
              <w:t>5</w:t>
            </w:r>
            <w:r>
              <w:rPr>
                <w:rFonts w:hint="eastAsia" w:ascii="宋体" w:hAnsi="宋体" w:cs="宋体"/>
                <w:kern w:val="0"/>
                <w:szCs w:val="21"/>
              </w:rPr>
              <w:t>分，</w:t>
            </w:r>
          </w:p>
          <w:p>
            <w:pPr>
              <w:tabs>
                <w:tab w:val="left" w:pos="-540"/>
                <w:tab w:val="left" w:pos="2880"/>
                <w:tab w:val="left" w:pos="3600"/>
                <w:tab w:val="left" w:pos="4320"/>
                <w:tab w:val="center" w:pos="4433"/>
              </w:tabs>
              <w:autoSpaceDE w:val="0"/>
              <w:autoSpaceDN w:val="0"/>
              <w:adjustRightInd w:val="0"/>
              <w:spacing w:line="300" w:lineRule="exact"/>
              <w:ind w:firstLine="420" w:firstLineChars="200"/>
              <w:jc w:val="left"/>
              <w:rPr>
                <w:rFonts w:ascii="宋体" w:hAnsi="宋体" w:cs="宋体"/>
                <w:kern w:val="0"/>
                <w:szCs w:val="21"/>
              </w:rPr>
            </w:pPr>
            <w:r>
              <w:rPr>
                <w:rFonts w:hint="eastAsia" w:ascii="宋体" w:hAnsi="宋体" w:cs="宋体"/>
                <w:kern w:val="0"/>
                <w:szCs w:val="21"/>
              </w:rPr>
              <w:t>建议方案基本全面、基本符合实际、思路基本清晰，可操作性一般，对重点、难点的把握一般，对策的分析一般，得</w:t>
            </w:r>
            <w:r>
              <w:rPr>
                <w:rFonts w:ascii="宋体" w:hAnsi="宋体" w:cs="宋体"/>
                <w:kern w:val="0"/>
                <w:szCs w:val="21"/>
              </w:rPr>
              <w:t>3</w:t>
            </w:r>
            <w:r>
              <w:rPr>
                <w:rFonts w:hint="eastAsia" w:ascii="宋体" w:hAnsi="宋体" w:cs="宋体"/>
                <w:kern w:val="0"/>
                <w:szCs w:val="21"/>
              </w:rPr>
              <w:t>分，</w:t>
            </w:r>
          </w:p>
          <w:p>
            <w:pPr>
              <w:tabs>
                <w:tab w:val="left" w:pos="-540"/>
                <w:tab w:val="left" w:pos="2880"/>
                <w:tab w:val="left" w:pos="3600"/>
                <w:tab w:val="left" w:pos="4320"/>
                <w:tab w:val="center" w:pos="4433"/>
              </w:tabs>
              <w:autoSpaceDE w:val="0"/>
              <w:autoSpaceDN w:val="0"/>
              <w:adjustRightInd w:val="0"/>
              <w:spacing w:line="300" w:lineRule="exact"/>
              <w:ind w:firstLine="420" w:firstLineChars="200"/>
              <w:jc w:val="left"/>
              <w:rPr>
                <w:rFonts w:ascii="宋体" w:hAnsi="宋体" w:cs="宋体"/>
                <w:kern w:val="0"/>
                <w:szCs w:val="21"/>
              </w:rPr>
            </w:pPr>
            <w:r>
              <w:rPr>
                <w:rFonts w:hint="eastAsia" w:ascii="宋体" w:hAnsi="宋体" w:cs="宋体"/>
                <w:kern w:val="0"/>
                <w:szCs w:val="21"/>
              </w:rPr>
              <w:t>建议方案不够全面、不切合实际、思路不够清晰合理，可操作性较弱，对重点、难点的把握欠缺，对策的分析欠缺，得</w:t>
            </w:r>
            <w:r>
              <w:rPr>
                <w:rFonts w:ascii="宋体" w:hAnsi="宋体" w:cs="宋体"/>
                <w:kern w:val="0"/>
                <w:szCs w:val="21"/>
              </w:rPr>
              <w:t>1</w:t>
            </w:r>
            <w:r>
              <w:rPr>
                <w:rFonts w:hint="eastAsia" w:ascii="宋体" w:hAnsi="宋体" w:cs="宋体"/>
                <w:kern w:val="0"/>
                <w:szCs w:val="21"/>
              </w:rPr>
              <w:t>分，</w:t>
            </w:r>
          </w:p>
          <w:p>
            <w:pPr>
              <w:tabs>
                <w:tab w:val="left" w:pos="-540"/>
                <w:tab w:val="left" w:pos="2880"/>
                <w:tab w:val="left" w:pos="3600"/>
                <w:tab w:val="left" w:pos="4320"/>
                <w:tab w:val="center" w:pos="4433"/>
              </w:tabs>
              <w:autoSpaceDE w:val="0"/>
              <w:autoSpaceDN w:val="0"/>
              <w:adjustRightInd w:val="0"/>
              <w:spacing w:line="300" w:lineRule="exact"/>
              <w:ind w:firstLine="420" w:firstLineChars="200"/>
              <w:jc w:val="left"/>
            </w:pPr>
            <w:r>
              <w:rPr>
                <w:rFonts w:hint="eastAsia" w:ascii="宋体" w:hAnsi="宋体" w:cs="宋体"/>
                <w:kern w:val="0"/>
                <w:szCs w:val="21"/>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206" w:type="dxa"/>
            <w:vAlign w:val="center"/>
          </w:tcPr>
          <w:p>
            <w:pPr>
              <w:snapToGrid w:val="0"/>
              <w:spacing w:line="300" w:lineRule="exact"/>
              <w:jc w:val="center"/>
              <w:rPr>
                <w:rFonts w:ascii="宋体" w:hAnsi="宋体" w:cs="宋体"/>
                <w:bCs/>
                <w:color w:val="auto"/>
                <w:szCs w:val="21"/>
                <w:highlight w:val="none"/>
              </w:rPr>
            </w:pPr>
            <w:r>
              <w:rPr>
                <w:rFonts w:hint="eastAsia" w:ascii="宋体" w:hAnsi="宋体" w:cs="宋体"/>
                <w:bCs/>
                <w:color w:val="auto"/>
                <w:szCs w:val="21"/>
                <w:highlight w:val="none"/>
              </w:rPr>
              <w:t>后期服务</w:t>
            </w:r>
          </w:p>
        </w:tc>
        <w:tc>
          <w:tcPr>
            <w:tcW w:w="745" w:type="dxa"/>
            <w:vAlign w:val="center"/>
          </w:tcPr>
          <w:p>
            <w:pPr>
              <w:snapToGrid w:val="0"/>
              <w:spacing w:line="300" w:lineRule="exact"/>
              <w:jc w:val="center"/>
              <w:rPr>
                <w:rFonts w:ascii="宋体" w:hAnsi="宋体" w:cs="宋体"/>
                <w:bCs/>
                <w:color w:val="auto"/>
                <w:szCs w:val="21"/>
                <w:highlight w:val="none"/>
              </w:rPr>
            </w:pPr>
            <w:r>
              <w:rPr>
                <w:rFonts w:hint="eastAsia" w:ascii="宋体" w:hAnsi="宋体" w:cs="宋体"/>
                <w:bCs/>
                <w:color w:val="auto"/>
                <w:szCs w:val="21"/>
                <w:highlight w:val="none"/>
              </w:rPr>
              <w:t>20分</w:t>
            </w:r>
          </w:p>
        </w:tc>
        <w:tc>
          <w:tcPr>
            <w:tcW w:w="1559" w:type="dxa"/>
            <w:vAlign w:val="center"/>
          </w:tcPr>
          <w:p>
            <w:pPr>
              <w:snapToGrid w:val="0"/>
              <w:spacing w:line="300" w:lineRule="exact"/>
              <w:jc w:val="center"/>
              <w:rPr>
                <w:rFonts w:ascii="宋体" w:hAnsi="宋体" w:cs="宋体"/>
                <w:bCs/>
                <w:color w:val="auto"/>
                <w:szCs w:val="21"/>
                <w:highlight w:val="none"/>
              </w:rPr>
            </w:pPr>
            <w:r>
              <w:rPr>
                <w:rFonts w:hint="eastAsia" w:ascii="宋体" w:hAnsi="宋体" w:cs="宋体"/>
                <w:bCs/>
                <w:color w:val="auto"/>
                <w:szCs w:val="21"/>
                <w:highlight w:val="none"/>
              </w:rPr>
              <w:t>后期服务承诺书</w:t>
            </w:r>
          </w:p>
        </w:tc>
        <w:tc>
          <w:tcPr>
            <w:tcW w:w="6270" w:type="dxa"/>
            <w:vAlign w:val="center"/>
          </w:tcPr>
          <w:p>
            <w:pPr>
              <w:tabs>
                <w:tab w:val="left" w:pos="-540"/>
                <w:tab w:val="left" w:pos="2880"/>
                <w:tab w:val="left" w:pos="3600"/>
                <w:tab w:val="left" w:pos="4320"/>
                <w:tab w:val="center" w:pos="4433"/>
              </w:tabs>
              <w:autoSpaceDE w:val="0"/>
              <w:autoSpaceDN w:val="0"/>
              <w:adjustRightInd w:val="0"/>
              <w:spacing w:line="3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为了后期更好的服务采购人并提供合理化设计方案，投标供应商在采购人现有需求的基础上提供合理化服务承诺：(20分)</w:t>
            </w:r>
          </w:p>
          <w:p>
            <w:pPr>
              <w:tabs>
                <w:tab w:val="left" w:pos="-540"/>
                <w:tab w:val="left" w:pos="2880"/>
                <w:tab w:val="left" w:pos="3600"/>
                <w:tab w:val="left" w:pos="4320"/>
                <w:tab w:val="center" w:pos="4433"/>
              </w:tabs>
              <w:autoSpaceDE w:val="0"/>
              <w:autoSpaceDN w:val="0"/>
              <w:adjustRightInd w:val="0"/>
              <w:spacing w:line="3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承诺书内容（包括但不限于）：</w:t>
            </w:r>
          </w:p>
          <w:p>
            <w:pPr>
              <w:tabs>
                <w:tab w:val="left" w:pos="-540"/>
                <w:tab w:val="left" w:pos="2880"/>
                <w:tab w:val="left" w:pos="3600"/>
                <w:tab w:val="left" w:pos="4320"/>
                <w:tab w:val="center" w:pos="4433"/>
              </w:tabs>
              <w:autoSpaceDE w:val="0"/>
              <w:autoSpaceDN w:val="0"/>
              <w:adjustRightInd w:val="0"/>
              <w:spacing w:line="3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1、设计实施期间的跟踪协作；</w:t>
            </w:r>
          </w:p>
          <w:p>
            <w:pPr>
              <w:tabs>
                <w:tab w:val="left" w:pos="-540"/>
                <w:tab w:val="left" w:pos="2880"/>
                <w:tab w:val="left" w:pos="3600"/>
                <w:tab w:val="left" w:pos="4320"/>
                <w:tab w:val="center" w:pos="4433"/>
              </w:tabs>
              <w:autoSpaceDE w:val="0"/>
              <w:autoSpaceDN w:val="0"/>
              <w:adjustRightInd w:val="0"/>
              <w:spacing w:line="3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2、设计编制过程中服务；</w:t>
            </w:r>
          </w:p>
          <w:p>
            <w:pPr>
              <w:tabs>
                <w:tab w:val="left" w:pos="-540"/>
                <w:tab w:val="left" w:pos="2880"/>
                <w:tab w:val="left" w:pos="3600"/>
                <w:tab w:val="left" w:pos="4320"/>
                <w:tab w:val="center" w:pos="4433"/>
              </w:tabs>
              <w:autoSpaceDE w:val="0"/>
              <w:autoSpaceDN w:val="0"/>
              <w:adjustRightInd w:val="0"/>
              <w:spacing w:line="3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3、现场协调服务；</w:t>
            </w:r>
          </w:p>
          <w:p>
            <w:pPr>
              <w:tabs>
                <w:tab w:val="left" w:pos="-540"/>
                <w:tab w:val="left" w:pos="2880"/>
                <w:tab w:val="left" w:pos="3600"/>
                <w:tab w:val="left" w:pos="4320"/>
                <w:tab w:val="center" w:pos="4433"/>
              </w:tabs>
              <w:autoSpaceDE w:val="0"/>
              <w:autoSpaceDN w:val="0"/>
              <w:adjustRightInd w:val="0"/>
              <w:spacing w:line="3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4、设计工作的全过程服务；</w:t>
            </w:r>
          </w:p>
          <w:p>
            <w:pPr>
              <w:tabs>
                <w:tab w:val="left" w:pos="-540"/>
                <w:tab w:val="left" w:pos="2880"/>
                <w:tab w:val="left" w:pos="3600"/>
                <w:tab w:val="left" w:pos="4320"/>
                <w:tab w:val="center" w:pos="4433"/>
              </w:tabs>
              <w:autoSpaceDE w:val="0"/>
              <w:autoSpaceDN w:val="0"/>
              <w:adjustRightInd w:val="0"/>
              <w:spacing w:line="3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5、后期进一步优化设计方案的服务。</w:t>
            </w:r>
          </w:p>
          <w:p>
            <w:pPr>
              <w:tabs>
                <w:tab w:val="left" w:pos="-540"/>
                <w:tab w:val="left" w:pos="2880"/>
                <w:tab w:val="left" w:pos="3600"/>
                <w:tab w:val="left" w:pos="4320"/>
                <w:tab w:val="center" w:pos="4433"/>
              </w:tabs>
              <w:autoSpaceDE w:val="0"/>
              <w:autoSpaceDN w:val="0"/>
              <w:adjustRightInd w:val="0"/>
              <w:spacing w:line="3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承诺内容全面完整、有明确有针对性、切实服务采购人实际情况的，得20分；</w:t>
            </w:r>
          </w:p>
          <w:p>
            <w:pPr>
              <w:pStyle w:val="2"/>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承诺内容缺失3条（含3条）以下的，或承诺内容基本符合采购人实际情况的，得8分，</w:t>
            </w:r>
          </w:p>
          <w:p>
            <w:pPr>
              <w:pStyle w:val="2"/>
              <w:ind w:firstLine="420" w:firstLineChars="200"/>
              <w:rPr>
                <w:color w:val="auto"/>
                <w:highlight w:val="none"/>
              </w:rPr>
            </w:pPr>
            <w:r>
              <w:rPr>
                <w:rFonts w:hint="eastAsia" w:ascii="宋体" w:hAnsi="宋体" w:eastAsia="宋体" w:cs="宋体"/>
                <w:color w:val="auto"/>
                <w:sz w:val="21"/>
                <w:szCs w:val="21"/>
                <w:highlight w:val="none"/>
              </w:rPr>
              <w:t>承诺内容缺失3条（不含3条）以上的，或承诺内容完全不符合采购人实际情况的或未提供承诺的，本项不得分。</w:t>
            </w:r>
          </w:p>
        </w:tc>
      </w:tr>
    </w:tbl>
    <w:p>
      <w:pP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br w:type="page"/>
      </w:r>
    </w:p>
    <w:p>
      <w:pPr>
        <w:pStyle w:val="23"/>
        <w:ind w:left="3360"/>
      </w:pPr>
    </w:p>
    <w:p>
      <w:pPr>
        <w:spacing w:line="360" w:lineRule="auto"/>
        <w:jc w:val="center"/>
        <w:outlineLvl w:val="0"/>
        <w:rPr>
          <w:rFonts w:ascii="宋体" w:hAnsi="宋体" w:cs="宋体"/>
          <w:b/>
          <w:color w:val="000000"/>
          <w:sz w:val="28"/>
          <w:szCs w:val="28"/>
        </w:rPr>
      </w:pPr>
      <w:r>
        <w:rPr>
          <w:rFonts w:hint="eastAsia" w:ascii="宋体" w:hAnsi="宋体" w:cs="宋体"/>
          <w:b/>
          <w:color w:val="000000"/>
          <w:sz w:val="28"/>
          <w:szCs w:val="28"/>
        </w:rPr>
        <w:t>第五章  投标（响应）文件格式</w:t>
      </w:r>
      <w:bookmarkEnd w:id="206"/>
    </w:p>
    <w:p>
      <w:pPr>
        <w:pStyle w:val="11"/>
        <w:spacing w:line="480" w:lineRule="auto"/>
        <w:rPr>
          <w:rFonts w:ascii="宋体" w:hAnsi="宋体" w:eastAsia="宋体"/>
          <w:color w:val="000000"/>
        </w:rPr>
      </w:pPr>
    </w:p>
    <w:p>
      <w:pPr>
        <w:pStyle w:val="12"/>
        <w:spacing w:line="480" w:lineRule="auto"/>
        <w:outlineLvl w:val="9"/>
        <w:rPr>
          <w:rFonts w:ascii="宋体" w:eastAsia="宋体"/>
          <w:color w:val="000000"/>
        </w:rPr>
      </w:pPr>
    </w:p>
    <w:p>
      <w:pPr>
        <w:spacing w:line="1200" w:lineRule="exact"/>
        <w:jc w:val="center"/>
        <w:rPr>
          <w:rFonts w:ascii="宋体" w:hAnsi="宋体" w:cs="宋体"/>
          <w:b/>
          <w:color w:val="000000"/>
          <w:sz w:val="72"/>
          <w:szCs w:val="72"/>
        </w:rPr>
      </w:pPr>
      <w:r>
        <w:rPr>
          <w:rFonts w:hint="eastAsia" w:ascii="宋体" w:hAnsi="宋体" w:cs="宋体"/>
          <w:b/>
          <w:color w:val="000000"/>
          <w:sz w:val="72"/>
          <w:szCs w:val="72"/>
        </w:rPr>
        <w:t>响 应 文 件</w:t>
      </w:r>
    </w:p>
    <w:p>
      <w:pPr>
        <w:spacing w:line="1200" w:lineRule="exact"/>
        <w:jc w:val="center"/>
        <w:rPr>
          <w:rFonts w:ascii="宋体" w:hAnsi="宋体" w:cs="宋体"/>
          <w:b/>
          <w:color w:val="000000"/>
          <w:sz w:val="44"/>
          <w:szCs w:val="44"/>
        </w:rPr>
      </w:pPr>
      <w:r>
        <w:rPr>
          <w:rFonts w:hint="eastAsia" w:ascii="宋体" w:hAnsi="宋体" w:cs="宋体"/>
          <w:b/>
          <w:color w:val="000000"/>
          <w:sz w:val="44"/>
          <w:szCs w:val="44"/>
        </w:rPr>
        <w:t>（竞争性磋商）</w:t>
      </w:r>
    </w:p>
    <w:p>
      <w:pPr>
        <w:pStyle w:val="12"/>
        <w:spacing w:line="480" w:lineRule="auto"/>
        <w:outlineLvl w:val="9"/>
        <w:rPr>
          <w:rFonts w:ascii="宋体" w:eastAsia="宋体"/>
          <w:color w:val="000000"/>
        </w:rPr>
      </w:pPr>
    </w:p>
    <w:p>
      <w:pPr>
        <w:spacing w:line="480" w:lineRule="auto"/>
        <w:jc w:val="center"/>
        <w:rPr>
          <w:rFonts w:ascii="宋体" w:hAnsi="宋体" w:cs="宋体"/>
          <w:color w:val="000000"/>
          <w:sz w:val="36"/>
          <w:szCs w:val="36"/>
        </w:rPr>
      </w:pPr>
      <w:r>
        <w:rPr>
          <w:rFonts w:hint="eastAsia" w:ascii="宋体" w:hAnsi="宋体" w:cs="宋体"/>
          <w:color w:val="000000"/>
          <w:sz w:val="36"/>
          <w:szCs w:val="36"/>
        </w:rPr>
        <w:t>（正本/副本）</w:t>
      </w:r>
    </w:p>
    <w:p>
      <w:pPr>
        <w:spacing w:line="480" w:lineRule="auto"/>
        <w:jc w:val="center"/>
        <w:rPr>
          <w:rFonts w:ascii="宋体" w:hAnsi="宋体" w:cs="宋体"/>
          <w:color w:val="000000"/>
          <w:sz w:val="44"/>
          <w:szCs w:val="44"/>
        </w:rPr>
      </w:pPr>
    </w:p>
    <w:p>
      <w:pPr>
        <w:pStyle w:val="14"/>
        <w:spacing w:line="480" w:lineRule="auto"/>
      </w:pPr>
    </w:p>
    <w:p>
      <w:pPr>
        <w:pStyle w:val="11"/>
        <w:spacing w:line="480" w:lineRule="auto"/>
        <w:rPr>
          <w:rFonts w:ascii="宋体" w:hAnsi="宋体" w:eastAsia="宋体"/>
          <w:color w:val="000000"/>
        </w:rPr>
      </w:pPr>
    </w:p>
    <w:p>
      <w:pPr>
        <w:spacing w:line="480" w:lineRule="auto"/>
        <w:rPr>
          <w:rFonts w:ascii="宋体" w:hAnsi="宋体"/>
          <w:color w:val="000000"/>
        </w:rPr>
      </w:pPr>
    </w:p>
    <w:p>
      <w:pPr>
        <w:spacing w:line="480" w:lineRule="auto"/>
        <w:ind w:firstLine="1204" w:firstLineChars="300"/>
        <w:rPr>
          <w:rFonts w:ascii="宋体" w:hAnsi="宋体" w:cs="宋体"/>
          <w:b/>
          <w:color w:val="000000"/>
          <w:sz w:val="30"/>
          <w:szCs w:val="30"/>
        </w:rPr>
      </w:pPr>
      <w:r>
        <w:rPr>
          <w:rFonts w:hint="eastAsia" w:ascii="宋体" w:hAnsi="宋体" w:cs="宋体"/>
          <w:b/>
          <w:color w:val="000000"/>
          <w:spacing w:val="50"/>
          <w:kern w:val="0"/>
          <w:sz w:val="30"/>
          <w:szCs w:val="30"/>
        </w:rPr>
        <w:t>项目名</w:t>
      </w:r>
      <w:r>
        <w:rPr>
          <w:rFonts w:hint="eastAsia" w:ascii="宋体" w:hAnsi="宋体" w:cs="宋体"/>
          <w:b/>
          <w:color w:val="000000"/>
          <w:spacing w:val="2"/>
          <w:kern w:val="0"/>
          <w:sz w:val="30"/>
          <w:szCs w:val="30"/>
        </w:rPr>
        <w:t>称</w:t>
      </w:r>
      <w:r>
        <w:rPr>
          <w:rFonts w:hint="eastAsia" w:ascii="宋体" w:hAnsi="宋体" w:cs="宋体"/>
          <w:b/>
          <w:color w:val="000000"/>
          <w:sz w:val="30"/>
          <w:szCs w:val="30"/>
        </w:rPr>
        <w:t>：</w:t>
      </w:r>
    </w:p>
    <w:p>
      <w:pPr>
        <w:spacing w:line="480" w:lineRule="auto"/>
        <w:ind w:firstLine="1204" w:firstLineChars="300"/>
        <w:rPr>
          <w:rFonts w:ascii="宋体" w:hAnsi="宋体" w:cs="宋体"/>
          <w:b/>
          <w:color w:val="000000"/>
          <w:sz w:val="30"/>
          <w:szCs w:val="30"/>
          <w:u w:val="single"/>
        </w:rPr>
      </w:pPr>
      <w:r>
        <w:rPr>
          <w:rFonts w:hint="eastAsia" w:ascii="宋体" w:hAnsi="宋体" w:cs="宋体"/>
          <w:b/>
          <w:color w:val="000000"/>
          <w:spacing w:val="50"/>
          <w:kern w:val="0"/>
          <w:sz w:val="30"/>
          <w:szCs w:val="30"/>
          <w:fitText w:val="1505" w:id="1"/>
        </w:rPr>
        <w:t>项目编</w:t>
      </w:r>
      <w:r>
        <w:rPr>
          <w:rFonts w:hint="eastAsia" w:ascii="宋体" w:hAnsi="宋体" w:cs="宋体"/>
          <w:b/>
          <w:color w:val="000000"/>
          <w:spacing w:val="2"/>
          <w:kern w:val="0"/>
          <w:sz w:val="30"/>
          <w:szCs w:val="30"/>
          <w:fitText w:val="1505" w:id="1"/>
        </w:rPr>
        <w:t>号</w:t>
      </w:r>
      <w:r>
        <w:rPr>
          <w:rFonts w:hint="eastAsia" w:ascii="宋体" w:hAnsi="宋体" w:cs="宋体"/>
          <w:b/>
          <w:color w:val="000000"/>
          <w:sz w:val="30"/>
          <w:szCs w:val="30"/>
        </w:rPr>
        <w:t>：</w:t>
      </w:r>
    </w:p>
    <w:p>
      <w:pPr>
        <w:spacing w:line="480" w:lineRule="auto"/>
        <w:ind w:firstLine="1205" w:firstLineChars="400"/>
        <w:rPr>
          <w:rFonts w:ascii="宋体" w:hAnsi="宋体" w:cs="宋体"/>
          <w:b/>
          <w:color w:val="000000"/>
          <w:sz w:val="30"/>
          <w:szCs w:val="30"/>
        </w:rPr>
      </w:pPr>
      <w:r>
        <w:rPr>
          <w:rFonts w:hint="eastAsia" w:ascii="宋体" w:hAnsi="宋体" w:cs="宋体"/>
          <w:b/>
          <w:color w:val="000000"/>
          <w:spacing w:val="0"/>
          <w:kern w:val="0"/>
          <w:sz w:val="30"/>
          <w:szCs w:val="30"/>
          <w:fitText w:val="1505" w:id="2"/>
        </w:rPr>
        <w:t>供应商名称</w:t>
      </w:r>
      <w:r>
        <w:rPr>
          <w:rFonts w:hint="eastAsia" w:ascii="宋体" w:hAnsi="宋体" w:cs="宋体"/>
          <w:b/>
          <w:color w:val="000000"/>
          <w:sz w:val="30"/>
          <w:szCs w:val="30"/>
        </w:rPr>
        <w:t xml:space="preserve"> ：</w:t>
      </w:r>
    </w:p>
    <w:p>
      <w:pPr>
        <w:spacing w:line="480" w:lineRule="auto"/>
        <w:ind w:firstLine="1205" w:firstLineChars="100"/>
        <w:rPr>
          <w:rFonts w:ascii="宋体" w:hAnsi="宋体" w:cs="宋体"/>
          <w:b/>
          <w:color w:val="000000"/>
          <w:sz w:val="30"/>
          <w:szCs w:val="30"/>
        </w:rPr>
      </w:pPr>
      <w:r>
        <w:rPr>
          <w:rFonts w:hint="eastAsia" w:ascii="宋体" w:hAnsi="宋体" w:cs="宋体"/>
          <w:b/>
          <w:color w:val="000000"/>
          <w:spacing w:val="452"/>
          <w:kern w:val="0"/>
          <w:sz w:val="30"/>
          <w:szCs w:val="30"/>
          <w:fitText w:val="1505" w:id="3"/>
        </w:rPr>
        <w:t>日</w:t>
      </w:r>
      <w:r>
        <w:rPr>
          <w:rFonts w:hint="eastAsia" w:ascii="宋体" w:hAnsi="宋体" w:cs="宋体"/>
          <w:b/>
          <w:color w:val="000000"/>
          <w:spacing w:val="0"/>
          <w:kern w:val="0"/>
          <w:sz w:val="30"/>
          <w:szCs w:val="30"/>
          <w:fitText w:val="1505" w:id="3"/>
        </w:rPr>
        <w:t>期</w:t>
      </w:r>
      <w:r>
        <w:rPr>
          <w:rFonts w:hint="eastAsia" w:ascii="宋体" w:hAnsi="宋体" w:cs="宋体"/>
          <w:b/>
          <w:color w:val="000000"/>
          <w:sz w:val="30"/>
          <w:szCs w:val="30"/>
        </w:rPr>
        <w:t xml:space="preserve"> ：</w:t>
      </w:r>
    </w:p>
    <w:p>
      <w:pPr>
        <w:spacing w:line="480" w:lineRule="auto"/>
        <w:jc w:val="center"/>
        <w:rPr>
          <w:rFonts w:ascii="宋体" w:hAnsi="宋体" w:cs="宋体"/>
          <w:b/>
          <w:color w:val="000000"/>
          <w:sz w:val="28"/>
          <w:szCs w:val="28"/>
        </w:rPr>
      </w:pPr>
    </w:p>
    <w:p>
      <w:pPr>
        <w:pStyle w:val="12"/>
        <w:outlineLvl w:val="9"/>
        <w:rPr>
          <w:rFonts w:ascii="宋体" w:eastAsia="宋体"/>
          <w:color w:val="000000"/>
        </w:rPr>
      </w:pPr>
    </w:p>
    <w:p>
      <w:pPr>
        <w:pStyle w:val="14"/>
      </w:pPr>
    </w:p>
    <w:p>
      <w:pPr>
        <w:pStyle w:val="11"/>
        <w:spacing w:line="240" w:lineRule="exact"/>
        <w:rPr>
          <w:rFonts w:ascii="宋体" w:hAnsi="宋体" w:cs="宋体"/>
          <w:b/>
          <w:color w:val="000000"/>
          <w:szCs w:val="28"/>
        </w:rPr>
      </w:pPr>
    </w:p>
    <w:p>
      <w:pPr>
        <w:spacing w:line="480" w:lineRule="auto"/>
        <w:jc w:val="center"/>
        <w:rPr>
          <w:rFonts w:ascii="宋体" w:hAnsi="宋体" w:cs="宋体"/>
          <w:b/>
          <w:color w:val="000000"/>
          <w:sz w:val="36"/>
          <w:szCs w:val="21"/>
        </w:rPr>
      </w:pPr>
    </w:p>
    <w:p>
      <w:pPr>
        <w:spacing w:line="480" w:lineRule="auto"/>
        <w:rPr>
          <w:rFonts w:ascii="宋体" w:hAnsi="宋体" w:cs="宋体"/>
          <w:b/>
          <w:color w:val="000000"/>
          <w:sz w:val="36"/>
          <w:szCs w:val="21"/>
        </w:rPr>
      </w:pPr>
      <w:bookmarkStart w:id="207" w:name="_Toc122338102"/>
    </w:p>
    <w:p>
      <w:pPr>
        <w:spacing w:line="480" w:lineRule="auto"/>
        <w:jc w:val="center"/>
        <w:rPr>
          <w:rFonts w:ascii="宋体" w:hAnsi="宋体" w:cs="宋体"/>
          <w:b/>
          <w:color w:val="000000"/>
          <w:sz w:val="36"/>
          <w:szCs w:val="21"/>
        </w:rPr>
      </w:pPr>
    </w:p>
    <w:p>
      <w:pPr>
        <w:spacing w:line="480" w:lineRule="auto"/>
        <w:jc w:val="center"/>
        <w:outlineLvl w:val="1"/>
        <w:rPr>
          <w:rFonts w:ascii="宋体" w:hAnsi="宋体" w:cs="宋体"/>
          <w:b/>
          <w:color w:val="000000"/>
          <w:sz w:val="36"/>
          <w:szCs w:val="21"/>
        </w:rPr>
      </w:pPr>
      <w:r>
        <w:rPr>
          <w:rFonts w:hint="eastAsia" w:ascii="宋体" w:hAnsi="宋体" w:cs="宋体"/>
          <w:b/>
          <w:color w:val="000000"/>
          <w:sz w:val="36"/>
          <w:szCs w:val="21"/>
        </w:rPr>
        <w:t>投标（响应）文件目录</w:t>
      </w:r>
      <w:bookmarkEnd w:id="207"/>
    </w:p>
    <w:p>
      <w:pPr>
        <w:pStyle w:val="11"/>
        <w:spacing w:line="240" w:lineRule="exact"/>
        <w:rPr>
          <w:rFonts w:ascii="宋体" w:hAnsi="宋体" w:cs="宋体"/>
          <w:b/>
          <w:bCs/>
          <w:color w:val="000000"/>
          <w:szCs w:val="28"/>
        </w:rPr>
      </w:pPr>
    </w:p>
    <w:tbl>
      <w:tblPr>
        <w:tblStyle w:val="30"/>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3"/>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63" w:type="dxa"/>
            <w:noWrap/>
            <w:vAlign w:val="center"/>
          </w:tcPr>
          <w:p>
            <w:pPr>
              <w:spacing w:line="480" w:lineRule="auto"/>
              <w:jc w:val="center"/>
              <w:rPr>
                <w:rFonts w:ascii="宋体" w:hAnsi="宋体" w:cs="宋体"/>
                <w:b/>
                <w:color w:val="000000"/>
                <w:sz w:val="24"/>
              </w:rPr>
            </w:pPr>
            <w:r>
              <w:rPr>
                <w:rFonts w:hint="eastAsia" w:ascii="宋体" w:hAnsi="宋体" w:cs="宋体"/>
                <w:b/>
                <w:color w:val="000000"/>
                <w:sz w:val="24"/>
              </w:rPr>
              <w:t>目录名称</w:t>
            </w:r>
          </w:p>
        </w:tc>
        <w:tc>
          <w:tcPr>
            <w:tcW w:w="1574" w:type="dxa"/>
            <w:noWrap/>
            <w:vAlign w:val="center"/>
          </w:tcPr>
          <w:p>
            <w:pPr>
              <w:spacing w:line="480" w:lineRule="auto"/>
              <w:jc w:val="center"/>
              <w:rPr>
                <w:rFonts w:ascii="宋体" w:hAnsi="宋体" w:cs="宋体"/>
                <w:b/>
                <w:color w:val="000000"/>
                <w:sz w:val="24"/>
              </w:rPr>
            </w:pPr>
            <w:r>
              <w:rPr>
                <w:rFonts w:hint="eastAsia" w:ascii="宋体" w:hAnsi="宋体" w:cs="宋体"/>
                <w:b/>
                <w:color w:val="000000"/>
                <w:sz w:val="24"/>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一、报价一览表(报价表) （格式）</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二、供应商的资格证明文件</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三、法定代表人授权委托书（格式）</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四、投标（响应）书（格式）</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五、盐城市政府采购事前信用承诺书（格式）</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六、商务条款偏离表（格式）</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七、技术规格（采购需求）偏离表（格式）</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八、投标（响应）文件的其它内容</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63" w:type="dxa"/>
            <w:noWrap/>
            <w:vAlign w:val="center"/>
          </w:tcPr>
          <w:p>
            <w:pPr>
              <w:spacing w:line="480" w:lineRule="auto"/>
              <w:jc w:val="center"/>
              <w:rPr>
                <w:b/>
                <w:i/>
                <w:color w:val="000000"/>
                <w:u w:val="single"/>
              </w:rPr>
            </w:pPr>
            <w:r>
              <w:rPr>
                <w:rFonts w:hint="eastAsia" w:ascii="宋体" w:hAnsi="宋体"/>
                <w:b/>
                <w:i/>
                <w:color w:val="000000"/>
                <w:u w:val="single"/>
              </w:rPr>
              <w:t>供应商可以编辑详细的目录（建议提供</w:t>
            </w:r>
            <w:r>
              <w:rPr>
                <w:rFonts w:hint="eastAsia"/>
                <w:b/>
                <w:i/>
                <w:color w:val="000000"/>
                <w:u w:val="single"/>
              </w:rPr>
              <w:t>《评分索引表》）</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63" w:type="dxa"/>
            <w:noWrap/>
            <w:vAlign w:val="center"/>
          </w:tcPr>
          <w:p>
            <w:pPr>
              <w:spacing w:line="480" w:lineRule="auto"/>
              <w:jc w:val="center"/>
              <w:rPr>
                <w:rFonts w:ascii="宋体" w:hAnsi="宋体" w:cs="宋体"/>
                <w:color w:val="000000"/>
                <w:sz w:val="24"/>
              </w:rPr>
            </w:pPr>
            <w:r>
              <w:rPr>
                <w:rFonts w:hint="eastAsia" w:ascii="宋体" w:hAnsi="宋体"/>
                <w:i/>
                <w:color w:val="000000"/>
                <w:szCs w:val="21"/>
                <w:u w:val="single"/>
              </w:rPr>
              <w:t>行数不够，可按本表格式自行添加</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537" w:type="dxa"/>
            <w:gridSpan w:val="2"/>
            <w:noWrap/>
            <w:vAlign w:val="center"/>
          </w:tcPr>
          <w:p>
            <w:pPr>
              <w:spacing w:line="480" w:lineRule="auto"/>
              <w:jc w:val="center"/>
              <w:rPr>
                <w:b/>
                <w:color w:val="000000"/>
                <w:szCs w:val="21"/>
              </w:rPr>
            </w:pPr>
            <w:r>
              <w:rPr>
                <w:rFonts w:hint="eastAsia"/>
                <w:b/>
                <w:color w:val="000000"/>
                <w:szCs w:val="21"/>
              </w:rPr>
              <w:t>特别说明</w:t>
            </w:r>
          </w:p>
          <w:p>
            <w:pPr>
              <w:spacing w:line="276" w:lineRule="auto"/>
              <w:ind w:firstLine="422" w:firstLineChars="200"/>
              <w:rPr>
                <w:rFonts w:ascii="宋体" w:hAnsi="宋体"/>
                <w:b/>
                <w:color w:val="000000"/>
                <w:szCs w:val="21"/>
              </w:rPr>
            </w:pPr>
            <w:r>
              <w:rPr>
                <w:rFonts w:hint="eastAsia" w:ascii="宋体" w:hAnsi="宋体"/>
                <w:b/>
                <w:color w:val="000000"/>
                <w:szCs w:val="21"/>
              </w:rPr>
              <w:t>1、★本目录（含页码）是专家评审的重要依据，请供应商准确（完整）填写。如供应商未能准确（完整）填写的，所引起的后果由供应商自负。</w:t>
            </w:r>
          </w:p>
          <w:p>
            <w:pPr>
              <w:spacing w:line="276" w:lineRule="auto"/>
              <w:ind w:firstLine="422" w:firstLineChars="200"/>
              <w:jc w:val="left"/>
              <w:rPr>
                <w:rFonts w:ascii="宋体" w:hAnsi="宋体"/>
                <w:color w:val="000000"/>
              </w:rPr>
            </w:pPr>
            <w:r>
              <w:rPr>
                <w:rFonts w:hint="eastAsia" w:ascii="宋体" w:hAnsi="宋体"/>
                <w:b/>
                <w:color w:val="000000"/>
                <w:szCs w:val="21"/>
              </w:rPr>
              <w:t>2、供应商可以根据自身需要编辑详细的响应文件目录（如：《评分索引表》等供应商认为重要的内容）。</w:t>
            </w:r>
            <w:r>
              <w:rPr>
                <w:rFonts w:hint="eastAsia" w:ascii="宋体" w:hAnsi="宋体"/>
                <w:color w:val="000000"/>
                <w:szCs w:val="21"/>
              </w:rPr>
              <w:t>供应商的响应文件目录应当遵循格式规范、便于查找获得的原则（以便评审人员评审）。</w:t>
            </w:r>
          </w:p>
        </w:tc>
      </w:tr>
    </w:tbl>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pStyle w:val="14"/>
        <w:ind w:firstLine="0"/>
      </w:pPr>
    </w:p>
    <w:p>
      <w:pPr>
        <w:rPr>
          <w:color w:val="000000"/>
        </w:rPr>
      </w:pPr>
    </w:p>
    <w:p>
      <w:pPr>
        <w:spacing w:line="552" w:lineRule="auto"/>
        <w:jc w:val="center"/>
        <w:rPr>
          <w:rFonts w:ascii="宋体" w:hAnsi="宋体" w:cs="宋体"/>
          <w:b/>
          <w:bCs/>
          <w:color w:val="000000"/>
          <w:sz w:val="28"/>
          <w:szCs w:val="28"/>
        </w:rPr>
      </w:pPr>
    </w:p>
    <w:p>
      <w:pPr>
        <w:spacing w:line="552" w:lineRule="auto"/>
        <w:jc w:val="center"/>
        <w:rPr>
          <w:rFonts w:ascii="宋体" w:hAnsi="宋体" w:cs="宋体"/>
          <w:b/>
          <w:bCs/>
          <w:color w:val="000000"/>
          <w:sz w:val="28"/>
          <w:szCs w:val="28"/>
        </w:rPr>
      </w:pPr>
      <w:bookmarkStart w:id="208" w:name="_Toc122338103"/>
    </w:p>
    <w:p>
      <w:pPr>
        <w:spacing w:line="552" w:lineRule="auto"/>
        <w:jc w:val="center"/>
        <w:rPr>
          <w:rFonts w:ascii="宋体" w:hAnsi="宋体" w:cs="宋体"/>
          <w:b/>
          <w:bCs/>
          <w:color w:val="000000"/>
          <w:sz w:val="28"/>
          <w:szCs w:val="28"/>
        </w:rPr>
      </w:pPr>
    </w:p>
    <w:p>
      <w:pPr>
        <w:spacing w:line="552" w:lineRule="auto"/>
        <w:jc w:val="center"/>
        <w:outlineLvl w:val="1"/>
        <w:rPr>
          <w:rFonts w:ascii="宋体" w:hAnsi="宋体" w:cs="宋体"/>
          <w:b/>
          <w:bCs/>
          <w:color w:val="000000"/>
          <w:sz w:val="28"/>
          <w:szCs w:val="28"/>
        </w:rPr>
      </w:pPr>
      <w:r>
        <w:rPr>
          <w:rFonts w:hint="eastAsia" w:ascii="宋体" w:hAnsi="宋体" w:cs="宋体"/>
          <w:b/>
          <w:bCs/>
          <w:color w:val="000000"/>
          <w:sz w:val="28"/>
          <w:szCs w:val="28"/>
        </w:rPr>
        <w:t>一、报价一览表(报价表)（格式）</w:t>
      </w:r>
      <w:bookmarkEnd w:id="208"/>
    </w:p>
    <w:tbl>
      <w:tblPr>
        <w:tblStyle w:val="30"/>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2"/>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spacing w:line="552" w:lineRule="auto"/>
              <w:jc w:val="center"/>
              <w:rPr>
                <w:rFonts w:ascii="宋体" w:hAnsi="宋体" w:cs="宋体"/>
                <w:b/>
                <w:color w:val="000000"/>
                <w:sz w:val="24"/>
              </w:rPr>
            </w:pPr>
            <w:r>
              <w:rPr>
                <w:rFonts w:hint="eastAsia" w:ascii="宋体" w:hAnsi="宋体" w:cs="宋体"/>
                <w:b/>
                <w:color w:val="000000"/>
                <w:sz w:val="24"/>
              </w:rPr>
              <w:t>项目编号</w:t>
            </w:r>
          </w:p>
        </w:tc>
        <w:tc>
          <w:tcPr>
            <w:tcW w:w="5253" w:type="dxa"/>
            <w:tcBorders>
              <w:top w:val="single" w:color="auto" w:sz="4" w:space="0"/>
              <w:left w:val="single" w:color="auto" w:sz="4" w:space="0"/>
              <w:bottom w:val="single" w:color="auto" w:sz="4" w:space="0"/>
              <w:right w:val="single" w:color="auto" w:sz="4" w:space="0"/>
            </w:tcBorders>
            <w:noWrap/>
            <w:vAlign w:val="center"/>
          </w:tcPr>
          <w:p>
            <w:pPr>
              <w:spacing w:line="552"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spacing w:line="552" w:lineRule="auto"/>
              <w:jc w:val="center"/>
              <w:rPr>
                <w:rFonts w:ascii="宋体" w:hAnsi="宋体" w:cs="宋体"/>
                <w:b/>
                <w:color w:val="000000"/>
                <w:sz w:val="24"/>
              </w:rPr>
            </w:pPr>
            <w:r>
              <w:rPr>
                <w:rFonts w:hint="eastAsia" w:ascii="宋体" w:hAnsi="宋体" w:cs="宋体"/>
                <w:b/>
                <w:color w:val="000000"/>
                <w:sz w:val="24"/>
              </w:rPr>
              <w:t>项目名称</w:t>
            </w:r>
          </w:p>
        </w:tc>
        <w:tc>
          <w:tcPr>
            <w:tcW w:w="5253" w:type="dxa"/>
            <w:tcBorders>
              <w:top w:val="single" w:color="auto" w:sz="4" w:space="0"/>
              <w:left w:val="single" w:color="auto" w:sz="4" w:space="0"/>
              <w:bottom w:val="single" w:color="auto" w:sz="4" w:space="0"/>
              <w:right w:val="single" w:color="auto" w:sz="4" w:space="0"/>
            </w:tcBorders>
            <w:noWrap/>
            <w:vAlign w:val="center"/>
          </w:tcPr>
          <w:p>
            <w:pPr>
              <w:spacing w:line="552"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spacing w:line="552" w:lineRule="auto"/>
              <w:jc w:val="center"/>
              <w:rPr>
                <w:rFonts w:ascii="宋体" w:hAnsi="宋体" w:cs="宋体"/>
                <w:b/>
                <w:color w:val="000000"/>
                <w:sz w:val="24"/>
              </w:rPr>
            </w:pPr>
            <w:r>
              <w:rPr>
                <w:rFonts w:hint="eastAsia" w:ascii="宋体" w:hAnsi="宋体" w:cs="宋体"/>
                <w:b/>
                <w:color w:val="000000"/>
                <w:sz w:val="24"/>
              </w:rPr>
              <w:t>采购包号</w:t>
            </w:r>
          </w:p>
        </w:tc>
        <w:tc>
          <w:tcPr>
            <w:tcW w:w="5253" w:type="dxa"/>
            <w:tcBorders>
              <w:top w:val="single" w:color="auto" w:sz="4" w:space="0"/>
              <w:left w:val="single" w:color="auto" w:sz="4" w:space="0"/>
              <w:bottom w:val="single" w:color="auto" w:sz="4" w:space="0"/>
              <w:right w:val="single" w:color="auto" w:sz="4" w:space="0"/>
            </w:tcBorders>
            <w:noWrap/>
            <w:vAlign w:val="center"/>
          </w:tcPr>
          <w:p>
            <w:pPr>
              <w:spacing w:line="552"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jc w:val="center"/>
        </w:trPr>
        <w:tc>
          <w:tcPr>
            <w:tcW w:w="3132" w:type="dxa"/>
            <w:tcBorders>
              <w:top w:val="single" w:color="auto" w:sz="4" w:space="0"/>
              <w:left w:val="single" w:color="auto" w:sz="4" w:space="0"/>
              <w:right w:val="single" w:color="auto" w:sz="4" w:space="0"/>
            </w:tcBorders>
            <w:noWrap/>
            <w:vAlign w:val="center"/>
          </w:tcPr>
          <w:p>
            <w:pPr>
              <w:spacing w:line="552" w:lineRule="auto"/>
              <w:jc w:val="center"/>
              <w:rPr>
                <w:rFonts w:ascii="宋体" w:hAnsi="宋体" w:cs="宋体"/>
                <w:b/>
                <w:color w:val="000000"/>
                <w:sz w:val="24"/>
              </w:rPr>
            </w:pPr>
            <w:r>
              <w:rPr>
                <w:rFonts w:hint="eastAsia" w:ascii="宋体" w:hAnsi="宋体" w:cs="宋体"/>
                <w:b/>
                <w:color w:val="000000"/>
                <w:sz w:val="24"/>
              </w:rPr>
              <w:t>投标价格</w:t>
            </w:r>
          </w:p>
          <w:p>
            <w:pPr>
              <w:spacing w:line="552" w:lineRule="auto"/>
              <w:jc w:val="center"/>
              <w:rPr>
                <w:rFonts w:ascii="宋体" w:hAnsi="宋体" w:cs="宋体"/>
                <w:b/>
                <w:color w:val="000000"/>
                <w:sz w:val="24"/>
              </w:rPr>
            </w:pPr>
            <w:r>
              <w:rPr>
                <w:rFonts w:hint="eastAsia" w:ascii="宋体" w:hAnsi="宋体" w:cs="宋体"/>
                <w:b/>
                <w:color w:val="000000"/>
                <w:sz w:val="24"/>
              </w:rPr>
              <w:t>（投标费率）</w:t>
            </w:r>
          </w:p>
        </w:tc>
        <w:tc>
          <w:tcPr>
            <w:tcW w:w="5253" w:type="dxa"/>
            <w:tcBorders>
              <w:top w:val="single" w:color="auto" w:sz="4" w:space="0"/>
              <w:left w:val="single" w:color="auto" w:sz="4" w:space="0"/>
              <w:right w:val="single" w:color="auto" w:sz="4" w:space="0"/>
            </w:tcBorders>
            <w:noWrap/>
            <w:vAlign w:val="center"/>
          </w:tcPr>
          <w:p>
            <w:pPr>
              <w:spacing w:line="552" w:lineRule="auto"/>
              <w:rPr>
                <w:rFonts w:ascii="宋体" w:hAnsi="宋体" w:cs="宋体"/>
                <w:color w:val="000000"/>
                <w:sz w:val="24"/>
                <w:u w:val="single"/>
              </w:rPr>
            </w:pPr>
            <w:r>
              <w:rPr>
                <w:rFonts w:hint="eastAsia" w:ascii="宋体" w:hAnsi="宋体" w:cs="宋体"/>
                <w:color w:val="000000"/>
                <w:sz w:val="24"/>
                <w:u w:val="single"/>
              </w:rPr>
              <w:t>大写：                 %</w:t>
            </w:r>
          </w:p>
          <w:p>
            <w:pPr>
              <w:spacing w:line="552" w:lineRule="auto"/>
              <w:rPr>
                <w:rFonts w:ascii="宋体" w:hAnsi="宋体" w:cs="宋体"/>
                <w:color w:val="000000"/>
                <w:sz w:val="24"/>
                <w:u w:val="single"/>
              </w:rPr>
            </w:pPr>
            <w:r>
              <w:rPr>
                <w:rFonts w:hint="eastAsia" w:ascii="宋体" w:hAnsi="宋体" w:cs="宋体"/>
                <w:color w:val="000000"/>
                <w:sz w:val="24"/>
                <w:u w:val="single"/>
              </w:rPr>
              <w:t>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spacing w:line="552" w:lineRule="auto"/>
              <w:jc w:val="center"/>
              <w:rPr>
                <w:rFonts w:ascii="宋体" w:hAnsi="宋体"/>
                <w:b/>
                <w:color w:val="000000"/>
                <w:sz w:val="24"/>
              </w:rPr>
            </w:pPr>
            <w:r>
              <w:rPr>
                <w:rFonts w:hint="eastAsia" w:ascii="宋体" w:hAnsi="宋体"/>
                <w:b/>
                <w:color w:val="000000"/>
                <w:sz w:val="24"/>
              </w:rPr>
              <w:t>产品（服务）质量标准</w:t>
            </w:r>
          </w:p>
        </w:tc>
        <w:tc>
          <w:tcPr>
            <w:tcW w:w="5253" w:type="dxa"/>
            <w:tcBorders>
              <w:top w:val="single" w:color="auto" w:sz="4" w:space="0"/>
              <w:left w:val="single" w:color="auto" w:sz="4" w:space="0"/>
              <w:bottom w:val="single" w:color="auto" w:sz="4" w:space="0"/>
              <w:right w:val="single" w:color="auto" w:sz="4" w:space="0"/>
            </w:tcBorders>
            <w:noWrap/>
            <w:vAlign w:val="center"/>
          </w:tcPr>
          <w:p>
            <w:pPr>
              <w:spacing w:line="552" w:lineRule="auto"/>
              <w:rPr>
                <w:rFonts w:ascii="宋体" w:hAnsi="宋体"/>
                <w:color w:val="000000"/>
                <w:sz w:val="24"/>
              </w:rPr>
            </w:pPr>
            <w:r>
              <w:rPr>
                <w:rFonts w:hint="eastAsia" w:ascii="宋体" w:hAnsi="宋体"/>
                <w:color w:val="000000"/>
                <w:sz w:val="24"/>
                <w:u w:val="single"/>
              </w:rPr>
              <w:t>合格（符合国家强制标准</w:t>
            </w:r>
            <w:r>
              <w:rPr>
                <w:rFonts w:hint="eastAsia"/>
                <w:color w:val="000000"/>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spacing w:line="552" w:lineRule="auto"/>
              <w:jc w:val="center"/>
              <w:rPr>
                <w:b/>
                <w:color w:val="FF0000"/>
                <w:sz w:val="24"/>
                <w:highlight w:val="yellow"/>
              </w:rPr>
            </w:pPr>
            <w:r>
              <w:rPr>
                <w:rFonts w:hint="eastAsia" w:ascii="宋体" w:hAnsi="宋体"/>
                <w:b/>
                <w:color w:val="000000"/>
                <w:sz w:val="24"/>
              </w:rPr>
              <w:t>项目负责人</w:t>
            </w:r>
          </w:p>
        </w:tc>
        <w:tc>
          <w:tcPr>
            <w:tcW w:w="5253" w:type="dxa"/>
            <w:tcBorders>
              <w:top w:val="single" w:color="auto" w:sz="4" w:space="0"/>
              <w:left w:val="single" w:color="auto" w:sz="4" w:space="0"/>
              <w:bottom w:val="single" w:color="auto" w:sz="4" w:space="0"/>
              <w:right w:val="single" w:color="auto" w:sz="4" w:space="0"/>
            </w:tcBorders>
            <w:noWrap/>
            <w:vAlign w:val="center"/>
          </w:tcPr>
          <w:p>
            <w:pPr>
              <w:spacing w:line="552" w:lineRule="auto"/>
              <w:jc w:val="left"/>
              <w:rPr>
                <w:color w:val="FF000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spacing w:line="552" w:lineRule="auto"/>
              <w:jc w:val="center"/>
              <w:rPr>
                <w:b/>
                <w:color w:val="000000"/>
                <w:sz w:val="24"/>
              </w:rPr>
            </w:pPr>
            <w:r>
              <w:rPr>
                <w:rFonts w:hint="eastAsia"/>
                <w:b/>
                <w:color w:val="000000"/>
                <w:sz w:val="24"/>
              </w:rPr>
              <w:t>交付或者实施的地点</w:t>
            </w:r>
          </w:p>
        </w:tc>
        <w:tc>
          <w:tcPr>
            <w:tcW w:w="5253" w:type="dxa"/>
            <w:tcBorders>
              <w:top w:val="single" w:color="auto" w:sz="4" w:space="0"/>
              <w:left w:val="single" w:color="auto" w:sz="4" w:space="0"/>
              <w:bottom w:val="single" w:color="auto" w:sz="4" w:space="0"/>
              <w:right w:val="single" w:color="auto" w:sz="4" w:space="0"/>
            </w:tcBorders>
            <w:noWrap/>
            <w:vAlign w:val="center"/>
          </w:tcPr>
          <w:p>
            <w:pPr>
              <w:spacing w:line="552" w:lineRule="auto"/>
              <w:jc w:val="left"/>
              <w:rPr>
                <w:color w:val="000000"/>
                <w:sz w:val="24"/>
              </w:rPr>
            </w:pPr>
            <w:r>
              <w:rPr>
                <w:rFonts w:hint="eastAsia"/>
                <w:color w:val="000000"/>
                <w:sz w:val="24"/>
              </w:rPr>
              <w:t>江苏盐城（具体地点以采购人另行通知的为准）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widowControl/>
              <w:spacing w:line="552" w:lineRule="auto"/>
              <w:jc w:val="center"/>
              <w:rPr>
                <w:rFonts w:ascii="宋体" w:hAnsi="宋体" w:cs="宋体"/>
                <w:b/>
                <w:color w:val="000000"/>
                <w:kern w:val="0"/>
                <w:sz w:val="24"/>
              </w:rPr>
            </w:pPr>
            <w:r>
              <w:rPr>
                <w:rFonts w:hint="eastAsia" w:ascii="宋体" w:hAnsi="宋体" w:cs="宋体"/>
                <w:b/>
                <w:color w:val="000000"/>
                <w:kern w:val="0"/>
                <w:sz w:val="24"/>
              </w:rPr>
              <w:t>投标有效期</w:t>
            </w:r>
          </w:p>
        </w:tc>
        <w:tc>
          <w:tcPr>
            <w:tcW w:w="5253" w:type="dxa"/>
            <w:tcBorders>
              <w:top w:val="single" w:color="auto" w:sz="4" w:space="0"/>
              <w:left w:val="single" w:color="auto" w:sz="4" w:space="0"/>
              <w:bottom w:val="single" w:color="auto" w:sz="4" w:space="0"/>
              <w:right w:val="single" w:color="auto" w:sz="4" w:space="0"/>
            </w:tcBorders>
            <w:noWrap/>
            <w:vAlign w:val="center"/>
          </w:tcPr>
          <w:p>
            <w:pPr>
              <w:widowControl/>
              <w:spacing w:line="552" w:lineRule="auto"/>
              <w:jc w:val="left"/>
              <w:rPr>
                <w:rFonts w:ascii="宋体" w:hAnsi="宋体"/>
                <w:color w:val="000000"/>
                <w:sz w:val="24"/>
              </w:rPr>
            </w:pPr>
            <w:r>
              <w:rPr>
                <w:rFonts w:hint="eastAsia" w:hAnsi="宋体"/>
                <w:color w:val="000000"/>
                <w:sz w:val="24"/>
              </w:rPr>
              <w:t>提交响应文件截止之日起</w:t>
            </w:r>
            <w:r>
              <w:rPr>
                <w:rFonts w:hint="eastAsia" w:ascii="宋体" w:hAnsi="宋体"/>
                <w:color w:val="000000"/>
                <w:sz w:val="24"/>
                <w:u w:val="single"/>
              </w:rPr>
              <w:t>60个日历日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385" w:type="dxa"/>
            <w:gridSpan w:val="2"/>
            <w:tcBorders>
              <w:top w:val="single" w:color="auto" w:sz="4" w:space="0"/>
              <w:left w:val="single" w:color="auto" w:sz="4" w:space="0"/>
              <w:bottom w:val="single" w:color="auto" w:sz="4" w:space="0"/>
              <w:right w:val="single" w:color="auto" w:sz="4" w:space="0"/>
            </w:tcBorders>
            <w:noWrap/>
            <w:vAlign w:val="center"/>
          </w:tcPr>
          <w:p>
            <w:pPr>
              <w:pStyle w:val="17"/>
              <w:tabs>
                <w:tab w:val="left" w:pos="5580"/>
              </w:tabs>
              <w:spacing w:line="552" w:lineRule="auto"/>
              <w:ind w:firstLine="562"/>
              <w:jc w:val="left"/>
              <w:rPr>
                <w:rFonts w:hAnsi="宋体" w:cs="宋体"/>
                <w:b/>
                <w:color w:val="000000"/>
                <w:sz w:val="24"/>
                <w:szCs w:val="24"/>
              </w:rPr>
            </w:pPr>
            <w:r>
              <w:rPr>
                <w:rFonts w:hint="eastAsia" w:hAnsi="宋体" w:cs="宋体"/>
                <w:b/>
                <w:color w:val="000000"/>
                <w:sz w:val="24"/>
                <w:szCs w:val="24"/>
              </w:rPr>
              <w:t>投标供应商名称（单位公章）：</w:t>
            </w:r>
          </w:p>
          <w:p>
            <w:pPr>
              <w:pStyle w:val="17"/>
              <w:tabs>
                <w:tab w:val="left" w:pos="5580"/>
              </w:tabs>
              <w:spacing w:line="552" w:lineRule="auto"/>
              <w:ind w:firstLine="562"/>
              <w:jc w:val="left"/>
              <w:rPr>
                <w:rFonts w:hAnsi="宋体" w:cs="宋体"/>
                <w:b/>
                <w:color w:val="000000"/>
                <w:sz w:val="24"/>
                <w:szCs w:val="24"/>
                <w:u w:val="single"/>
              </w:rPr>
            </w:pPr>
            <w:r>
              <w:rPr>
                <w:rFonts w:hint="eastAsia" w:hAnsi="宋体" w:cs="宋体"/>
                <w:b/>
                <w:color w:val="000000"/>
                <w:sz w:val="24"/>
                <w:szCs w:val="24"/>
              </w:rPr>
              <w:t>法定代表人或其委托代理人(签字):</w:t>
            </w:r>
            <w:r>
              <w:rPr>
                <w:rFonts w:hint="eastAsia" w:hAnsi="宋体" w:cs="宋体"/>
                <w:b/>
                <w:color w:val="000000"/>
                <w:sz w:val="24"/>
                <w:szCs w:val="24"/>
                <w:u w:val="single"/>
              </w:rPr>
              <w:tab/>
            </w:r>
          </w:p>
          <w:p>
            <w:pPr>
              <w:spacing w:line="552" w:lineRule="auto"/>
              <w:ind w:firstLine="482" w:firstLineChars="200"/>
              <w:jc w:val="left"/>
              <w:rPr>
                <w:rFonts w:ascii="宋体" w:hAnsi="宋体" w:cs="宋体"/>
                <w:color w:val="000000"/>
                <w:sz w:val="24"/>
              </w:rPr>
            </w:pPr>
            <w:r>
              <w:rPr>
                <w:rFonts w:hint="eastAsia" w:ascii="宋体" w:hAnsi="宋体" w:cs="宋体"/>
                <w:b/>
                <w:color w:val="000000"/>
                <w:sz w:val="24"/>
              </w:rPr>
              <w:t>日    期：</w:t>
            </w:r>
            <w:r>
              <w:rPr>
                <w:rFonts w:hint="eastAsia" w:ascii="宋体" w:hAnsi="宋体" w:cs="宋体"/>
                <w:b/>
                <w:color w:val="000000"/>
                <w:sz w:val="24"/>
                <w:u w:val="singl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385" w:type="dxa"/>
            <w:gridSpan w:val="2"/>
            <w:tcBorders>
              <w:top w:val="single" w:color="auto" w:sz="4" w:space="0"/>
              <w:left w:val="single" w:color="auto" w:sz="4" w:space="0"/>
              <w:bottom w:val="single" w:color="auto" w:sz="4" w:space="0"/>
              <w:right w:val="single" w:color="auto" w:sz="4" w:space="0"/>
            </w:tcBorders>
            <w:noWrap/>
            <w:vAlign w:val="center"/>
          </w:tcPr>
          <w:p>
            <w:pPr>
              <w:spacing w:line="276" w:lineRule="auto"/>
              <w:ind w:firstLine="482" w:firstLineChars="200"/>
              <w:rPr>
                <w:rFonts w:ascii="宋体" w:hAnsi="宋体"/>
                <w:b/>
                <w:color w:val="000000"/>
                <w:sz w:val="24"/>
              </w:rPr>
            </w:pPr>
            <w:r>
              <w:rPr>
                <w:rFonts w:hint="eastAsia" w:ascii="宋体" w:hAnsi="宋体"/>
                <w:b/>
                <w:color w:val="000000"/>
                <w:sz w:val="24"/>
              </w:rPr>
              <w:t>注：如果报价一览表（报价表）内容与投标（响应）分项报价表内容不一致的，以报价一览表（报价表）内容为准。</w:t>
            </w:r>
          </w:p>
        </w:tc>
      </w:tr>
    </w:tbl>
    <w:p>
      <w:pPr>
        <w:rPr>
          <w:rFonts w:ascii="宋体" w:hAnsi="宋体"/>
          <w:color w:val="000000"/>
        </w:rPr>
      </w:pPr>
    </w:p>
    <w:p>
      <w:pPr>
        <w:pStyle w:val="11"/>
        <w:rPr>
          <w:color w:val="000000"/>
        </w:rPr>
      </w:pPr>
    </w:p>
    <w:p>
      <w:pPr>
        <w:pStyle w:val="12"/>
        <w:outlineLvl w:val="9"/>
        <w:rPr>
          <w:color w:val="000000"/>
        </w:rPr>
      </w:pPr>
    </w:p>
    <w:p>
      <w:pPr>
        <w:pStyle w:val="14"/>
      </w:pPr>
    </w:p>
    <w:p>
      <w:pPr>
        <w:rPr>
          <w:color w:val="000000"/>
        </w:rPr>
      </w:pPr>
    </w:p>
    <w:p>
      <w:pPr>
        <w:pStyle w:val="11"/>
        <w:rPr>
          <w:color w:val="000000"/>
        </w:rPr>
      </w:pPr>
    </w:p>
    <w:p>
      <w:pPr>
        <w:spacing w:line="360" w:lineRule="auto"/>
        <w:rPr>
          <w:rFonts w:ascii="宋体" w:hAnsi="宋体" w:cs="宋体"/>
          <w:b/>
          <w:color w:val="000000"/>
          <w:sz w:val="28"/>
          <w:szCs w:val="28"/>
        </w:rPr>
      </w:pPr>
      <w:bookmarkStart w:id="209" w:name="_Toc122338104"/>
    </w:p>
    <w:p>
      <w:pPr>
        <w:spacing w:line="360" w:lineRule="auto"/>
        <w:rPr>
          <w:rFonts w:ascii="宋体" w:hAnsi="宋体" w:cs="宋体"/>
          <w:b/>
          <w:color w:val="000000"/>
          <w:sz w:val="28"/>
          <w:szCs w:val="28"/>
        </w:rPr>
      </w:pPr>
    </w:p>
    <w:p>
      <w:pPr>
        <w:jc w:val="center"/>
        <w:outlineLvl w:val="1"/>
        <w:rPr>
          <w:rFonts w:ascii="宋体" w:hAnsi="宋体"/>
          <w:b/>
          <w:color w:val="000000"/>
          <w:sz w:val="28"/>
          <w:szCs w:val="28"/>
        </w:rPr>
      </w:pPr>
      <w:r>
        <w:rPr>
          <w:rFonts w:hint="eastAsia" w:ascii="宋体" w:hAnsi="宋体"/>
          <w:b/>
          <w:color w:val="000000"/>
          <w:sz w:val="28"/>
          <w:szCs w:val="28"/>
        </w:rPr>
        <w:t>二、供应商的资格证明文件</w:t>
      </w:r>
      <w:bookmarkEnd w:id="209"/>
    </w:p>
    <w:tbl>
      <w:tblPr>
        <w:tblStyle w:val="30"/>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6967"/>
        <w:gridCol w:w="950"/>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b/>
                <w:color w:val="000000"/>
                <w:sz w:val="18"/>
                <w:szCs w:val="18"/>
              </w:rPr>
            </w:pPr>
            <w:r>
              <w:rPr>
                <w:rFonts w:hint="eastAsia" w:ascii="宋体" w:hAnsi="宋体"/>
                <w:b/>
                <w:color w:val="000000"/>
                <w:sz w:val="18"/>
                <w:szCs w:val="18"/>
              </w:rPr>
              <w:t>序号</w:t>
            </w: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b/>
                <w:color w:val="000000"/>
                <w:sz w:val="18"/>
                <w:szCs w:val="18"/>
              </w:rPr>
            </w:pPr>
            <w:r>
              <w:rPr>
                <w:rFonts w:hint="eastAsia" w:ascii="宋体" w:hAnsi="宋体"/>
                <w:b/>
                <w:color w:val="000000"/>
                <w:sz w:val="18"/>
                <w:szCs w:val="18"/>
              </w:rPr>
              <w:t>资格证明文件</w:t>
            </w:r>
          </w:p>
        </w:tc>
        <w:tc>
          <w:tcPr>
            <w:tcW w:w="95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000000"/>
                <w:sz w:val="18"/>
                <w:szCs w:val="18"/>
              </w:rPr>
            </w:pPr>
            <w:r>
              <w:rPr>
                <w:rFonts w:hint="eastAsia" w:ascii="宋体" w:hAnsi="宋体"/>
                <w:b/>
                <w:color w:val="000000"/>
                <w:sz w:val="18"/>
                <w:szCs w:val="18"/>
              </w:rPr>
              <w:t>所在</w:t>
            </w:r>
          </w:p>
          <w:p>
            <w:pPr>
              <w:jc w:val="center"/>
              <w:rPr>
                <w:rFonts w:ascii="宋体" w:hAnsi="宋体"/>
                <w:b/>
                <w:color w:val="000000"/>
                <w:sz w:val="18"/>
                <w:szCs w:val="18"/>
              </w:rPr>
            </w:pPr>
            <w:r>
              <w:rPr>
                <w:rFonts w:hint="eastAsia" w:ascii="宋体" w:hAnsi="宋体"/>
                <w:b/>
                <w:color w:val="000000"/>
                <w:sz w:val="18"/>
                <w:szCs w:val="18"/>
              </w:rPr>
              <w:t>页码</w:t>
            </w: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b/>
                <w:color w:val="000000"/>
                <w:sz w:val="18"/>
                <w:szCs w:val="18"/>
              </w:rPr>
            </w:pPr>
            <w:r>
              <w:rPr>
                <w:rFonts w:hint="eastAsia" w:ascii="宋体" w:hAnsi="宋体"/>
                <w:b/>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762" w:type="dxa"/>
            <w:vMerge w:val="restart"/>
            <w:tcBorders>
              <w:top w:val="single" w:color="auto" w:sz="4" w:space="0"/>
              <w:left w:val="single" w:color="auto" w:sz="4" w:space="0"/>
              <w:right w:val="single" w:color="auto" w:sz="4" w:space="0"/>
            </w:tcBorders>
            <w:noWrap/>
            <w:vAlign w:val="center"/>
          </w:tcPr>
          <w:p>
            <w:pPr>
              <w:spacing w:line="380" w:lineRule="exact"/>
              <w:jc w:val="center"/>
              <w:rPr>
                <w:rFonts w:ascii="宋体" w:hAnsi="宋体"/>
                <w:color w:val="000000"/>
                <w:sz w:val="18"/>
                <w:szCs w:val="18"/>
              </w:rPr>
            </w:pPr>
            <w:r>
              <w:rPr>
                <w:rFonts w:hint="eastAsia" w:ascii="宋体" w:hAnsi="宋体"/>
                <w:b/>
                <w:color w:val="000000"/>
                <w:sz w:val="18"/>
                <w:szCs w:val="18"/>
              </w:rPr>
              <w:t>1</w:t>
            </w: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b/>
                <w:color w:val="000000"/>
                <w:sz w:val="18"/>
                <w:szCs w:val="18"/>
              </w:rPr>
            </w:pPr>
            <w:r>
              <w:rPr>
                <w:rFonts w:hint="eastAsia" w:ascii="宋体" w:hAnsi="宋体"/>
                <w:b/>
                <w:color w:val="000000"/>
                <w:sz w:val="18"/>
                <w:szCs w:val="18"/>
              </w:rPr>
              <w:t>满足《中华人民共和国政府采购法》第二十二条规定</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762" w:type="dxa"/>
            <w:vMerge w:val="continue"/>
            <w:tcBorders>
              <w:left w:val="single" w:color="auto" w:sz="4" w:space="0"/>
              <w:right w:val="single" w:color="auto" w:sz="4" w:space="0"/>
            </w:tcBorders>
            <w:noWrap/>
            <w:vAlign w:val="center"/>
          </w:tcPr>
          <w:p>
            <w:pPr>
              <w:spacing w:line="380" w:lineRule="exact"/>
              <w:jc w:val="center"/>
              <w:rPr>
                <w:rFonts w:ascii="宋体" w:hAnsi="宋体"/>
                <w:color w:val="000000"/>
                <w:sz w:val="18"/>
                <w:szCs w:val="18"/>
              </w:rPr>
            </w:pP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360" w:firstLineChars="200"/>
              <w:rPr>
                <w:rFonts w:ascii="宋体" w:hAnsi="宋体"/>
                <w:color w:val="000000"/>
                <w:sz w:val="18"/>
                <w:szCs w:val="18"/>
              </w:rPr>
            </w:pPr>
            <w:r>
              <w:rPr>
                <w:rFonts w:hint="eastAsia" w:ascii="宋体" w:hAnsi="宋体"/>
                <w:color w:val="000000"/>
                <w:sz w:val="18"/>
                <w:szCs w:val="18"/>
              </w:rPr>
              <w:t>（1.1）具有独立承担民事责任的能力</w:t>
            </w:r>
          </w:p>
          <w:p>
            <w:pPr>
              <w:spacing w:line="360" w:lineRule="auto"/>
              <w:ind w:firstLine="360" w:firstLineChars="200"/>
              <w:rPr>
                <w:rFonts w:ascii="宋体" w:hAnsi="宋体"/>
                <w:color w:val="000000"/>
                <w:sz w:val="18"/>
                <w:szCs w:val="18"/>
              </w:rPr>
            </w:pPr>
            <w:r>
              <w:rPr>
                <w:rFonts w:hint="eastAsia" w:ascii="宋体" w:hAnsi="宋体"/>
                <w:color w:val="000000"/>
                <w:sz w:val="18"/>
                <w:szCs w:val="18"/>
              </w:rPr>
              <w:t>（提供法人或者其他组织的营业执照，提供复印件加盖公章）</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right w:val="single" w:color="auto" w:sz="4" w:space="0"/>
            </w:tcBorders>
            <w:noWrap/>
            <w:vAlign w:val="center"/>
          </w:tcPr>
          <w:p>
            <w:pPr>
              <w:spacing w:line="380" w:lineRule="exact"/>
              <w:jc w:val="center"/>
              <w:rPr>
                <w:rFonts w:ascii="宋体" w:hAnsi="宋体"/>
                <w:color w:val="000000"/>
                <w:sz w:val="18"/>
                <w:szCs w:val="18"/>
              </w:rPr>
            </w:pP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360" w:firstLineChars="200"/>
              <w:rPr>
                <w:rFonts w:ascii="宋体" w:hAnsi="宋体"/>
                <w:b/>
                <w:color w:val="000000"/>
                <w:sz w:val="18"/>
                <w:szCs w:val="18"/>
              </w:rPr>
            </w:pPr>
            <w:r>
              <w:rPr>
                <w:rFonts w:hint="eastAsia" w:ascii="宋体" w:hAnsi="宋体"/>
                <w:color w:val="000000"/>
                <w:sz w:val="18"/>
                <w:szCs w:val="18"/>
              </w:rPr>
              <w:t>（1.2）</w:t>
            </w:r>
            <w:r>
              <w:rPr>
                <w:rFonts w:hint="eastAsia" w:ascii="宋体" w:hAnsi="宋体"/>
                <w:b/>
                <w:color w:val="000000"/>
                <w:sz w:val="18"/>
                <w:szCs w:val="18"/>
              </w:rPr>
              <w:t>具有良好的商业信誉和健全的财务会计制度</w:t>
            </w:r>
          </w:p>
          <w:p>
            <w:pPr>
              <w:spacing w:line="380" w:lineRule="exact"/>
              <w:ind w:firstLine="360" w:firstLineChars="200"/>
              <w:rPr>
                <w:rFonts w:ascii="宋体" w:hAnsi="宋体"/>
                <w:color w:val="000000"/>
                <w:sz w:val="18"/>
                <w:szCs w:val="18"/>
              </w:rPr>
            </w:pPr>
            <w:r>
              <w:rPr>
                <w:rFonts w:hint="eastAsia" w:ascii="宋体" w:hAnsi="宋体"/>
                <w:color w:val="000000"/>
                <w:sz w:val="18"/>
                <w:szCs w:val="18"/>
              </w:rPr>
              <w:t>提供财务状况报告证明材料（例：审计报告、银行对账单、银行资信证明等）</w:t>
            </w:r>
          </w:p>
          <w:p>
            <w:pPr>
              <w:spacing w:line="380" w:lineRule="exact"/>
              <w:ind w:firstLine="360" w:firstLineChars="200"/>
              <w:rPr>
                <w:rFonts w:ascii="宋体" w:hAnsi="宋体"/>
                <w:b/>
                <w:color w:val="000000"/>
                <w:sz w:val="18"/>
                <w:szCs w:val="18"/>
              </w:rPr>
            </w:pPr>
            <w:r>
              <w:rPr>
                <w:rFonts w:hint="eastAsia" w:ascii="宋体" w:hAnsi="宋体"/>
                <w:color w:val="000000"/>
                <w:sz w:val="18"/>
                <w:szCs w:val="18"/>
              </w:rPr>
              <w:t>说明：</w:t>
            </w:r>
          </w:p>
          <w:p>
            <w:pPr>
              <w:spacing w:line="380" w:lineRule="exact"/>
              <w:ind w:firstLine="360" w:firstLineChars="200"/>
              <w:rPr>
                <w:rFonts w:ascii="宋体" w:hAnsi="宋体"/>
                <w:b/>
                <w:color w:val="000000"/>
                <w:sz w:val="18"/>
                <w:szCs w:val="18"/>
              </w:rPr>
            </w:pPr>
            <w:r>
              <w:rPr>
                <w:rFonts w:hint="eastAsia" w:ascii="宋体" w:hAnsi="宋体"/>
                <w:color w:val="000000"/>
                <w:sz w:val="18"/>
                <w:szCs w:val="18"/>
              </w:rPr>
              <w:t>1.如是审计报告，须为本单位上年度（如投标截止时间为</w:t>
            </w:r>
            <w:r>
              <w:rPr>
                <w:rFonts w:ascii="宋体" w:hAnsi="宋体"/>
                <w:color w:val="000000"/>
                <w:sz w:val="18"/>
                <w:szCs w:val="18"/>
              </w:rPr>
              <w:t>1</w:t>
            </w:r>
            <w:r>
              <w:rPr>
                <w:rFonts w:hint="eastAsia" w:ascii="宋体" w:hAnsi="宋体"/>
                <w:color w:val="000000"/>
                <w:sz w:val="18"/>
                <w:szCs w:val="18"/>
              </w:rPr>
              <w:t>季度，可以提供前一年度）经会计师事务所出具的审计报告（须有会计师事务所的盖章）；</w:t>
            </w:r>
          </w:p>
          <w:p>
            <w:pPr>
              <w:spacing w:line="380" w:lineRule="exact"/>
              <w:ind w:firstLine="360" w:firstLineChars="200"/>
              <w:rPr>
                <w:rFonts w:ascii="宋体" w:hAnsi="宋体"/>
                <w:b/>
                <w:color w:val="000000"/>
                <w:sz w:val="18"/>
                <w:szCs w:val="18"/>
              </w:rPr>
            </w:pPr>
            <w:r>
              <w:rPr>
                <w:rFonts w:hint="eastAsia" w:ascii="宋体" w:hAnsi="宋体"/>
                <w:color w:val="000000"/>
                <w:sz w:val="18"/>
                <w:szCs w:val="18"/>
              </w:rPr>
              <w:t>2.如是银行对账单，须为近3个月来任意1个月的银行对账单（须银行盖章）；</w:t>
            </w:r>
          </w:p>
          <w:p>
            <w:pPr>
              <w:spacing w:line="360" w:lineRule="auto"/>
              <w:ind w:firstLine="360" w:firstLineChars="200"/>
              <w:rPr>
                <w:rFonts w:ascii="宋体" w:hAnsi="宋体"/>
                <w:color w:val="000000"/>
                <w:sz w:val="18"/>
                <w:szCs w:val="18"/>
              </w:rPr>
            </w:pPr>
            <w:r>
              <w:rPr>
                <w:rFonts w:hint="eastAsia" w:ascii="宋体" w:hAnsi="宋体"/>
                <w:color w:val="000000"/>
                <w:sz w:val="18"/>
                <w:szCs w:val="18"/>
              </w:rPr>
              <w:t>3.银行资信证明等相关证明如有有效期的，须保证其证明在有效期内。</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right w:val="single" w:color="auto" w:sz="4" w:space="0"/>
            </w:tcBorders>
            <w:noWrap/>
            <w:vAlign w:val="center"/>
          </w:tcPr>
          <w:p>
            <w:pPr>
              <w:spacing w:line="380" w:lineRule="exact"/>
              <w:jc w:val="center"/>
              <w:rPr>
                <w:rFonts w:ascii="宋体" w:hAnsi="宋体"/>
                <w:color w:val="000000"/>
                <w:sz w:val="18"/>
                <w:szCs w:val="18"/>
              </w:rPr>
            </w:pP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360" w:firstLineChars="200"/>
              <w:rPr>
                <w:rFonts w:ascii="宋体" w:hAnsi="宋体"/>
                <w:color w:val="000000"/>
                <w:sz w:val="18"/>
                <w:szCs w:val="18"/>
              </w:rPr>
            </w:pPr>
            <w:r>
              <w:rPr>
                <w:rFonts w:hint="eastAsia" w:ascii="宋体" w:hAnsi="宋体"/>
                <w:color w:val="000000"/>
                <w:sz w:val="18"/>
                <w:szCs w:val="18"/>
              </w:rPr>
              <w:t>（1.3）具有履行合同所必需的设备和专业技术能力（投标供应商根据履行采购项目合同需要，提供履行合同所必需的设备和专业技术能力的证明材料或者加盖投标供应商公章的承诺函）；</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right w:val="single" w:color="auto" w:sz="4" w:space="0"/>
            </w:tcBorders>
            <w:noWrap/>
            <w:vAlign w:val="center"/>
          </w:tcPr>
          <w:p>
            <w:pPr>
              <w:spacing w:line="380" w:lineRule="exact"/>
              <w:jc w:val="center"/>
              <w:rPr>
                <w:rFonts w:ascii="宋体" w:hAnsi="宋体"/>
                <w:color w:val="000000"/>
                <w:sz w:val="18"/>
                <w:szCs w:val="18"/>
              </w:rPr>
            </w:pP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360" w:firstLineChars="200"/>
              <w:rPr>
                <w:rFonts w:ascii="宋体" w:hAnsi="宋体"/>
                <w:color w:val="000000"/>
                <w:sz w:val="18"/>
                <w:szCs w:val="18"/>
              </w:rPr>
            </w:pPr>
            <w:r>
              <w:rPr>
                <w:rFonts w:hint="eastAsia" w:ascii="宋体" w:hAnsi="宋体"/>
                <w:color w:val="000000"/>
                <w:sz w:val="18"/>
                <w:szCs w:val="18"/>
              </w:rPr>
              <w:t>（1.4）有依法缴纳税收和社会保障资金的良好记录【提供参加本次政府采购活动投标截止时间前三个月以来任意一个月缴纳增值税，或营业税，或企业所得税的凭据；并提供缴纳社会保险的凭据（专用收据或社会保险缴纳清单）】</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right w:val="single" w:color="auto" w:sz="4" w:space="0"/>
            </w:tcBorders>
            <w:noWrap/>
            <w:vAlign w:val="center"/>
          </w:tcPr>
          <w:p>
            <w:pPr>
              <w:spacing w:line="380" w:lineRule="exact"/>
              <w:jc w:val="center"/>
              <w:rPr>
                <w:rFonts w:ascii="宋体" w:hAnsi="宋体"/>
                <w:color w:val="000000"/>
                <w:sz w:val="18"/>
                <w:szCs w:val="18"/>
              </w:rPr>
            </w:pP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360" w:firstLineChars="200"/>
              <w:rPr>
                <w:rFonts w:ascii="宋体" w:hAnsi="宋体"/>
                <w:color w:val="000000"/>
                <w:sz w:val="18"/>
                <w:szCs w:val="18"/>
              </w:rPr>
            </w:pPr>
            <w:r>
              <w:rPr>
                <w:rFonts w:hint="eastAsia" w:ascii="宋体" w:hAnsi="宋体"/>
                <w:color w:val="000000"/>
                <w:sz w:val="18"/>
                <w:szCs w:val="18"/>
              </w:rPr>
              <w:t>（1.5）参加政府采购活动前三年内，在经营活动中没有重大违法记录（提供承诺书）。</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bottom w:val="single" w:color="auto" w:sz="4" w:space="0"/>
              <w:right w:val="single" w:color="auto" w:sz="4" w:space="0"/>
            </w:tcBorders>
            <w:noWrap/>
            <w:vAlign w:val="center"/>
          </w:tcPr>
          <w:p>
            <w:pPr>
              <w:spacing w:line="380" w:lineRule="exact"/>
              <w:jc w:val="center"/>
              <w:rPr>
                <w:rFonts w:ascii="宋体" w:hAnsi="宋体"/>
                <w:color w:val="000000"/>
                <w:sz w:val="18"/>
                <w:szCs w:val="18"/>
              </w:rPr>
            </w:pP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361" w:firstLineChars="200"/>
              <w:rPr>
                <w:rFonts w:ascii="宋体" w:hAnsi="宋体"/>
                <w:b/>
                <w:color w:val="000000"/>
                <w:sz w:val="18"/>
                <w:szCs w:val="18"/>
              </w:rPr>
            </w:pPr>
            <w:r>
              <w:rPr>
                <w:rFonts w:hint="eastAsia" w:ascii="宋体" w:hAnsi="宋体"/>
                <w:b/>
                <w:color w:val="000000"/>
                <w:sz w:val="18"/>
                <w:szCs w:val="18"/>
              </w:rPr>
              <w:t>（1.6）法律、行政法规规定的其他条件</w:t>
            </w:r>
          </w:p>
          <w:p>
            <w:pPr>
              <w:spacing w:line="360" w:lineRule="auto"/>
              <w:ind w:firstLine="360" w:firstLineChars="200"/>
              <w:rPr>
                <w:rFonts w:ascii="宋体" w:hAnsi="宋体"/>
                <w:color w:val="000000"/>
                <w:sz w:val="18"/>
                <w:szCs w:val="18"/>
              </w:rPr>
            </w:pPr>
            <w:r>
              <w:rPr>
                <w:rFonts w:hint="eastAsia" w:ascii="宋体" w:hAnsi="宋体"/>
                <w:color w:val="000000"/>
                <w:sz w:val="18"/>
                <w:szCs w:val="18"/>
              </w:rPr>
              <w:t>提供</w:t>
            </w:r>
            <w:r>
              <w:rPr>
                <w:rFonts w:ascii="宋体" w:hAnsi="宋体"/>
                <w:color w:val="000000"/>
                <w:sz w:val="18"/>
                <w:szCs w:val="18"/>
              </w:rPr>
              <w:t>具备法律、行政法规规定的其他条件的证明材料</w:t>
            </w:r>
            <w:r>
              <w:rPr>
                <w:rFonts w:hint="eastAsia" w:ascii="宋体" w:hAnsi="宋体"/>
                <w:color w:val="000000"/>
                <w:sz w:val="18"/>
                <w:szCs w:val="18"/>
              </w:rPr>
              <w:t>（按照采购公告的要求提供）</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b/>
                <w:color w:val="000000"/>
                <w:sz w:val="18"/>
                <w:szCs w:val="18"/>
              </w:rPr>
            </w:pPr>
            <w:r>
              <w:rPr>
                <w:rFonts w:hint="eastAsia" w:ascii="宋体" w:hAnsi="宋体"/>
                <w:b/>
                <w:color w:val="000000"/>
                <w:sz w:val="18"/>
                <w:szCs w:val="18"/>
              </w:rPr>
              <w:t>2</w:t>
            </w: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b/>
                <w:color w:val="000000"/>
                <w:sz w:val="18"/>
                <w:szCs w:val="18"/>
              </w:rPr>
            </w:pPr>
            <w:r>
              <w:rPr>
                <w:rFonts w:hint="eastAsia" w:ascii="宋体" w:hAnsi="宋体"/>
                <w:b/>
                <w:color w:val="000000"/>
                <w:sz w:val="18"/>
                <w:szCs w:val="18"/>
              </w:rPr>
              <w:t>落实政府采购政策需满足的资格要求（按照采购公告的要求提供）</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b/>
                <w:color w:val="000000"/>
                <w:sz w:val="18"/>
                <w:szCs w:val="18"/>
              </w:rPr>
            </w:pPr>
            <w:r>
              <w:rPr>
                <w:rFonts w:hint="eastAsia" w:ascii="宋体" w:hAnsi="宋体"/>
                <w:b/>
                <w:color w:val="000000"/>
                <w:sz w:val="18"/>
                <w:szCs w:val="18"/>
              </w:rPr>
              <w:t>3</w:t>
            </w: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b/>
                <w:color w:val="000000"/>
                <w:sz w:val="18"/>
                <w:szCs w:val="18"/>
              </w:rPr>
            </w:pPr>
            <w:r>
              <w:rPr>
                <w:rFonts w:hint="eastAsia" w:ascii="宋体" w:hAnsi="宋体"/>
                <w:b/>
                <w:color w:val="000000"/>
                <w:sz w:val="18"/>
                <w:szCs w:val="18"/>
              </w:rPr>
              <w:t>本项目的特定资格要求（按照采购公告的要求提供）</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b/>
                <w:color w:val="000000"/>
                <w:sz w:val="18"/>
                <w:szCs w:val="18"/>
              </w:rPr>
            </w:pP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36" w:lineRule="auto"/>
              <w:ind w:firstLine="361" w:firstLineChars="200"/>
              <w:rPr>
                <w:rFonts w:ascii="宋体" w:hAnsi="宋体"/>
                <w:b/>
                <w:color w:val="000000"/>
                <w:sz w:val="18"/>
                <w:szCs w:val="18"/>
              </w:rPr>
            </w:pP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color w:val="000000"/>
                <w:sz w:val="18"/>
                <w:szCs w:val="18"/>
              </w:rPr>
            </w:pP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i/>
                <w:color w:val="000000"/>
                <w:sz w:val="18"/>
                <w:szCs w:val="18"/>
                <w:u w:val="single"/>
              </w:rPr>
            </w:pPr>
            <w:r>
              <w:rPr>
                <w:rFonts w:hint="eastAsia" w:ascii="宋体" w:hAnsi="宋体"/>
                <w:i/>
                <w:color w:val="000000"/>
                <w:sz w:val="18"/>
                <w:szCs w:val="18"/>
                <w:u w:val="single"/>
              </w:rPr>
              <w:t>行数不够，可按本表格式自行添加</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9460" w:type="dxa"/>
            <w:gridSpan w:val="4"/>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olor w:val="000000"/>
                <w:sz w:val="18"/>
                <w:szCs w:val="18"/>
              </w:rPr>
            </w:pPr>
            <w:r>
              <w:rPr>
                <w:rFonts w:hint="eastAsia" w:ascii="宋体" w:hAnsi="宋体"/>
                <w:color w:val="000000"/>
                <w:sz w:val="18"/>
                <w:szCs w:val="18"/>
              </w:rPr>
              <w:t>特别提醒：</w:t>
            </w:r>
          </w:p>
          <w:p>
            <w:pPr>
              <w:spacing w:line="360" w:lineRule="auto"/>
              <w:ind w:firstLine="361" w:firstLineChars="200"/>
              <w:rPr>
                <w:rFonts w:ascii="宋体" w:hAnsi="宋体"/>
                <w:color w:val="000000"/>
                <w:sz w:val="18"/>
                <w:szCs w:val="18"/>
              </w:rPr>
            </w:pPr>
            <w:r>
              <w:rPr>
                <w:rFonts w:hint="eastAsia" w:ascii="宋体" w:hAnsi="宋体"/>
                <w:b/>
                <w:color w:val="000000"/>
                <w:sz w:val="18"/>
                <w:szCs w:val="18"/>
                <w:u w:val="single"/>
              </w:rPr>
              <w:t>1.如无特殊说明，提供复印件即可</w:t>
            </w:r>
            <w:r>
              <w:rPr>
                <w:rFonts w:hint="eastAsia" w:ascii="宋体" w:hAnsi="宋体"/>
                <w:b/>
                <w:color w:val="000000"/>
                <w:sz w:val="18"/>
                <w:szCs w:val="18"/>
              </w:rPr>
              <w:t>，</w:t>
            </w:r>
            <w:r>
              <w:rPr>
                <w:rFonts w:hint="eastAsia" w:ascii="宋体" w:hAnsi="宋体"/>
                <w:color w:val="000000"/>
                <w:sz w:val="18"/>
                <w:szCs w:val="18"/>
              </w:rPr>
              <w:t>复印件上请加盖本单位章。</w:t>
            </w:r>
          </w:p>
          <w:p>
            <w:pPr>
              <w:spacing w:line="360" w:lineRule="auto"/>
              <w:ind w:firstLine="360" w:firstLineChars="200"/>
              <w:rPr>
                <w:rFonts w:ascii="宋体" w:hAnsi="宋体"/>
                <w:color w:val="000000"/>
                <w:sz w:val="18"/>
                <w:szCs w:val="18"/>
              </w:rPr>
            </w:pPr>
            <w:r>
              <w:rPr>
                <w:rFonts w:hint="eastAsia" w:ascii="宋体" w:hAnsi="宋体"/>
                <w:color w:val="000000"/>
                <w:sz w:val="18"/>
                <w:szCs w:val="18"/>
              </w:rPr>
              <w:t>2.如供应商资格证明文件提供为原件的，视为一次性证明材料（如：社保证明原件），恕不退回。</w:t>
            </w:r>
          </w:p>
        </w:tc>
      </w:tr>
    </w:tbl>
    <w:p>
      <w:pPr>
        <w:spacing w:line="276" w:lineRule="auto"/>
        <w:jc w:val="left"/>
        <w:rPr>
          <w:b/>
          <w:color w:val="000000"/>
        </w:rPr>
      </w:pPr>
    </w:p>
    <w:p>
      <w:pPr>
        <w:spacing w:line="276" w:lineRule="auto"/>
        <w:jc w:val="left"/>
        <w:rPr>
          <w:b/>
          <w:color w:val="000000"/>
        </w:rPr>
      </w:pPr>
    </w:p>
    <w:p>
      <w:pPr>
        <w:spacing w:line="276" w:lineRule="auto"/>
        <w:jc w:val="left"/>
        <w:rPr>
          <w:b/>
          <w:color w:val="000000"/>
        </w:rPr>
      </w:pPr>
    </w:p>
    <w:p>
      <w:pPr>
        <w:spacing w:line="276" w:lineRule="auto"/>
        <w:jc w:val="left"/>
        <w:rPr>
          <w:b/>
          <w:color w:val="000000"/>
        </w:rPr>
      </w:pPr>
      <w:r>
        <w:rPr>
          <w:rFonts w:hint="eastAsia"/>
          <w:b/>
          <w:color w:val="000000"/>
        </w:rPr>
        <w:t>一、满足《中华人民共和国政府采购法》第二十二条规定</w:t>
      </w:r>
    </w:p>
    <w:p>
      <w:pPr>
        <w:spacing w:line="276" w:lineRule="auto"/>
        <w:ind w:firstLine="422" w:firstLineChars="200"/>
        <w:rPr>
          <w:rFonts w:ascii="宋体" w:hAnsi="宋体"/>
          <w:color w:val="000000"/>
          <w:szCs w:val="21"/>
        </w:rPr>
      </w:pPr>
      <w:r>
        <w:rPr>
          <w:rFonts w:hint="eastAsia" w:ascii="宋体" w:hAnsi="宋体"/>
          <w:b/>
          <w:color w:val="000000"/>
          <w:szCs w:val="21"/>
        </w:rPr>
        <w:t xml:space="preserve">1.1 </w:t>
      </w:r>
      <w:r>
        <w:rPr>
          <w:rFonts w:hint="eastAsia" w:ascii="宋体" w:hAnsi="宋体"/>
          <w:color w:val="000000"/>
          <w:szCs w:val="21"/>
        </w:rPr>
        <w:t>具有独立承担民事责任的能力；</w:t>
      </w:r>
    </w:p>
    <w:p>
      <w:pPr>
        <w:pStyle w:val="11"/>
      </w:pPr>
    </w:p>
    <w:p>
      <w:pPr>
        <w:spacing w:line="276" w:lineRule="auto"/>
        <w:ind w:firstLine="422" w:firstLineChars="200"/>
        <w:rPr>
          <w:rFonts w:ascii="宋体" w:hAnsi="宋体"/>
          <w:color w:val="000000"/>
          <w:szCs w:val="21"/>
        </w:rPr>
      </w:pPr>
      <w:r>
        <w:rPr>
          <w:rFonts w:hint="eastAsia" w:ascii="宋体" w:hAnsi="宋体"/>
          <w:b/>
          <w:color w:val="000000"/>
          <w:szCs w:val="21"/>
        </w:rPr>
        <w:t>1.</w:t>
      </w:r>
      <w:r>
        <w:rPr>
          <w:rFonts w:ascii="宋体" w:hAnsi="宋体"/>
          <w:b/>
          <w:color w:val="000000"/>
          <w:szCs w:val="21"/>
        </w:rPr>
        <w:t>2</w:t>
      </w:r>
      <w:r>
        <w:rPr>
          <w:rFonts w:hint="eastAsia" w:ascii="宋体" w:hAnsi="宋体"/>
          <w:color w:val="000000"/>
          <w:szCs w:val="21"/>
        </w:rPr>
        <w:t>具有良好的商业信誉和健全的财务会计制度；</w:t>
      </w:r>
    </w:p>
    <w:p>
      <w:pPr>
        <w:pStyle w:val="11"/>
      </w:pPr>
    </w:p>
    <w:p>
      <w:pPr>
        <w:spacing w:line="276" w:lineRule="auto"/>
        <w:ind w:firstLine="422" w:firstLineChars="200"/>
        <w:rPr>
          <w:rFonts w:ascii="宋体" w:hAnsi="宋体"/>
          <w:color w:val="000000"/>
          <w:szCs w:val="21"/>
        </w:rPr>
      </w:pPr>
      <w:r>
        <w:rPr>
          <w:rFonts w:hint="eastAsia" w:ascii="宋体" w:hAnsi="宋体"/>
          <w:b/>
          <w:color w:val="000000"/>
          <w:szCs w:val="21"/>
        </w:rPr>
        <w:t>1.</w:t>
      </w:r>
      <w:r>
        <w:rPr>
          <w:rFonts w:ascii="宋体" w:hAnsi="宋体"/>
          <w:b/>
          <w:color w:val="000000"/>
          <w:szCs w:val="21"/>
        </w:rPr>
        <w:t>3</w:t>
      </w:r>
      <w:r>
        <w:rPr>
          <w:rFonts w:hint="eastAsia" w:ascii="宋体" w:hAnsi="宋体"/>
          <w:color w:val="000000"/>
          <w:szCs w:val="21"/>
        </w:rPr>
        <w:t>有履行合同所必需的设备和专业技术能力；</w:t>
      </w:r>
    </w:p>
    <w:p>
      <w:pPr>
        <w:pStyle w:val="11"/>
      </w:pPr>
    </w:p>
    <w:p>
      <w:pPr>
        <w:spacing w:line="276" w:lineRule="auto"/>
        <w:ind w:firstLine="422" w:firstLineChars="200"/>
        <w:rPr>
          <w:rFonts w:ascii="宋体" w:hAnsi="宋体"/>
          <w:color w:val="000000"/>
          <w:szCs w:val="21"/>
        </w:rPr>
      </w:pPr>
      <w:r>
        <w:rPr>
          <w:rFonts w:hint="eastAsia" w:ascii="宋体" w:hAnsi="宋体"/>
          <w:b/>
          <w:color w:val="000000"/>
          <w:szCs w:val="21"/>
        </w:rPr>
        <w:t>1.</w:t>
      </w:r>
      <w:r>
        <w:rPr>
          <w:rFonts w:ascii="宋体" w:hAnsi="宋体"/>
          <w:b/>
          <w:color w:val="000000"/>
          <w:szCs w:val="21"/>
        </w:rPr>
        <w:t>4</w:t>
      </w:r>
      <w:r>
        <w:rPr>
          <w:rFonts w:hint="eastAsia" w:ascii="宋体" w:hAnsi="宋体"/>
          <w:color w:val="000000"/>
          <w:szCs w:val="21"/>
        </w:rPr>
        <w:t>有依法缴纳税收和社会保障资金的良好记录；</w:t>
      </w:r>
    </w:p>
    <w:p>
      <w:pPr>
        <w:pStyle w:val="11"/>
      </w:pPr>
    </w:p>
    <w:p>
      <w:pPr>
        <w:spacing w:line="276" w:lineRule="auto"/>
        <w:ind w:firstLine="422" w:firstLineChars="200"/>
        <w:rPr>
          <w:rFonts w:ascii="宋体" w:hAnsi="宋体"/>
          <w:b/>
          <w:color w:val="000000"/>
        </w:rPr>
      </w:pPr>
      <w:r>
        <w:rPr>
          <w:rFonts w:hint="eastAsia" w:ascii="宋体" w:hAnsi="宋体"/>
          <w:b/>
          <w:color w:val="000000"/>
          <w:szCs w:val="21"/>
        </w:rPr>
        <w:t>1.</w:t>
      </w:r>
      <w:r>
        <w:rPr>
          <w:rFonts w:ascii="宋体" w:hAnsi="宋体"/>
          <w:b/>
          <w:color w:val="000000"/>
          <w:szCs w:val="21"/>
        </w:rPr>
        <w:t>5</w:t>
      </w:r>
      <w:r>
        <w:rPr>
          <w:rFonts w:hint="eastAsia" w:ascii="宋体" w:hAnsi="宋体"/>
          <w:color w:val="000000"/>
          <w:szCs w:val="21"/>
        </w:rPr>
        <w:t>参加政府采购活动前三年内，在经营活动中没有重大违法记录（提供承诺书）。</w:t>
      </w:r>
    </w:p>
    <w:p>
      <w:pPr>
        <w:ind w:firstLine="422" w:firstLineChars="200"/>
        <w:rPr>
          <w:rFonts w:ascii="宋体" w:hAnsi="宋体"/>
          <w:b/>
          <w:color w:val="000000"/>
        </w:rPr>
      </w:pPr>
    </w:p>
    <w:tbl>
      <w:tblPr>
        <w:tblStyle w:val="30"/>
        <w:tblW w:w="8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534" w:type="dxa"/>
            <w:noWrap/>
          </w:tcPr>
          <w:p>
            <w:pPr>
              <w:spacing w:line="360" w:lineRule="auto"/>
              <w:jc w:val="center"/>
              <w:rPr>
                <w:b/>
                <w:color w:val="000000"/>
              </w:rPr>
            </w:pPr>
            <w:r>
              <w:rPr>
                <w:rFonts w:hint="eastAsia"/>
                <w:b/>
                <w:color w:val="000000"/>
              </w:rPr>
              <w:t>1.3、1.5资质要求的响应声明（格式）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4" w:type="dxa"/>
            <w:noWrap/>
          </w:tcPr>
          <w:p>
            <w:pPr>
              <w:spacing w:line="360" w:lineRule="auto"/>
              <w:jc w:val="left"/>
              <w:rPr>
                <w:rFonts w:ascii="宋体" w:hAnsi="宋体"/>
                <w:bCs/>
                <w:color w:val="000000"/>
                <w:szCs w:val="21"/>
              </w:rPr>
            </w:pPr>
            <w:r>
              <w:rPr>
                <w:rFonts w:hint="eastAsia" w:ascii="宋体" w:hAnsi="宋体"/>
                <w:bCs/>
                <w:color w:val="000000"/>
                <w:szCs w:val="21"/>
              </w:rPr>
              <w:t>我方郑重声明：</w:t>
            </w:r>
          </w:p>
          <w:p>
            <w:pPr>
              <w:spacing w:line="360" w:lineRule="auto"/>
              <w:ind w:firstLine="492"/>
              <w:jc w:val="left"/>
              <w:rPr>
                <w:rFonts w:ascii="宋体" w:hAnsi="宋体"/>
                <w:bCs/>
                <w:color w:val="000000"/>
                <w:szCs w:val="21"/>
              </w:rPr>
            </w:pPr>
            <w:r>
              <w:rPr>
                <w:rFonts w:hint="eastAsia" w:ascii="宋体" w:hAnsi="宋体"/>
                <w:bCs/>
                <w:color w:val="000000"/>
                <w:szCs w:val="21"/>
              </w:rPr>
              <w:t>1、我方具备履行本项采购合同所必需的设备和专业技术能力，为履行本项采购合同我公司具备如下主要设备和主要专业技术能力：</w:t>
            </w:r>
          </w:p>
          <w:p>
            <w:pPr>
              <w:spacing w:line="360" w:lineRule="auto"/>
              <w:ind w:firstLine="492"/>
              <w:jc w:val="left"/>
              <w:rPr>
                <w:rFonts w:ascii="宋体" w:hAnsi="宋体"/>
                <w:bCs/>
                <w:color w:val="000000"/>
                <w:szCs w:val="21"/>
              </w:rPr>
            </w:pPr>
            <w:r>
              <w:rPr>
                <w:rFonts w:hint="eastAsia" w:ascii="宋体" w:hAnsi="宋体"/>
                <w:bCs/>
                <w:color w:val="000000"/>
                <w:szCs w:val="21"/>
              </w:rPr>
              <w:t>主要设备有：</w:t>
            </w:r>
            <w:r>
              <w:rPr>
                <w:rFonts w:hint="eastAsia" w:ascii="宋体" w:hAnsi="宋体"/>
                <w:bCs/>
                <w:color w:val="000000"/>
                <w:szCs w:val="21"/>
                <w:u w:val="single"/>
              </w:rPr>
              <w:t xml:space="preserve">                  （一个即可）</w:t>
            </w:r>
            <w:r>
              <w:rPr>
                <w:rFonts w:hint="eastAsia" w:ascii="宋体" w:hAnsi="宋体"/>
                <w:bCs/>
                <w:color w:val="000000"/>
                <w:szCs w:val="21"/>
              </w:rPr>
              <w:t>。</w:t>
            </w:r>
          </w:p>
          <w:p>
            <w:pPr>
              <w:spacing w:line="360" w:lineRule="auto"/>
              <w:ind w:firstLine="492"/>
              <w:jc w:val="left"/>
              <w:rPr>
                <w:rFonts w:ascii="宋体" w:hAnsi="宋体"/>
                <w:bCs/>
                <w:color w:val="000000"/>
                <w:szCs w:val="21"/>
              </w:rPr>
            </w:pPr>
            <w:r>
              <w:rPr>
                <w:rFonts w:hint="eastAsia" w:ascii="宋体" w:hAnsi="宋体"/>
                <w:bCs/>
                <w:color w:val="000000"/>
                <w:szCs w:val="21"/>
              </w:rPr>
              <w:t>主要专业技术能力有：</w:t>
            </w:r>
            <w:r>
              <w:rPr>
                <w:rFonts w:hint="eastAsia" w:ascii="宋体" w:hAnsi="宋体"/>
                <w:bCs/>
                <w:color w:val="000000"/>
                <w:szCs w:val="21"/>
                <w:u w:val="single"/>
              </w:rPr>
              <w:t xml:space="preserve">          （一项即可）</w:t>
            </w:r>
            <w:r>
              <w:rPr>
                <w:rFonts w:hint="eastAsia" w:ascii="宋体" w:hAnsi="宋体"/>
                <w:bCs/>
                <w:color w:val="000000"/>
                <w:szCs w:val="21"/>
              </w:rPr>
              <w:t>。</w:t>
            </w:r>
          </w:p>
          <w:p>
            <w:pPr>
              <w:spacing w:line="360" w:lineRule="auto"/>
              <w:ind w:firstLine="492"/>
              <w:jc w:val="left"/>
              <w:rPr>
                <w:rFonts w:ascii="宋体" w:hAnsi="宋体"/>
                <w:bCs/>
                <w:color w:val="000000"/>
                <w:szCs w:val="21"/>
              </w:rPr>
            </w:pPr>
            <w:r>
              <w:rPr>
                <w:rFonts w:hint="eastAsia" w:ascii="宋体" w:hAnsi="宋体"/>
                <w:bCs/>
                <w:color w:val="000000"/>
                <w:szCs w:val="21"/>
              </w:rPr>
              <w:t>2、我方参加本次政府采购活动前 3 年内，我方在经营活动中没有因违法经营受到刑事处罚或者责令停产停业、吊销许可证或者执照、较大数额罚款等行政处罚。</w:t>
            </w:r>
          </w:p>
          <w:p>
            <w:pPr>
              <w:spacing w:line="360" w:lineRule="auto"/>
              <w:ind w:firstLine="492"/>
              <w:jc w:val="left"/>
              <w:rPr>
                <w:rFonts w:ascii="宋体" w:hAnsi="宋体"/>
                <w:bCs/>
                <w:color w:val="000000"/>
                <w:szCs w:val="21"/>
              </w:rPr>
            </w:pPr>
            <w:r>
              <w:rPr>
                <w:rFonts w:hint="eastAsia" w:ascii="宋体" w:hAnsi="宋体" w:cs="宋体"/>
                <w:color w:val="000000"/>
                <w:kern w:val="0"/>
                <w:szCs w:val="21"/>
              </w:rPr>
              <w:t>我方就此承诺真实性负责，如有虚假，贵方可视为我方提供虚假材料处理。</w:t>
            </w:r>
          </w:p>
          <w:p>
            <w:pPr>
              <w:spacing w:line="360" w:lineRule="auto"/>
              <w:jc w:val="left"/>
              <w:rPr>
                <w:rFonts w:ascii="宋体" w:hAnsi="宋体"/>
                <w:bCs/>
                <w:color w:val="000000"/>
                <w:szCs w:val="21"/>
                <w:u w:val="single"/>
              </w:rPr>
            </w:pPr>
            <w:r>
              <w:rPr>
                <w:rFonts w:hint="eastAsia" w:ascii="宋体" w:hAnsi="宋体"/>
                <w:bCs/>
                <w:color w:val="000000"/>
                <w:szCs w:val="21"/>
              </w:rPr>
              <w:t xml:space="preserve">     供应商名称（公章）：</w:t>
            </w:r>
          </w:p>
          <w:p>
            <w:pPr>
              <w:spacing w:line="360" w:lineRule="auto"/>
              <w:jc w:val="left"/>
              <w:rPr>
                <w:rFonts w:ascii="宋体" w:hAnsi="宋体"/>
                <w:bCs/>
                <w:color w:val="000000"/>
                <w:szCs w:val="21"/>
                <w:u w:val="single"/>
              </w:rPr>
            </w:pPr>
            <w:r>
              <w:rPr>
                <w:rFonts w:hint="eastAsia" w:ascii="宋体" w:hAnsi="宋体" w:cs="宋体"/>
                <w:color w:val="000000"/>
              </w:rPr>
              <w:t>法定代表人或其委托代理人</w:t>
            </w:r>
            <w:r>
              <w:rPr>
                <w:rFonts w:hint="eastAsia" w:ascii="宋体" w:hAnsi="宋体"/>
                <w:bCs/>
                <w:color w:val="000000"/>
                <w:szCs w:val="21"/>
              </w:rPr>
              <w:t>签字：</w:t>
            </w:r>
          </w:p>
          <w:p>
            <w:pPr>
              <w:spacing w:line="360" w:lineRule="auto"/>
              <w:ind w:firstLine="4578" w:firstLineChars="2180"/>
              <w:jc w:val="left"/>
              <w:rPr>
                <w:rFonts w:ascii="宋体" w:hAnsi="宋体"/>
                <w:bCs/>
                <w:color w:val="000000"/>
                <w:szCs w:val="21"/>
                <w:u w:val="single"/>
              </w:rPr>
            </w:pPr>
            <w:r>
              <w:rPr>
                <w:rFonts w:hint="eastAsia" w:ascii="宋体" w:hAnsi="宋体"/>
                <w:bCs/>
                <w:color w:val="000000"/>
                <w:szCs w:val="21"/>
                <w:u w:val="single"/>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4" w:type="dxa"/>
            <w:noWrap/>
          </w:tcPr>
          <w:p>
            <w:pPr>
              <w:spacing w:line="360" w:lineRule="auto"/>
              <w:rPr>
                <w:color w:val="000000"/>
              </w:rPr>
            </w:pPr>
            <w:r>
              <w:rPr>
                <w:rFonts w:hint="eastAsia"/>
                <w:color w:val="000000"/>
              </w:rPr>
              <w:t>说明：1.应按本表格式制作，</w:t>
            </w:r>
            <w:r>
              <w:rPr>
                <w:rFonts w:hint="eastAsia"/>
                <w:b/>
                <w:color w:val="000000"/>
                <w:u w:val="single"/>
              </w:rPr>
              <w:t>并在正本中提供原件</w:t>
            </w:r>
            <w:r>
              <w:rPr>
                <w:rFonts w:hint="eastAsia" w:ascii="宋体" w:hAnsi="宋体"/>
                <w:b/>
                <w:color w:val="000000"/>
                <w:u w:val="single"/>
              </w:rPr>
              <w:t>（★未在</w:t>
            </w:r>
            <w:r>
              <w:rPr>
                <w:rFonts w:hint="eastAsia"/>
                <w:b/>
                <w:color w:val="000000"/>
                <w:u w:val="single"/>
              </w:rPr>
              <w:t>正本中提供原件按无效处理</w:t>
            </w:r>
            <w:r>
              <w:rPr>
                <w:rFonts w:hint="eastAsia" w:ascii="宋体" w:hAnsi="宋体"/>
                <w:b/>
                <w:color w:val="000000"/>
                <w:u w:val="single"/>
              </w:rPr>
              <w:t>）</w:t>
            </w:r>
            <w:r>
              <w:rPr>
                <w:rFonts w:hint="eastAsia"/>
                <w:color w:val="000000"/>
              </w:rPr>
              <w:t>。</w:t>
            </w:r>
          </w:p>
          <w:p>
            <w:pPr>
              <w:spacing w:line="360" w:lineRule="auto"/>
              <w:ind w:firstLine="630" w:firstLineChars="300"/>
              <w:rPr>
                <w:color w:val="000000"/>
              </w:rPr>
            </w:pPr>
            <w:r>
              <w:rPr>
                <w:rFonts w:hint="eastAsia"/>
                <w:color w:val="000000"/>
              </w:rPr>
              <w:t>2. 如果是联合体投标，联合体各方均需提供上述证明。</w:t>
            </w:r>
          </w:p>
        </w:tc>
      </w:tr>
    </w:tbl>
    <w:p>
      <w:pPr>
        <w:spacing w:line="276" w:lineRule="auto"/>
        <w:ind w:firstLine="632" w:firstLineChars="301"/>
        <w:jc w:val="left"/>
        <w:rPr>
          <w:rFonts w:ascii="宋体" w:hAnsi="宋体"/>
          <w:color w:val="000000"/>
          <w:szCs w:val="21"/>
        </w:rPr>
      </w:pPr>
    </w:p>
    <w:p>
      <w:pPr>
        <w:spacing w:line="276" w:lineRule="auto"/>
        <w:ind w:firstLine="420" w:firstLineChars="200"/>
        <w:jc w:val="left"/>
        <w:rPr>
          <w:rFonts w:ascii="宋体" w:hAnsi="宋体"/>
          <w:color w:val="000000"/>
        </w:rPr>
      </w:pPr>
      <w:r>
        <w:rPr>
          <w:rFonts w:hint="eastAsia" w:ascii="宋体" w:hAnsi="宋体"/>
          <w:color w:val="000000"/>
          <w:szCs w:val="21"/>
        </w:rPr>
        <w:t>1.6</w:t>
      </w:r>
      <w:r>
        <w:rPr>
          <w:color w:val="000000"/>
          <w:szCs w:val="21"/>
        </w:rPr>
        <w:t>具备法律、行政法规规定的其他条件的证明材料</w:t>
      </w:r>
      <w:r>
        <w:rPr>
          <w:rFonts w:hint="eastAsia" w:ascii="宋体" w:hAnsi="宋体"/>
          <w:color w:val="000000"/>
        </w:rPr>
        <w:t>（按照采购公告的要求提供）</w:t>
      </w:r>
    </w:p>
    <w:p/>
    <w:p/>
    <w:p>
      <w:pPr>
        <w:pStyle w:val="11"/>
      </w:pPr>
    </w:p>
    <w:p>
      <w:pPr>
        <w:pStyle w:val="12"/>
        <w:outlineLvl w:val="9"/>
      </w:pPr>
    </w:p>
    <w:p/>
    <w:p>
      <w:pPr>
        <w:spacing w:line="400" w:lineRule="exact"/>
        <w:ind w:firstLine="420" w:firstLineChars="200"/>
        <w:rPr>
          <w:rFonts w:ascii="宋体" w:hAnsi="宋体" w:cs="宋体"/>
          <w:szCs w:val="21"/>
        </w:rPr>
      </w:pPr>
      <w:r>
        <w:rPr>
          <w:rFonts w:hint="eastAsia" w:ascii="宋体" w:hAnsi="宋体" w:cs="宋体"/>
          <w:szCs w:val="21"/>
        </w:rPr>
        <w:t>2.落实政府采购政策需满足的资格要求：</w:t>
      </w:r>
    </w:p>
    <w:p>
      <w:pPr>
        <w:pStyle w:val="11"/>
      </w:pPr>
    </w:p>
    <w:p>
      <w:pPr>
        <w:pStyle w:val="12"/>
        <w:outlineLvl w:val="9"/>
      </w:pPr>
    </w:p>
    <w:p>
      <w:pPr>
        <w:spacing w:line="400" w:lineRule="exact"/>
        <w:ind w:firstLine="420" w:firstLineChars="200"/>
        <w:jc w:val="left"/>
        <w:rPr>
          <w:rFonts w:ascii="宋体" w:hAnsi="宋体"/>
          <w:szCs w:val="21"/>
        </w:rPr>
      </w:pPr>
      <w:r>
        <w:rPr>
          <w:rFonts w:hint="eastAsia" w:ascii="宋体" w:hAnsi="宋体"/>
          <w:szCs w:val="21"/>
        </w:rPr>
        <w:t>3.本项目的特定资格要求：</w:t>
      </w:r>
      <w:r>
        <w:rPr>
          <w:rFonts w:hint="eastAsia" w:ascii="宋体" w:hAnsi="宋体"/>
        </w:rPr>
        <w:t>（按照采购公告的要求提供）</w:t>
      </w:r>
    </w:p>
    <w:p>
      <w:pPr>
        <w:spacing w:line="400" w:lineRule="exact"/>
        <w:ind w:firstLine="422" w:firstLineChars="200"/>
        <w:jc w:val="left"/>
        <w:rPr>
          <w:rFonts w:ascii="宋体" w:hAnsi="宋体"/>
          <w:b/>
          <w:szCs w:val="21"/>
        </w:rPr>
      </w:pPr>
    </w:p>
    <w:p>
      <w:pPr>
        <w:pStyle w:val="12"/>
        <w:outlineLvl w:val="9"/>
      </w:pPr>
    </w:p>
    <w:p>
      <w:pPr>
        <w:widowControl/>
        <w:shd w:val="clear" w:color="auto" w:fill="FFFFFF"/>
        <w:snapToGrid w:val="0"/>
        <w:spacing w:before="312" w:after="156" w:line="360" w:lineRule="auto"/>
        <w:jc w:val="center"/>
        <w:rPr>
          <w:rFonts w:ascii="宋体" w:hAnsi="宋体" w:cs="宋体"/>
          <w:b/>
          <w:kern w:val="0"/>
          <w:szCs w:val="21"/>
        </w:rPr>
      </w:pPr>
    </w:p>
    <w:p>
      <w:pPr>
        <w:widowControl/>
        <w:shd w:val="clear" w:color="auto" w:fill="FFFFFF"/>
        <w:snapToGrid w:val="0"/>
        <w:spacing w:before="312" w:after="156" w:line="360" w:lineRule="auto"/>
        <w:rPr>
          <w:rFonts w:ascii="宋体" w:hAnsi="宋体" w:cs="宋体"/>
          <w:b/>
          <w:kern w:val="0"/>
          <w:szCs w:val="21"/>
        </w:rPr>
      </w:pPr>
    </w:p>
    <w:p>
      <w:pPr>
        <w:widowControl/>
        <w:shd w:val="clear" w:color="auto" w:fill="FFFFFF"/>
        <w:snapToGrid w:val="0"/>
        <w:spacing w:before="312" w:after="156" w:line="360" w:lineRule="auto"/>
        <w:jc w:val="center"/>
        <w:rPr>
          <w:rFonts w:ascii="宋体" w:hAnsi="宋体" w:cs="宋体"/>
          <w:b/>
          <w:kern w:val="0"/>
          <w:szCs w:val="21"/>
        </w:rPr>
      </w:pPr>
    </w:p>
    <w:p>
      <w:pPr>
        <w:widowControl/>
        <w:shd w:val="clear" w:color="auto" w:fill="FFFFFF"/>
        <w:snapToGrid w:val="0"/>
        <w:spacing w:before="312" w:after="156" w:line="360" w:lineRule="auto"/>
        <w:jc w:val="center"/>
        <w:rPr>
          <w:rFonts w:ascii="宋体" w:hAnsi="宋体" w:cs="宋体"/>
          <w:b/>
          <w:kern w:val="0"/>
          <w:szCs w:val="21"/>
        </w:rPr>
      </w:pPr>
    </w:p>
    <w:p>
      <w:pPr>
        <w:widowControl/>
        <w:shd w:val="clear" w:color="auto" w:fill="FFFFFF"/>
        <w:snapToGrid w:val="0"/>
        <w:spacing w:before="312" w:after="156" w:line="360" w:lineRule="auto"/>
        <w:jc w:val="center"/>
        <w:rPr>
          <w:rFonts w:ascii="宋体" w:hAnsi="宋体" w:cs="宋体"/>
          <w:b/>
          <w:kern w:val="0"/>
          <w:szCs w:val="21"/>
        </w:rPr>
      </w:pPr>
    </w:p>
    <w:p>
      <w:pPr>
        <w:widowControl/>
        <w:shd w:val="clear" w:color="auto" w:fill="FFFFFF"/>
        <w:snapToGrid w:val="0"/>
        <w:spacing w:before="312" w:after="156" w:line="360" w:lineRule="auto"/>
        <w:jc w:val="center"/>
        <w:rPr>
          <w:rFonts w:ascii="宋体" w:hAnsi="宋体" w:cs="宋体"/>
          <w:b/>
          <w:kern w:val="0"/>
          <w:szCs w:val="21"/>
        </w:rPr>
      </w:pPr>
    </w:p>
    <w:p>
      <w:pPr>
        <w:widowControl/>
        <w:shd w:val="clear" w:color="auto" w:fill="FFFFFF"/>
        <w:snapToGrid w:val="0"/>
        <w:spacing w:before="312" w:after="156" w:line="360" w:lineRule="auto"/>
        <w:jc w:val="center"/>
        <w:rPr>
          <w:rFonts w:ascii="宋体" w:hAnsi="宋体" w:cs="宋体"/>
          <w:b/>
          <w:kern w:val="0"/>
          <w:szCs w:val="21"/>
        </w:rPr>
      </w:pPr>
    </w:p>
    <w:p>
      <w:pPr>
        <w:widowControl/>
        <w:shd w:val="clear" w:color="auto" w:fill="FFFFFF"/>
        <w:snapToGrid w:val="0"/>
        <w:spacing w:before="312" w:after="156" w:line="360" w:lineRule="auto"/>
        <w:jc w:val="center"/>
        <w:rPr>
          <w:rFonts w:ascii="宋体" w:hAnsi="宋体" w:cs="宋体"/>
          <w:b/>
          <w:kern w:val="0"/>
          <w:szCs w:val="21"/>
        </w:rPr>
      </w:pPr>
    </w:p>
    <w:p>
      <w:pPr>
        <w:widowControl/>
        <w:shd w:val="clear" w:color="auto" w:fill="FFFFFF"/>
        <w:snapToGrid w:val="0"/>
        <w:spacing w:before="312" w:after="156" w:line="360" w:lineRule="auto"/>
        <w:rPr>
          <w:rFonts w:ascii="宋体" w:hAnsi="宋体" w:cs="宋体"/>
          <w:b/>
          <w:kern w:val="0"/>
          <w:szCs w:val="21"/>
        </w:rPr>
      </w:pPr>
    </w:p>
    <w:p>
      <w:pPr>
        <w:widowControl/>
        <w:shd w:val="clear" w:color="auto" w:fill="FFFFFF"/>
        <w:snapToGrid w:val="0"/>
        <w:spacing w:before="312" w:after="156" w:line="360" w:lineRule="auto"/>
        <w:jc w:val="center"/>
        <w:rPr>
          <w:rFonts w:ascii="宋体" w:hAnsi="宋体" w:cs="宋体"/>
          <w:b/>
          <w:kern w:val="0"/>
          <w:sz w:val="28"/>
          <w:szCs w:val="21"/>
        </w:rPr>
      </w:pPr>
    </w:p>
    <w:p>
      <w:pPr>
        <w:widowControl/>
        <w:shd w:val="clear" w:color="auto" w:fill="FFFFFF"/>
        <w:snapToGrid w:val="0"/>
        <w:spacing w:before="312" w:after="156" w:line="360" w:lineRule="auto"/>
        <w:jc w:val="center"/>
        <w:rPr>
          <w:rFonts w:ascii="宋体" w:hAnsi="宋体" w:cs="宋体"/>
          <w:b/>
          <w:kern w:val="0"/>
          <w:sz w:val="28"/>
          <w:szCs w:val="21"/>
        </w:rPr>
      </w:pPr>
    </w:p>
    <w:p>
      <w:pPr>
        <w:widowControl/>
        <w:shd w:val="clear" w:color="auto" w:fill="FFFFFF"/>
        <w:snapToGrid w:val="0"/>
        <w:spacing w:before="312" w:after="156" w:line="360" w:lineRule="auto"/>
        <w:jc w:val="center"/>
        <w:rPr>
          <w:rFonts w:ascii="宋体" w:hAnsi="宋体" w:cs="宋体"/>
          <w:b/>
          <w:kern w:val="0"/>
          <w:sz w:val="28"/>
          <w:szCs w:val="21"/>
        </w:rPr>
      </w:pPr>
    </w:p>
    <w:p>
      <w:pPr>
        <w:widowControl/>
        <w:shd w:val="clear" w:color="auto" w:fill="FFFFFF"/>
        <w:snapToGrid w:val="0"/>
        <w:spacing w:before="312" w:after="156" w:line="360" w:lineRule="auto"/>
        <w:jc w:val="center"/>
        <w:rPr>
          <w:rFonts w:ascii="宋体" w:hAnsi="宋体" w:cs="宋体"/>
          <w:b/>
          <w:kern w:val="0"/>
          <w:sz w:val="28"/>
          <w:szCs w:val="21"/>
        </w:rPr>
      </w:pPr>
    </w:p>
    <w:p>
      <w:pPr>
        <w:pStyle w:val="17"/>
        <w:tabs>
          <w:tab w:val="left" w:pos="5580"/>
        </w:tabs>
        <w:spacing w:line="600" w:lineRule="exact"/>
        <w:rPr>
          <w:rFonts w:hAnsi="宋体" w:cs="宋体"/>
          <w:b/>
          <w:color w:val="000000"/>
          <w:sz w:val="28"/>
          <w:szCs w:val="28"/>
        </w:rPr>
      </w:pPr>
    </w:p>
    <w:p>
      <w:pPr>
        <w:rPr>
          <w:rFonts w:hAnsi="宋体" w:cs="宋体"/>
          <w:b/>
          <w:color w:val="000000"/>
          <w:sz w:val="28"/>
          <w:szCs w:val="28"/>
        </w:rPr>
      </w:pPr>
      <w:bookmarkStart w:id="210" w:name="_Toc122338105"/>
      <w:r>
        <w:rPr>
          <w:rFonts w:hint="eastAsia" w:hAnsi="宋体" w:cs="宋体"/>
          <w:b/>
          <w:color w:val="000000"/>
          <w:sz w:val="28"/>
          <w:szCs w:val="28"/>
        </w:rPr>
        <w:br w:type="page"/>
      </w:r>
    </w:p>
    <w:p>
      <w:pPr>
        <w:pStyle w:val="17"/>
        <w:tabs>
          <w:tab w:val="left" w:pos="5580"/>
        </w:tabs>
        <w:spacing w:line="600" w:lineRule="exact"/>
        <w:ind w:left="1080" w:leftChars="257" w:hanging="540"/>
        <w:jc w:val="center"/>
        <w:outlineLvl w:val="1"/>
        <w:rPr>
          <w:rFonts w:hAnsi="宋体" w:cs="宋体"/>
          <w:b/>
          <w:color w:val="000000"/>
          <w:sz w:val="28"/>
          <w:szCs w:val="28"/>
        </w:rPr>
      </w:pPr>
      <w:r>
        <w:rPr>
          <w:rFonts w:hint="eastAsia" w:hAnsi="宋体" w:cs="宋体"/>
          <w:b/>
          <w:color w:val="000000"/>
          <w:sz w:val="28"/>
          <w:szCs w:val="28"/>
        </w:rPr>
        <w:t>三、法定代表人授权委托书(格式）</w:t>
      </w:r>
      <w:bookmarkEnd w:id="210"/>
    </w:p>
    <w:p>
      <w:pPr>
        <w:pStyle w:val="6"/>
        <w:spacing w:line="600" w:lineRule="exact"/>
        <w:ind w:firstLine="0"/>
        <w:jc w:val="center"/>
        <w:rPr>
          <w:rFonts w:ascii="宋体" w:hAnsi="宋体" w:cs="宋体"/>
          <w:b/>
          <w:color w:val="000000"/>
          <w:sz w:val="21"/>
          <w:szCs w:val="21"/>
        </w:rPr>
      </w:pPr>
      <w:r>
        <w:rPr>
          <w:rFonts w:hint="eastAsia" w:ascii="宋体" w:hAnsi="宋体" w:cs="宋体"/>
          <w:b/>
          <w:color w:val="000000"/>
          <w:sz w:val="21"/>
          <w:szCs w:val="21"/>
        </w:rPr>
        <w:t>（自然人投标的无需提供）</w:t>
      </w:r>
    </w:p>
    <w:p>
      <w:pPr>
        <w:pStyle w:val="6"/>
        <w:spacing w:line="600" w:lineRule="exact"/>
        <w:ind w:firstLine="0"/>
        <w:jc w:val="center"/>
        <w:rPr>
          <w:rFonts w:ascii="宋体" w:hAnsi="宋体" w:cs="宋体"/>
          <w:b/>
          <w:color w:val="000000"/>
          <w:sz w:val="21"/>
          <w:szCs w:val="21"/>
        </w:rPr>
      </w:pPr>
    </w:p>
    <w:p>
      <w:pPr>
        <w:spacing w:line="600" w:lineRule="exact"/>
        <w:ind w:firstLine="420" w:firstLineChars="200"/>
        <w:rPr>
          <w:rFonts w:ascii="宋体" w:hAnsi="宋体" w:cs="宋体"/>
          <w:color w:val="000000"/>
          <w:szCs w:val="21"/>
        </w:rPr>
      </w:pPr>
      <w:r>
        <w:rPr>
          <w:rFonts w:hint="eastAsia" w:ascii="宋体" w:hAnsi="宋体" w:cs="宋体"/>
          <w:color w:val="000000"/>
          <w:szCs w:val="21"/>
        </w:rPr>
        <w:t>本授权书声明：注册于</w:t>
      </w:r>
      <w:r>
        <w:rPr>
          <w:rFonts w:hint="eastAsia" w:ascii="宋体" w:hAnsi="宋体" w:cs="宋体"/>
          <w:b/>
          <w:i/>
          <w:color w:val="000000"/>
          <w:szCs w:val="21"/>
          <w:u w:val="single"/>
        </w:rPr>
        <w:t xml:space="preserve">           （地区的名称。例：江苏盐城）</w:t>
      </w:r>
      <w:r>
        <w:rPr>
          <w:rFonts w:hint="eastAsia" w:ascii="宋体" w:hAnsi="宋体" w:cs="宋体"/>
          <w:color w:val="000000"/>
          <w:szCs w:val="21"/>
        </w:rPr>
        <w:t>的</w:t>
      </w:r>
      <w:r>
        <w:rPr>
          <w:rFonts w:hint="eastAsia" w:ascii="宋体" w:hAnsi="宋体" w:cs="宋体"/>
          <w:b/>
          <w:i/>
          <w:color w:val="000000"/>
          <w:szCs w:val="21"/>
          <w:u w:val="single"/>
        </w:rPr>
        <w:t xml:space="preserve">           （供应商）</w:t>
      </w:r>
      <w:r>
        <w:rPr>
          <w:rFonts w:hint="eastAsia" w:ascii="宋体" w:hAnsi="宋体" w:cs="宋体"/>
          <w:color w:val="000000"/>
          <w:szCs w:val="21"/>
        </w:rPr>
        <w:t>的在下面签字的</w:t>
      </w:r>
      <w:r>
        <w:rPr>
          <w:rFonts w:hint="eastAsia" w:ascii="宋体" w:hAnsi="宋体" w:cs="宋体"/>
          <w:b/>
          <w:i/>
          <w:color w:val="000000"/>
          <w:szCs w:val="21"/>
          <w:u w:val="single"/>
        </w:rPr>
        <w:t xml:space="preserve">         （法人代表姓名、职务）</w:t>
      </w:r>
      <w:r>
        <w:rPr>
          <w:rFonts w:hint="eastAsia" w:ascii="宋体" w:hAnsi="宋体" w:cs="宋体"/>
          <w:color w:val="000000"/>
          <w:szCs w:val="21"/>
        </w:rPr>
        <w:t>代表我单位授权</w:t>
      </w:r>
      <w:r>
        <w:rPr>
          <w:rFonts w:hint="eastAsia" w:ascii="宋体" w:hAnsi="宋体" w:cs="宋体"/>
          <w:b/>
          <w:i/>
          <w:color w:val="000000"/>
          <w:szCs w:val="21"/>
          <w:u w:val="single"/>
        </w:rPr>
        <w:t xml:space="preserve">                   （单位名称）</w:t>
      </w:r>
      <w:r>
        <w:rPr>
          <w:rFonts w:hint="eastAsia" w:ascii="宋体" w:hAnsi="宋体" w:cs="宋体"/>
          <w:color w:val="000000"/>
          <w:szCs w:val="21"/>
        </w:rPr>
        <w:t>的在下面签字的</w:t>
      </w:r>
      <w:r>
        <w:rPr>
          <w:rFonts w:hint="eastAsia" w:ascii="宋体" w:hAnsi="宋体" w:cs="宋体"/>
          <w:b/>
          <w:i/>
          <w:color w:val="000000"/>
          <w:szCs w:val="21"/>
          <w:u w:val="single"/>
        </w:rPr>
        <w:t xml:space="preserve">                （被授权人的姓名、职务）</w:t>
      </w:r>
      <w:r>
        <w:rPr>
          <w:rFonts w:hint="eastAsia" w:ascii="宋体" w:hAnsi="宋体" w:cs="宋体"/>
          <w:color w:val="000000"/>
          <w:szCs w:val="21"/>
        </w:rPr>
        <w:t>为我单位的合法代理人</w:t>
      </w:r>
      <w:r>
        <w:rPr>
          <w:rFonts w:hint="eastAsia" w:ascii="宋体" w:hAnsi="宋体"/>
          <w:color w:val="000000"/>
          <w:szCs w:val="21"/>
        </w:rPr>
        <w:t>（授权代表）</w:t>
      </w:r>
      <w:r>
        <w:rPr>
          <w:rFonts w:hint="eastAsia" w:ascii="宋体" w:hAnsi="宋体" w:cs="宋体"/>
          <w:color w:val="000000"/>
          <w:szCs w:val="21"/>
        </w:rPr>
        <w:t>，就</w:t>
      </w:r>
      <w:r>
        <w:rPr>
          <w:rFonts w:hint="eastAsia" w:ascii="宋体" w:hAnsi="宋体" w:cs="宋体"/>
          <w:b/>
          <w:i/>
          <w:color w:val="000000"/>
          <w:szCs w:val="21"/>
          <w:u w:val="single"/>
        </w:rPr>
        <w:t xml:space="preserve">             （项目名称）</w:t>
      </w:r>
      <w:r>
        <w:rPr>
          <w:rFonts w:hint="eastAsia" w:ascii="宋体" w:hAnsi="宋体" w:cs="宋体"/>
          <w:color w:val="000000"/>
          <w:szCs w:val="21"/>
        </w:rPr>
        <w:t>的投标（响应），以我单位名义处理一切与之有关的事务。</w:t>
      </w:r>
    </w:p>
    <w:p>
      <w:pPr>
        <w:spacing w:line="600" w:lineRule="exact"/>
        <w:ind w:firstLine="420" w:firstLineChars="200"/>
        <w:rPr>
          <w:rFonts w:ascii="宋体" w:hAnsi="宋体" w:cs="宋体"/>
          <w:color w:val="000000"/>
          <w:szCs w:val="21"/>
        </w:rPr>
      </w:pPr>
      <w:r>
        <w:rPr>
          <w:rFonts w:hint="eastAsia" w:ascii="宋体" w:hAnsi="宋体" w:cs="宋体"/>
          <w:color w:val="000000"/>
          <w:szCs w:val="21"/>
        </w:rPr>
        <w:t>本授权书于</w:t>
      </w:r>
      <w:r>
        <w:rPr>
          <w:rFonts w:hint="eastAsia" w:ascii="宋体" w:hAnsi="宋体" w:cs="宋体"/>
          <w:color w:val="000000"/>
          <w:szCs w:val="21"/>
          <w:u w:val="single"/>
        </w:rPr>
        <w:t xml:space="preserve">           年     月     </w:t>
      </w:r>
      <w:r>
        <w:rPr>
          <w:rFonts w:hint="eastAsia" w:ascii="宋体" w:hAnsi="宋体" w:cs="宋体"/>
          <w:color w:val="000000"/>
          <w:szCs w:val="21"/>
        </w:rPr>
        <w:t>日签字生效,特此声明。</w:t>
      </w:r>
    </w:p>
    <w:p>
      <w:pPr>
        <w:spacing w:line="600" w:lineRule="exact"/>
        <w:ind w:firstLine="420" w:firstLineChars="200"/>
        <w:rPr>
          <w:rFonts w:ascii="宋体" w:hAnsi="宋体" w:cs="宋体"/>
          <w:color w:val="000000"/>
          <w:szCs w:val="21"/>
        </w:rPr>
      </w:pPr>
      <w:r>
        <w:rPr>
          <w:rFonts w:hint="eastAsia" w:ascii="宋体" w:hAnsi="宋体" w:cs="宋体"/>
          <w:color w:val="000000"/>
          <w:szCs w:val="21"/>
        </w:rPr>
        <w:t>供应商（盖单位章）：</w:t>
      </w:r>
    </w:p>
    <w:p>
      <w:pPr>
        <w:spacing w:line="600" w:lineRule="exact"/>
        <w:ind w:firstLine="420" w:firstLineChars="200"/>
        <w:rPr>
          <w:rFonts w:ascii="宋体" w:hAnsi="宋体" w:cs="宋体"/>
          <w:color w:val="000000"/>
          <w:szCs w:val="21"/>
        </w:rPr>
      </w:pPr>
      <w:r>
        <w:rPr>
          <w:rFonts w:hint="eastAsia" w:ascii="宋体" w:hAnsi="宋体" w:cs="宋体"/>
          <w:color w:val="000000"/>
          <w:szCs w:val="21"/>
        </w:rPr>
        <w:t>法定代表人（签字或签章）：</w:t>
      </w:r>
    </w:p>
    <w:p>
      <w:pPr>
        <w:spacing w:line="600" w:lineRule="exact"/>
        <w:ind w:firstLine="420" w:firstLineChars="200"/>
        <w:rPr>
          <w:rFonts w:ascii="宋体" w:hAnsi="宋体" w:cs="宋体"/>
          <w:color w:val="000000"/>
          <w:szCs w:val="21"/>
        </w:rPr>
      </w:pPr>
      <w:r>
        <w:rPr>
          <w:rFonts w:hint="eastAsia" w:ascii="宋体" w:hAnsi="宋体" w:cs="宋体"/>
          <w:color w:val="000000"/>
          <w:szCs w:val="21"/>
        </w:rPr>
        <w:t>委托代理人（签字或签章）：</w:t>
      </w:r>
    </w:p>
    <w:p>
      <w:pPr>
        <w:spacing w:line="600" w:lineRule="exact"/>
        <w:ind w:firstLine="420" w:firstLineChars="200"/>
        <w:rPr>
          <w:rFonts w:ascii="宋体" w:hAnsi="宋体" w:cs="宋体"/>
          <w:color w:val="000000"/>
          <w:szCs w:val="21"/>
        </w:rPr>
      </w:pPr>
      <w:r>
        <w:rPr>
          <w:rFonts w:hint="eastAsia" w:ascii="宋体" w:hAnsi="宋体" w:cs="宋体"/>
          <w:color w:val="000000"/>
          <w:szCs w:val="21"/>
        </w:rPr>
        <w:t>日        期：</w:t>
      </w:r>
    </w:p>
    <w:p>
      <w:pPr>
        <w:spacing w:line="600" w:lineRule="exact"/>
        <w:ind w:firstLine="420" w:firstLineChars="200"/>
        <w:jc w:val="center"/>
        <w:rPr>
          <w:rFonts w:ascii="宋体" w:hAnsi="宋体" w:cs="宋体"/>
          <w:color w:val="000000"/>
          <w:szCs w:val="21"/>
        </w:rPr>
      </w:pPr>
    </w:p>
    <w:tbl>
      <w:tblPr>
        <w:tblStyle w:val="30"/>
        <w:tblW w:w="9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0"/>
        <w:gridCol w:w="4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8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000000"/>
                <w:sz w:val="24"/>
              </w:rPr>
            </w:pPr>
            <w:r>
              <w:rPr>
                <w:rFonts w:hint="eastAsia" w:ascii="宋体" w:hAnsi="宋体"/>
                <w:b/>
                <w:color w:val="000000"/>
                <w:sz w:val="24"/>
              </w:rPr>
              <w:t>法定代表人有效身份证明</w:t>
            </w:r>
          </w:p>
        </w:tc>
        <w:tc>
          <w:tcPr>
            <w:tcW w:w="487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000000"/>
                <w:sz w:val="24"/>
              </w:rPr>
            </w:pPr>
            <w:r>
              <w:rPr>
                <w:rFonts w:hint="eastAsia" w:ascii="宋体" w:hAnsi="宋体"/>
                <w:b/>
                <w:color w:val="000000"/>
                <w:sz w:val="24"/>
              </w:rPr>
              <w:t>委托代理人（</w:t>
            </w:r>
            <w:r>
              <w:rPr>
                <w:rFonts w:hint="eastAsia" w:ascii="宋体" w:hAnsi="宋体" w:cs="宋体"/>
                <w:b/>
                <w:color w:val="000000"/>
                <w:sz w:val="24"/>
              </w:rPr>
              <w:t>被授权人</w:t>
            </w:r>
            <w:r>
              <w:rPr>
                <w:rFonts w:hint="eastAsia" w:ascii="宋体" w:hAnsi="宋体"/>
                <w:b/>
                <w:color w:val="000000"/>
                <w:sz w:val="24"/>
              </w:rPr>
              <w:t>）有效身份证明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jc w:val="center"/>
        </w:trPr>
        <w:tc>
          <w:tcPr>
            <w:tcW w:w="48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i/>
                <w:color w:val="000000"/>
              </w:rPr>
            </w:pPr>
            <w:r>
              <w:rPr>
                <w:rFonts w:hint="eastAsia" w:ascii="宋体" w:hAnsi="宋体"/>
                <w:i/>
                <w:color w:val="000000"/>
              </w:rPr>
              <w:t>（身份证复印件粘贴处）</w:t>
            </w:r>
          </w:p>
          <w:p>
            <w:pPr>
              <w:jc w:val="center"/>
              <w:rPr>
                <w:rFonts w:ascii="宋体" w:hAnsi="宋体"/>
                <w:i/>
                <w:color w:val="000000"/>
              </w:rPr>
            </w:pPr>
          </w:p>
          <w:p>
            <w:pPr>
              <w:jc w:val="center"/>
              <w:rPr>
                <w:rFonts w:ascii="宋体" w:hAnsi="宋体"/>
                <w:i/>
                <w:color w:val="000000"/>
              </w:rPr>
            </w:pPr>
            <w:r>
              <w:rPr>
                <w:rFonts w:hint="eastAsia" w:ascii="宋体" w:hAnsi="宋体"/>
                <w:i/>
                <w:color w:val="000000"/>
              </w:rPr>
              <w:t>（可电子粘贴）</w:t>
            </w:r>
          </w:p>
          <w:p>
            <w:pPr>
              <w:jc w:val="center"/>
              <w:rPr>
                <w:rFonts w:ascii="宋体" w:hAnsi="宋体"/>
                <w:i/>
                <w:color w:val="000000"/>
              </w:rPr>
            </w:pPr>
          </w:p>
          <w:p>
            <w:pPr>
              <w:jc w:val="center"/>
              <w:rPr>
                <w:rFonts w:ascii="宋体" w:hAnsi="宋体"/>
                <w:i/>
                <w:color w:val="000000"/>
              </w:rPr>
            </w:pPr>
            <w:r>
              <w:rPr>
                <w:rFonts w:hint="eastAsia" w:ascii="宋体" w:hAnsi="宋体"/>
                <w:i/>
                <w:color w:val="000000"/>
              </w:rPr>
              <w:t>（证明材料可另页，不限于本框内）</w:t>
            </w:r>
          </w:p>
        </w:tc>
        <w:tc>
          <w:tcPr>
            <w:tcW w:w="487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i/>
                <w:color w:val="000000"/>
              </w:rPr>
            </w:pPr>
            <w:r>
              <w:rPr>
                <w:rFonts w:hint="eastAsia" w:ascii="宋体" w:hAnsi="宋体"/>
                <w:i/>
                <w:color w:val="000000"/>
              </w:rPr>
              <w:t>（身份证复印件粘贴处）</w:t>
            </w:r>
          </w:p>
          <w:p>
            <w:pPr>
              <w:jc w:val="center"/>
              <w:rPr>
                <w:rFonts w:ascii="宋体" w:hAnsi="宋体"/>
                <w:i/>
                <w:color w:val="000000"/>
              </w:rPr>
            </w:pPr>
          </w:p>
          <w:p>
            <w:pPr>
              <w:jc w:val="center"/>
              <w:rPr>
                <w:rFonts w:ascii="宋体" w:hAnsi="宋体"/>
                <w:i/>
                <w:color w:val="000000"/>
              </w:rPr>
            </w:pPr>
            <w:r>
              <w:rPr>
                <w:rFonts w:hint="eastAsia" w:ascii="宋体" w:hAnsi="宋体"/>
                <w:i/>
                <w:color w:val="000000"/>
              </w:rPr>
              <w:t>（可电子粘贴）</w:t>
            </w:r>
          </w:p>
          <w:p>
            <w:pPr>
              <w:jc w:val="center"/>
              <w:rPr>
                <w:rFonts w:ascii="宋体" w:hAnsi="宋体"/>
                <w:i/>
                <w:color w:val="000000"/>
              </w:rPr>
            </w:pPr>
          </w:p>
          <w:p>
            <w:pPr>
              <w:jc w:val="center"/>
              <w:rPr>
                <w:rFonts w:ascii="宋体" w:hAnsi="宋体"/>
                <w:i/>
                <w:color w:val="000000"/>
              </w:rPr>
            </w:pPr>
            <w:r>
              <w:rPr>
                <w:rFonts w:hint="eastAsia" w:ascii="宋体" w:hAnsi="宋体"/>
                <w:i/>
                <w:color w:val="000000"/>
              </w:rPr>
              <w:t>（证明材料可另页，不限于本框内）</w:t>
            </w:r>
          </w:p>
        </w:tc>
      </w:tr>
    </w:tbl>
    <w:p>
      <w:pPr>
        <w:pStyle w:val="6"/>
        <w:spacing w:line="600" w:lineRule="exact"/>
        <w:ind w:firstLine="0"/>
        <w:jc w:val="center"/>
        <w:rPr>
          <w:rFonts w:ascii="宋体" w:hAnsi="宋体" w:cs="宋体"/>
          <w:b/>
          <w:i/>
          <w:color w:val="000000"/>
          <w:sz w:val="21"/>
          <w:szCs w:val="21"/>
          <w:u w:val="single"/>
        </w:rPr>
      </w:pPr>
      <w:r>
        <w:rPr>
          <w:rFonts w:hint="eastAsia" w:ascii="宋体" w:hAnsi="宋体" w:cs="宋体"/>
          <w:b/>
          <w:color w:val="000000"/>
          <w:sz w:val="21"/>
          <w:szCs w:val="21"/>
          <w:u w:val="single"/>
        </w:rPr>
        <w:t>（备注：如供应商组成联合体参加投标，则联合体各方均须加盖公章）</w:t>
      </w:r>
    </w:p>
    <w:p>
      <w:pPr>
        <w:pStyle w:val="11"/>
        <w:spacing w:line="240" w:lineRule="exact"/>
        <w:rPr>
          <w:color w:val="000000"/>
        </w:rPr>
      </w:pPr>
    </w:p>
    <w:p>
      <w:pPr>
        <w:spacing w:line="360" w:lineRule="auto"/>
        <w:jc w:val="center"/>
        <w:rPr>
          <w:rFonts w:ascii="宋体" w:hAnsi="宋体" w:cs="宋体"/>
          <w:b/>
          <w:color w:val="000000"/>
          <w:sz w:val="28"/>
          <w:szCs w:val="28"/>
        </w:rPr>
      </w:pPr>
    </w:p>
    <w:p>
      <w:pPr>
        <w:spacing w:line="360" w:lineRule="auto"/>
        <w:jc w:val="center"/>
        <w:rPr>
          <w:rFonts w:ascii="宋体" w:hAnsi="宋体" w:cs="宋体"/>
          <w:b/>
          <w:color w:val="000000"/>
          <w:sz w:val="28"/>
          <w:szCs w:val="28"/>
        </w:rPr>
      </w:pPr>
    </w:p>
    <w:p>
      <w:pPr>
        <w:spacing w:line="360" w:lineRule="auto"/>
        <w:jc w:val="center"/>
        <w:outlineLvl w:val="1"/>
        <w:rPr>
          <w:rFonts w:ascii="宋体" w:hAnsi="宋体" w:cs="宋体"/>
          <w:b/>
          <w:color w:val="000000"/>
          <w:sz w:val="28"/>
          <w:szCs w:val="28"/>
        </w:rPr>
      </w:pPr>
      <w:bookmarkStart w:id="211" w:name="_Toc122338106"/>
      <w:r>
        <w:rPr>
          <w:rFonts w:hint="eastAsia" w:ascii="宋体" w:hAnsi="宋体" w:cs="宋体"/>
          <w:b/>
          <w:color w:val="000000"/>
          <w:sz w:val="28"/>
          <w:szCs w:val="28"/>
        </w:rPr>
        <w:t>四、投标（响应）书（格式）</w:t>
      </w:r>
      <w:bookmarkEnd w:id="211"/>
    </w:p>
    <w:p>
      <w:pPr>
        <w:pStyle w:val="11"/>
        <w:spacing w:line="240" w:lineRule="exact"/>
        <w:rPr>
          <w:rFonts w:ascii="宋体" w:hAnsi="宋体" w:cs="宋体"/>
          <w:b/>
          <w:color w:val="000000"/>
          <w:szCs w:val="28"/>
        </w:rPr>
      </w:pPr>
    </w:p>
    <w:p>
      <w:pPr>
        <w:spacing w:line="360" w:lineRule="auto"/>
        <w:rPr>
          <w:rFonts w:ascii="宋体" w:hAnsi="宋体" w:cs="宋体"/>
          <w:b/>
          <w:color w:val="000000"/>
          <w:szCs w:val="21"/>
          <w:u w:val="single"/>
        </w:rPr>
      </w:pPr>
      <w:r>
        <w:rPr>
          <w:rFonts w:hint="eastAsia" w:ascii="宋体" w:hAnsi="宋体" w:cs="宋体"/>
          <w:b/>
          <w:color w:val="000000"/>
          <w:szCs w:val="21"/>
          <w:u w:val="single"/>
        </w:rPr>
        <w:t xml:space="preserve">致：    </w:t>
      </w:r>
      <w:r>
        <w:rPr>
          <w:rFonts w:hint="eastAsia" w:ascii="宋体" w:hAnsi="宋体" w:cs="宋体"/>
          <w:b/>
          <w:i/>
          <w:color w:val="000000"/>
          <w:szCs w:val="21"/>
          <w:u w:val="single"/>
        </w:rPr>
        <w:t>(</w:t>
      </w:r>
      <w:r>
        <w:rPr>
          <w:rFonts w:hint="eastAsia" w:ascii="宋体" w:hAnsi="宋体" w:cs="仿宋"/>
          <w:b/>
          <w:i/>
          <w:color w:val="000000"/>
          <w:kern w:val="0"/>
          <w:szCs w:val="21"/>
          <w:u w:val="single"/>
        </w:rPr>
        <w:t>采购人或携手阳光公司的名称</w:t>
      </w:r>
      <w:r>
        <w:rPr>
          <w:rFonts w:hint="eastAsia" w:ascii="宋体" w:hAnsi="宋体" w:cs="宋体"/>
          <w:b/>
          <w:i/>
          <w:color w:val="000000"/>
          <w:szCs w:val="21"/>
          <w:u w:val="single"/>
        </w:rPr>
        <w:t>)</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根据贵方</w:t>
      </w:r>
      <w:r>
        <w:rPr>
          <w:rFonts w:hint="eastAsia" w:hAnsi="宋体" w:cs="宋体"/>
          <w:b/>
          <w:i/>
          <w:color w:val="000000"/>
          <w:sz w:val="21"/>
          <w:szCs w:val="21"/>
          <w:u w:val="single"/>
        </w:rPr>
        <w:t xml:space="preserve"> (项目名称)</w:t>
      </w:r>
      <w:r>
        <w:rPr>
          <w:rFonts w:hint="eastAsia" w:hAnsi="宋体" w:cs="宋体"/>
          <w:color w:val="000000"/>
          <w:sz w:val="21"/>
          <w:szCs w:val="21"/>
        </w:rPr>
        <w:t>项目的投标邀请</w:t>
      </w:r>
      <w:r>
        <w:rPr>
          <w:rFonts w:hint="eastAsia" w:hAnsi="宋体" w:cs="宋体"/>
          <w:b/>
          <w:i/>
          <w:color w:val="000000"/>
          <w:sz w:val="21"/>
          <w:szCs w:val="21"/>
          <w:u w:val="single"/>
        </w:rPr>
        <w:t>(采购编号)</w:t>
      </w:r>
      <w:r>
        <w:rPr>
          <w:rFonts w:hint="eastAsia" w:hAnsi="宋体" w:cs="宋体"/>
          <w:color w:val="000000"/>
          <w:sz w:val="21"/>
          <w:szCs w:val="21"/>
        </w:rPr>
        <w:t>,签字代表</w:t>
      </w:r>
      <w:r>
        <w:rPr>
          <w:rFonts w:hint="eastAsia" w:hAnsi="宋体" w:cs="宋体"/>
          <w:b/>
          <w:i/>
          <w:color w:val="000000"/>
          <w:sz w:val="21"/>
          <w:szCs w:val="21"/>
          <w:u w:val="single"/>
        </w:rPr>
        <w:t>(姓名、职务)</w:t>
      </w:r>
      <w:r>
        <w:rPr>
          <w:rFonts w:hint="eastAsia" w:hAnsi="宋体" w:cs="宋体"/>
          <w:color w:val="000000"/>
          <w:sz w:val="21"/>
          <w:szCs w:val="21"/>
        </w:rPr>
        <w:t>经正式授权并代表供应商</w:t>
      </w:r>
      <w:r>
        <w:rPr>
          <w:rFonts w:hint="eastAsia" w:hAnsi="宋体" w:cs="宋体"/>
          <w:b/>
          <w:i/>
          <w:color w:val="000000"/>
          <w:sz w:val="21"/>
          <w:szCs w:val="21"/>
          <w:u w:val="single"/>
        </w:rPr>
        <w:t>（供应商名称）</w:t>
      </w:r>
      <w:r>
        <w:rPr>
          <w:rFonts w:hint="eastAsia" w:hAnsi="宋体" w:cs="宋体"/>
          <w:color w:val="000000"/>
          <w:sz w:val="21"/>
          <w:szCs w:val="21"/>
        </w:rPr>
        <w:t>提交下述文件正本</w:t>
      </w:r>
      <w:r>
        <w:rPr>
          <w:rFonts w:hint="eastAsia" w:hAnsi="宋体" w:cs="宋体"/>
          <w:b/>
          <w:color w:val="000000"/>
          <w:sz w:val="21"/>
          <w:szCs w:val="21"/>
          <w:u w:val="single"/>
        </w:rPr>
        <w:t>1</w:t>
      </w:r>
      <w:r>
        <w:rPr>
          <w:rFonts w:hint="eastAsia" w:hAnsi="宋体" w:cs="宋体"/>
          <w:color w:val="000000"/>
          <w:sz w:val="21"/>
          <w:szCs w:val="21"/>
        </w:rPr>
        <w:t>份、副本</w:t>
      </w:r>
      <w:r>
        <w:rPr>
          <w:rFonts w:hint="eastAsia" w:hAnsi="宋体" w:cs="宋体"/>
          <w:b/>
          <w:color w:val="000000"/>
          <w:sz w:val="21"/>
          <w:szCs w:val="21"/>
        </w:rPr>
        <w:t>份</w:t>
      </w:r>
      <w:r>
        <w:rPr>
          <w:rFonts w:hint="eastAsia" w:hAnsi="宋体" w:cs="宋体"/>
          <w:color w:val="000000"/>
          <w:sz w:val="21"/>
          <w:szCs w:val="21"/>
        </w:rPr>
        <w:t>。</w:t>
      </w:r>
    </w:p>
    <w:p>
      <w:pPr>
        <w:pStyle w:val="17"/>
        <w:tabs>
          <w:tab w:val="left" w:pos="5580"/>
        </w:tabs>
        <w:spacing w:line="360" w:lineRule="auto"/>
        <w:ind w:firstLine="422" w:firstLineChars="200"/>
        <w:rPr>
          <w:rFonts w:hAnsi="宋体" w:cs="宋体"/>
          <w:b/>
          <w:color w:val="000000"/>
          <w:sz w:val="21"/>
          <w:szCs w:val="21"/>
        </w:rPr>
      </w:pPr>
      <w:r>
        <w:rPr>
          <w:rFonts w:hint="eastAsia" w:hAnsi="宋体" w:cs="宋体"/>
          <w:b/>
          <w:color w:val="000000"/>
          <w:sz w:val="21"/>
          <w:szCs w:val="21"/>
        </w:rPr>
        <w:t>据此，签字代表宣布同意如下：</w:t>
      </w:r>
    </w:p>
    <w:p>
      <w:pPr>
        <w:pStyle w:val="17"/>
        <w:tabs>
          <w:tab w:val="left" w:pos="5580"/>
        </w:tabs>
        <w:spacing w:line="360" w:lineRule="auto"/>
        <w:ind w:firstLine="420" w:firstLineChars="200"/>
        <w:rPr>
          <w:rFonts w:hAnsi="宋体" w:cs="宋体"/>
          <w:color w:val="000000"/>
          <w:spacing w:val="15"/>
          <w:sz w:val="21"/>
          <w:szCs w:val="21"/>
          <w:u w:val="single"/>
        </w:rPr>
      </w:pPr>
      <w:r>
        <w:rPr>
          <w:rFonts w:hint="eastAsia" w:hAnsi="宋体" w:cs="宋体"/>
          <w:color w:val="000000"/>
          <w:sz w:val="21"/>
          <w:szCs w:val="21"/>
        </w:rPr>
        <w:t>（1）</w:t>
      </w:r>
      <w:r>
        <w:rPr>
          <w:rFonts w:hint="eastAsia" w:hAnsi="宋体"/>
          <w:color w:val="000000"/>
          <w:sz w:val="21"/>
          <w:szCs w:val="21"/>
        </w:rPr>
        <w:t>附投标价格表中规定的应提供产品（货物、服务、工程）</w:t>
      </w:r>
      <w:r>
        <w:rPr>
          <w:rFonts w:hAnsi="宋体"/>
          <w:color w:val="000000"/>
          <w:sz w:val="21"/>
          <w:szCs w:val="21"/>
        </w:rPr>
        <w:t>的</w:t>
      </w:r>
      <w:r>
        <w:rPr>
          <w:rFonts w:hint="eastAsia" w:hAnsi="宋体"/>
          <w:color w:val="000000"/>
          <w:sz w:val="21"/>
          <w:szCs w:val="21"/>
        </w:rPr>
        <w:t>投标总价详见报价一览表。</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（2）本投标有效期为自</w:t>
      </w:r>
      <w:r>
        <w:rPr>
          <w:rFonts w:hint="eastAsia" w:hAnsi="宋体"/>
          <w:color w:val="000000"/>
          <w:sz w:val="21"/>
          <w:szCs w:val="21"/>
        </w:rPr>
        <w:t>提交响应文件截止之日</w:t>
      </w:r>
      <w:r>
        <w:rPr>
          <w:rFonts w:hint="eastAsia" w:hAnsi="宋体" w:cs="宋体"/>
          <w:color w:val="000000"/>
          <w:sz w:val="21"/>
          <w:szCs w:val="21"/>
        </w:rPr>
        <w:t>起</w:t>
      </w:r>
      <w:r>
        <w:rPr>
          <w:rFonts w:hint="eastAsia" w:hAnsi="宋体" w:cs="宋体"/>
          <w:color w:val="000000"/>
          <w:sz w:val="21"/>
          <w:szCs w:val="21"/>
          <w:u w:val="single"/>
        </w:rPr>
        <w:t>60</w:t>
      </w:r>
      <w:r>
        <w:rPr>
          <w:rFonts w:hint="eastAsia" w:hAnsi="宋体" w:cs="宋体"/>
          <w:color w:val="000000"/>
          <w:sz w:val="21"/>
          <w:szCs w:val="21"/>
        </w:rPr>
        <w:t>个日历日。</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（3）已详细审查全部采购文件，包括所有补充通知（如果有的话），完全理解并同意放弃对这方面有不明、误解和质疑的权力。</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（4）在规定的开标时间后，遵守采购文件中有关保证金的规定。</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（5）我方不是为本项目提供整体设计、规范编制或者项目管理、监理、检测等服务的供应商，我方不是采购代理机构的附属机构。</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（6）在领取成交通知书的同时按采购文件规定的形式，向盐城市携手阳光集中采购代理有限公司一次性支付</w:t>
      </w:r>
      <w:r>
        <w:rPr>
          <w:rFonts w:hint="eastAsia" w:hAnsi="宋体"/>
          <w:color w:val="000000"/>
          <w:sz w:val="21"/>
          <w:szCs w:val="21"/>
        </w:rPr>
        <w:t>代理</w:t>
      </w:r>
      <w:r>
        <w:rPr>
          <w:rFonts w:hint="eastAsia" w:hAnsi="宋体" w:cs="宋体"/>
          <w:color w:val="000000"/>
          <w:sz w:val="21"/>
          <w:szCs w:val="21"/>
        </w:rPr>
        <w:t>服务费。</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（7）按照贵方可能要求，提供与其投标有关的一切数据或资料，完全理解贵方不一定接受最低价的投标或收到的任何投标。</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（8）按照采购文件的规定履行合同责任和义务。</w:t>
      </w:r>
    </w:p>
    <w:p>
      <w:pPr>
        <w:pStyle w:val="17"/>
        <w:tabs>
          <w:tab w:val="left" w:pos="5580"/>
        </w:tabs>
        <w:spacing w:line="360" w:lineRule="auto"/>
        <w:ind w:firstLine="422" w:firstLineChars="200"/>
        <w:rPr>
          <w:rFonts w:hAnsi="宋体" w:cs="宋体"/>
          <w:b/>
          <w:color w:val="000000"/>
          <w:sz w:val="21"/>
          <w:szCs w:val="21"/>
          <w:u w:val="single"/>
        </w:rPr>
      </w:pPr>
      <w:r>
        <w:rPr>
          <w:rFonts w:hint="eastAsia" w:hAnsi="宋体" w:cs="宋体"/>
          <w:b/>
          <w:color w:val="000000"/>
          <w:sz w:val="21"/>
          <w:szCs w:val="21"/>
          <w:u w:val="single"/>
        </w:rPr>
        <w:t>（9）评审期间，如采购人或携手阳光相关工作人员无法与我方委托代理人联系（联系电话：</w:t>
      </w:r>
      <w:r>
        <w:rPr>
          <w:rFonts w:hint="eastAsia" w:hAnsi="宋体" w:cs="宋体"/>
          <w:b/>
          <w:i/>
          <w:color w:val="000000"/>
          <w:sz w:val="21"/>
          <w:szCs w:val="21"/>
          <w:u w:val="single"/>
        </w:rPr>
        <w:t>手机号</w:t>
      </w:r>
      <w:r>
        <w:rPr>
          <w:rFonts w:hint="eastAsia" w:hAnsi="宋体" w:cs="宋体"/>
          <w:b/>
          <w:color w:val="000000"/>
          <w:sz w:val="21"/>
          <w:szCs w:val="21"/>
          <w:u w:val="single"/>
        </w:rPr>
        <w:t>）或我方法定代表人或其委托代理人接到通知后15分钟内未及时向评审人员进行澄清（含提供相关证明材料等）等情形的，评审人员有权视为我方放弃澄清等相关所有权益（以贵方或评审人员理解为准）。</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与本投标有关的一切正式往来信函请寄：</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地址：</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供应商（须盖单位章）：</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法定代表人或其委托代理人(须签字或盖章)：</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电子函件或传真：</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日期：</w:t>
      </w:r>
    </w:p>
    <w:p>
      <w:pPr>
        <w:spacing w:line="480" w:lineRule="auto"/>
        <w:rPr>
          <w:rFonts w:ascii="宋体" w:hAnsi="宋体" w:cs="宋体"/>
          <w:b/>
          <w:color w:val="000000"/>
          <w:sz w:val="28"/>
          <w:szCs w:val="28"/>
          <w:u w:val="single"/>
        </w:rPr>
      </w:pPr>
    </w:p>
    <w:p>
      <w:pPr>
        <w:spacing w:line="540" w:lineRule="atLeast"/>
        <w:jc w:val="center"/>
        <w:rPr>
          <w:rFonts w:ascii="宋体" w:hAnsi="宋体"/>
          <w:b/>
          <w:color w:val="000000"/>
          <w:sz w:val="28"/>
          <w:szCs w:val="28"/>
        </w:rPr>
      </w:pPr>
    </w:p>
    <w:p>
      <w:pPr>
        <w:spacing w:line="540" w:lineRule="atLeast"/>
        <w:jc w:val="center"/>
        <w:outlineLvl w:val="1"/>
        <w:rPr>
          <w:rFonts w:ascii="宋体" w:hAnsi="宋体" w:cs="宋体"/>
          <w:b/>
          <w:color w:val="000000"/>
          <w:sz w:val="28"/>
          <w:szCs w:val="28"/>
        </w:rPr>
      </w:pPr>
      <w:bookmarkStart w:id="212" w:name="_Toc122338107"/>
      <w:r>
        <w:rPr>
          <w:rFonts w:hint="eastAsia" w:ascii="宋体" w:hAnsi="宋体"/>
          <w:b/>
          <w:color w:val="000000"/>
          <w:sz w:val="28"/>
          <w:szCs w:val="28"/>
        </w:rPr>
        <w:t>五、盐城市政府采购事前信用承诺书（格式）</w:t>
      </w:r>
      <w:bookmarkEnd w:id="212"/>
    </w:p>
    <w:p>
      <w:pPr>
        <w:ind w:firstLine="420" w:firstLineChars="200"/>
        <w:jc w:val="left"/>
        <w:rPr>
          <w:rFonts w:ascii="宋体" w:hAnsi="宋体"/>
          <w:color w:val="000000"/>
          <w:szCs w:val="21"/>
        </w:rPr>
      </w:pPr>
    </w:p>
    <w:p>
      <w:pPr>
        <w:spacing w:line="540" w:lineRule="atLeast"/>
        <w:ind w:firstLine="420" w:firstLineChars="200"/>
        <w:jc w:val="left"/>
        <w:rPr>
          <w:rFonts w:ascii="宋体" w:hAnsi="宋体" w:cs="宋体"/>
          <w:b/>
          <w:color w:val="000000"/>
          <w:sz w:val="28"/>
          <w:szCs w:val="28"/>
        </w:rPr>
      </w:pPr>
      <w:r>
        <w:rPr>
          <w:rFonts w:hint="eastAsia" w:ascii="宋体" w:hAnsi="宋体"/>
          <w:color w:val="000000"/>
          <w:szCs w:val="21"/>
        </w:rPr>
        <w:t>为营造我市公开、公平、公正、诚实守信的政府采购交易环境，树立诚信守法的投标供应商形象，本人代表本单位作出以下承诺：</w:t>
      </w:r>
    </w:p>
    <w:p>
      <w:pPr>
        <w:widowControl/>
        <w:spacing w:line="540" w:lineRule="atLeast"/>
        <w:jc w:val="left"/>
        <w:rPr>
          <w:rFonts w:ascii="宋体" w:hAnsi="宋体"/>
          <w:color w:val="000000"/>
          <w:szCs w:val="21"/>
        </w:rPr>
      </w:pPr>
      <w:r>
        <w:rPr>
          <w:rFonts w:hint="eastAsia" w:ascii="宋体" w:hAnsi="宋体"/>
          <w:color w:val="000000"/>
          <w:szCs w:val="21"/>
        </w:rPr>
        <w:t xml:space="preserve">    （一）本单位对所提交的企（事）业单位基本信息、企（事）业负责人、项目负责人、技术负责人、从业资质和资格、业绩、财务状况、信誉等所有资料，均合法、真实、准确、有效，无任何伪造、修改、虚假成份，并对所提供资料的真实性负责；</w:t>
      </w:r>
    </w:p>
    <w:p>
      <w:pPr>
        <w:widowControl/>
        <w:spacing w:line="540" w:lineRule="atLeast"/>
        <w:ind w:firstLine="420" w:firstLineChars="200"/>
        <w:jc w:val="left"/>
        <w:rPr>
          <w:rFonts w:ascii="宋体" w:hAnsi="宋体"/>
          <w:color w:val="000000"/>
          <w:szCs w:val="21"/>
        </w:rPr>
      </w:pPr>
      <w:r>
        <w:rPr>
          <w:rFonts w:hint="eastAsia" w:ascii="宋体" w:hAnsi="宋体"/>
          <w:color w:val="000000"/>
          <w:szCs w:val="21"/>
        </w:rPr>
        <w:t>（二）本单位无涉及政府采购活动的违法、违规不良记录，我公司及相关负责人无因存在重大隐患整改不力、发生有重大社会影响生产安全事故或其他严重违法违规行为而被列入失信联合惩戒的不良记录；</w:t>
      </w:r>
    </w:p>
    <w:p>
      <w:pPr>
        <w:widowControl/>
        <w:spacing w:line="540" w:lineRule="atLeast"/>
        <w:jc w:val="left"/>
        <w:rPr>
          <w:rFonts w:ascii="宋体" w:hAnsi="宋体"/>
          <w:color w:val="000000"/>
          <w:szCs w:val="21"/>
        </w:rPr>
      </w:pPr>
      <w:r>
        <w:rPr>
          <w:rFonts w:hint="eastAsia" w:ascii="宋体" w:hAnsi="宋体"/>
          <w:color w:val="000000"/>
          <w:szCs w:val="21"/>
        </w:rPr>
        <w:t xml:space="preserve">   （三）严格依照国家和省、市关于政府采购的法律、法规、规章、规范性文件，参加政府采购投标活动；积极履行社会责任，促进廉政建设； </w:t>
      </w:r>
    </w:p>
    <w:p>
      <w:pPr>
        <w:widowControl/>
        <w:spacing w:line="540" w:lineRule="atLeast"/>
        <w:jc w:val="left"/>
        <w:rPr>
          <w:rFonts w:ascii="宋体" w:hAnsi="宋体"/>
          <w:color w:val="000000"/>
          <w:szCs w:val="21"/>
        </w:rPr>
      </w:pPr>
      <w:r>
        <w:rPr>
          <w:rFonts w:hint="eastAsia" w:ascii="宋体" w:hAnsi="宋体"/>
          <w:color w:val="000000"/>
          <w:szCs w:val="21"/>
        </w:rPr>
        <w:t>   （四）严格遵守即时信息公示规定，及时维护和更新盐城市政府采购网中与本单位相关的信息；</w:t>
      </w:r>
    </w:p>
    <w:p>
      <w:pPr>
        <w:widowControl/>
        <w:spacing w:line="540" w:lineRule="atLeast"/>
        <w:jc w:val="left"/>
        <w:rPr>
          <w:rFonts w:ascii="宋体" w:hAnsi="宋体"/>
          <w:color w:val="000000"/>
          <w:szCs w:val="21"/>
        </w:rPr>
      </w:pPr>
      <w:r>
        <w:rPr>
          <w:rFonts w:hint="eastAsia" w:ascii="宋体" w:hAnsi="宋体"/>
          <w:color w:val="000000"/>
          <w:szCs w:val="21"/>
        </w:rPr>
        <w:t>   （五）自我约束、自我管理，守合同、重信用，自觉维护政府采购交易的良好秩序，与参与本次政府采购活动的其他供应商不存在直接控股或管理关系，不参与围标串标、弄虚作假、骗取中标（成交）、干扰评审、违约毁约等行为；</w:t>
      </w:r>
    </w:p>
    <w:p>
      <w:pPr>
        <w:widowControl/>
        <w:spacing w:line="540" w:lineRule="atLeast"/>
        <w:jc w:val="left"/>
        <w:rPr>
          <w:rFonts w:ascii="宋体" w:hAnsi="宋体"/>
          <w:color w:val="000000"/>
          <w:szCs w:val="21"/>
        </w:rPr>
      </w:pPr>
      <w:r>
        <w:rPr>
          <w:rFonts w:hint="eastAsia" w:ascii="宋体" w:hAnsi="宋体"/>
          <w:color w:val="000000"/>
          <w:szCs w:val="21"/>
        </w:rPr>
        <w:t>   （六）自觉接受政府、行业组织、社会公众、新闻舆论的监督；</w:t>
      </w:r>
    </w:p>
    <w:p>
      <w:pPr>
        <w:widowControl/>
        <w:spacing w:line="540" w:lineRule="atLeast"/>
        <w:ind w:firstLine="420" w:firstLineChars="200"/>
        <w:jc w:val="left"/>
        <w:rPr>
          <w:rFonts w:ascii="宋体" w:hAnsi="宋体"/>
          <w:color w:val="000000"/>
          <w:szCs w:val="21"/>
        </w:rPr>
      </w:pPr>
      <w:r>
        <w:rPr>
          <w:rFonts w:hint="eastAsia" w:ascii="宋体" w:hAnsi="宋体"/>
          <w:color w:val="000000"/>
          <w:szCs w:val="21"/>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pPr>
        <w:widowControl/>
        <w:spacing w:line="540" w:lineRule="atLeast"/>
        <w:jc w:val="left"/>
        <w:rPr>
          <w:rFonts w:ascii="宋体" w:hAnsi="宋体"/>
          <w:color w:val="000000"/>
          <w:szCs w:val="21"/>
        </w:rPr>
      </w:pPr>
      <w:r>
        <w:rPr>
          <w:rFonts w:hint="eastAsia" w:ascii="宋体" w:hAnsi="宋体"/>
          <w:color w:val="000000"/>
          <w:szCs w:val="21"/>
        </w:rPr>
        <w:t>   （八）本人已认真阅读了上述承诺，并向本单位员工作了宣传教育。</w:t>
      </w:r>
    </w:p>
    <w:p>
      <w:pPr>
        <w:pStyle w:val="17"/>
        <w:tabs>
          <w:tab w:val="left" w:pos="5580"/>
        </w:tabs>
        <w:spacing w:line="360" w:lineRule="auto"/>
        <w:ind w:firstLine="400" w:firstLineChars="200"/>
        <w:rPr>
          <w:rFonts w:hAnsi="宋体" w:cs="宋体"/>
          <w:color w:val="000000"/>
        </w:rPr>
      </w:pPr>
    </w:p>
    <w:p>
      <w:pPr>
        <w:pStyle w:val="17"/>
        <w:tabs>
          <w:tab w:val="left" w:pos="5580"/>
        </w:tabs>
        <w:spacing w:line="360" w:lineRule="auto"/>
        <w:ind w:firstLine="400" w:firstLineChars="200"/>
        <w:rPr>
          <w:rFonts w:hAnsi="宋体" w:cs="宋体"/>
          <w:color w:val="000000"/>
        </w:rPr>
      </w:pPr>
    </w:p>
    <w:p>
      <w:pPr>
        <w:pStyle w:val="17"/>
        <w:tabs>
          <w:tab w:val="left" w:pos="5580"/>
        </w:tabs>
        <w:spacing w:line="360" w:lineRule="auto"/>
        <w:ind w:firstLine="5250" w:firstLineChars="2500"/>
        <w:rPr>
          <w:rFonts w:hAnsi="宋体" w:cs="宋体"/>
          <w:color w:val="000000"/>
          <w:sz w:val="21"/>
          <w:szCs w:val="21"/>
        </w:rPr>
      </w:pPr>
      <w:r>
        <w:rPr>
          <w:rFonts w:hint="eastAsia" w:hAnsi="宋体" w:cs="宋体"/>
          <w:color w:val="000000"/>
          <w:sz w:val="21"/>
          <w:szCs w:val="21"/>
        </w:rPr>
        <w:t>供应商（须盖单位章）：</w:t>
      </w:r>
    </w:p>
    <w:p>
      <w:pPr>
        <w:pStyle w:val="17"/>
        <w:tabs>
          <w:tab w:val="left" w:pos="5580"/>
        </w:tabs>
        <w:spacing w:line="360" w:lineRule="auto"/>
        <w:ind w:firstLine="5250" w:firstLineChars="2500"/>
        <w:rPr>
          <w:rFonts w:hAnsi="宋体" w:cs="宋体"/>
          <w:color w:val="000000"/>
          <w:sz w:val="21"/>
          <w:szCs w:val="21"/>
        </w:rPr>
      </w:pPr>
      <w:r>
        <w:rPr>
          <w:rFonts w:hint="eastAsia" w:hAnsi="宋体" w:cs="宋体"/>
          <w:color w:val="000000"/>
          <w:sz w:val="21"/>
          <w:szCs w:val="21"/>
        </w:rPr>
        <w:t>法定代表人 (须签字或盖章)：</w:t>
      </w:r>
    </w:p>
    <w:p>
      <w:pPr>
        <w:pStyle w:val="17"/>
        <w:tabs>
          <w:tab w:val="left" w:pos="5580"/>
        </w:tabs>
        <w:spacing w:line="360" w:lineRule="auto"/>
        <w:ind w:firstLine="5250" w:firstLineChars="2500"/>
        <w:rPr>
          <w:rFonts w:hAnsi="宋体" w:cs="宋体"/>
          <w:color w:val="000000"/>
          <w:sz w:val="21"/>
          <w:szCs w:val="21"/>
        </w:rPr>
      </w:pPr>
      <w:r>
        <w:rPr>
          <w:rFonts w:hint="eastAsia" w:hAnsi="宋体" w:cs="宋体"/>
          <w:color w:val="000000"/>
          <w:sz w:val="21"/>
          <w:szCs w:val="21"/>
        </w:rPr>
        <w:t>日期：   年  月  日</w:t>
      </w:r>
    </w:p>
    <w:p>
      <w:pPr>
        <w:spacing w:line="540" w:lineRule="atLeast"/>
        <w:rPr>
          <w:rFonts w:ascii="宋体" w:hAnsi="宋体"/>
          <w:b/>
          <w:color w:val="000000"/>
          <w:sz w:val="28"/>
          <w:szCs w:val="28"/>
        </w:rPr>
      </w:pPr>
    </w:p>
    <w:p>
      <w:pPr>
        <w:pStyle w:val="23"/>
        <w:ind w:left="3360"/>
      </w:pPr>
    </w:p>
    <w:p>
      <w:pPr>
        <w:spacing w:line="540" w:lineRule="atLeast"/>
        <w:jc w:val="center"/>
        <w:outlineLvl w:val="1"/>
        <w:rPr>
          <w:rFonts w:ascii="宋体" w:hAnsi="宋体"/>
          <w:b/>
          <w:color w:val="000000"/>
          <w:sz w:val="28"/>
          <w:szCs w:val="28"/>
        </w:rPr>
      </w:pPr>
      <w:bookmarkStart w:id="213" w:name="_Toc122338108"/>
      <w:r>
        <w:rPr>
          <w:rFonts w:hint="eastAsia" w:ascii="宋体" w:hAnsi="宋体"/>
          <w:b/>
          <w:color w:val="000000"/>
          <w:sz w:val="28"/>
          <w:szCs w:val="28"/>
        </w:rPr>
        <w:t>六、商务条款偏离表（格式）</w:t>
      </w:r>
      <w:bookmarkEnd w:id="213"/>
    </w:p>
    <w:tbl>
      <w:tblPr>
        <w:tblStyle w:val="30"/>
        <w:tblW w:w="8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752"/>
        <w:gridCol w:w="3826"/>
        <w:gridCol w:w="1560"/>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239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项目编号</w:t>
            </w:r>
          </w:p>
        </w:tc>
        <w:tc>
          <w:tcPr>
            <w:tcW w:w="653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239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项目名称</w:t>
            </w:r>
          </w:p>
        </w:tc>
        <w:tc>
          <w:tcPr>
            <w:tcW w:w="653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序号</w:t>
            </w:r>
          </w:p>
        </w:tc>
        <w:tc>
          <w:tcPr>
            <w:tcW w:w="17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名称</w:t>
            </w:r>
          </w:p>
        </w:tc>
        <w:tc>
          <w:tcPr>
            <w:tcW w:w="38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采购文件的商务条款</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供应商响应</w:t>
            </w:r>
          </w:p>
        </w:tc>
        <w:tc>
          <w:tcPr>
            <w:tcW w:w="1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供应商的关联性</w:t>
            </w:r>
          </w:p>
        </w:tc>
        <w:tc>
          <w:tcPr>
            <w:tcW w:w="38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szCs w:val="21"/>
              </w:rPr>
              <w:t>单位负责人为同一人或者存在直接控股、管理关系的不同供应商，不得参加同一合同项下的政府采购活动</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i/>
                <w:szCs w:val="21"/>
                <w:u w:val="single"/>
              </w:rPr>
            </w:pPr>
            <w:r>
              <w:rPr>
                <w:rFonts w:ascii="宋体" w:hAnsi="宋体"/>
                <w:b/>
                <w:i/>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szCs w:val="21"/>
              </w:rPr>
              <w:t>公平竞争原则</w:t>
            </w:r>
          </w:p>
        </w:tc>
        <w:tc>
          <w:tcPr>
            <w:tcW w:w="38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r>
              <w:rPr>
                <w:rFonts w:hint="eastAsia" w:ascii="宋体" w:hAnsi="宋体" w:cs="宋体"/>
                <w:szCs w:val="21"/>
              </w:rPr>
              <w:t>为采购项目提供整体设计、规范编制或者项目管理、监理、检测等服务的供应商，不得再参加该采购项目的其他采购活动</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ascii="宋体" w:hAnsi="宋体"/>
                <w:b/>
                <w:i/>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bCs/>
              </w:rPr>
              <w:t>失信被执行人、重大税收违法案件当事人名单，以及重大违法纪录</w:t>
            </w:r>
          </w:p>
        </w:tc>
        <w:tc>
          <w:tcPr>
            <w:tcW w:w="38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供应商不得</w:t>
            </w:r>
            <w:r>
              <w:rPr>
                <w:rFonts w:hint="eastAsia" w:ascii="宋体" w:hAnsi="宋体" w:cs="宋体"/>
                <w:bCs/>
              </w:rPr>
              <w:t>在中国政府采购网被列入政府采购严重违法失信行为记录名单，或在“信用中国”网站被列入失信被执行人、重大税收违法案件当事人名单，以及存在《政府采购法实施条例》第十九条规定的行政处罚记录</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ascii="宋体" w:hAnsi="宋体"/>
                <w:b/>
                <w:i/>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投标有效期满足要求</w:t>
            </w:r>
          </w:p>
        </w:tc>
        <w:tc>
          <w:tcPr>
            <w:tcW w:w="3826"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提交响应文件截止之日起</w:t>
            </w:r>
            <w:r>
              <w:rPr>
                <w:rFonts w:hint="eastAsia" w:ascii="宋体" w:hAnsi="宋体"/>
                <w:u w:val="single"/>
              </w:rPr>
              <w:t>60</w:t>
            </w:r>
            <w:r>
              <w:rPr>
                <w:rFonts w:hint="eastAsia" w:ascii="宋体" w:hAnsi="宋体"/>
              </w:rPr>
              <w:t>个日历日</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ascii="宋体" w:hAnsi="宋体"/>
                <w:b/>
                <w:i/>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szCs w:val="21"/>
              </w:rPr>
              <w:t>响应文件格式及要求</w:t>
            </w:r>
          </w:p>
        </w:tc>
        <w:tc>
          <w:tcPr>
            <w:tcW w:w="38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r>
              <w:rPr>
                <w:rFonts w:hint="eastAsia" w:ascii="宋体" w:hAnsi="宋体" w:cs="宋体"/>
                <w:szCs w:val="21"/>
              </w:rPr>
              <w:t>按采购文件提供的响应文件格式及要求编写响应文件</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ascii="宋体" w:hAnsi="宋体"/>
                <w:b/>
                <w:i/>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响应文件的签署和盖章符合要求</w:t>
            </w:r>
          </w:p>
        </w:tc>
        <w:tc>
          <w:tcPr>
            <w:tcW w:w="38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r>
              <w:rPr>
                <w:rFonts w:hint="eastAsia" w:ascii="宋体" w:hAnsi="宋体"/>
                <w:szCs w:val="21"/>
              </w:rPr>
              <w:t>按照采购文件规定要求签署、盖章。</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ascii="宋体" w:hAnsi="宋体"/>
                <w:b/>
                <w:i/>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7</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满足投标范围的完整性要求</w:t>
            </w:r>
          </w:p>
        </w:tc>
        <w:tc>
          <w:tcPr>
            <w:tcW w:w="38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供应商</w:t>
            </w:r>
            <w:r>
              <w:rPr>
                <w:rFonts w:ascii="宋体" w:hAnsi="宋体" w:cs="宋体"/>
                <w:szCs w:val="21"/>
              </w:rPr>
              <w:t>对所投采购包</w:t>
            </w:r>
            <w:r>
              <w:rPr>
                <w:rFonts w:hint="eastAsia" w:ascii="宋体" w:hAnsi="宋体" w:cs="宋体"/>
                <w:szCs w:val="21"/>
              </w:rPr>
              <w:t>采购文件中所列的所有内容进行投标。</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ascii="宋体" w:hAnsi="宋体"/>
                <w:b/>
                <w:i/>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8</w:t>
            </w:r>
          </w:p>
        </w:tc>
        <w:tc>
          <w:tcPr>
            <w:tcW w:w="17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接受采购人的付款方式，对采购文件中的实质性要求无负偏离</w:t>
            </w:r>
          </w:p>
        </w:tc>
        <w:tc>
          <w:tcPr>
            <w:tcW w:w="382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接受采购人采购资金的支付方式、时间、条件（付款方式），对采购文件要求的免费质保期（合同履行期限）、交付或者实施的时间、地点等实质性要求无负偏离。</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ascii="宋体" w:hAnsi="宋体"/>
                <w:b/>
                <w:i/>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9</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szCs w:val="21"/>
              </w:rPr>
              <w:t>无采购人不能接受的附加条件</w:t>
            </w:r>
          </w:p>
        </w:tc>
        <w:tc>
          <w:tcPr>
            <w:tcW w:w="38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szCs w:val="21"/>
              </w:rPr>
              <w:t>响应文件未含有采购人不能接受的附加条件。</w:t>
            </w:r>
          </w:p>
        </w:tc>
        <w:tc>
          <w:tcPr>
            <w:tcW w:w="156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cs="宋体"/>
                <w:b/>
                <w:szCs w:val="21"/>
              </w:rPr>
            </w:pPr>
            <w:r>
              <w:rPr>
                <w:rFonts w:ascii="宋体" w:hAnsi="宋体"/>
                <w:b/>
                <w:i/>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3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11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752" w:type="dxa"/>
            <w:tcBorders>
              <w:top w:val="single" w:color="auto" w:sz="4" w:space="0"/>
              <w:left w:val="single" w:color="auto" w:sz="4" w:space="0"/>
              <w:bottom w:val="single" w:color="auto" w:sz="4" w:space="0"/>
              <w:right w:val="single" w:color="auto" w:sz="4" w:space="0"/>
            </w:tcBorders>
            <w:vAlign w:val="center"/>
          </w:tcPr>
          <w:p>
            <w:pPr>
              <w:pStyle w:val="17"/>
              <w:jc w:val="center"/>
              <w:rPr>
                <w:rFonts w:hAnsi="宋体" w:cs="Courier New"/>
                <w:kern w:val="2"/>
                <w:sz w:val="21"/>
                <w:szCs w:val="22"/>
              </w:rPr>
            </w:pPr>
          </w:p>
        </w:tc>
        <w:tc>
          <w:tcPr>
            <w:tcW w:w="38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u w:val="single"/>
              </w:rPr>
            </w:pPr>
          </w:p>
        </w:tc>
        <w:tc>
          <w:tcPr>
            <w:tcW w:w="15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11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752" w:type="dxa"/>
            <w:tcBorders>
              <w:top w:val="single" w:color="auto" w:sz="4" w:space="0"/>
              <w:left w:val="single" w:color="auto" w:sz="4" w:space="0"/>
              <w:bottom w:val="single" w:color="auto" w:sz="4" w:space="0"/>
              <w:right w:val="single" w:color="auto" w:sz="4" w:space="0"/>
            </w:tcBorders>
            <w:vAlign w:val="center"/>
          </w:tcPr>
          <w:p>
            <w:pPr>
              <w:pStyle w:val="17"/>
              <w:jc w:val="center"/>
              <w:rPr>
                <w:rFonts w:hAnsi="宋体" w:cs="Courier New"/>
                <w:kern w:val="2"/>
                <w:sz w:val="21"/>
                <w:szCs w:val="22"/>
              </w:rPr>
            </w:pPr>
          </w:p>
        </w:tc>
        <w:tc>
          <w:tcPr>
            <w:tcW w:w="382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szCs w:val="21"/>
                <w:u w:val="single"/>
              </w:rPr>
            </w:pPr>
          </w:p>
        </w:tc>
        <w:tc>
          <w:tcPr>
            <w:tcW w:w="15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11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752" w:type="dxa"/>
            <w:tcBorders>
              <w:top w:val="single" w:color="auto" w:sz="4" w:space="0"/>
              <w:left w:val="single" w:color="auto" w:sz="4" w:space="0"/>
              <w:bottom w:val="single" w:color="auto" w:sz="4" w:space="0"/>
              <w:right w:val="single" w:color="auto" w:sz="4" w:space="0"/>
            </w:tcBorders>
            <w:vAlign w:val="center"/>
          </w:tcPr>
          <w:p>
            <w:pPr>
              <w:rPr>
                <w:rFonts w:ascii="宋体" w:hAnsi="宋体"/>
                <w:i/>
                <w:szCs w:val="21"/>
                <w:u w:val="single"/>
              </w:rPr>
            </w:pPr>
          </w:p>
        </w:tc>
        <w:tc>
          <w:tcPr>
            <w:tcW w:w="38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i/>
                <w:szCs w:val="21"/>
                <w:u w:val="single"/>
              </w:rPr>
            </w:pPr>
            <w:r>
              <w:rPr>
                <w:rFonts w:hint="eastAsia" w:ascii="宋体" w:hAnsi="宋体"/>
                <w:i/>
                <w:szCs w:val="21"/>
                <w:u w:val="single"/>
              </w:rPr>
              <w:t>行数不够，可按本表格式自行添加</w:t>
            </w:r>
          </w:p>
        </w:tc>
        <w:tc>
          <w:tcPr>
            <w:tcW w:w="15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11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923"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b/>
                <w:szCs w:val="21"/>
                <w:u w:val="single"/>
              </w:rPr>
            </w:pPr>
            <w:r>
              <w:rPr>
                <w:rFonts w:hint="eastAsia" w:ascii="宋体" w:hAnsi="宋体"/>
                <w:b/>
                <w:szCs w:val="21"/>
                <w:u w:val="single"/>
              </w:rPr>
              <w:t>法定代表人或其委托</w:t>
            </w:r>
            <w:r>
              <w:rPr>
                <w:rFonts w:ascii="宋体" w:hAnsi="宋体"/>
                <w:b/>
                <w:szCs w:val="21"/>
                <w:u w:val="single"/>
              </w:rPr>
              <w:t>代理人</w:t>
            </w:r>
            <w:r>
              <w:rPr>
                <w:rFonts w:hint="eastAsia" w:ascii="宋体" w:hAnsi="宋体"/>
                <w:b/>
                <w:szCs w:val="21"/>
                <w:u w:val="single"/>
              </w:rPr>
              <w:t xml:space="preserve">（签字）：                       </w:t>
            </w:r>
            <w:r>
              <w:rPr>
                <w:rFonts w:hint="eastAsia" w:ascii="宋体" w:hAnsi="宋体"/>
                <w:b/>
                <w:szCs w:val="21"/>
                <w:u w:val="single"/>
              </w:rPr>
              <w:tab/>
            </w:r>
          </w:p>
          <w:p>
            <w:pPr>
              <w:rPr>
                <w:rFonts w:ascii="宋体" w:hAnsi="宋体" w:cs="宋体"/>
                <w:szCs w:val="21"/>
              </w:rPr>
            </w:pPr>
            <w:r>
              <w:rPr>
                <w:rFonts w:hint="eastAsia" w:ascii="宋体" w:hAnsi="宋体"/>
                <w:b/>
                <w:szCs w:val="21"/>
                <w:u w:val="single"/>
              </w:rPr>
              <w:t xml:space="preserve">供应商(盖单位章)：                                                     </w:t>
            </w:r>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923"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w:t>
            </w:r>
            <w:r>
              <w:rPr>
                <w:rFonts w:ascii="宋体" w:hAnsi="宋体"/>
                <w:szCs w:val="21"/>
              </w:rPr>
              <w:t>供应商需按采购文件中对采购需求文档中的主要要求进行应答。</w:t>
            </w:r>
          </w:p>
          <w:p>
            <w:pPr>
              <w:rPr>
                <w:rFonts w:ascii="宋体" w:hAnsi="宋体"/>
                <w:szCs w:val="21"/>
              </w:rPr>
            </w:pPr>
            <w:r>
              <w:rPr>
                <w:rFonts w:hint="eastAsia" w:ascii="宋体" w:hAnsi="宋体"/>
                <w:szCs w:val="21"/>
              </w:rPr>
              <w:t xml:space="preserve">    </w:t>
            </w:r>
            <w:r>
              <w:rPr>
                <w:rFonts w:ascii="宋体" w:hAnsi="宋体"/>
                <w:szCs w:val="21"/>
              </w:rPr>
              <w:t>2</w:t>
            </w:r>
            <w:r>
              <w:rPr>
                <w:rFonts w:hint="eastAsia" w:ascii="宋体" w:hAnsi="宋体"/>
                <w:szCs w:val="21"/>
              </w:rPr>
              <w:t>.</w:t>
            </w:r>
            <w:r>
              <w:rPr>
                <w:rFonts w:ascii="宋体" w:hAnsi="宋体"/>
                <w:szCs w:val="21"/>
              </w:rPr>
              <w:t>用“满足/不满足/”响应来表明该要求是否被满足。</w:t>
            </w:r>
          </w:p>
        </w:tc>
      </w:tr>
    </w:tbl>
    <w:p>
      <w:pPr>
        <w:spacing w:line="360" w:lineRule="auto"/>
        <w:rPr>
          <w:rFonts w:ascii="宋体" w:hAnsi="宋体"/>
          <w:b/>
          <w:color w:val="000000"/>
          <w:sz w:val="24"/>
        </w:rPr>
      </w:pPr>
    </w:p>
    <w:p>
      <w:pPr>
        <w:spacing w:line="360" w:lineRule="auto"/>
        <w:rPr>
          <w:rFonts w:ascii="宋体" w:hAnsi="宋体" w:cs="宋体"/>
          <w:b/>
          <w:color w:val="000000"/>
          <w:sz w:val="28"/>
          <w:szCs w:val="28"/>
        </w:rPr>
      </w:pPr>
      <w:bookmarkStart w:id="214" w:name="_Toc122338109"/>
    </w:p>
    <w:bookmarkEnd w:id="214"/>
    <w:p>
      <w:pPr>
        <w:spacing w:line="360" w:lineRule="auto"/>
        <w:rPr>
          <w:rFonts w:ascii="宋体" w:hAnsi="宋体" w:cs="宋体"/>
          <w:b/>
          <w:color w:val="000000"/>
          <w:sz w:val="28"/>
          <w:szCs w:val="28"/>
        </w:rPr>
        <w:sectPr>
          <w:headerReference r:id="rId4" w:type="default"/>
          <w:footerReference r:id="rId5" w:type="default"/>
          <w:pgSz w:w="11906" w:h="16838"/>
          <w:pgMar w:top="1134" w:right="1077" w:bottom="1418" w:left="1191" w:header="851" w:footer="992" w:gutter="0"/>
          <w:cols w:space="720" w:num="1"/>
          <w:docGrid w:type="lines" w:linePitch="312" w:charSpace="0"/>
        </w:sectPr>
      </w:pPr>
    </w:p>
    <w:p>
      <w:pPr>
        <w:pStyle w:val="14"/>
        <w:ind w:firstLine="0"/>
        <w:jc w:val="center"/>
        <w:outlineLvl w:val="1"/>
      </w:pPr>
      <w:bookmarkStart w:id="215" w:name="_Toc122338112"/>
      <w:r>
        <w:rPr>
          <w:rFonts w:hint="eastAsia"/>
          <w:b/>
          <w:sz w:val="28"/>
          <w:szCs w:val="28"/>
        </w:rPr>
        <w:t>七、技术规格（采购需求）偏离表</w:t>
      </w:r>
      <w:bookmarkEnd w:id="215"/>
    </w:p>
    <w:tbl>
      <w:tblPr>
        <w:tblStyle w:val="30"/>
        <w:tblpPr w:leftFromText="180" w:rightFromText="180" w:vertAnchor="text" w:horzAnchor="margin" w:tblpXSpec="center" w:tblpY="61"/>
        <w:tblW w:w="93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216"/>
        <w:gridCol w:w="2569"/>
        <w:gridCol w:w="236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86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项目编号</w:t>
            </w:r>
          </w:p>
        </w:tc>
        <w:tc>
          <w:tcPr>
            <w:tcW w:w="649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86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项目名称</w:t>
            </w:r>
          </w:p>
        </w:tc>
        <w:tc>
          <w:tcPr>
            <w:tcW w:w="649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86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采购包号</w:t>
            </w:r>
          </w:p>
        </w:tc>
        <w:tc>
          <w:tcPr>
            <w:tcW w:w="649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i/>
                <w:szCs w:val="21"/>
              </w:rPr>
            </w:pPr>
            <w:r>
              <w:rPr>
                <w:rFonts w:hint="eastAsia" w:ascii="宋体" w:hAnsi="宋体" w:cs="宋体"/>
                <w:i/>
                <w:szCs w:val="21"/>
              </w:rPr>
              <w:t>（未注明采购包号的可不填写）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序号</w:t>
            </w:r>
          </w:p>
        </w:tc>
        <w:tc>
          <w:tcPr>
            <w:tcW w:w="22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名称（品目）</w:t>
            </w:r>
          </w:p>
        </w:tc>
        <w:tc>
          <w:tcPr>
            <w:tcW w:w="25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采购文件要求</w:t>
            </w:r>
          </w:p>
        </w:tc>
        <w:tc>
          <w:tcPr>
            <w:tcW w:w="2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供应商响应（承诺）</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2216" w:type="dxa"/>
            <w:tcBorders>
              <w:top w:val="single" w:color="auto" w:sz="4" w:space="0"/>
              <w:left w:val="single" w:color="auto" w:sz="4" w:space="0"/>
              <w:bottom w:val="single" w:color="auto" w:sz="4" w:space="0"/>
              <w:right w:val="single" w:color="auto" w:sz="4" w:space="0"/>
            </w:tcBorders>
            <w:vAlign w:val="center"/>
          </w:tcPr>
          <w:p>
            <w:pPr>
              <w:rPr>
                <w:i/>
                <w:u w:val="single"/>
              </w:rPr>
            </w:pPr>
            <w:r>
              <w:rPr>
                <w:rFonts w:hint="eastAsia"/>
                <w:i/>
                <w:u w:val="single"/>
              </w:rPr>
              <w:t>例：“</w:t>
            </w:r>
            <w:r>
              <w:rPr>
                <w:i/>
                <w:u w:val="single"/>
              </w:rPr>
              <w:t>服务方式</w:t>
            </w:r>
            <w:r>
              <w:rPr>
                <w:rFonts w:hint="eastAsia"/>
                <w:i/>
                <w:u w:val="single"/>
              </w:rPr>
              <w:t>”</w:t>
            </w:r>
          </w:p>
          <w:p>
            <w:pPr>
              <w:rPr>
                <w:i/>
                <w:u w:val="single"/>
              </w:rPr>
            </w:pPr>
            <w:r>
              <w:rPr>
                <w:i/>
                <w:u w:val="single"/>
              </w:rPr>
              <w:t>（注：仅</w:t>
            </w:r>
            <w:r>
              <w:rPr>
                <w:rFonts w:hint="eastAsia"/>
                <w:i/>
                <w:u w:val="single"/>
              </w:rPr>
              <w:t>示</w:t>
            </w:r>
            <w:r>
              <w:rPr>
                <w:i/>
                <w:u w:val="single"/>
              </w:rPr>
              <w:t>例</w:t>
            </w:r>
            <w:r>
              <w:rPr>
                <w:rFonts w:hint="eastAsia"/>
                <w:i/>
                <w:u w:val="single"/>
              </w:rPr>
              <w:t>如何填写，与投标内容无关）</w:t>
            </w:r>
          </w:p>
        </w:tc>
        <w:tc>
          <w:tcPr>
            <w:tcW w:w="2569" w:type="dxa"/>
            <w:tcBorders>
              <w:top w:val="single" w:color="auto" w:sz="4" w:space="0"/>
              <w:left w:val="single" w:color="auto" w:sz="4" w:space="0"/>
              <w:bottom w:val="single" w:color="auto" w:sz="4" w:space="0"/>
              <w:right w:val="single" w:color="auto" w:sz="4" w:space="0"/>
            </w:tcBorders>
            <w:vAlign w:val="center"/>
          </w:tcPr>
          <w:p>
            <w:pPr>
              <w:rPr>
                <w:i/>
                <w:u w:val="single"/>
              </w:rPr>
            </w:pPr>
            <w:r>
              <w:rPr>
                <w:rFonts w:hint="eastAsia"/>
                <w:i/>
                <w:u w:val="single"/>
              </w:rPr>
              <w:t>例：“须提供驻场服务”</w:t>
            </w:r>
          </w:p>
        </w:tc>
        <w:tc>
          <w:tcPr>
            <w:tcW w:w="2365" w:type="dxa"/>
            <w:tcBorders>
              <w:top w:val="single" w:color="auto" w:sz="4" w:space="0"/>
              <w:left w:val="single" w:color="auto" w:sz="4" w:space="0"/>
              <w:bottom w:val="single" w:color="auto" w:sz="4" w:space="0"/>
              <w:right w:val="single" w:color="auto" w:sz="4" w:space="0"/>
            </w:tcBorders>
            <w:vAlign w:val="center"/>
          </w:tcPr>
          <w:p>
            <w:pPr>
              <w:rPr>
                <w:i/>
                <w:u w:val="single"/>
              </w:rPr>
            </w:pPr>
            <w:r>
              <w:rPr>
                <w:rFonts w:hint="eastAsia"/>
                <w:i/>
                <w:u w:val="single"/>
              </w:rPr>
              <w:t>例1：“提供驻场服务人中3名……”；</w:t>
            </w:r>
          </w:p>
          <w:p>
            <w:pPr>
              <w:rPr>
                <w:i/>
                <w:u w:val="single"/>
              </w:rPr>
            </w:pPr>
            <w:r>
              <w:rPr>
                <w:rFonts w:hint="eastAsia"/>
                <w:i/>
                <w:u w:val="single"/>
              </w:rPr>
              <w:t>例2：“详见投标文件第55页”</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i/>
                <w:u w:val="single"/>
              </w:rPr>
            </w:pPr>
            <w:r>
              <w:rPr>
                <w:i/>
                <w:u w:val="single"/>
              </w:rPr>
              <w:t>满足/不满足/部分满足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2216" w:type="dxa"/>
            <w:tcBorders>
              <w:top w:val="single" w:color="auto" w:sz="4" w:space="0"/>
              <w:left w:val="single" w:color="auto" w:sz="4" w:space="0"/>
              <w:bottom w:val="single" w:color="auto" w:sz="4" w:space="0"/>
              <w:right w:val="single" w:color="auto" w:sz="4" w:space="0"/>
            </w:tcBorders>
            <w:vAlign w:val="center"/>
          </w:tcPr>
          <w:p>
            <w:pPr>
              <w:rPr>
                <w:b/>
                <w:i/>
                <w:u w:val="single"/>
              </w:rPr>
            </w:pPr>
          </w:p>
        </w:tc>
        <w:tc>
          <w:tcPr>
            <w:tcW w:w="2569" w:type="dxa"/>
            <w:tcBorders>
              <w:top w:val="single" w:color="auto" w:sz="4" w:space="0"/>
              <w:left w:val="single" w:color="auto" w:sz="4" w:space="0"/>
              <w:bottom w:val="single" w:color="auto" w:sz="4" w:space="0"/>
              <w:right w:val="single" w:color="auto" w:sz="4" w:space="0"/>
            </w:tcBorders>
            <w:vAlign w:val="center"/>
          </w:tcPr>
          <w:p>
            <w:pPr>
              <w:rPr>
                <w:b/>
                <w:i/>
                <w:u w:val="single"/>
              </w:rPr>
            </w:pPr>
          </w:p>
        </w:tc>
        <w:tc>
          <w:tcPr>
            <w:tcW w:w="2365" w:type="dxa"/>
            <w:tcBorders>
              <w:top w:val="single" w:color="auto" w:sz="4" w:space="0"/>
              <w:left w:val="single" w:color="auto" w:sz="4" w:space="0"/>
              <w:bottom w:val="single" w:color="auto" w:sz="4" w:space="0"/>
              <w:right w:val="single" w:color="auto" w:sz="4" w:space="0"/>
            </w:tcBorders>
            <w:vAlign w:val="center"/>
          </w:tcPr>
          <w:p>
            <w:pPr>
              <w:rPr>
                <w:i/>
                <w:u w:val="single"/>
              </w:rPr>
            </w:pPr>
            <w:r>
              <w:rPr>
                <w:rFonts w:hint="eastAsia"/>
                <w:i/>
                <w:u w:val="single"/>
              </w:rPr>
              <w:t>可另页详述（应答），</w:t>
            </w:r>
          </w:p>
          <w:p>
            <w:pPr>
              <w:rPr>
                <w:b/>
                <w:i/>
                <w:u w:val="single"/>
              </w:rPr>
            </w:pPr>
            <w:r>
              <w:rPr>
                <w:rFonts w:hint="eastAsia"/>
                <w:i/>
                <w:u w:val="single"/>
              </w:rPr>
              <w:t>但须标注其所在页码</w:t>
            </w:r>
          </w:p>
        </w:tc>
        <w:tc>
          <w:tcPr>
            <w:tcW w:w="1560" w:type="dxa"/>
            <w:tcBorders>
              <w:top w:val="single" w:color="auto" w:sz="4" w:space="0"/>
              <w:left w:val="single" w:color="auto" w:sz="4" w:space="0"/>
              <w:bottom w:val="single" w:color="auto" w:sz="4" w:space="0"/>
              <w:right w:val="single" w:color="auto" w:sz="4" w:space="0"/>
            </w:tcBorders>
            <w:vAlign w:val="center"/>
          </w:tcPr>
          <w:p>
            <w:pPr>
              <w:rPr>
                <w:b/>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tc>
        <w:tc>
          <w:tcPr>
            <w:tcW w:w="2216" w:type="dxa"/>
            <w:tcBorders>
              <w:top w:val="single" w:color="auto" w:sz="4" w:space="0"/>
              <w:left w:val="single" w:color="auto" w:sz="4" w:space="0"/>
              <w:bottom w:val="single" w:color="auto" w:sz="4" w:space="0"/>
              <w:right w:val="single" w:color="auto" w:sz="4" w:space="0"/>
            </w:tcBorders>
            <w:vAlign w:val="center"/>
          </w:tcPr>
          <w:p/>
        </w:tc>
        <w:tc>
          <w:tcPr>
            <w:tcW w:w="2569" w:type="dxa"/>
            <w:tcBorders>
              <w:top w:val="single" w:color="auto" w:sz="4" w:space="0"/>
              <w:left w:val="single" w:color="auto" w:sz="4" w:space="0"/>
              <w:bottom w:val="single" w:color="auto" w:sz="4" w:space="0"/>
              <w:right w:val="single" w:color="auto" w:sz="4" w:space="0"/>
            </w:tcBorders>
            <w:vAlign w:val="center"/>
          </w:tcPr>
          <w:p/>
        </w:tc>
        <w:tc>
          <w:tcPr>
            <w:tcW w:w="2365" w:type="dxa"/>
            <w:tcBorders>
              <w:top w:val="single" w:color="auto" w:sz="4" w:space="0"/>
              <w:left w:val="single" w:color="auto" w:sz="4" w:space="0"/>
              <w:bottom w:val="single" w:color="auto" w:sz="4" w:space="0"/>
              <w:right w:val="single" w:color="auto" w:sz="4" w:space="0"/>
            </w:tcBorders>
            <w:vAlign w:val="center"/>
          </w:tcPr>
          <w:p/>
        </w:tc>
        <w:tc>
          <w:tcPr>
            <w:tcW w:w="1560"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tc>
        <w:tc>
          <w:tcPr>
            <w:tcW w:w="2216" w:type="dxa"/>
            <w:tcBorders>
              <w:top w:val="single" w:color="auto" w:sz="4" w:space="0"/>
              <w:left w:val="single" w:color="auto" w:sz="4" w:space="0"/>
              <w:bottom w:val="single" w:color="auto" w:sz="4" w:space="0"/>
              <w:right w:val="single" w:color="auto" w:sz="4" w:space="0"/>
            </w:tcBorders>
            <w:vAlign w:val="center"/>
          </w:tcPr>
          <w:p/>
        </w:tc>
        <w:tc>
          <w:tcPr>
            <w:tcW w:w="2569" w:type="dxa"/>
            <w:tcBorders>
              <w:top w:val="single" w:color="auto" w:sz="4" w:space="0"/>
              <w:left w:val="single" w:color="auto" w:sz="4" w:space="0"/>
              <w:bottom w:val="single" w:color="auto" w:sz="4" w:space="0"/>
              <w:right w:val="single" w:color="auto" w:sz="4" w:space="0"/>
            </w:tcBorders>
            <w:vAlign w:val="center"/>
          </w:tcPr>
          <w:p/>
        </w:tc>
        <w:tc>
          <w:tcPr>
            <w:tcW w:w="2365" w:type="dxa"/>
            <w:tcBorders>
              <w:top w:val="single" w:color="auto" w:sz="4" w:space="0"/>
              <w:left w:val="single" w:color="auto" w:sz="4" w:space="0"/>
              <w:bottom w:val="single" w:color="auto" w:sz="4" w:space="0"/>
              <w:right w:val="single" w:color="auto" w:sz="4" w:space="0"/>
            </w:tcBorders>
            <w:vAlign w:val="center"/>
          </w:tcPr>
          <w:p/>
        </w:tc>
        <w:tc>
          <w:tcPr>
            <w:tcW w:w="1560"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tc>
        <w:tc>
          <w:tcPr>
            <w:tcW w:w="2216" w:type="dxa"/>
            <w:tcBorders>
              <w:top w:val="single" w:color="auto" w:sz="4" w:space="0"/>
              <w:left w:val="single" w:color="auto" w:sz="4" w:space="0"/>
              <w:bottom w:val="single" w:color="auto" w:sz="4" w:space="0"/>
              <w:right w:val="single" w:color="auto" w:sz="4" w:space="0"/>
            </w:tcBorders>
            <w:vAlign w:val="center"/>
          </w:tcPr>
          <w:p/>
        </w:tc>
        <w:tc>
          <w:tcPr>
            <w:tcW w:w="2569" w:type="dxa"/>
            <w:tcBorders>
              <w:top w:val="single" w:color="auto" w:sz="4" w:space="0"/>
              <w:left w:val="single" w:color="auto" w:sz="4" w:space="0"/>
              <w:bottom w:val="single" w:color="auto" w:sz="4" w:space="0"/>
              <w:right w:val="single" w:color="auto" w:sz="4" w:space="0"/>
            </w:tcBorders>
            <w:vAlign w:val="center"/>
          </w:tcPr>
          <w:p/>
        </w:tc>
        <w:tc>
          <w:tcPr>
            <w:tcW w:w="2365" w:type="dxa"/>
            <w:tcBorders>
              <w:top w:val="single" w:color="auto" w:sz="4" w:space="0"/>
              <w:left w:val="single" w:color="auto" w:sz="4" w:space="0"/>
              <w:bottom w:val="single" w:color="auto" w:sz="4" w:space="0"/>
              <w:right w:val="single" w:color="auto" w:sz="4" w:space="0"/>
            </w:tcBorders>
            <w:vAlign w:val="center"/>
          </w:tcPr>
          <w:p/>
        </w:tc>
        <w:tc>
          <w:tcPr>
            <w:tcW w:w="1560"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tc>
        <w:tc>
          <w:tcPr>
            <w:tcW w:w="2216" w:type="dxa"/>
            <w:tcBorders>
              <w:top w:val="single" w:color="auto" w:sz="4" w:space="0"/>
              <w:left w:val="single" w:color="auto" w:sz="4" w:space="0"/>
              <w:bottom w:val="single" w:color="auto" w:sz="4" w:space="0"/>
              <w:right w:val="single" w:color="auto" w:sz="4" w:space="0"/>
            </w:tcBorders>
            <w:vAlign w:val="center"/>
          </w:tcPr>
          <w:p/>
        </w:tc>
        <w:tc>
          <w:tcPr>
            <w:tcW w:w="2569" w:type="dxa"/>
            <w:tcBorders>
              <w:top w:val="single" w:color="auto" w:sz="4" w:space="0"/>
              <w:left w:val="single" w:color="auto" w:sz="4" w:space="0"/>
              <w:bottom w:val="single" w:color="auto" w:sz="4" w:space="0"/>
              <w:right w:val="single" w:color="auto" w:sz="4" w:space="0"/>
            </w:tcBorders>
            <w:vAlign w:val="center"/>
          </w:tcPr>
          <w:p/>
        </w:tc>
        <w:tc>
          <w:tcPr>
            <w:tcW w:w="2365" w:type="dxa"/>
            <w:tcBorders>
              <w:top w:val="single" w:color="auto" w:sz="4" w:space="0"/>
              <w:left w:val="single" w:color="auto" w:sz="4" w:space="0"/>
              <w:bottom w:val="single" w:color="auto" w:sz="4" w:space="0"/>
              <w:right w:val="single" w:color="auto" w:sz="4" w:space="0"/>
            </w:tcBorders>
            <w:vAlign w:val="center"/>
          </w:tcPr>
          <w:p/>
        </w:tc>
        <w:tc>
          <w:tcPr>
            <w:tcW w:w="1560"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tc>
        <w:tc>
          <w:tcPr>
            <w:tcW w:w="2216" w:type="dxa"/>
            <w:tcBorders>
              <w:top w:val="single" w:color="auto" w:sz="4" w:space="0"/>
              <w:left w:val="single" w:color="auto" w:sz="4" w:space="0"/>
              <w:bottom w:val="single" w:color="auto" w:sz="4" w:space="0"/>
              <w:right w:val="single" w:color="auto" w:sz="4" w:space="0"/>
            </w:tcBorders>
            <w:vAlign w:val="center"/>
          </w:tcPr>
          <w:p/>
        </w:tc>
        <w:tc>
          <w:tcPr>
            <w:tcW w:w="2569" w:type="dxa"/>
            <w:tcBorders>
              <w:top w:val="single" w:color="auto" w:sz="4" w:space="0"/>
              <w:left w:val="single" w:color="auto" w:sz="4" w:space="0"/>
              <w:bottom w:val="single" w:color="auto" w:sz="4" w:space="0"/>
              <w:right w:val="single" w:color="auto" w:sz="4" w:space="0"/>
            </w:tcBorders>
            <w:vAlign w:val="center"/>
          </w:tcPr>
          <w:p/>
        </w:tc>
        <w:tc>
          <w:tcPr>
            <w:tcW w:w="2365" w:type="dxa"/>
            <w:tcBorders>
              <w:top w:val="single" w:color="auto" w:sz="4" w:space="0"/>
              <w:left w:val="single" w:color="auto" w:sz="4" w:space="0"/>
              <w:bottom w:val="single" w:color="auto" w:sz="4" w:space="0"/>
              <w:right w:val="single" w:color="auto" w:sz="4" w:space="0"/>
            </w:tcBorders>
            <w:vAlign w:val="center"/>
          </w:tcPr>
          <w:p/>
        </w:tc>
        <w:tc>
          <w:tcPr>
            <w:tcW w:w="1560"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tc>
        <w:tc>
          <w:tcPr>
            <w:tcW w:w="2216" w:type="dxa"/>
            <w:tcBorders>
              <w:top w:val="single" w:color="auto" w:sz="4" w:space="0"/>
              <w:left w:val="single" w:color="auto" w:sz="4" w:space="0"/>
              <w:bottom w:val="single" w:color="auto" w:sz="4" w:space="0"/>
              <w:right w:val="single" w:color="auto" w:sz="4" w:space="0"/>
            </w:tcBorders>
            <w:vAlign w:val="center"/>
          </w:tcPr>
          <w:p/>
        </w:tc>
        <w:tc>
          <w:tcPr>
            <w:tcW w:w="2569" w:type="dxa"/>
            <w:tcBorders>
              <w:top w:val="single" w:color="auto" w:sz="4" w:space="0"/>
              <w:left w:val="single" w:color="auto" w:sz="4" w:space="0"/>
              <w:bottom w:val="single" w:color="auto" w:sz="4" w:space="0"/>
              <w:right w:val="single" w:color="auto" w:sz="4" w:space="0"/>
            </w:tcBorders>
            <w:vAlign w:val="center"/>
          </w:tcPr>
          <w:p/>
        </w:tc>
        <w:tc>
          <w:tcPr>
            <w:tcW w:w="2365" w:type="dxa"/>
            <w:tcBorders>
              <w:top w:val="single" w:color="auto" w:sz="4" w:space="0"/>
              <w:left w:val="single" w:color="auto" w:sz="4" w:space="0"/>
              <w:bottom w:val="single" w:color="auto" w:sz="4" w:space="0"/>
              <w:right w:val="single" w:color="auto" w:sz="4" w:space="0"/>
            </w:tcBorders>
            <w:vAlign w:val="center"/>
          </w:tcPr>
          <w:p/>
        </w:tc>
        <w:tc>
          <w:tcPr>
            <w:tcW w:w="1560"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tc>
        <w:tc>
          <w:tcPr>
            <w:tcW w:w="2216" w:type="dxa"/>
            <w:tcBorders>
              <w:top w:val="single" w:color="auto" w:sz="4" w:space="0"/>
              <w:left w:val="single" w:color="auto" w:sz="4" w:space="0"/>
              <w:bottom w:val="single" w:color="auto" w:sz="4" w:space="0"/>
              <w:right w:val="single" w:color="auto" w:sz="4" w:space="0"/>
            </w:tcBorders>
            <w:vAlign w:val="center"/>
          </w:tcPr>
          <w:p/>
        </w:tc>
        <w:tc>
          <w:tcPr>
            <w:tcW w:w="2569" w:type="dxa"/>
            <w:tcBorders>
              <w:top w:val="single" w:color="auto" w:sz="4" w:space="0"/>
              <w:left w:val="single" w:color="auto" w:sz="4" w:space="0"/>
              <w:bottom w:val="single" w:color="auto" w:sz="4" w:space="0"/>
              <w:right w:val="single" w:color="auto" w:sz="4" w:space="0"/>
            </w:tcBorders>
            <w:vAlign w:val="center"/>
          </w:tcPr>
          <w:p/>
        </w:tc>
        <w:tc>
          <w:tcPr>
            <w:tcW w:w="2365" w:type="dxa"/>
            <w:tcBorders>
              <w:top w:val="single" w:color="auto" w:sz="4" w:space="0"/>
              <w:left w:val="single" w:color="auto" w:sz="4" w:space="0"/>
              <w:bottom w:val="single" w:color="auto" w:sz="4" w:space="0"/>
              <w:right w:val="single" w:color="auto" w:sz="4" w:space="0"/>
            </w:tcBorders>
            <w:vAlign w:val="center"/>
          </w:tcPr>
          <w:p/>
        </w:tc>
        <w:tc>
          <w:tcPr>
            <w:tcW w:w="1560"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tc>
        <w:tc>
          <w:tcPr>
            <w:tcW w:w="2216" w:type="dxa"/>
            <w:tcBorders>
              <w:top w:val="single" w:color="auto" w:sz="4" w:space="0"/>
              <w:left w:val="single" w:color="auto" w:sz="4" w:space="0"/>
              <w:bottom w:val="single" w:color="auto" w:sz="4" w:space="0"/>
              <w:right w:val="single" w:color="auto" w:sz="4" w:space="0"/>
            </w:tcBorders>
            <w:vAlign w:val="center"/>
          </w:tcPr>
          <w:p/>
        </w:tc>
        <w:tc>
          <w:tcPr>
            <w:tcW w:w="2569" w:type="dxa"/>
            <w:tcBorders>
              <w:top w:val="single" w:color="auto" w:sz="4" w:space="0"/>
              <w:left w:val="single" w:color="auto" w:sz="4" w:space="0"/>
              <w:bottom w:val="single" w:color="auto" w:sz="4" w:space="0"/>
              <w:right w:val="single" w:color="auto" w:sz="4" w:space="0"/>
            </w:tcBorders>
            <w:vAlign w:val="center"/>
          </w:tcPr>
          <w:p/>
        </w:tc>
        <w:tc>
          <w:tcPr>
            <w:tcW w:w="2365" w:type="dxa"/>
            <w:tcBorders>
              <w:top w:val="single" w:color="auto" w:sz="4" w:space="0"/>
              <w:left w:val="single" w:color="auto" w:sz="4" w:space="0"/>
              <w:bottom w:val="single" w:color="auto" w:sz="4" w:space="0"/>
              <w:right w:val="single" w:color="auto" w:sz="4" w:space="0"/>
            </w:tcBorders>
            <w:vAlign w:val="center"/>
          </w:tcPr>
          <w:p/>
        </w:tc>
        <w:tc>
          <w:tcPr>
            <w:tcW w:w="1560"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tc>
        <w:tc>
          <w:tcPr>
            <w:tcW w:w="2216" w:type="dxa"/>
            <w:tcBorders>
              <w:top w:val="single" w:color="auto" w:sz="4" w:space="0"/>
              <w:left w:val="single" w:color="auto" w:sz="4" w:space="0"/>
              <w:bottom w:val="single" w:color="auto" w:sz="4" w:space="0"/>
              <w:right w:val="single" w:color="auto" w:sz="4" w:space="0"/>
            </w:tcBorders>
            <w:vAlign w:val="center"/>
          </w:tcPr>
          <w:p/>
        </w:tc>
        <w:tc>
          <w:tcPr>
            <w:tcW w:w="2569" w:type="dxa"/>
            <w:tcBorders>
              <w:top w:val="single" w:color="auto" w:sz="4" w:space="0"/>
              <w:left w:val="single" w:color="auto" w:sz="4" w:space="0"/>
              <w:bottom w:val="single" w:color="auto" w:sz="4" w:space="0"/>
              <w:right w:val="single" w:color="auto" w:sz="4" w:space="0"/>
            </w:tcBorders>
            <w:vAlign w:val="center"/>
          </w:tcPr>
          <w:p/>
        </w:tc>
        <w:tc>
          <w:tcPr>
            <w:tcW w:w="2365" w:type="dxa"/>
            <w:tcBorders>
              <w:top w:val="single" w:color="auto" w:sz="4" w:space="0"/>
              <w:left w:val="single" w:color="auto" w:sz="4" w:space="0"/>
              <w:bottom w:val="single" w:color="auto" w:sz="4" w:space="0"/>
              <w:right w:val="single" w:color="auto" w:sz="4" w:space="0"/>
            </w:tcBorders>
            <w:vAlign w:val="center"/>
          </w:tcPr>
          <w:p/>
        </w:tc>
        <w:tc>
          <w:tcPr>
            <w:tcW w:w="1560"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tc>
        <w:tc>
          <w:tcPr>
            <w:tcW w:w="2216" w:type="dxa"/>
            <w:tcBorders>
              <w:top w:val="single" w:color="auto" w:sz="4" w:space="0"/>
              <w:left w:val="single" w:color="auto" w:sz="4" w:space="0"/>
              <w:bottom w:val="single" w:color="auto" w:sz="4" w:space="0"/>
              <w:right w:val="single" w:color="auto" w:sz="4" w:space="0"/>
            </w:tcBorders>
            <w:vAlign w:val="center"/>
          </w:tcPr>
          <w:p/>
        </w:tc>
        <w:tc>
          <w:tcPr>
            <w:tcW w:w="2569" w:type="dxa"/>
            <w:tcBorders>
              <w:top w:val="single" w:color="auto" w:sz="4" w:space="0"/>
              <w:left w:val="single" w:color="auto" w:sz="4" w:space="0"/>
              <w:bottom w:val="single" w:color="auto" w:sz="4" w:space="0"/>
              <w:right w:val="single" w:color="auto" w:sz="4" w:space="0"/>
            </w:tcBorders>
            <w:vAlign w:val="center"/>
          </w:tcPr>
          <w:p/>
        </w:tc>
        <w:tc>
          <w:tcPr>
            <w:tcW w:w="2365" w:type="dxa"/>
            <w:tcBorders>
              <w:top w:val="single" w:color="auto" w:sz="4" w:space="0"/>
              <w:left w:val="single" w:color="auto" w:sz="4" w:space="0"/>
              <w:bottom w:val="single" w:color="auto" w:sz="4" w:space="0"/>
              <w:right w:val="single" w:color="auto" w:sz="4" w:space="0"/>
            </w:tcBorders>
            <w:vAlign w:val="center"/>
          </w:tcPr>
          <w:p/>
        </w:tc>
        <w:tc>
          <w:tcPr>
            <w:tcW w:w="1560"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2216" w:type="dxa"/>
            <w:tcBorders>
              <w:top w:val="single" w:color="auto" w:sz="4" w:space="0"/>
              <w:left w:val="single" w:color="auto" w:sz="4" w:space="0"/>
              <w:bottom w:val="single" w:color="auto" w:sz="4" w:space="0"/>
              <w:right w:val="single" w:color="auto" w:sz="4" w:space="0"/>
            </w:tcBorders>
            <w:vAlign w:val="center"/>
          </w:tcPr>
          <w:p>
            <w:pPr>
              <w:pStyle w:val="17"/>
              <w:spacing w:line="360" w:lineRule="auto"/>
              <w:ind w:firstLine="420"/>
              <w:jc w:val="center"/>
              <w:rPr>
                <w:rFonts w:hAnsi="宋体" w:cs="Courier New"/>
                <w:kern w:val="2"/>
                <w:sz w:val="21"/>
                <w:szCs w:val="22"/>
              </w:rPr>
            </w:pPr>
          </w:p>
        </w:tc>
        <w:tc>
          <w:tcPr>
            <w:tcW w:w="25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i/>
                <w:szCs w:val="21"/>
                <w:u w:val="single"/>
              </w:rPr>
            </w:pPr>
            <w:r>
              <w:rPr>
                <w:rFonts w:hint="eastAsia" w:ascii="宋体" w:hAnsi="宋体"/>
                <w:i/>
                <w:szCs w:val="21"/>
                <w:u w:val="single"/>
              </w:rPr>
              <w:t>行数不够，可按本表格式自行添加</w:t>
            </w:r>
          </w:p>
        </w:tc>
        <w:tc>
          <w:tcPr>
            <w:tcW w:w="23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6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ascii="宋体" w:hAnsi="宋体"/>
                <w:szCs w:val="21"/>
              </w:rPr>
              <w:t>我公司确认，除以上“偏离说明”栏中列明的偏差外，我公司无条件接受采购文件规定的所有技术规格</w:t>
            </w:r>
            <w:r>
              <w:rPr>
                <w:rFonts w:hint="eastAsia" w:ascii="宋体" w:hAnsi="宋体"/>
                <w:szCs w:val="21"/>
              </w:rPr>
              <w:t>（服务标准等）</w:t>
            </w:r>
            <w:r>
              <w:rPr>
                <w:rFonts w:ascii="宋体" w:hAnsi="宋体"/>
                <w:szCs w:val="21"/>
              </w:rPr>
              <w:t>。</w:t>
            </w:r>
          </w:p>
          <w:p>
            <w:pPr>
              <w:spacing w:line="360" w:lineRule="auto"/>
              <w:rPr>
                <w:rFonts w:ascii="宋体" w:hAnsi="宋体"/>
                <w:b/>
                <w:szCs w:val="21"/>
                <w:u w:val="single"/>
              </w:rPr>
            </w:pPr>
            <w:r>
              <w:rPr>
                <w:rFonts w:hint="eastAsia" w:ascii="宋体" w:hAnsi="宋体"/>
                <w:b/>
                <w:szCs w:val="21"/>
                <w:u w:val="single"/>
              </w:rPr>
              <w:t>法定代表人或其委托</w:t>
            </w:r>
            <w:r>
              <w:rPr>
                <w:rFonts w:ascii="宋体" w:hAnsi="宋体"/>
                <w:b/>
                <w:szCs w:val="21"/>
                <w:u w:val="single"/>
              </w:rPr>
              <w:t>代理人</w:t>
            </w:r>
            <w:r>
              <w:rPr>
                <w:rFonts w:hint="eastAsia" w:ascii="宋体" w:hAnsi="宋体"/>
                <w:b/>
                <w:szCs w:val="21"/>
                <w:u w:val="single"/>
              </w:rPr>
              <w:t xml:space="preserve">（签字）：                 </w:t>
            </w:r>
          </w:p>
          <w:p>
            <w:pPr>
              <w:spacing w:line="360" w:lineRule="auto"/>
              <w:rPr>
                <w:rFonts w:ascii="宋体" w:hAnsi="宋体" w:cs="宋体"/>
                <w:szCs w:val="21"/>
              </w:rPr>
            </w:pPr>
            <w:r>
              <w:rPr>
                <w:rFonts w:hint="eastAsia" w:ascii="宋体" w:hAnsi="宋体"/>
                <w:b/>
                <w:szCs w:val="21"/>
                <w:u w:val="single"/>
              </w:rPr>
              <w:t xml:space="preserve">供应商(盖单位章)：                                 </w:t>
            </w:r>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61" w:type="dxa"/>
            <w:gridSpan w:val="5"/>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rPr>
            </w:pPr>
            <w:r>
              <w:rPr>
                <w:rFonts w:hint="eastAsia" w:ascii="宋体" w:hAnsi="宋体"/>
              </w:rPr>
              <w:t>注：</w:t>
            </w:r>
          </w:p>
          <w:p>
            <w:pPr>
              <w:ind w:firstLine="420" w:firstLineChars="200"/>
              <w:rPr>
                <w:rFonts w:ascii="宋体" w:hAnsi="宋体"/>
              </w:rPr>
            </w:pPr>
            <w:r>
              <w:rPr>
                <w:rFonts w:ascii="宋体" w:hAnsi="宋体"/>
              </w:rPr>
              <w:t>1.供应商需按采购文件中对</w:t>
            </w:r>
            <w:r>
              <w:rPr>
                <w:rFonts w:hint="eastAsia" w:ascii="宋体" w:hAnsi="宋体"/>
              </w:rPr>
              <w:t>技术规格（采购需求）</w:t>
            </w:r>
            <w:r>
              <w:rPr>
                <w:rFonts w:ascii="宋体" w:hAnsi="宋体"/>
              </w:rPr>
              <w:t>进行应答</w:t>
            </w:r>
            <w:r>
              <w:rPr>
                <w:rFonts w:hint="eastAsia" w:ascii="宋体" w:hAnsi="宋体"/>
              </w:rPr>
              <w:t>（</w:t>
            </w:r>
            <w:r>
              <w:rPr>
                <w:rFonts w:ascii="宋体" w:hAnsi="宋体"/>
              </w:rPr>
              <w:t>详细描述如何满足该需求</w:t>
            </w:r>
            <w:r>
              <w:rPr>
                <w:rFonts w:hint="eastAsia" w:ascii="宋体" w:hAnsi="宋体"/>
              </w:rPr>
              <w:t>）</w:t>
            </w:r>
            <w:r>
              <w:rPr>
                <w:rFonts w:ascii="宋体" w:hAnsi="宋体"/>
              </w:rPr>
              <w:t>。</w:t>
            </w:r>
            <w:r>
              <w:rPr>
                <w:rFonts w:hint="eastAsia" w:ascii="宋体" w:hAnsi="宋体"/>
              </w:rPr>
              <w:t>如本表表格填写不便的，可以另页</w:t>
            </w:r>
            <w:r>
              <w:rPr>
                <w:rFonts w:ascii="宋体" w:hAnsi="宋体"/>
              </w:rPr>
              <w:t>详述</w:t>
            </w:r>
            <w:r>
              <w:rPr>
                <w:rFonts w:hint="eastAsia" w:ascii="宋体" w:hAnsi="宋体"/>
              </w:rPr>
              <w:t>（</w:t>
            </w:r>
            <w:r>
              <w:rPr>
                <w:rFonts w:ascii="宋体" w:hAnsi="宋体"/>
              </w:rPr>
              <w:t>应答</w:t>
            </w:r>
            <w:r>
              <w:rPr>
                <w:rFonts w:hint="eastAsia" w:ascii="宋体" w:hAnsi="宋体"/>
              </w:rPr>
              <w:t>）</w:t>
            </w:r>
            <w:r>
              <w:rPr>
                <w:rFonts w:ascii="宋体" w:hAnsi="宋体"/>
              </w:rPr>
              <w:t>，但必须给出确切的位置索引</w:t>
            </w:r>
            <w:r>
              <w:rPr>
                <w:rFonts w:hint="eastAsia" w:ascii="宋体" w:hAnsi="宋体"/>
              </w:rPr>
              <w:t>（标注具体内容的所在页码）</w:t>
            </w:r>
            <w:r>
              <w:rPr>
                <w:rFonts w:ascii="宋体" w:hAnsi="宋体"/>
              </w:rPr>
              <w:t>。</w:t>
            </w:r>
          </w:p>
          <w:p>
            <w:pPr>
              <w:ind w:firstLine="420" w:firstLineChars="200"/>
              <w:rPr>
                <w:rFonts w:ascii="宋体" w:hAnsi="宋体"/>
              </w:rPr>
            </w:pPr>
            <w:r>
              <w:rPr>
                <w:rFonts w:ascii="宋体" w:hAnsi="宋体"/>
              </w:rPr>
              <w:t>2</w:t>
            </w:r>
            <w:r>
              <w:rPr>
                <w:rFonts w:hint="eastAsia" w:ascii="宋体" w:hAnsi="宋体"/>
              </w:rPr>
              <w:t>.</w:t>
            </w:r>
            <w:r>
              <w:rPr>
                <w:rFonts w:ascii="宋体" w:hAnsi="宋体"/>
              </w:rPr>
              <w:t>用“满足/不满足/部分满足”响应来表明该需求是否被满足，不得使用“明白”、“理解”等词语。</w:t>
            </w:r>
            <w:r>
              <w:rPr>
                <w:rFonts w:hint="eastAsia" w:ascii="宋体" w:hAnsi="宋体"/>
              </w:rPr>
              <w:t>如</w:t>
            </w:r>
            <w:r>
              <w:rPr>
                <w:rFonts w:ascii="宋体" w:hAnsi="宋体"/>
              </w:rPr>
              <w:t>与</w:t>
            </w:r>
            <w:r>
              <w:rPr>
                <w:rFonts w:hint="eastAsia" w:ascii="宋体" w:hAnsi="宋体"/>
              </w:rPr>
              <w:t>采购</w:t>
            </w:r>
            <w:r>
              <w:rPr>
                <w:rFonts w:ascii="宋体" w:hAnsi="宋体"/>
              </w:rPr>
              <w:t>需求之间有偏差时必须用“部分满足”响应来表明该需求未被完全满足的情况，并用确切的描述解释如何规避该偏差。</w:t>
            </w:r>
            <w:r>
              <w:rPr>
                <w:rFonts w:hint="eastAsia" w:ascii="宋体" w:hAnsi="宋体"/>
              </w:rPr>
              <w:t>如</w:t>
            </w:r>
            <w:r>
              <w:rPr>
                <w:rFonts w:ascii="宋体" w:hAnsi="宋体"/>
              </w:rPr>
              <w:t>不能实现</w:t>
            </w:r>
            <w:r>
              <w:rPr>
                <w:rFonts w:hint="eastAsia" w:ascii="宋体" w:hAnsi="宋体"/>
              </w:rPr>
              <w:t>采购</w:t>
            </w:r>
            <w:r>
              <w:rPr>
                <w:rFonts w:ascii="宋体" w:hAnsi="宋体"/>
              </w:rPr>
              <w:t>需求时必须用“不满足”来响应。</w:t>
            </w:r>
          </w:p>
          <w:p>
            <w:pPr>
              <w:ind w:firstLine="420" w:firstLineChars="200"/>
              <w:rPr>
                <w:rFonts w:ascii="宋体" w:hAnsi="宋体"/>
              </w:rPr>
            </w:pPr>
            <w:r>
              <w:rPr>
                <w:rFonts w:ascii="宋体" w:hAnsi="宋体"/>
              </w:rPr>
              <w:t>3</w:t>
            </w:r>
            <w:r>
              <w:rPr>
                <w:rFonts w:hint="eastAsia" w:ascii="宋体" w:hAnsi="宋体"/>
              </w:rPr>
              <w:t>.</w:t>
            </w:r>
            <w:r>
              <w:rPr>
                <w:rFonts w:ascii="宋体" w:hAnsi="宋体"/>
                <w:szCs w:val="21"/>
              </w:rPr>
              <w:t>供应商可根据其投标内容进一步细化上述表格，并可增添其它表格或说明以便进一步明确投标内容。</w:t>
            </w:r>
          </w:p>
        </w:tc>
      </w:tr>
    </w:tbl>
    <w:p>
      <w:pPr>
        <w:pStyle w:val="14"/>
        <w:ind w:firstLine="0"/>
        <w:jc w:val="center"/>
        <w:outlineLvl w:val="1"/>
        <w:sectPr>
          <w:pgSz w:w="11906" w:h="16838"/>
          <w:pgMar w:top="1440" w:right="1080" w:bottom="1440" w:left="1080" w:header="851" w:footer="992" w:gutter="0"/>
          <w:cols w:space="720" w:num="1"/>
          <w:docGrid w:type="lines" w:linePitch="312" w:charSpace="0"/>
        </w:sectPr>
      </w:pPr>
    </w:p>
    <w:p>
      <w:pPr>
        <w:jc w:val="center"/>
        <w:rPr>
          <w:rFonts w:ascii="宋体" w:hAnsi="宋体" w:cs="宋体"/>
          <w:b/>
          <w:color w:val="000000"/>
          <w:kern w:val="0"/>
          <w:sz w:val="28"/>
          <w:szCs w:val="28"/>
        </w:rPr>
      </w:pPr>
      <w:r>
        <w:rPr>
          <w:rFonts w:hint="eastAsia" w:ascii="宋体" w:hAnsi="宋体" w:cs="宋体"/>
          <w:b/>
          <w:color w:val="000000"/>
          <w:kern w:val="0"/>
          <w:sz w:val="28"/>
          <w:szCs w:val="28"/>
        </w:rPr>
        <w:t>八、投标文件的其它内容</w:t>
      </w:r>
    </w:p>
    <w:p>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证明投标标的的合格性和符合采购文件规定的技术文件等</w:t>
      </w:r>
    </w:p>
    <w:p>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（包括但不限于:采购文件要求及投标供应商认为应当提供相关文件等）</w:t>
      </w:r>
    </w:p>
    <w:p>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注：中小企业应当按照《政府采购促进中小企业发展管理办法》等相关规定出具《中小企业声明函》等相关证明（自行从财政部官方网站下载），否则不得享受相关中小企业扶持政策。</w:t>
      </w:r>
    </w:p>
    <w:p>
      <w:pPr>
        <w:spacing w:line="312" w:lineRule="auto"/>
        <w:rPr>
          <w:rFonts w:asciiTheme="minorEastAsia" w:hAnsiTheme="minorEastAsia" w:eastAsiaTheme="minorEastAsia" w:cstheme="minorEastAsia"/>
          <w:b/>
          <w:bCs/>
          <w:szCs w:val="21"/>
          <w:u w:val="single"/>
        </w:rPr>
      </w:pPr>
    </w:p>
    <w:p>
      <w:pPr>
        <w:spacing w:line="312" w:lineRule="auto"/>
        <w:jc w:val="center"/>
        <w:rPr>
          <w:rFonts w:asciiTheme="minorEastAsia" w:hAnsiTheme="minorEastAsia" w:eastAsiaTheme="minorEastAsia" w:cstheme="minorEastAsia"/>
          <w:b/>
          <w:bCs/>
          <w:szCs w:val="21"/>
          <w:u w:val="single"/>
        </w:rPr>
      </w:pPr>
    </w:p>
    <w:p>
      <w:pPr>
        <w:spacing w:line="312" w:lineRule="auto"/>
        <w:jc w:val="center"/>
        <w:rPr>
          <w:rFonts w:ascii="宋体" w:hAnsi="宋体"/>
          <w:color w:val="000000"/>
        </w:rPr>
      </w:pPr>
      <w:r>
        <w:rPr>
          <w:rFonts w:hint="eastAsia" w:asciiTheme="minorEastAsia" w:hAnsiTheme="minorEastAsia" w:eastAsiaTheme="minorEastAsia" w:cstheme="minorEastAsia"/>
          <w:b/>
          <w:bCs/>
          <w:szCs w:val="21"/>
          <w:u w:val="single"/>
        </w:rPr>
        <w:t>感谢您对携手阳光公司的支持，欢迎您向我们提出宝贵建议。</w:t>
      </w:r>
    </w:p>
    <w:p>
      <w:pPr>
        <w:rPr>
          <w:color w:val="000000"/>
        </w:rPr>
      </w:pPr>
    </w:p>
    <w:sectPr>
      <w:pgSz w:w="11906" w:h="16838"/>
      <w:pgMar w:top="1077" w:right="1077" w:bottom="1191"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10" w:usb3="00000000" w:csb0="0004009F" w:csb1="00000000"/>
  </w:font>
  <w:font w:name="幼圆">
    <w:altName w:val="宋体"/>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neue">
    <w:altName w:val="Segoe Print"/>
    <w:panose1 w:val="00000000000000000000"/>
    <w:charset w:val="00"/>
    <w:family w:val="auto"/>
    <w:pitch w:val="default"/>
    <w:sig w:usb0="00000000" w:usb1="00000000" w:usb2="00000000" w:usb3="00000000" w:csb0="00040001" w:csb1="00000000"/>
  </w:font>
  <w:font w:name="方正大黑简体">
    <w:altName w:val="宋体"/>
    <w:panose1 w:val="00000000000000000000"/>
    <w:charset w:val="86"/>
    <w:family w:val="auto"/>
    <w:pitch w:val="default"/>
    <w:sig w:usb0="00000000" w:usb1="00000000" w:usb2="00000010" w:usb3="00000000" w:csb0="00040000" w:csb1="00000000"/>
  </w:font>
  <w:font w:name="汉仪粗黑简">
    <w:altName w:val="宋体"/>
    <w:panose1 w:val="00000000000000000000"/>
    <w:charset w:val="86"/>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16" w:firstLineChars="150"/>
      <w:jc w:val="center"/>
      <w:rPr>
        <w:rFonts w:ascii="宋体" w:hAnsi="宋体"/>
        <w:b/>
        <w:color w:val="FF0000"/>
        <w:szCs w:val="21"/>
      </w:rPr>
    </w:pPr>
    <w:r>
      <w:rPr>
        <w:rFonts w:hint="eastAsia" w:ascii="宋体" w:hAnsi="宋体"/>
        <w:b/>
        <w:szCs w:val="21"/>
      </w:rPr>
      <w:t>盐城市携手阳光集中采购代理有限公司</w:t>
    </w:r>
    <w:r>
      <w:rPr>
        <w:rFonts w:hint="eastAsia" w:ascii="宋体" w:hAnsi="宋体"/>
        <w:b/>
        <w:color w:val="000000"/>
        <w:szCs w:val="21"/>
      </w:rPr>
      <w:t>（第</w:t>
    </w:r>
    <w:r>
      <w:rPr>
        <w:rFonts w:ascii="宋体" w:hAnsi="宋体"/>
        <w:b/>
        <w:color w:val="000000"/>
        <w:szCs w:val="21"/>
      </w:rPr>
      <w:fldChar w:fldCharType="begin"/>
    </w:r>
    <w:r>
      <w:rPr>
        <w:rFonts w:ascii="宋体" w:hAnsi="宋体"/>
        <w:b/>
        <w:color w:val="000000"/>
        <w:szCs w:val="21"/>
      </w:rPr>
      <w:instrText xml:space="preserve"> PAGE </w:instrText>
    </w:r>
    <w:r>
      <w:rPr>
        <w:rFonts w:ascii="宋体" w:hAnsi="宋体"/>
        <w:b/>
        <w:color w:val="000000"/>
        <w:szCs w:val="21"/>
      </w:rPr>
      <w:fldChar w:fldCharType="separate"/>
    </w:r>
    <w:r>
      <w:rPr>
        <w:rFonts w:ascii="宋体" w:hAnsi="宋体"/>
        <w:b/>
        <w:color w:val="000000"/>
        <w:szCs w:val="21"/>
      </w:rPr>
      <w:t>17</w:t>
    </w:r>
    <w:r>
      <w:rPr>
        <w:rFonts w:ascii="宋体" w:hAnsi="宋体"/>
        <w:b/>
        <w:color w:val="000000"/>
        <w:szCs w:val="21"/>
      </w:rPr>
      <w:fldChar w:fldCharType="end"/>
    </w:r>
    <w:r>
      <w:rPr>
        <w:rFonts w:hint="eastAsia" w:ascii="宋体" w:hAnsi="宋体"/>
        <w:b/>
        <w:color w:val="000000"/>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Cs w:val="21"/>
        <w:u w:val="single"/>
      </w:rPr>
    </w:pPr>
    <w:r>
      <w:rPr>
        <w:rFonts w:hint="eastAsia"/>
        <w:szCs w:val="21"/>
        <w:u w:val="single"/>
      </w:rPr>
      <w:t>术业有专攻、政采有阳光</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9DEE3"/>
    <w:multiLevelType w:val="singleLevel"/>
    <w:tmpl w:val="0019DEE3"/>
    <w:lvl w:ilvl="0" w:tentative="0">
      <w:start w:val="1"/>
      <w:numFmt w:val="chineseCounting"/>
      <w:suff w:val="space"/>
      <w:lvlText w:val="第%1章"/>
      <w:lvlJc w:val="left"/>
      <w:rPr>
        <w:rFonts w:hint="eastAsia"/>
      </w:rPr>
    </w:lvl>
  </w:abstractNum>
  <w:abstractNum w:abstractNumId="1">
    <w:nsid w:val="2CAE8B67"/>
    <w:multiLevelType w:val="singleLevel"/>
    <w:tmpl w:val="2CAE8B67"/>
    <w:lvl w:ilvl="0" w:tentative="0">
      <w:start w:val="5"/>
      <w:numFmt w:val="chineseCounting"/>
      <w:suff w:val="nothing"/>
      <w:lvlText w:val="%1、"/>
      <w:lvlJc w:val="left"/>
      <w:rPr>
        <w:rFonts w:hint="eastAsia"/>
      </w:rPr>
    </w:lvl>
  </w:abstractNum>
  <w:abstractNum w:abstractNumId="2">
    <w:nsid w:val="6A6DE7F2"/>
    <w:multiLevelType w:val="singleLevel"/>
    <w:tmpl w:val="6A6DE7F2"/>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2Y2Y5YTYwZjJhZjQxNWNlYmI3ZjJmMzI3ZjUxNjEifQ=="/>
  </w:docVars>
  <w:rsids>
    <w:rsidRoot w:val="362A1B67"/>
    <w:rsid w:val="000016F8"/>
    <w:rsid w:val="00001C8E"/>
    <w:rsid w:val="000047F1"/>
    <w:rsid w:val="00023AE2"/>
    <w:rsid w:val="000275B9"/>
    <w:rsid w:val="000316B8"/>
    <w:rsid w:val="00034000"/>
    <w:rsid w:val="00036B07"/>
    <w:rsid w:val="00041148"/>
    <w:rsid w:val="00043838"/>
    <w:rsid w:val="00046A2D"/>
    <w:rsid w:val="00071B8E"/>
    <w:rsid w:val="00081B72"/>
    <w:rsid w:val="00082625"/>
    <w:rsid w:val="000851B2"/>
    <w:rsid w:val="00085646"/>
    <w:rsid w:val="00091652"/>
    <w:rsid w:val="000A2297"/>
    <w:rsid w:val="000A589F"/>
    <w:rsid w:val="000B123B"/>
    <w:rsid w:val="000B74C7"/>
    <w:rsid w:val="000B7D8A"/>
    <w:rsid w:val="000D0124"/>
    <w:rsid w:val="000D2FD1"/>
    <w:rsid w:val="000D31A9"/>
    <w:rsid w:val="000D51E0"/>
    <w:rsid w:val="000E7844"/>
    <w:rsid w:val="000F1064"/>
    <w:rsid w:val="000F19FC"/>
    <w:rsid w:val="0011254B"/>
    <w:rsid w:val="00116683"/>
    <w:rsid w:val="00143583"/>
    <w:rsid w:val="00143C46"/>
    <w:rsid w:val="001467EC"/>
    <w:rsid w:val="00154AAC"/>
    <w:rsid w:val="00173803"/>
    <w:rsid w:val="001756B4"/>
    <w:rsid w:val="00184034"/>
    <w:rsid w:val="001A69B1"/>
    <w:rsid w:val="001C0E56"/>
    <w:rsid w:val="001D4AB4"/>
    <w:rsid w:val="001D72E0"/>
    <w:rsid w:val="001E500B"/>
    <w:rsid w:val="001F31CE"/>
    <w:rsid w:val="001F64AD"/>
    <w:rsid w:val="001F720C"/>
    <w:rsid w:val="0020613E"/>
    <w:rsid w:val="00224128"/>
    <w:rsid w:val="002269D4"/>
    <w:rsid w:val="00234A27"/>
    <w:rsid w:val="00246233"/>
    <w:rsid w:val="00247964"/>
    <w:rsid w:val="00252AE8"/>
    <w:rsid w:val="00274234"/>
    <w:rsid w:val="002852DA"/>
    <w:rsid w:val="00285E01"/>
    <w:rsid w:val="002951E1"/>
    <w:rsid w:val="002A05CA"/>
    <w:rsid w:val="002A377A"/>
    <w:rsid w:val="002A3AD8"/>
    <w:rsid w:val="002A3F4A"/>
    <w:rsid w:val="002B41DE"/>
    <w:rsid w:val="002B68CC"/>
    <w:rsid w:val="002C1630"/>
    <w:rsid w:val="002C2589"/>
    <w:rsid w:val="002D3B43"/>
    <w:rsid w:val="002D499D"/>
    <w:rsid w:val="002E39CB"/>
    <w:rsid w:val="002E66A7"/>
    <w:rsid w:val="002F4571"/>
    <w:rsid w:val="003002D2"/>
    <w:rsid w:val="003032B1"/>
    <w:rsid w:val="00311CCD"/>
    <w:rsid w:val="00312AE1"/>
    <w:rsid w:val="00314D4E"/>
    <w:rsid w:val="00320408"/>
    <w:rsid w:val="00327080"/>
    <w:rsid w:val="00327376"/>
    <w:rsid w:val="003357D8"/>
    <w:rsid w:val="00341ED6"/>
    <w:rsid w:val="0034696A"/>
    <w:rsid w:val="003535F8"/>
    <w:rsid w:val="003550AC"/>
    <w:rsid w:val="003563FD"/>
    <w:rsid w:val="00396429"/>
    <w:rsid w:val="00396DEE"/>
    <w:rsid w:val="003A2FD2"/>
    <w:rsid w:val="003A51C4"/>
    <w:rsid w:val="003A7720"/>
    <w:rsid w:val="003B022D"/>
    <w:rsid w:val="003D670D"/>
    <w:rsid w:val="003D7E60"/>
    <w:rsid w:val="003E36A4"/>
    <w:rsid w:val="003F2C20"/>
    <w:rsid w:val="0040150C"/>
    <w:rsid w:val="0040274E"/>
    <w:rsid w:val="004110F2"/>
    <w:rsid w:val="00423C6D"/>
    <w:rsid w:val="004266DA"/>
    <w:rsid w:val="00426900"/>
    <w:rsid w:val="00427431"/>
    <w:rsid w:val="004313ED"/>
    <w:rsid w:val="00435474"/>
    <w:rsid w:val="00440672"/>
    <w:rsid w:val="0045397C"/>
    <w:rsid w:val="00456E6C"/>
    <w:rsid w:val="00460AB1"/>
    <w:rsid w:val="004616BE"/>
    <w:rsid w:val="00465099"/>
    <w:rsid w:val="00473F8D"/>
    <w:rsid w:val="00493900"/>
    <w:rsid w:val="004968B0"/>
    <w:rsid w:val="004B60F9"/>
    <w:rsid w:val="004B6EBB"/>
    <w:rsid w:val="004C5A40"/>
    <w:rsid w:val="004C7B41"/>
    <w:rsid w:val="004E616D"/>
    <w:rsid w:val="004F3F79"/>
    <w:rsid w:val="004F69A5"/>
    <w:rsid w:val="00503431"/>
    <w:rsid w:val="00507799"/>
    <w:rsid w:val="0051278D"/>
    <w:rsid w:val="00530752"/>
    <w:rsid w:val="00541A85"/>
    <w:rsid w:val="0054217F"/>
    <w:rsid w:val="00542988"/>
    <w:rsid w:val="005433AB"/>
    <w:rsid w:val="00545461"/>
    <w:rsid w:val="00546EDC"/>
    <w:rsid w:val="00555137"/>
    <w:rsid w:val="00567379"/>
    <w:rsid w:val="00574BA8"/>
    <w:rsid w:val="00586ACD"/>
    <w:rsid w:val="00591E43"/>
    <w:rsid w:val="005A77F1"/>
    <w:rsid w:val="005B0EC8"/>
    <w:rsid w:val="005C779F"/>
    <w:rsid w:val="005E7397"/>
    <w:rsid w:val="005F25FC"/>
    <w:rsid w:val="0061633E"/>
    <w:rsid w:val="00616591"/>
    <w:rsid w:val="006208A0"/>
    <w:rsid w:val="006259B3"/>
    <w:rsid w:val="006432CA"/>
    <w:rsid w:val="006475C4"/>
    <w:rsid w:val="00647D65"/>
    <w:rsid w:val="0065388E"/>
    <w:rsid w:val="006540DA"/>
    <w:rsid w:val="00654AFE"/>
    <w:rsid w:val="006718B2"/>
    <w:rsid w:val="00675CC3"/>
    <w:rsid w:val="006768C1"/>
    <w:rsid w:val="00694131"/>
    <w:rsid w:val="006A1B37"/>
    <w:rsid w:val="006A2CB7"/>
    <w:rsid w:val="006A73E4"/>
    <w:rsid w:val="006A7A8F"/>
    <w:rsid w:val="006C276E"/>
    <w:rsid w:val="006C72BC"/>
    <w:rsid w:val="006D58EC"/>
    <w:rsid w:val="006D6351"/>
    <w:rsid w:val="006E10CB"/>
    <w:rsid w:val="006E56E0"/>
    <w:rsid w:val="006F0A27"/>
    <w:rsid w:val="00701372"/>
    <w:rsid w:val="00705FF9"/>
    <w:rsid w:val="00712758"/>
    <w:rsid w:val="007177F4"/>
    <w:rsid w:val="0072221F"/>
    <w:rsid w:val="00735312"/>
    <w:rsid w:val="00752306"/>
    <w:rsid w:val="00754D1B"/>
    <w:rsid w:val="0076073D"/>
    <w:rsid w:val="007616BC"/>
    <w:rsid w:val="00761733"/>
    <w:rsid w:val="007720C1"/>
    <w:rsid w:val="0077316A"/>
    <w:rsid w:val="00773189"/>
    <w:rsid w:val="0077332A"/>
    <w:rsid w:val="00775CD2"/>
    <w:rsid w:val="00776058"/>
    <w:rsid w:val="007770DD"/>
    <w:rsid w:val="00780493"/>
    <w:rsid w:val="00784788"/>
    <w:rsid w:val="00790537"/>
    <w:rsid w:val="007959C2"/>
    <w:rsid w:val="007A07A7"/>
    <w:rsid w:val="007A2FE6"/>
    <w:rsid w:val="007C6C18"/>
    <w:rsid w:val="007D116B"/>
    <w:rsid w:val="007D11F5"/>
    <w:rsid w:val="007D3802"/>
    <w:rsid w:val="007D75C3"/>
    <w:rsid w:val="007E0EE5"/>
    <w:rsid w:val="007E4B02"/>
    <w:rsid w:val="007E5501"/>
    <w:rsid w:val="007E790B"/>
    <w:rsid w:val="007F0401"/>
    <w:rsid w:val="007F2274"/>
    <w:rsid w:val="007F7916"/>
    <w:rsid w:val="0080783C"/>
    <w:rsid w:val="00807E4E"/>
    <w:rsid w:val="00811B26"/>
    <w:rsid w:val="008156D0"/>
    <w:rsid w:val="00817BC0"/>
    <w:rsid w:val="00831D9A"/>
    <w:rsid w:val="008368D9"/>
    <w:rsid w:val="00845B0D"/>
    <w:rsid w:val="00856FAF"/>
    <w:rsid w:val="00863463"/>
    <w:rsid w:val="00872EF1"/>
    <w:rsid w:val="00881355"/>
    <w:rsid w:val="00890EE5"/>
    <w:rsid w:val="008911D9"/>
    <w:rsid w:val="00895E46"/>
    <w:rsid w:val="008967CE"/>
    <w:rsid w:val="008A1149"/>
    <w:rsid w:val="008A13B1"/>
    <w:rsid w:val="008D5CB7"/>
    <w:rsid w:val="008E1482"/>
    <w:rsid w:val="008E1D7B"/>
    <w:rsid w:val="008E30FB"/>
    <w:rsid w:val="008F0B95"/>
    <w:rsid w:val="008F7CB4"/>
    <w:rsid w:val="00906222"/>
    <w:rsid w:val="009070D7"/>
    <w:rsid w:val="00914C32"/>
    <w:rsid w:val="00923A16"/>
    <w:rsid w:val="00925CA5"/>
    <w:rsid w:val="00934E88"/>
    <w:rsid w:val="00940AA8"/>
    <w:rsid w:val="00940C7D"/>
    <w:rsid w:val="00942D36"/>
    <w:rsid w:val="00952109"/>
    <w:rsid w:val="00957081"/>
    <w:rsid w:val="00970147"/>
    <w:rsid w:val="009777FB"/>
    <w:rsid w:val="0098087D"/>
    <w:rsid w:val="009C7CD4"/>
    <w:rsid w:val="009D16B6"/>
    <w:rsid w:val="009D226B"/>
    <w:rsid w:val="009D7531"/>
    <w:rsid w:val="009E0EBD"/>
    <w:rsid w:val="009E54DF"/>
    <w:rsid w:val="009E60FA"/>
    <w:rsid w:val="00A028AE"/>
    <w:rsid w:val="00A33257"/>
    <w:rsid w:val="00A45F9D"/>
    <w:rsid w:val="00A566D5"/>
    <w:rsid w:val="00A603D0"/>
    <w:rsid w:val="00A61723"/>
    <w:rsid w:val="00A645CB"/>
    <w:rsid w:val="00A67F48"/>
    <w:rsid w:val="00A70915"/>
    <w:rsid w:val="00A81A6E"/>
    <w:rsid w:val="00A84C4D"/>
    <w:rsid w:val="00A914AD"/>
    <w:rsid w:val="00AA1A86"/>
    <w:rsid w:val="00AA2EF4"/>
    <w:rsid w:val="00AA7D21"/>
    <w:rsid w:val="00AC2A7D"/>
    <w:rsid w:val="00AD03F3"/>
    <w:rsid w:val="00AD309C"/>
    <w:rsid w:val="00AD7CF5"/>
    <w:rsid w:val="00AE4605"/>
    <w:rsid w:val="00AF6A22"/>
    <w:rsid w:val="00B1375E"/>
    <w:rsid w:val="00B21298"/>
    <w:rsid w:val="00B2195F"/>
    <w:rsid w:val="00B36A4F"/>
    <w:rsid w:val="00B655B7"/>
    <w:rsid w:val="00B66D10"/>
    <w:rsid w:val="00B66FF9"/>
    <w:rsid w:val="00B7130A"/>
    <w:rsid w:val="00B766C8"/>
    <w:rsid w:val="00B80BC0"/>
    <w:rsid w:val="00B84AA7"/>
    <w:rsid w:val="00BA1C5D"/>
    <w:rsid w:val="00BA26BF"/>
    <w:rsid w:val="00BA2A2B"/>
    <w:rsid w:val="00BB2EE9"/>
    <w:rsid w:val="00BB43FE"/>
    <w:rsid w:val="00BC23E8"/>
    <w:rsid w:val="00BC2B21"/>
    <w:rsid w:val="00BD150A"/>
    <w:rsid w:val="00BE3458"/>
    <w:rsid w:val="00BF6C3A"/>
    <w:rsid w:val="00BF7932"/>
    <w:rsid w:val="00C027DF"/>
    <w:rsid w:val="00C03A49"/>
    <w:rsid w:val="00C055EC"/>
    <w:rsid w:val="00C144FF"/>
    <w:rsid w:val="00C15F71"/>
    <w:rsid w:val="00C22B0E"/>
    <w:rsid w:val="00C3210E"/>
    <w:rsid w:val="00C37C5D"/>
    <w:rsid w:val="00C536EE"/>
    <w:rsid w:val="00C54602"/>
    <w:rsid w:val="00C55603"/>
    <w:rsid w:val="00C579A4"/>
    <w:rsid w:val="00C613FB"/>
    <w:rsid w:val="00C64C19"/>
    <w:rsid w:val="00C667DC"/>
    <w:rsid w:val="00C71DDA"/>
    <w:rsid w:val="00C763AC"/>
    <w:rsid w:val="00C865E6"/>
    <w:rsid w:val="00C94652"/>
    <w:rsid w:val="00C9625E"/>
    <w:rsid w:val="00CA1F46"/>
    <w:rsid w:val="00CA5DEE"/>
    <w:rsid w:val="00CC57D5"/>
    <w:rsid w:val="00CD4CF7"/>
    <w:rsid w:val="00CF6C8C"/>
    <w:rsid w:val="00D02170"/>
    <w:rsid w:val="00D02320"/>
    <w:rsid w:val="00D02FD2"/>
    <w:rsid w:val="00D032A1"/>
    <w:rsid w:val="00D15007"/>
    <w:rsid w:val="00D169E3"/>
    <w:rsid w:val="00D22DDA"/>
    <w:rsid w:val="00D31AD7"/>
    <w:rsid w:val="00D415E4"/>
    <w:rsid w:val="00D44C4E"/>
    <w:rsid w:val="00D46AA8"/>
    <w:rsid w:val="00D5688F"/>
    <w:rsid w:val="00D56F13"/>
    <w:rsid w:val="00D62393"/>
    <w:rsid w:val="00D71EB5"/>
    <w:rsid w:val="00D7446B"/>
    <w:rsid w:val="00D75EE6"/>
    <w:rsid w:val="00D81569"/>
    <w:rsid w:val="00DA1A24"/>
    <w:rsid w:val="00DA2629"/>
    <w:rsid w:val="00DA33D5"/>
    <w:rsid w:val="00DA787D"/>
    <w:rsid w:val="00DB74EE"/>
    <w:rsid w:val="00DD1A8A"/>
    <w:rsid w:val="00DD4BCB"/>
    <w:rsid w:val="00DD7A17"/>
    <w:rsid w:val="00DF2CF7"/>
    <w:rsid w:val="00DF6F02"/>
    <w:rsid w:val="00E02E27"/>
    <w:rsid w:val="00E02EFD"/>
    <w:rsid w:val="00E15216"/>
    <w:rsid w:val="00E17E64"/>
    <w:rsid w:val="00E231A7"/>
    <w:rsid w:val="00E308CC"/>
    <w:rsid w:val="00E31848"/>
    <w:rsid w:val="00E322FB"/>
    <w:rsid w:val="00E32886"/>
    <w:rsid w:val="00E36D03"/>
    <w:rsid w:val="00E37F75"/>
    <w:rsid w:val="00E425DE"/>
    <w:rsid w:val="00E55E42"/>
    <w:rsid w:val="00E561E0"/>
    <w:rsid w:val="00E57AED"/>
    <w:rsid w:val="00E63694"/>
    <w:rsid w:val="00E67CC9"/>
    <w:rsid w:val="00E67E8E"/>
    <w:rsid w:val="00E72C5D"/>
    <w:rsid w:val="00E81CD8"/>
    <w:rsid w:val="00E82ECF"/>
    <w:rsid w:val="00E83862"/>
    <w:rsid w:val="00E8449F"/>
    <w:rsid w:val="00E93FBB"/>
    <w:rsid w:val="00EA2F2F"/>
    <w:rsid w:val="00EB00E5"/>
    <w:rsid w:val="00EB0679"/>
    <w:rsid w:val="00EB4F05"/>
    <w:rsid w:val="00EB5FF9"/>
    <w:rsid w:val="00EC0008"/>
    <w:rsid w:val="00EC40FB"/>
    <w:rsid w:val="00EC4C50"/>
    <w:rsid w:val="00EE276B"/>
    <w:rsid w:val="00EE47F7"/>
    <w:rsid w:val="00EF3F0B"/>
    <w:rsid w:val="00F014CC"/>
    <w:rsid w:val="00F146D4"/>
    <w:rsid w:val="00F17454"/>
    <w:rsid w:val="00F174AF"/>
    <w:rsid w:val="00F21AAB"/>
    <w:rsid w:val="00F22FF2"/>
    <w:rsid w:val="00F27856"/>
    <w:rsid w:val="00F36BA7"/>
    <w:rsid w:val="00F47C77"/>
    <w:rsid w:val="00F53038"/>
    <w:rsid w:val="00F530CC"/>
    <w:rsid w:val="00F53B46"/>
    <w:rsid w:val="00F61750"/>
    <w:rsid w:val="00F63BB1"/>
    <w:rsid w:val="00F6416E"/>
    <w:rsid w:val="00F64770"/>
    <w:rsid w:val="00F71289"/>
    <w:rsid w:val="00F71E7B"/>
    <w:rsid w:val="00F7210C"/>
    <w:rsid w:val="00F738A0"/>
    <w:rsid w:val="00F74729"/>
    <w:rsid w:val="00F771DD"/>
    <w:rsid w:val="00F8158C"/>
    <w:rsid w:val="00F84266"/>
    <w:rsid w:val="00F913D4"/>
    <w:rsid w:val="00F93CB4"/>
    <w:rsid w:val="00F973C7"/>
    <w:rsid w:val="00FA0028"/>
    <w:rsid w:val="00FA3D79"/>
    <w:rsid w:val="00FB2763"/>
    <w:rsid w:val="00FB7B0A"/>
    <w:rsid w:val="00FC0D61"/>
    <w:rsid w:val="00FD2CBB"/>
    <w:rsid w:val="00FE1D87"/>
    <w:rsid w:val="00FE4034"/>
    <w:rsid w:val="00FF6605"/>
    <w:rsid w:val="01227B80"/>
    <w:rsid w:val="01255120"/>
    <w:rsid w:val="016A347B"/>
    <w:rsid w:val="01A85D51"/>
    <w:rsid w:val="01B110AA"/>
    <w:rsid w:val="01F36FCC"/>
    <w:rsid w:val="01FB40D3"/>
    <w:rsid w:val="021D32BA"/>
    <w:rsid w:val="022278B2"/>
    <w:rsid w:val="025A704C"/>
    <w:rsid w:val="027D0F8C"/>
    <w:rsid w:val="027F4D04"/>
    <w:rsid w:val="02837B03"/>
    <w:rsid w:val="02883D22"/>
    <w:rsid w:val="02B94E08"/>
    <w:rsid w:val="02D1765E"/>
    <w:rsid w:val="02EE1086"/>
    <w:rsid w:val="02FB6CDA"/>
    <w:rsid w:val="03057289"/>
    <w:rsid w:val="03F079D9"/>
    <w:rsid w:val="03FB660C"/>
    <w:rsid w:val="041B280B"/>
    <w:rsid w:val="04394CEA"/>
    <w:rsid w:val="044262F7"/>
    <w:rsid w:val="044E1D39"/>
    <w:rsid w:val="04610B65"/>
    <w:rsid w:val="049674C3"/>
    <w:rsid w:val="04B8274F"/>
    <w:rsid w:val="04C335CE"/>
    <w:rsid w:val="050C04DA"/>
    <w:rsid w:val="051B154B"/>
    <w:rsid w:val="052676B9"/>
    <w:rsid w:val="05300538"/>
    <w:rsid w:val="053E4A03"/>
    <w:rsid w:val="054933A7"/>
    <w:rsid w:val="05583236"/>
    <w:rsid w:val="05753047"/>
    <w:rsid w:val="059C656F"/>
    <w:rsid w:val="059F029C"/>
    <w:rsid w:val="05A76A4C"/>
    <w:rsid w:val="05DF2F6E"/>
    <w:rsid w:val="05EC3CFE"/>
    <w:rsid w:val="066B5CCB"/>
    <w:rsid w:val="068E5516"/>
    <w:rsid w:val="06A66D03"/>
    <w:rsid w:val="06CE0008"/>
    <w:rsid w:val="06D43123"/>
    <w:rsid w:val="06D66EBD"/>
    <w:rsid w:val="06F21F49"/>
    <w:rsid w:val="070C4535"/>
    <w:rsid w:val="073E518E"/>
    <w:rsid w:val="077D2FDF"/>
    <w:rsid w:val="07832BA1"/>
    <w:rsid w:val="079B25E0"/>
    <w:rsid w:val="07BC2556"/>
    <w:rsid w:val="07C40E9D"/>
    <w:rsid w:val="07C82F2A"/>
    <w:rsid w:val="07D77390"/>
    <w:rsid w:val="07E163D5"/>
    <w:rsid w:val="07F46FEF"/>
    <w:rsid w:val="08070A00"/>
    <w:rsid w:val="08386081"/>
    <w:rsid w:val="084B0776"/>
    <w:rsid w:val="086724C2"/>
    <w:rsid w:val="087B41C0"/>
    <w:rsid w:val="08AD3BAB"/>
    <w:rsid w:val="08B64722"/>
    <w:rsid w:val="08CA0902"/>
    <w:rsid w:val="08CF4683"/>
    <w:rsid w:val="08D262A8"/>
    <w:rsid w:val="0929472F"/>
    <w:rsid w:val="093D2F14"/>
    <w:rsid w:val="094D16B8"/>
    <w:rsid w:val="0962481E"/>
    <w:rsid w:val="097D7E05"/>
    <w:rsid w:val="097E3AE5"/>
    <w:rsid w:val="0994055C"/>
    <w:rsid w:val="0995137D"/>
    <w:rsid w:val="09C13E54"/>
    <w:rsid w:val="09CF2342"/>
    <w:rsid w:val="09D52268"/>
    <w:rsid w:val="09DE4A06"/>
    <w:rsid w:val="09E6794E"/>
    <w:rsid w:val="09FE4D70"/>
    <w:rsid w:val="0A595E3B"/>
    <w:rsid w:val="0A5B632D"/>
    <w:rsid w:val="0A79472F"/>
    <w:rsid w:val="0A825C26"/>
    <w:rsid w:val="0AA03A6A"/>
    <w:rsid w:val="0AC27AB4"/>
    <w:rsid w:val="0B05665C"/>
    <w:rsid w:val="0B0A43BB"/>
    <w:rsid w:val="0B1E3309"/>
    <w:rsid w:val="0B2428ED"/>
    <w:rsid w:val="0B2D196A"/>
    <w:rsid w:val="0B3F6E6A"/>
    <w:rsid w:val="0B6161A3"/>
    <w:rsid w:val="0B776EC0"/>
    <w:rsid w:val="0BA31874"/>
    <w:rsid w:val="0BA37EB0"/>
    <w:rsid w:val="0C236700"/>
    <w:rsid w:val="0C291044"/>
    <w:rsid w:val="0C2A7A8F"/>
    <w:rsid w:val="0C2C7CAB"/>
    <w:rsid w:val="0C3C259B"/>
    <w:rsid w:val="0C403DDB"/>
    <w:rsid w:val="0C41302A"/>
    <w:rsid w:val="0C4F1BEB"/>
    <w:rsid w:val="0C782EF0"/>
    <w:rsid w:val="0C7D0506"/>
    <w:rsid w:val="0CFA226C"/>
    <w:rsid w:val="0D1129FD"/>
    <w:rsid w:val="0D183D8B"/>
    <w:rsid w:val="0D2070E4"/>
    <w:rsid w:val="0D3F57BC"/>
    <w:rsid w:val="0D4C1C87"/>
    <w:rsid w:val="0D5D44B5"/>
    <w:rsid w:val="0D774F56"/>
    <w:rsid w:val="0D9A669A"/>
    <w:rsid w:val="0D9D0734"/>
    <w:rsid w:val="0DC95E8B"/>
    <w:rsid w:val="0DE66142"/>
    <w:rsid w:val="0DE7680D"/>
    <w:rsid w:val="0DEB5944"/>
    <w:rsid w:val="0E010E09"/>
    <w:rsid w:val="0E39045D"/>
    <w:rsid w:val="0E62296F"/>
    <w:rsid w:val="0E71409B"/>
    <w:rsid w:val="0E843A2A"/>
    <w:rsid w:val="0ED20405"/>
    <w:rsid w:val="0ED97690"/>
    <w:rsid w:val="0EDA2FEF"/>
    <w:rsid w:val="0F15222C"/>
    <w:rsid w:val="0F18046C"/>
    <w:rsid w:val="0F475A3E"/>
    <w:rsid w:val="0F5B4403"/>
    <w:rsid w:val="0F7D306C"/>
    <w:rsid w:val="0F882BE7"/>
    <w:rsid w:val="0F8B1A2C"/>
    <w:rsid w:val="0FAE09D7"/>
    <w:rsid w:val="0FB57FB7"/>
    <w:rsid w:val="0FC65D20"/>
    <w:rsid w:val="0FD04DF1"/>
    <w:rsid w:val="0FED58E3"/>
    <w:rsid w:val="103233B6"/>
    <w:rsid w:val="104A6951"/>
    <w:rsid w:val="10AF4A06"/>
    <w:rsid w:val="10B326BA"/>
    <w:rsid w:val="10C167E4"/>
    <w:rsid w:val="10C763EA"/>
    <w:rsid w:val="10FD1C16"/>
    <w:rsid w:val="11164A85"/>
    <w:rsid w:val="111D5E14"/>
    <w:rsid w:val="11271AB8"/>
    <w:rsid w:val="1141166B"/>
    <w:rsid w:val="11984976"/>
    <w:rsid w:val="11A46535"/>
    <w:rsid w:val="11AC0F46"/>
    <w:rsid w:val="11CA48D8"/>
    <w:rsid w:val="11D706B9"/>
    <w:rsid w:val="11FB0426"/>
    <w:rsid w:val="12107727"/>
    <w:rsid w:val="12117DB8"/>
    <w:rsid w:val="121C02BE"/>
    <w:rsid w:val="121C431D"/>
    <w:rsid w:val="12282E23"/>
    <w:rsid w:val="12687563"/>
    <w:rsid w:val="12754004"/>
    <w:rsid w:val="12791770"/>
    <w:rsid w:val="128B2877"/>
    <w:rsid w:val="12975631"/>
    <w:rsid w:val="1299771C"/>
    <w:rsid w:val="12C16C73"/>
    <w:rsid w:val="12D06EB6"/>
    <w:rsid w:val="13294F44"/>
    <w:rsid w:val="13456351"/>
    <w:rsid w:val="1347361C"/>
    <w:rsid w:val="13710699"/>
    <w:rsid w:val="137B5074"/>
    <w:rsid w:val="13A445CA"/>
    <w:rsid w:val="13B56864"/>
    <w:rsid w:val="13F3192F"/>
    <w:rsid w:val="140F5871"/>
    <w:rsid w:val="144A5C2E"/>
    <w:rsid w:val="144B713C"/>
    <w:rsid w:val="1466786F"/>
    <w:rsid w:val="14724AB6"/>
    <w:rsid w:val="14810A3E"/>
    <w:rsid w:val="149F41D0"/>
    <w:rsid w:val="14C55CE2"/>
    <w:rsid w:val="14CA0061"/>
    <w:rsid w:val="15211C4B"/>
    <w:rsid w:val="15324B8E"/>
    <w:rsid w:val="157D650A"/>
    <w:rsid w:val="15866F2A"/>
    <w:rsid w:val="15A9411A"/>
    <w:rsid w:val="160A4F1B"/>
    <w:rsid w:val="16341CFD"/>
    <w:rsid w:val="16361726"/>
    <w:rsid w:val="16393D39"/>
    <w:rsid w:val="167744DB"/>
    <w:rsid w:val="1683496B"/>
    <w:rsid w:val="16886814"/>
    <w:rsid w:val="169B185C"/>
    <w:rsid w:val="16C84A74"/>
    <w:rsid w:val="16D27BE2"/>
    <w:rsid w:val="16E01DBD"/>
    <w:rsid w:val="171664FE"/>
    <w:rsid w:val="171B0984"/>
    <w:rsid w:val="17261D73"/>
    <w:rsid w:val="174F7450"/>
    <w:rsid w:val="175F3493"/>
    <w:rsid w:val="17AF1790"/>
    <w:rsid w:val="17F35B20"/>
    <w:rsid w:val="1812425C"/>
    <w:rsid w:val="181B72DB"/>
    <w:rsid w:val="184019AC"/>
    <w:rsid w:val="186662F2"/>
    <w:rsid w:val="18C106AC"/>
    <w:rsid w:val="18CE20EA"/>
    <w:rsid w:val="18CE7660"/>
    <w:rsid w:val="18F712F7"/>
    <w:rsid w:val="190E0811"/>
    <w:rsid w:val="1926420A"/>
    <w:rsid w:val="19287A4C"/>
    <w:rsid w:val="19422C35"/>
    <w:rsid w:val="19476AB2"/>
    <w:rsid w:val="19486114"/>
    <w:rsid w:val="19624DCB"/>
    <w:rsid w:val="19636CD6"/>
    <w:rsid w:val="196A2073"/>
    <w:rsid w:val="197A603E"/>
    <w:rsid w:val="19AC7DD1"/>
    <w:rsid w:val="19B25567"/>
    <w:rsid w:val="19FD67E3"/>
    <w:rsid w:val="1A02204B"/>
    <w:rsid w:val="1A07140F"/>
    <w:rsid w:val="1A154DA1"/>
    <w:rsid w:val="1A2056A9"/>
    <w:rsid w:val="1A367D04"/>
    <w:rsid w:val="1A3A7A37"/>
    <w:rsid w:val="1A4C59BC"/>
    <w:rsid w:val="1A7F1D34"/>
    <w:rsid w:val="1A822C27"/>
    <w:rsid w:val="1A9A04D5"/>
    <w:rsid w:val="1AAB623F"/>
    <w:rsid w:val="1B157B5C"/>
    <w:rsid w:val="1B2349D2"/>
    <w:rsid w:val="1B326960"/>
    <w:rsid w:val="1B373F76"/>
    <w:rsid w:val="1B7444D0"/>
    <w:rsid w:val="1B7C2C5F"/>
    <w:rsid w:val="1B8076CB"/>
    <w:rsid w:val="1BA55384"/>
    <w:rsid w:val="1BF355C7"/>
    <w:rsid w:val="1C0E117B"/>
    <w:rsid w:val="1C2D7127"/>
    <w:rsid w:val="1C784846"/>
    <w:rsid w:val="1C7C14FF"/>
    <w:rsid w:val="1C821221"/>
    <w:rsid w:val="1C881132"/>
    <w:rsid w:val="1CAB4C1C"/>
    <w:rsid w:val="1CB11952"/>
    <w:rsid w:val="1CE019F6"/>
    <w:rsid w:val="1D2F75FB"/>
    <w:rsid w:val="1D506B65"/>
    <w:rsid w:val="1D550375"/>
    <w:rsid w:val="1D570900"/>
    <w:rsid w:val="1D61352C"/>
    <w:rsid w:val="1D6A233A"/>
    <w:rsid w:val="1D780A1E"/>
    <w:rsid w:val="1D807048"/>
    <w:rsid w:val="1D8D4321"/>
    <w:rsid w:val="1D976F4E"/>
    <w:rsid w:val="1DA43419"/>
    <w:rsid w:val="1DAD6772"/>
    <w:rsid w:val="1DCA1E79"/>
    <w:rsid w:val="1DCB2DDC"/>
    <w:rsid w:val="1DCF19DE"/>
    <w:rsid w:val="1DE33CD0"/>
    <w:rsid w:val="1DFE701D"/>
    <w:rsid w:val="1E0822C4"/>
    <w:rsid w:val="1E14059F"/>
    <w:rsid w:val="1E1B192D"/>
    <w:rsid w:val="1E205195"/>
    <w:rsid w:val="1E313FB3"/>
    <w:rsid w:val="1E4C1A79"/>
    <w:rsid w:val="1E5B7F7C"/>
    <w:rsid w:val="1E6F6EC6"/>
    <w:rsid w:val="1E8066E5"/>
    <w:rsid w:val="1E867A0D"/>
    <w:rsid w:val="1E94348E"/>
    <w:rsid w:val="1E9811D0"/>
    <w:rsid w:val="1EDE6ADB"/>
    <w:rsid w:val="1EF64B18"/>
    <w:rsid w:val="1F1162C7"/>
    <w:rsid w:val="1F157FEC"/>
    <w:rsid w:val="1F244811"/>
    <w:rsid w:val="1F3543D1"/>
    <w:rsid w:val="1F386FFD"/>
    <w:rsid w:val="1F3A481C"/>
    <w:rsid w:val="1F552C1D"/>
    <w:rsid w:val="1F58358F"/>
    <w:rsid w:val="1F852AAF"/>
    <w:rsid w:val="1FBC3D2C"/>
    <w:rsid w:val="1FDF698A"/>
    <w:rsid w:val="1FE33510"/>
    <w:rsid w:val="1FFC592B"/>
    <w:rsid w:val="2000702C"/>
    <w:rsid w:val="20317AB3"/>
    <w:rsid w:val="20362A4E"/>
    <w:rsid w:val="206A094A"/>
    <w:rsid w:val="20BF0710"/>
    <w:rsid w:val="20CE2C87"/>
    <w:rsid w:val="20DD55C0"/>
    <w:rsid w:val="2149055F"/>
    <w:rsid w:val="214C004F"/>
    <w:rsid w:val="215C0EAE"/>
    <w:rsid w:val="21670C2F"/>
    <w:rsid w:val="2178128D"/>
    <w:rsid w:val="21823A71"/>
    <w:rsid w:val="21F36C22"/>
    <w:rsid w:val="222114DC"/>
    <w:rsid w:val="22456F79"/>
    <w:rsid w:val="224C4B12"/>
    <w:rsid w:val="224D3AFB"/>
    <w:rsid w:val="227B299A"/>
    <w:rsid w:val="22921111"/>
    <w:rsid w:val="22934188"/>
    <w:rsid w:val="22A46395"/>
    <w:rsid w:val="22B32A8D"/>
    <w:rsid w:val="22B8599C"/>
    <w:rsid w:val="22C329EB"/>
    <w:rsid w:val="22C6199A"/>
    <w:rsid w:val="22C92FCC"/>
    <w:rsid w:val="22CC31F6"/>
    <w:rsid w:val="22D30A28"/>
    <w:rsid w:val="22F97D63"/>
    <w:rsid w:val="234C277D"/>
    <w:rsid w:val="238E2BA1"/>
    <w:rsid w:val="2393640A"/>
    <w:rsid w:val="23A71402"/>
    <w:rsid w:val="23AE66CF"/>
    <w:rsid w:val="23C10881"/>
    <w:rsid w:val="23FA0237"/>
    <w:rsid w:val="24084702"/>
    <w:rsid w:val="24305BD0"/>
    <w:rsid w:val="24545B99"/>
    <w:rsid w:val="246456B0"/>
    <w:rsid w:val="2466617A"/>
    <w:rsid w:val="247022A7"/>
    <w:rsid w:val="249C309C"/>
    <w:rsid w:val="249F101D"/>
    <w:rsid w:val="24A95308"/>
    <w:rsid w:val="24B569ED"/>
    <w:rsid w:val="24B672B1"/>
    <w:rsid w:val="24C83E91"/>
    <w:rsid w:val="24E862E1"/>
    <w:rsid w:val="252A7D7C"/>
    <w:rsid w:val="253C1F85"/>
    <w:rsid w:val="254479BB"/>
    <w:rsid w:val="2556149D"/>
    <w:rsid w:val="25725092"/>
    <w:rsid w:val="25744D9A"/>
    <w:rsid w:val="25764776"/>
    <w:rsid w:val="257A620F"/>
    <w:rsid w:val="25D564AB"/>
    <w:rsid w:val="25E20F82"/>
    <w:rsid w:val="25E47AF0"/>
    <w:rsid w:val="25E71733"/>
    <w:rsid w:val="25FF129C"/>
    <w:rsid w:val="26040EF9"/>
    <w:rsid w:val="262449BF"/>
    <w:rsid w:val="2634595C"/>
    <w:rsid w:val="26346C43"/>
    <w:rsid w:val="2669103C"/>
    <w:rsid w:val="26763BCF"/>
    <w:rsid w:val="26812549"/>
    <w:rsid w:val="269F0C21"/>
    <w:rsid w:val="26CB02AF"/>
    <w:rsid w:val="27007912"/>
    <w:rsid w:val="270A69E3"/>
    <w:rsid w:val="27165388"/>
    <w:rsid w:val="271F3D3B"/>
    <w:rsid w:val="272730F1"/>
    <w:rsid w:val="2775EEF5"/>
    <w:rsid w:val="27822763"/>
    <w:rsid w:val="27870033"/>
    <w:rsid w:val="27C3373D"/>
    <w:rsid w:val="27DD5EA5"/>
    <w:rsid w:val="27E64D5A"/>
    <w:rsid w:val="2828082C"/>
    <w:rsid w:val="2863605A"/>
    <w:rsid w:val="28724840"/>
    <w:rsid w:val="28727A72"/>
    <w:rsid w:val="28901037"/>
    <w:rsid w:val="2895359B"/>
    <w:rsid w:val="289651BD"/>
    <w:rsid w:val="28AA5A71"/>
    <w:rsid w:val="28B577B6"/>
    <w:rsid w:val="28D81409"/>
    <w:rsid w:val="28E051EA"/>
    <w:rsid w:val="28F107FE"/>
    <w:rsid w:val="2907142C"/>
    <w:rsid w:val="290C6A42"/>
    <w:rsid w:val="295959FF"/>
    <w:rsid w:val="297F5EFD"/>
    <w:rsid w:val="29802F8C"/>
    <w:rsid w:val="29916F47"/>
    <w:rsid w:val="29955A56"/>
    <w:rsid w:val="29A50C45"/>
    <w:rsid w:val="29BD1AEA"/>
    <w:rsid w:val="29C55868"/>
    <w:rsid w:val="2A043BBD"/>
    <w:rsid w:val="2A047719"/>
    <w:rsid w:val="2A0E0598"/>
    <w:rsid w:val="2A44045E"/>
    <w:rsid w:val="2A486993"/>
    <w:rsid w:val="2A581A3A"/>
    <w:rsid w:val="2A5F4D16"/>
    <w:rsid w:val="2A720D72"/>
    <w:rsid w:val="2A9071FF"/>
    <w:rsid w:val="2A9133E6"/>
    <w:rsid w:val="2A9F7442"/>
    <w:rsid w:val="2AAB5086"/>
    <w:rsid w:val="2AC80521"/>
    <w:rsid w:val="2AC8468D"/>
    <w:rsid w:val="2ACB70F6"/>
    <w:rsid w:val="2AD215C5"/>
    <w:rsid w:val="2AD43590"/>
    <w:rsid w:val="2AEE7399"/>
    <w:rsid w:val="2AF21C68"/>
    <w:rsid w:val="2B00796F"/>
    <w:rsid w:val="2B031B1F"/>
    <w:rsid w:val="2B03342D"/>
    <w:rsid w:val="2B585F6F"/>
    <w:rsid w:val="2B591CE7"/>
    <w:rsid w:val="2B772B27"/>
    <w:rsid w:val="2B8723B0"/>
    <w:rsid w:val="2B8C5BD2"/>
    <w:rsid w:val="2BB72C49"/>
    <w:rsid w:val="2BC2163A"/>
    <w:rsid w:val="2BC270C8"/>
    <w:rsid w:val="2BD34EBA"/>
    <w:rsid w:val="2BE041B6"/>
    <w:rsid w:val="2BED3D2E"/>
    <w:rsid w:val="2BEE68D3"/>
    <w:rsid w:val="2C22032B"/>
    <w:rsid w:val="2C324A12"/>
    <w:rsid w:val="2C5B55EB"/>
    <w:rsid w:val="2C773DF0"/>
    <w:rsid w:val="2C7C3EDF"/>
    <w:rsid w:val="2C86549C"/>
    <w:rsid w:val="2CA647B0"/>
    <w:rsid w:val="2CAD6FBD"/>
    <w:rsid w:val="2CCB6C14"/>
    <w:rsid w:val="2CEA52EC"/>
    <w:rsid w:val="2CEC536F"/>
    <w:rsid w:val="2D12214D"/>
    <w:rsid w:val="2D12740F"/>
    <w:rsid w:val="2D2D342B"/>
    <w:rsid w:val="2D4C1B03"/>
    <w:rsid w:val="2D517B74"/>
    <w:rsid w:val="2D614E83"/>
    <w:rsid w:val="2D68635B"/>
    <w:rsid w:val="2D7E3C87"/>
    <w:rsid w:val="2E0F48DF"/>
    <w:rsid w:val="2E2465DC"/>
    <w:rsid w:val="2E355A57"/>
    <w:rsid w:val="2E3F3416"/>
    <w:rsid w:val="2E4166E3"/>
    <w:rsid w:val="2E6C3ADF"/>
    <w:rsid w:val="2E7A61FC"/>
    <w:rsid w:val="2E7C01C6"/>
    <w:rsid w:val="2E867E03"/>
    <w:rsid w:val="2E890E4A"/>
    <w:rsid w:val="2E9C43C4"/>
    <w:rsid w:val="2EB84F76"/>
    <w:rsid w:val="2ED246EE"/>
    <w:rsid w:val="2EDA313F"/>
    <w:rsid w:val="2F300FB0"/>
    <w:rsid w:val="2F3C7955"/>
    <w:rsid w:val="2F634EE2"/>
    <w:rsid w:val="2F8B61E7"/>
    <w:rsid w:val="2FDE4077"/>
    <w:rsid w:val="2FED0C50"/>
    <w:rsid w:val="2FF81ACE"/>
    <w:rsid w:val="2FFF0FB6"/>
    <w:rsid w:val="30032221"/>
    <w:rsid w:val="300466C5"/>
    <w:rsid w:val="300E150D"/>
    <w:rsid w:val="300E30A0"/>
    <w:rsid w:val="30110DE2"/>
    <w:rsid w:val="30180806"/>
    <w:rsid w:val="3034062C"/>
    <w:rsid w:val="303E5501"/>
    <w:rsid w:val="305B02AF"/>
    <w:rsid w:val="306F163B"/>
    <w:rsid w:val="30CA5EC3"/>
    <w:rsid w:val="30DE6A69"/>
    <w:rsid w:val="30E107B4"/>
    <w:rsid w:val="31175F84"/>
    <w:rsid w:val="31556AAC"/>
    <w:rsid w:val="315A2315"/>
    <w:rsid w:val="31704801"/>
    <w:rsid w:val="31790FDA"/>
    <w:rsid w:val="31807FCD"/>
    <w:rsid w:val="319D3AE7"/>
    <w:rsid w:val="31AF440F"/>
    <w:rsid w:val="31B400AF"/>
    <w:rsid w:val="31B8508B"/>
    <w:rsid w:val="31BA4166"/>
    <w:rsid w:val="31CD0D39"/>
    <w:rsid w:val="31D67BED"/>
    <w:rsid w:val="31E130B4"/>
    <w:rsid w:val="31FE0EF2"/>
    <w:rsid w:val="32425283"/>
    <w:rsid w:val="32666042"/>
    <w:rsid w:val="326E42CA"/>
    <w:rsid w:val="32773D06"/>
    <w:rsid w:val="327D275F"/>
    <w:rsid w:val="328A1DE5"/>
    <w:rsid w:val="32B10AC5"/>
    <w:rsid w:val="32E14A9C"/>
    <w:rsid w:val="32E225C2"/>
    <w:rsid w:val="330C5891"/>
    <w:rsid w:val="33311883"/>
    <w:rsid w:val="334119DE"/>
    <w:rsid w:val="33477DBB"/>
    <w:rsid w:val="33712D71"/>
    <w:rsid w:val="33801D40"/>
    <w:rsid w:val="338E62A6"/>
    <w:rsid w:val="338F3C47"/>
    <w:rsid w:val="33A71511"/>
    <w:rsid w:val="33AF4B9A"/>
    <w:rsid w:val="33CF5CD7"/>
    <w:rsid w:val="33F829BD"/>
    <w:rsid w:val="34480949"/>
    <w:rsid w:val="344A041F"/>
    <w:rsid w:val="3456735A"/>
    <w:rsid w:val="34884182"/>
    <w:rsid w:val="34930017"/>
    <w:rsid w:val="34E24A8D"/>
    <w:rsid w:val="35026026"/>
    <w:rsid w:val="350667E1"/>
    <w:rsid w:val="35241A74"/>
    <w:rsid w:val="35335357"/>
    <w:rsid w:val="353C06AF"/>
    <w:rsid w:val="355F7EFA"/>
    <w:rsid w:val="35753BC1"/>
    <w:rsid w:val="35971C6B"/>
    <w:rsid w:val="35B20971"/>
    <w:rsid w:val="35E1035F"/>
    <w:rsid w:val="35F7332A"/>
    <w:rsid w:val="35F965A0"/>
    <w:rsid w:val="35FC7E3E"/>
    <w:rsid w:val="361E7DB5"/>
    <w:rsid w:val="362A1B67"/>
    <w:rsid w:val="364C4922"/>
    <w:rsid w:val="36B6623F"/>
    <w:rsid w:val="36C175C6"/>
    <w:rsid w:val="371600E9"/>
    <w:rsid w:val="372B50A7"/>
    <w:rsid w:val="3736112E"/>
    <w:rsid w:val="373C4996"/>
    <w:rsid w:val="37594790"/>
    <w:rsid w:val="37A10C9D"/>
    <w:rsid w:val="37F039D3"/>
    <w:rsid w:val="380B55F3"/>
    <w:rsid w:val="38251764"/>
    <w:rsid w:val="382A45EF"/>
    <w:rsid w:val="388F4F9A"/>
    <w:rsid w:val="38991974"/>
    <w:rsid w:val="38A65E3F"/>
    <w:rsid w:val="38BE22E2"/>
    <w:rsid w:val="38D15CEB"/>
    <w:rsid w:val="39065067"/>
    <w:rsid w:val="39104A4D"/>
    <w:rsid w:val="3914724D"/>
    <w:rsid w:val="39251DC5"/>
    <w:rsid w:val="39424D13"/>
    <w:rsid w:val="395B4E7C"/>
    <w:rsid w:val="397F6DBC"/>
    <w:rsid w:val="39992A13"/>
    <w:rsid w:val="39D4668B"/>
    <w:rsid w:val="39D52E79"/>
    <w:rsid w:val="39DE30A7"/>
    <w:rsid w:val="3A485400"/>
    <w:rsid w:val="3A4A561C"/>
    <w:rsid w:val="3A5913BB"/>
    <w:rsid w:val="3A601248"/>
    <w:rsid w:val="3A762824"/>
    <w:rsid w:val="3A903FCD"/>
    <w:rsid w:val="3A95616C"/>
    <w:rsid w:val="3AAB01D6"/>
    <w:rsid w:val="3AF31810"/>
    <w:rsid w:val="3AF923D7"/>
    <w:rsid w:val="3AFD55BB"/>
    <w:rsid w:val="3B023801"/>
    <w:rsid w:val="3B084C2D"/>
    <w:rsid w:val="3B163750"/>
    <w:rsid w:val="3B20012B"/>
    <w:rsid w:val="3B467602"/>
    <w:rsid w:val="3B4F1D9F"/>
    <w:rsid w:val="3B6348DA"/>
    <w:rsid w:val="3B9FDDC7"/>
    <w:rsid w:val="3BBA7C64"/>
    <w:rsid w:val="3BC13445"/>
    <w:rsid w:val="3BC95C22"/>
    <w:rsid w:val="3BD72EE0"/>
    <w:rsid w:val="3BDC6748"/>
    <w:rsid w:val="3C26407C"/>
    <w:rsid w:val="3C395948"/>
    <w:rsid w:val="3C3F2833"/>
    <w:rsid w:val="3C7076A7"/>
    <w:rsid w:val="3C942B7F"/>
    <w:rsid w:val="3CD76F0F"/>
    <w:rsid w:val="3D000214"/>
    <w:rsid w:val="3D2A3D1E"/>
    <w:rsid w:val="3D485717"/>
    <w:rsid w:val="3D4C32B6"/>
    <w:rsid w:val="3D624A2B"/>
    <w:rsid w:val="3D7117EB"/>
    <w:rsid w:val="3D9B0E68"/>
    <w:rsid w:val="3DF00DF6"/>
    <w:rsid w:val="3DF243FA"/>
    <w:rsid w:val="3E032ABD"/>
    <w:rsid w:val="3E1A6821"/>
    <w:rsid w:val="3E2B7513"/>
    <w:rsid w:val="3E3D2DA2"/>
    <w:rsid w:val="3E5D11F9"/>
    <w:rsid w:val="3E5F0F6A"/>
    <w:rsid w:val="3E642A25"/>
    <w:rsid w:val="3E6A0E6E"/>
    <w:rsid w:val="3EB007A8"/>
    <w:rsid w:val="3EEB275F"/>
    <w:rsid w:val="3EFC2A5E"/>
    <w:rsid w:val="3F010D8D"/>
    <w:rsid w:val="3F125FDD"/>
    <w:rsid w:val="3F3C78B5"/>
    <w:rsid w:val="3F582DB4"/>
    <w:rsid w:val="3F591E5E"/>
    <w:rsid w:val="3F5C79A7"/>
    <w:rsid w:val="3F7D5B4C"/>
    <w:rsid w:val="3FA255B3"/>
    <w:rsid w:val="3FC574F3"/>
    <w:rsid w:val="3FCE63A8"/>
    <w:rsid w:val="3FD87226"/>
    <w:rsid w:val="3FFE510E"/>
    <w:rsid w:val="4010515C"/>
    <w:rsid w:val="401907F3"/>
    <w:rsid w:val="401E25EE"/>
    <w:rsid w:val="40416B7A"/>
    <w:rsid w:val="40503261"/>
    <w:rsid w:val="408D1DBF"/>
    <w:rsid w:val="4093153B"/>
    <w:rsid w:val="40970E8F"/>
    <w:rsid w:val="40B90E06"/>
    <w:rsid w:val="410B7187"/>
    <w:rsid w:val="412160C9"/>
    <w:rsid w:val="414A5F02"/>
    <w:rsid w:val="41514029"/>
    <w:rsid w:val="41894C7C"/>
    <w:rsid w:val="41931657"/>
    <w:rsid w:val="41953E7B"/>
    <w:rsid w:val="4197500C"/>
    <w:rsid w:val="41981549"/>
    <w:rsid w:val="41AA4BF2"/>
    <w:rsid w:val="41DD3D70"/>
    <w:rsid w:val="41EF4A6B"/>
    <w:rsid w:val="420460B1"/>
    <w:rsid w:val="421B4715"/>
    <w:rsid w:val="42201E72"/>
    <w:rsid w:val="42332E3A"/>
    <w:rsid w:val="423E777F"/>
    <w:rsid w:val="42925DB2"/>
    <w:rsid w:val="42985594"/>
    <w:rsid w:val="42D82A41"/>
    <w:rsid w:val="42F02AD9"/>
    <w:rsid w:val="42FA5706"/>
    <w:rsid w:val="43083369"/>
    <w:rsid w:val="43317379"/>
    <w:rsid w:val="436C6603"/>
    <w:rsid w:val="43B4601F"/>
    <w:rsid w:val="43C755E8"/>
    <w:rsid w:val="43E97E7C"/>
    <w:rsid w:val="44242A3A"/>
    <w:rsid w:val="443133A9"/>
    <w:rsid w:val="44406DAA"/>
    <w:rsid w:val="44DB21F3"/>
    <w:rsid w:val="44ED14C8"/>
    <w:rsid w:val="450F36EA"/>
    <w:rsid w:val="45123BD8"/>
    <w:rsid w:val="45207905"/>
    <w:rsid w:val="453E5BDD"/>
    <w:rsid w:val="453F2418"/>
    <w:rsid w:val="4581664C"/>
    <w:rsid w:val="45837C34"/>
    <w:rsid w:val="458C7E36"/>
    <w:rsid w:val="459D4C65"/>
    <w:rsid w:val="45C344D5"/>
    <w:rsid w:val="45CC3389"/>
    <w:rsid w:val="460D0F18"/>
    <w:rsid w:val="462F0DEF"/>
    <w:rsid w:val="467852BF"/>
    <w:rsid w:val="469F0A9E"/>
    <w:rsid w:val="46A56BA1"/>
    <w:rsid w:val="46BF6514"/>
    <w:rsid w:val="46CB1893"/>
    <w:rsid w:val="47002980"/>
    <w:rsid w:val="471274C2"/>
    <w:rsid w:val="47143CE0"/>
    <w:rsid w:val="47262F6D"/>
    <w:rsid w:val="473F635E"/>
    <w:rsid w:val="47456F78"/>
    <w:rsid w:val="47552BAB"/>
    <w:rsid w:val="47642841"/>
    <w:rsid w:val="476D1B91"/>
    <w:rsid w:val="478F28C0"/>
    <w:rsid w:val="47941C85"/>
    <w:rsid w:val="47B40579"/>
    <w:rsid w:val="47B7461B"/>
    <w:rsid w:val="47CD2511"/>
    <w:rsid w:val="47DB3D58"/>
    <w:rsid w:val="48020765"/>
    <w:rsid w:val="484D62D8"/>
    <w:rsid w:val="48513ACC"/>
    <w:rsid w:val="48914416"/>
    <w:rsid w:val="48E36096"/>
    <w:rsid w:val="48E9432B"/>
    <w:rsid w:val="490177EE"/>
    <w:rsid w:val="49170DBF"/>
    <w:rsid w:val="493642ED"/>
    <w:rsid w:val="49463453"/>
    <w:rsid w:val="494E2307"/>
    <w:rsid w:val="49564E45"/>
    <w:rsid w:val="49746212"/>
    <w:rsid w:val="49940662"/>
    <w:rsid w:val="49BE123B"/>
    <w:rsid w:val="49F654D9"/>
    <w:rsid w:val="49FF64D4"/>
    <w:rsid w:val="4A1B1292"/>
    <w:rsid w:val="4A49602E"/>
    <w:rsid w:val="4A5A33C8"/>
    <w:rsid w:val="4AAA5C63"/>
    <w:rsid w:val="4AB03279"/>
    <w:rsid w:val="4AB417BD"/>
    <w:rsid w:val="4AB70C02"/>
    <w:rsid w:val="4ABA7631"/>
    <w:rsid w:val="4ADD4937"/>
    <w:rsid w:val="4AEC627C"/>
    <w:rsid w:val="4B045373"/>
    <w:rsid w:val="4B1E616B"/>
    <w:rsid w:val="4B241572"/>
    <w:rsid w:val="4B38501D"/>
    <w:rsid w:val="4B3E2818"/>
    <w:rsid w:val="4B5D7EA8"/>
    <w:rsid w:val="4B7A193D"/>
    <w:rsid w:val="4B7C23F1"/>
    <w:rsid w:val="4B976928"/>
    <w:rsid w:val="4B9D55FD"/>
    <w:rsid w:val="4BAF2DEC"/>
    <w:rsid w:val="4BB050FB"/>
    <w:rsid w:val="4BB70638"/>
    <w:rsid w:val="4BF278C5"/>
    <w:rsid w:val="4C1D4C9C"/>
    <w:rsid w:val="4C2E4820"/>
    <w:rsid w:val="4C371778"/>
    <w:rsid w:val="4C72455F"/>
    <w:rsid w:val="4C7F267A"/>
    <w:rsid w:val="4C894D6F"/>
    <w:rsid w:val="4C96179F"/>
    <w:rsid w:val="4C9B3AB5"/>
    <w:rsid w:val="4C9E7102"/>
    <w:rsid w:val="4CB15FE4"/>
    <w:rsid w:val="4CD11285"/>
    <w:rsid w:val="4CD34FFD"/>
    <w:rsid w:val="4D0F5E59"/>
    <w:rsid w:val="4D297313"/>
    <w:rsid w:val="4D3C6078"/>
    <w:rsid w:val="4D60180E"/>
    <w:rsid w:val="4D6F79FF"/>
    <w:rsid w:val="4DA129EE"/>
    <w:rsid w:val="4DA21EBF"/>
    <w:rsid w:val="4DD0587C"/>
    <w:rsid w:val="4DE1374A"/>
    <w:rsid w:val="4DE65204"/>
    <w:rsid w:val="4DEB281B"/>
    <w:rsid w:val="4DF80E20"/>
    <w:rsid w:val="4E0256F8"/>
    <w:rsid w:val="4E044182"/>
    <w:rsid w:val="4E2441D8"/>
    <w:rsid w:val="4E2E1765"/>
    <w:rsid w:val="4E455429"/>
    <w:rsid w:val="4E6846F8"/>
    <w:rsid w:val="4EA215B1"/>
    <w:rsid w:val="4EAA6232"/>
    <w:rsid w:val="4EE11CA2"/>
    <w:rsid w:val="4EEB73D6"/>
    <w:rsid w:val="4EFB6F97"/>
    <w:rsid w:val="4EFD637E"/>
    <w:rsid w:val="4F126A45"/>
    <w:rsid w:val="4F165675"/>
    <w:rsid w:val="4F22402A"/>
    <w:rsid w:val="4F3F0410"/>
    <w:rsid w:val="4F5902F9"/>
    <w:rsid w:val="4F8D7F69"/>
    <w:rsid w:val="4F9C2DEA"/>
    <w:rsid w:val="4FB31116"/>
    <w:rsid w:val="4FC450D1"/>
    <w:rsid w:val="4FEE03A0"/>
    <w:rsid w:val="4FF20B5F"/>
    <w:rsid w:val="4FFF7AE8"/>
    <w:rsid w:val="50081462"/>
    <w:rsid w:val="500C2C9E"/>
    <w:rsid w:val="501F49FD"/>
    <w:rsid w:val="50396D0A"/>
    <w:rsid w:val="507A08A8"/>
    <w:rsid w:val="50A15412"/>
    <w:rsid w:val="50B8782D"/>
    <w:rsid w:val="50C07DA5"/>
    <w:rsid w:val="50C730CB"/>
    <w:rsid w:val="50F10148"/>
    <w:rsid w:val="51022355"/>
    <w:rsid w:val="51361FFF"/>
    <w:rsid w:val="5151508A"/>
    <w:rsid w:val="515F1555"/>
    <w:rsid w:val="51630116"/>
    <w:rsid w:val="517B5C63"/>
    <w:rsid w:val="51893E80"/>
    <w:rsid w:val="51DC2BA6"/>
    <w:rsid w:val="520378E4"/>
    <w:rsid w:val="521C0134"/>
    <w:rsid w:val="52483D98"/>
    <w:rsid w:val="5253273C"/>
    <w:rsid w:val="5269324B"/>
    <w:rsid w:val="52844092"/>
    <w:rsid w:val="52C10884"/>
    <w:rsid w:val="52D15A59"/>
    <w:rsid w:val="52E31D12"/>
    <w:rsid w:val="531A3230"/>
    <w:rsid w:val="5334431C"/>
    <w:rsid w:val="53373E0C"/>
    <w:rsid w:val="534D3630"/>
    <w:rsid w:val="536C1D08"/>
    <w:rsid w:val="5399227B"/>
    <w:rsid w:val="539F032F"/>
    <w:rsid w:val="53A742F8"/>
    <w:rsid w:val="53CB7B14"/>
    <w:rsid w:val="53CE29C2"/>
    <w:rsid w:val="53D8114B"/>
    <w:rsid w:val="53E4465E"/>
    <w:rsid w:val="53F9144F"/>
    <w:rsid w:val="53FF492A"/>
    <w:rsid w:val="540957A8"/>
    <w:rsid w:val="54113C3E"/>
    <w:rsid w:val="54183C3E"/>
    <w:rsid w:val="541B5F0D"/>
    <w:rsid w:val="543F741C"/>
    <w:rsid w:val="54452097"/>
    <w:rsid w:val="54762769"/>
    <w:rsid w:val="5486504B"/>
    <w:rsid w:val="54A56C35"/>
    <w:rsid w:val="54AF6D0F"/>
    <w:rsid w:val="54BB2F47"/>
    <w:rsid w:val="54C8174B"/>
    <w:rsid w:val="54F14BBA"/>
    <w:rsid w:val="55050666"/>
    <w:rsid w:val="550D3076"/>
    <w:rsid w:val="552D346E"/>
    <w:rsid w:val="554051FA"/>
    <w:rsid w:val="55421798"/>
    <w:rsid w:val="5553717F"/>
    <w:rsid w:val="5567079D"/>
    <w:rsid w:val="5568597E"/>
    <w:rsid w:val="556B6251"/>
    <w:rsid w:val="55741FDF"/>
    <w:rsid w:val="5583536A"/>
    <w:rsid w:val="55915A56"/>
    <w:rsid w:val="55A01340"/>
    <w:rsid w:val="56083D5B"/>
    <w:rsid w:val="562E599A"/>
    <w:rsid w:val="56356D29"/>
    <w:rsid w:val="565A5A49"/>
    <w:rsid w:val="565F3DA6"/>
    <w:rsid w:val="56A812A9"/>
    <w:rsid w:val="56B27079"/>
    <w:rsid w:val="56CB4C81"/>
    <w:rsid w:val="56CB571F"/>
    <w:rsid w:val="56E60023"/>
    <w:rsid w:val="57465CC1"/>
    <w:rsid w:val="57560D05"/>
    <w:rsid w:val="57640FA0"/>
    <w:rsid w:val="57664CC0"/>
    <w:rsid w:val="57921934"/>
    <w:rsid w:val="57A66520"/>
    <w:rsid w:val="57BD6FD6"/>
    <w:rsid w:val="57BE68AA"/>
    <w:rsid w:val="587A4EC7"/>
    <w:rsid w:val="58A65CBC"/>
    <w:rsid w:val="58C24114"/>
    <w:rsid w:val="58C24893"/>
    <w:rsid w:val="59376914"/>
    <w:rsid w:val="593C100D"/>
    <w:rsid w:val="593F3A1A"/>
    <w:rsid w:val="594B0611"/>
    <w:rsid w:val="5952374E"/>
    <w:rsid w:val="595E20F3"/>
    <w:rsid w:val="59B9557B"/>
    <w:rsid w:val="59BB12F3"/>
    <w:rsid w:val="5A074538"/>
    <w:rsid w:val="5A0A56FD"/>
    <w:rsid w:val="5A1B5605"/>
    <w:rsid w:val="5A3B41BB"/>
    <w:rsid w:val="5AA719E3"/>
    <w:rsid w:val="5AA955EF"/>
    <w:rsid w:val="5AC3658A"/>
    <w:rsid w:val="5ADA7E9F"/>
    <w:rsid w:val="5AEB5C08"/>
    <w:rsid w:val="5B0B44FC"/>
    <w:rsid w:val="5B2347E5"/>
    <w:rsid w:val="5B3E042E"/>
    <w:rsid w:val="5B5F72E5"/>
    <w:rsid w:val="5B871DD5"/>
    <w:rsid w:val="5B922527"/>
    <w:rsid w:val="5BD70E12"/>
    <w:rsid w:val="5C204225"/>
    <w:rsid w:val="5C3655A9"/>
    <w:rsid w:val="5C3929A3"/>
    <w:rsid w:val="5C4001D5"/>
    <w:rsid w:val="5C6304E0"/>
    <w:rsid w:val="5C7165E1"/>
    <w:rsid w:val="5C910A31"/>
    <w:rsid w:val="5CA73351"/>
    <w:rsid w:val="5CB32755"/>
    <w:rsid w:val="5CBF48D8"/>
    <w:rsid w:val="5CC26737"/>
    <w:rsid w:val="5CC8034D"/>
    <w:rsid w:val="5CEB21D5"/>
    <w:rsid w:val="5CFB5EAA"/>
    <w:rsid w:val="5D04383F"/>
    <w:rsid w:val="5D1A7C60"/>
    <w:rsid w:val="5D37598E"/>
    <w:rsid w:val="5D600B2F"/>
    <w:rsid w:val="5D6F0D72"/>
    <w:rsid w:val="5D6F38AA"/>
    <w:rsid w:val="5D787D8E"/>
    <w:rsid w:val="5D8D5264"/>
    <w:rsid w:val="5DB276BD"/>
    <w:rsid w:val="5DC32E6C"/>
    <w:rsid w:val="5DC56BE4"/>
    <w:rsid w:val="5E03770C"/>
    <w:rsid w:val="5E7303EE"/>
    <w:rsid w:val="5E9228D4"/>
    <w:rsid w:val="5EAFFAE3"/>
    <w:rsid w:val="5EB839EA"/>
    <w:rsid w:val="5ECB253C"/>
    <w:rsid w:val="5ED115B9"/>
    <w:rsid w:val="5F0279C4"/>
    <w:rsid w:val="5F1A4D0E"/>
    <w:rsid w:val="5F313E05"/>
    <w:rsid w:val="5F367B26"/>
    <w:rsid w:val="5F4D6E91"/>
    <w:rsid w:val="5F6661A5"/>
    <w:rsid w:val="5FA64E91"/>
    <w:rsid w:val="5FB62BC7"/>
    <w:rsid w:val="5FBF1411"/>
    <w:rsid w:val="5FC66C44"/>
    <w:rsid w:val="5FD17AC2"/>
    <w:rsid w:val="5FF217E7"/>
    <w:rsid w:val="5FF53085"/>
    <w:rsid w:val="5FF6C51E"/>
    <w:rsid w:val="60011A2A"/>
    <w:rsid w:val="602C46E8"/>
    <w:rsid w:val="60367925"/>
    <w:rsid w:val="603E2C7E"/>
    <w:rsid w:val="604324C2"/>
    <w:rsid w:val="60566219"/>
    <w:rsid w:val="60681B1C"/>
    <w:rsid w:val="60934D78"/>
    <w:rsid w:val="60AC10A4"/>
    <w:rsid w:val="60D45F50"/>
    <w:rsid w:val="60FB3360"/>
    <w:rsid w:val="612861BC"/>
    <w:rsid w:val="61371BA7"/>
    <w:rsid w:val="613C6721"/>
    <w:rsid w:val="614A3380"/>
    <w:rsid w:val="616C52DB"/>
    <w:rsid w:val="618943CD"/>
    <w:rsid w:val="619E1C26"/>
    <w:rsid w:val="61B82265"/>
    <w:rsid w:val="61CB6793"/>
    <w:rsid w:val="61CE1ED9"/>
    <w:rsid w:val="61E23389"/>
    <w:rsid w:val="61EF2482"/>
    <w:rsid w:val="61EF54AA"/>
    <w:rsid w:val="61FE4473"/>
    <w:rsid w:val="620677CB"/>
    <w:rsid w:val="621D6D4D"/>
    <w:rsid w:val="621F43E9"/>
    <w:rsid w:val="622639C9"/>
    <w:rsid w:val="62353789"/>
    <w:rsid w:val="62562501"/>
    <w:rsid w:val="62602AAB"/>
    <w:rsid w:val="628E2720"/>
    <w:rsid w:val="62CE02E9"/>
    <w:rsid w:val="62D058DC"/>
    <w:rsid w:val="62DB2A06"/>
    <w:rsid w:val="63133F4E"/>
    <w:rsid w:val="631D301E"/>
    <w:rsid w:val="633B5253"/>
    <w:rsid w:val="63650337"/>
    <w:rsid w:val="636D46E3"/>
    <w:rsid w:val="63732C3E"/>
    <w:rsid w:val="638C4074"/>
    <w:rsid w:val="63A728E8"/>
    <w:rsid w:val="63B804C1"/>
    <w:rsid w:val="640502D6"/>
    <w:rsid w:val="640B731B"/>
    <w:rsid w:val="642F3009"/>
    <w:rsid w:val="644840CB"/>
    <w:rsid w:val="64801AB7"/>
    <w:rsid w:val="64813139"/>
    <w:rsid w:val="649015CE"/>
    <w:rsid w:val="64BD63E6"/>
    <w:rsid w:val="64C06DC8"/>
    <w:rsid w:val="64C5571C"/>
    <w:rsid w:val="64E63462"/>
    <w:rsid w:val="650325A3"/>
    <w:rsid w:val="65066F2E"/>
    <w:rsid w:val="656B2FE5"/>
    <w:rsid w:val="659C2113"/>
    <w:rsid w:val="65A215B9"/>
    <w:rsid w:val="65B53F13"/>
    <w:rsid w:val="65C81A4F"/>
    <w:rsid w:val="65D45F67"/>
    <w:rsid w:val="65DF45BB"/>
    <w:rsid w:val="66110FFA"/>
    <w:rsid w:val="661A3845"/>
    <w:rsid w:val="662621EA"/>
    <w:rsid w:val="66575D7D"/>
    <w:rsid w:val="665A00E6"/>
    <w:rsid w:val="66854BCD"/>
    <w:rsid w:val="669B2285"/>
    <w:rsid w:val="669F0930"/>
    <w:rsid w:val="66A86E60"/>
    <w:rsid w:val="66AB50FE"/>
    <w:rsid w:val="66F76CAA"/>
    <w:rsid w:val="6732696D"/>
    <w:rsid w:val="67633AB0"/>
    <w:rsid w:val="678C2521"/>
    <w:rsid w:val="679933E7"/>
    <w:rsid w:val="67AB0BF9"/>
    <w:rsid w:val="67F7371C"/>
    <w:rsid w:val="680D3662"/>
    <w:rsid w:val="685E5CDD"/>
    <w:rsid w:val="6870599E"/>
    <w:rsid w:val="68706417"/>
    <w:rsid w:val="689005C2"/>
    <w:rsid w:val="68A11FFC"/>
    <w:rsid w:val="68AC6398"/>
    <w:rsid w:val="68B61D88"/>
    <w:rsid w:val="68B65AF9"/>
    <w:rsid w:val="68EF55BF"/>
    <w:rsid w:val="68F23CD8"/>
    <w:rsid w:val="68FC0779"/>
    <w:rsid w:val="68FD6917"/>
    <w:rsid w:val="690D143F"/>
    <w:rsid w:val="69246AA9"/>
    <w:rsid w:val="69261E17"/>
    <w:rsid w:val="6954706E"/>
    <w:rsid w:val="69643755"/>
    <w:rsid w:val="69794D27"/>
    <w:rsid w:val="698E560F"/>
    <w:rsid w:val="69922853"/>
    <w:rsid w:val="699639AD"/>
    <w:rsid w:val="69C732C7"/>
    <w:rsid w:val="69DC05B3"/>
    <w:rsid w:val="69E17C5F"/>
    <w:rsid w:val="6A0E546F"/>
    <w:rsid w:val="6A122736"/>
    <w:rsid w:val="6A244992"/>
    <w:rsid w:val="6A3D1BFD"/>
    <w:rsid w:val="6A5070DE"/>
    <w:rsid w:val="6A6B0B13"/>
    <w:rsid w:val="6AB97AD1"/>
    <w:rsid w:val="6ADC77CB"/>
    <w:rsid w:val="6AF162E4"/>
    <w:rsid w:val="6AFC60DF"/>
    <w:rsid w:val="6B1271E1"/>
    <w:rsid w:val="6B700A62"/>
    <w:rsid w:val="6B87197D"/>
    <w:rsid w:val="6BB40298"/>
    <w:rsid w:val="6BCB1861"/>
    <w:rsid w:val="6BD46244"/>
    <w:rsid w:val="6BDFC3B4"/>
    <w:rsid w:val="6C0905E4"/>
    <w:rsid w:val="6C0C3C30"/>
    <w:rsid w:val="6C1A00FB"/>
    <w:rsid w:val="6C1E0459"/>
    <w:rsid w:val="6C4A6222"/>
    <w:rsid w:val="6C5B1825"/>
    <w:rsid w:val="6C621DCA"/>
    <w:rsid w:val="6C9C4FB4"/>
    <w:rsid w:val="6CC25503"/>
    <w:rsid w:val="6CCD33BF"/>
    <w:rsid w:val="6CFA617E"/>
    <w:rsid w:val="6CFD2E70"/>
    <w:rsid w:val="6D1A60D0"/>
    <w:rsid w:val="6D3A657B"/>
    <w:rsid w:val="6D3A78E6"/>
    <w:rsid w:val="6D3E250F"/>
    <w:rsid w:val="6D505D9E"/>
    <w:rsid w:val="6D98209D"/>
    <w:rsid w:val="6D9D5488"/>
    <w:rsid w:val="6DC36570"/>
    <w:rsid w:val="6DC62EE5"/>
    <w:rsid w:val="6DD35F97"/>
    <w:rsid w:val="6DE54739"/>
    <w:rsid w:val="6DE85BCB"/>
    <w:rsid w:val="6DF90CBB"/>
    <w:rsid w:val="6DFA6436"/>
    <w:rsid w:val="6DFB21AE"/>
    <w:rsid w:val="6E2E74DD"/>
    <w:rsid w:val="6E4A0A40"/>
    <w:rsid w:val="6E6876E0"/>
    <w:rsid w:val="6E6B2E90"/>
    <w:rsid w:val="6E71421E"/>
    <w:rsid w:val="6E937F29"/>
    <w:rsid w:val="6EC407F2"/>
    <w:rsid w:val="6F003164"/>
    <w:rsid w:val="6F046E40"/>
    <w:rsid w:val="6F165703"/>
    <w:rsid w:val="6F173018"/>
    <w:rsid w:val="6F255735"/>
    <w:rsid w:val="6F525B32"/>
    <w:rsid w:val="6F63625D"/>
    <w:rsid w:val="6F683873"/>
    <w:rsid w:val="6F9A5386"/>
    <w:rsid w:val="6FBAAD9E"/>
    <w:rsid w:val="6FCA12D5"/>
    <w:rsid w:val="6FFA10C7"/>
    <w:rsid w:val="6FFB6495"/>
    <w:rsid w:val="70117A67"/>
    <w:rsid w:val="701F5CFD"/>
    <w:rsid w:val="704C075F"/>
    <w:rsid w:val="706933FF"/>
    <w:rsid w:val="70765B1C"/>
    <w:rsid w:val="707D1E81"/>
    <w:rsid w:val="708E1B55"/>
    <w:rsid w:val="70C73094"/>
    <w:rsid w:val="70D016D0"/>
    <w:rsid w:val="71031AA6"/>
    <w:rsid w:val="711B176D"/>
    <w:rsid w:val="71566079"/>
    <w:rsid w:val="717D3CD5"/>
    <w:rsid w:val="71926986"/>
    <w:rsid w:val="71931673"/>
    <w:rsid w:val="71931C0B"/>
    <w:rsid w:val="719E532A"/>
    <w:rsid w:val="71A6519E"/>
    <w:rsid w:val="71C17073"/>
    <w:rsid w:val="71C70D7B"/>
    <w:rsid w:val="71EA67C2"/>
    <w:rsid w:val="72013BF9"/>
    <w:rsid w:val="720A0BFF"/>
    <w:rsid w:val="722A12B4"/>
    <w:rsid w:val="723B701D"/>
    <w:rsid w:val="724265FE"/>
    <w:rsid w:val="724F0D1A"/>
    <w:rsid w:val="72A52CC7"/>
    <w:rsid w:val="72AB7BB5"/>
    <w:rsid w:val="72E06587"/>
    <w:rsid w:val="73281C56"/>
    <w:rsid w:val="732C354E"/>
    <w:rsid w:val="7350457E"/>
    <w:rsid w:val="73695125"/>
    <w:rsid w:val="736D1458"/>
    <w:rsid w:val="73791D2E"/>
    <w:rsid w:val="7384715C"/>
    <w:rsid w:val="73867F6D"/>
    <w:rsid w:val="73B01345"/>
    <w:rsid w:val="73FB6A64"/>
    <w:rsid w:val="74171171"/>
    <w:rsid w:val="741915E0"/>
    <w:rsid w:val="74192A57"/>
    <w:rsid w:val="74515D0F"/>
    <w:rsid w:val="745E6FF3"/>
    <w:rsid w:val="74983962"/>
    <w:rsid w:val="74A50BEC"/>
    <w:rsid w:val="74AA1CA9"/>
    <w:rsid w:val="74B65081"/>
    <w:rsid w:val="74D774D1"/>
    <w:rsid w:val="74E8308A"/>
    <w:rsid w:val="74ED4817"/>
    <w:rsid w:val="75330292"/>
    <w:rsid w:val="7544443B"/>
    <w:rsid w:val="75472470"/>
    <w:rsid w:val="755723C0"/>
    <w:rsid w:val="757A422E"/>
    <w:rsid w:val="759622C6"/>
    <w:rsid w:val="75A44ED9"/>
    <w:rsid w:val="75E66D42"/>
    <w:rsid w:val="75E672A0"/>
    <w:rsid w:val="7614708F"/>
    <w:rsid w:val="761D4644"/>
    <w:rsid w:val="762A045C"/>
    <w:rsid w:val="766A7ED1"/>
    <w:rsid w:val="766C59F7"/>
    <w:rsid w:val="7675235D"/>
    <w:rsid w:val="76760624"/>
    <w:rsid w:val="767A40FC"/>
    <w:rsid w:val="769B54C8"/>
    <w:rsid w:val="76C07AF1"/>
    <w:rsid w:val="76D313AC"/>
    <w:rsid w:val="76DA66C0"/>
    <w:rsid w:val="76F105F2"/>
    <w:rsid w:val="775C3CBE"/>
    <w:rsid w:val="776F54FE"/>
    <w:rsid w:val="777F5BFE"/>
    <w:rsid w:val="779571D0"/>
    <w:rsid w:val="77AB6973"/>
    <w:rsid w:val="77B37656"/>
    <w:rsid w:val="77B51620"/>
    <w:rsid w:val="77C23F98"/>
    <w:rsid w:val="77CE623E"/>
    <w:rsid w:val="77D010A0"/>
    <w:rsid w:val="781B6E93"/>
    <w:rsid w:val="78585CB2"/>
    <w:rsid w:val="7859093D"/>
    <w:rsid w:val="786170B2"/>
    <w:rsid w:val="787B769A"/>
    <w:rsid w:val="78886D34"/>
    <w:rsid w:val="789711D5"/>
    <w:rsid w:val="78B22DD4"/>
    <w:rsid w:val="78D45AD6"/>
    <w:rsid w:val="78F9378E"/>
    <w:rsid w:val="79053EE1"/>
    <w:rsid w:val="790A7749"/>
    <w:rsid w:val="79152036"/>
    <w:rsid w:val="796F0971"/>
    <w:rsid w:val="79975481"/>
    <w:rsid w:val="799A528E"/>
    <w:rsid w:val="79AC7312"/>
    <w:rsid w:val="79CA35C3"/>
    <w:rsid w:val="79CC239E"/>
    <w:rsid w:val="79F67C69"/>
    <w:rsid w:val="79F71A7C"/>
    <w:rsid w:val="7A0B5527"/>
    <w:rsid w:val="7A291E51"/>
    <w:rsid w:val="7A3B22B0"/>
    <w:rsid w:val="7A3C1B84"/>
    <w:rsid w:val="7A3FA4E2"/>
    <w:rsid w:val="7A405098"/>
    <w:rsid w:val="7A5769C5"/>
    <w:rsid w:val="7A7F1A71"/>
    <w:rsid w:val="7A836633"/>
    <w:rsid w:val="7A9279F6"/>
    <w:rsid w:val="7A993CD7"/>
    <w:rsid w:val="7AA5597C"/>
    <w:rsid w:val="7AC83418"/>
    <w:rsid w:val="7ACB4CB6"/>
    <w:rsid w:val="7B187EFC"/>
    <w:rsid w:val="7B191EC6"/>
    <w:rsid w:val="7B2965AD"/>
    <w:rsid w:val="7B2E771F"/>
    <w:rsid w:val="7B474C85"/>
    <w:rsid w:val="7B5B0730"/>
    <w:rsid w:val="7B7B66DC"/>
    <w:rsid w:val="7B803AE3"/>
    <w:rsid w:val="7B876E2F"/>
    <w:rsid w:val="7BB265A2"/>
    <w:rsid w:val="7BD06A28"/>
    <w:rsid w:val="7BDC34AC"/>
    <w:rsid w:val="7BEA5AB0"/>
    <w:rsid w:val="7BF5023D"/>
    <w:rsid w:val="7BFA03E0"/>
    <w:rsid w:val="7C350F81"/>
    <w:rsid w:val="7C43229D"/>
    <w:rsid w:val="7C58336E"/>
    <w:rsid w:val="7CAB1B33"/>
    <w:rsid w:val="7CB11429"/>
    <w:rsid w:val="7CC025F5"/>
    <w:rsid w:val="7CF67CAA"/>
    <w:rsid w:val="7CF956A6"/>
    <w:rsid w:val="7D01709E"/>
    <w:rsid w:val="7D11248E"/>
    <w:rsid w:val="7D1B1F25"/>
    <w:rsid w:val="7D4944D0"/>
    <w:rsid w:val="7D6027A4"/>
    <w:rsid w:val="7D781125"/>
    <w:rsid w:val="7D7F0706"/>
    <w:rsid w:val="7D8C5DEA"/>
    <w:rsid w:val="7D8E7AB2"/>
    <w:rsid w:val="7DB163E5"/>
    <w:rsid w:val="7DDF4A75"/>
    <w:rsid w:val="7DE20C95"/>
    <w:rsid w:val="7DE642E1"/>
    <w:rsid w:val="7DF86D46"/>
    <w:rsid w:val="7DFB1059"/>
    <w:rsid w:val="7DFC3B04"/>
    <w:rsid w:val="7E142CC7"/>
    <w:rsid w:val="7E1D1124"/>
    <w:rsid w:val="7E7960DA"/>
    <w:rsid w:val="7E933D3D"/>
    <w:rsid w:val="7EA83C8C"/>
    <w:rsid w:val="7EC565EC"/>
    <w:rsid w:val="7EC7AA6B"/>
    <w:rsid w:val="7EE36A72"/>
    <w:rsid w:val="7EEA1BAF"/>
    <w:rsid w:val="7EED7AFA"/>
    <w:rsid w:val="7EF742CC"/>
    <w:rsid w:val="7F453289"/>
    <w:rsid w:val="7F4D213E"/>
    <w:rsid w:val="7F62204B"/>
    <w:rsid w:val="7F647934"/>
    <w:rsid w:val="7F6C1FFF"/>
    <w:rsid w:val="7F767AB1"/>
    <w:rsid w:val="7FA75CF2"/>
    <w:rsid w:val="7FB1091F"/>
    <w:rsid w:val="7FB27487"/>
    <w:rsid w:val="7FC566AD"/>
    <w:rsid w:val="7FD60E21"/>
    <w:rsid w:val="7FE231CE"/>
    <w:rsid w:val="A7FFE22B"/>
    <w:rsid w:val="B7DF3E4B"/>
    <w:rsid w:val="CFD9C86A"/>
    <w:rsid w:val="EFEF6823"/>
    <w:rsid w:val="F57E38EB"/>
    <w:rsid w:val="F7F99F5E"/>
    <w:rsid w:val="FDB4D4C4"/>
    <w:rsid w:val="FEEA02BC"/>
    <w:rsid w:val="FFDDFD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9" w:semiHidden="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qFormat="1" w:uiPriority="99" w:semiHidden="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iPriority="0" w:semiHidden="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100" w:after="90" w:line="578" w:lineRule="auto"/>
      <w:outlineLvl w:val="0"/>
    </w:pPr>
    <w:rPr>
      <w:rFonts w:eastAsia="华文细黑"/>
      <w:b/>
      <w:bCs/>
      <w:kern w:val="44"/>
      <w:sz w:val="30"/>
      <w:szCs w:val="44"/>
    </w:rPr>
  </w:style>
  <w:style w:type="paragraph" w:styleId="5">
    <w:name w:val="heading 2"/>
    <w:basedOn w:val="1"/>
    <w:next w:val="6"/>
    <w:autoRedefine/>
    <w:qFormat/>
    <w:uiPriority w:val="9"/>
    <w:pPr>
      <w:keepNext/>
      <w:keepLines/>
      <w:spacing w:before="260" w:after="260" w:line="416" w:lineRule="auto"/>
      <w:jc w:val="center"/>
      <w:outlineLvl w:val="1"/>
    </w:pPr>
    <w:rPr>
      <w:rFonts w:ascii="Arial" w:hAnsi="Arial" w:eastAsia="幼圆"/>
      <w:b/>
      <w:kern w:val="0"/>
      <w:sz w:val="44"/>
      <w:szCs w:val="20"/>
    </w:rPr>
  </w:style>
  <w:style w:type="paragraph" w:styleId="7">
    <w:name w:val="heading 3"/>
    <w:basedOn w:val="1"/>
    <w:next w:val="1"/>
    <w:link w:val="48"/>
    <w:autoRedefine/>
    <w:qFormat/>
    <w:uiPriority w:val="0"/>
    <w:pPr>
      <w:keepNext/>
      <w:keepLines/>
      <w:spacing w:line="416" w:lineRule="auto"/>
      <w:outlineLvl w:val="2"/>
    </w:pPr>
    <w:rPr>
      <w:b/>
      <w:kern w:val="0"/>
      <w:sz w:val="32"/>
      <w:szCs w:val="20"/>
    </w:rPr>
  </w:style>
  <w:style w:type="paragraph" w:styleId="8">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9">
    <w:name w:val="heading 7"/>
    <w:basedOn w:val="1"/>
    <w:next w:val="1"/>
    <w:autoRedefine/>
    <w:qFormat/>
    <w:uiPriority w:val="9"/>
    <w:pPr>
      <w:keepNext/>
      <w:keepLines/>
      <w:spacing w:before="240" w:after="64" w:line="320" w:lineRule="auto"/>
      <w:outlineLvl w:val="6"/>
    </w:pPr>
    <w:rPr>
      <w:b/>
      <w:bCs/>
      <w:sz w:val="24"/>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autoRedefine/>
    <w:qFormat/>
    <w:uiPriority w:val="0"/>
    <w:pPr>
      <w:ind w:firstLine="645"/>
    </w:pPr>
    <w:rPr>
      <w:rFonts w:ascii="楷体_GB2312" w:eastAsia="楷体_GB2312"/>
      <w:kern w:val="0"/>
      <w:sz w:val="32"/>
      <w:szCs w:val="20"/>
    </w:rPr>
  </w:style>
  <w:style w:type="paragraph" w:styleId="3">
    <w:name w:val="envelope return"/>
    <w:basedOn w:val="1"/>
    <w:autoRedefine/>
    <w:unhideWhenUsed/>
    <w:qFormat/>
    <w:uiPriority w:val="0"/>
    <w:pPr>
      <w:snapToGrid w:val="0"/>
    </w:pPr>
    <w:rPr>
      <w:rFonts w:ascii="Arial" w:hAnsi="Arial"/>
    </w:rPr>
  </w:style>
  <w:style w:type="paragraph" w:styleId="6">
    <w:name w:val="Normal Indent"/>
    <w:basedOn w:val="1"/>
    <w:autoRedefine/>
    <w:qFormat/>
    <w:uiPriority w:val="99"/>
    <w:pPr>
      <w:ind w:firstLine="420"/>
    </w:pPr>
    <w:rPr>
      <w:kern w:val="0"/>
      <w:sz w:val="20"/>
      <w:szCs w:val="20"/>
    </w:rPr>
  </w:style>
  <w:style w:type="paragraph" w:styleId="10">
    <w:name w:val="annotation text"/>
    <w:basedOn w:val="1"/>
    <w:link w:val="51"/>
    <w:autoRedefine/>
    <w:qFormat/>
    <w:uiPriority w:val="99"/>
    <w:pPr>
      <w:jc w:val="left"/>
    </w:pPr>
    <w:rPr>
      <w:kern w:val="0"/>
      <w:sz w:val="20"/>
    </w:rPr>
  </w:style>
  <w:style w:type="paragraph" w:styleId="11">
    <w:name w:val="Body Text"/>
    <w:basedOn w:val="1"/>
    <w:next w:val="12"/>
    <w:autoRedefine/>
    <w:qFormat/>
    <w:uiPriority w:val="99"/>
    <w:rPr>
      <w:rFonts w:ascii="楷体_GB2312" w:hAnsi="Arial" w:eastAsia="楷体_GB2312"/>
      <w:kern w:val="0"/>
      <w:sz w:val="28"/>
      <w:szCs w:val="20"/>
    </w:rPr>
  </w:style>
  <w:style w:type="paragraph" w:customStyle="1" w:styleId="12">
    <w:name w:val="一级条标题"/>
    <w:basedOn w:val="13"/>
    <w:next w:val="14"/>
    <w:autoRedefine/>
    <w:qFormat/>
    <w:uiPriority w:val="99"/>
    <w:pPr>
      <w:tabs>
        <w:tab w:val="left" w:pos="810"/>
        <w:tab w:val="left" w:pos="907"/>
        <w:tab w:val="left" w:pos="1265"/>
      </w:tabs>
      <w:spacing w:before="0" w:after="0"/>
      <w:ind w:left="907" w:hanging="907"/>
      <w:outlineLvl w:val="2"/>
    </w:pPr>
    <w:rPr>
      <w:rFonts w:hAnsi="宋体"/>
      <w:kern w:val="0"/>
      <w:sz w:val="20"/>
      <w:szCs w:val="20"/>
    </w:rPr>
  </w:style>
  <w:style w:type="paragraph" w:customStyle="1" w:styleId="13">
    <w:name w:val="章标题"/>
    <w:next w:val="1"/>
    <w:autoRedefine/>
    <w:qFormat/>
    <w:uiPriority w:val="0"/>
    <w:pPr>
      <w:tabs>
        <w:tab w:val="left" w:pos="810"/>
        <w:tab w:val="left" w:pos="1265"/>
      </w:tabs>
      <w:spacing w:before="50" w:after="50"/>
      <w:ind w:left="810" w:hanging="810"/>
      <w:jc w:val="both"/>
      <w:outlineLvl w:val="1"/>
    </w:pPr>
    <w:rPr>
      <w:rFonts w:ascii="黑体" w:hAnsi="Times New Roman" w:eastAsia="黑体" w:cs="Times New Roman"/>
      <w:kern w:val="2"/>
      <w:sz w:val="21"/>
      <w:szCs w:val="22"/>
      <w:lang w:val="en-US" w:eastAsia="zh-CN" w:bidi="ar-SA"/>
    </w:rPr>
  </w:style>
  <w:style w:type="paragraph" w:customStyle="1" w:styleId="14">
    <w:name w:val="段"/>
    <w:next w:val="1"/>
    <w:autoRedefine/>
    <w:qFormat/>
    <w:uiPriority w:val="0"/>
    <w:pPr>
      <w:widowControl w:val="0"/>
      <w:ind w:firstLine="200"/>
      <w:jc w:val="both"/>
    </w:pPr>
    <w:rPr>
      <w:rFonts w:ascii="宋体" w:hAnsi="宋体" w:eastAsia="宋体" w:cs="宋体"/>
      <w:color w:val="000000"/>
      <w:sz w:val="21"/>
      <w:szCs w:val="21"/>
      <w:lang w:val="en-US" w:eastAsia="zh-CN" w:bidi="ar-SA"/>
    </w:rPr>
  </w:style>
  <w:style w:type="paragraph" w:styleId="15">
    <w:name w:val="index 4"/>
    <w:basedOn w:val="1"/>
    <w:next w:val="1"/>
    <w:autoRedefine/>
    <w:unhideWhenUsed/>
    <w:qFormat/>
    <w:uiPriority w:val="99"/>
    <w:pPr>
      <w:ind w:firstLine="420" w:firstLineChars="200"/>
      <w:jc w:val="left"/>
    </w:pPr>
    <w:rPr>
      <w:rFonts w:ascii="宋体" w:hAnsi="宋体"/>
      <w:color w:val="FF0000"/>
      <w:szCs w:val="21"/>
    </w:rPr>
  </w:style>
  <w:style w:type="paragraph" w:styleId="16">
    <w:name w:val="toc 3"/>
    <w:basedOn w:val="1"/>
    <w:next w:val="1"/>
    <w:autoRedefine/>
    <w:unhideWhenUsed/>
    <w:qFormat/>
    <w:uiPriority w:val="39"/>
    <w:pPr>
      <w:ind w:left="840" w:leftChars="400"/>
    </w:pPr>
  </w:style>
  <w:style w:type="paragraph" w:styleId="17">
    <w:name w:val="Plain Text"/>
    <w:basedOn w:val="1"/>
    <w:link w:val="49"/>
    <w:autoRedefine/>
    <w:qFormat/>
    <w:uiPriority w:val="0"/>
    <w:rPr>
      <w:rFonts w:ascii="宋体" w:hAnsi="Courier New"/>
      <w:kern w:val="0"/>
      <w:sz w:val="20"/>
      <w:szCs w:val="20"/>
    </w:rPr>
  </w:style>
  <w:style w:type="paragraph" w:styleId="18">
    <w:name w:val="Body Text Indent 2"/>
    <w:basedOn w:val="1"/>
    <w:autoRedefine/>
    <w:qFormat/>
    <w:uiPriority w:val="0"/>
    <w:pPr>
      <w:widowControl/>
      <w:spacing w:before="100" w:beforeAutospacing="1" w:after="100" w:afterAutospacing="1"/>
      <w:jc w:val="left"/>
    </w:pPr>
    <w:rPr>
      <w:rFonts w:ascii="宋体" w:hAnsi="宋体"/>
      <w:kern w:val="0"/>
      <w:sz w:val="24"/>
    </w:rPr>
  </w:style>
  <w:style w:type="paragraph" w:styleId="19">
    <w:name w:val="Balloon Text"/>
    <w:basedOn w:val="1"/>
    <w:link w:val="39"/>
    <w:autoRedefine/>
    <w:qFormat/>
    <w:uiPriority w:val="0"/>
    <w:rPr>
      <w:sz w:val="18"/>
      <w:szCs w:val="18"/>
    </w:rPr>
  </w:style>
  <w:style w:type="paragraph" w:styleId="20">
    <w:name w:val="footer"/>
    <w:basedOn w:val="1"/>
    <w:link w:val="40"/>
    <w:autoRedefine/>
    <w:qFormat/>
    <w:uiPriority w:val="0"/>
    <w:pPr>
      <w:tabs>
        <w:tab w:val="center" w:pos="4153"/>
        <w:tab w:val="right" w:pos="8306"/>
      </w:tabs>
      <w:snapToGrid w:val="0"/>
      <w:jc w:val="left"/>
    </w:pPr>
    <w:rPr>
      <w:sz w:val="18"/>
      <w:szCs w:val="18"/>
    </w:rPr>
  </w:style>
  <w:style w:type="paragraph" w:styleId="21">
    <w:name w:val="header"/>
    <w:basedOn w:val="1"/>
    <w:link w:val="38"/>
    <w:autoRedefine/>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pPr>
      <w:spacing w:line="360" w:lineRule="auto"/>
    </w:pPr>
    <w:rPr>
      <w:rFonts w:asciiTheme="minorHAnsi" w:hAnsiTheme="minorHAnsi" w:cstheme="minorBidi"/>
      <w:sz w:val="24"/>
    </w:rPr>
  </w:style>
  <w:style w:type="paragraph" w:styleId="23">
    <w:name w:val="index 9"/>
    <w:basedOn w:val="1"/>
    <w:next w:val="1"/>
    <w:autoRedefine/>
    <w:unhideWhenUsed/>
    <w:qFormat/>
    <w:uiPriority w:val="99"/>
    <w:pPr>
      <w:ind w:left="1600" w:leftChars="1600"/>
    </w:pPr>
  </w:style>
  <w:style w:type="paragraph" w:styleId="24">
    <w:name w:val="toc 2"/>
    <w:basedOn w:val="1"/>
    <w:next w:val="1"/>
    <w:autoRedefine/>
    <w:qFormat/>
    <w:uiPriority w:val="39"/>
    <w:pPr>
      <w:spacing w:line="360" w:lineRule="auto"/>
      <w:ind w:left="420" w:leftChars="200"/>
    </w:pPr>
    <w:rPr>
      <w:rFonts w:asciiTheme="minorHAnsi" w:hAnsiTheme="minorHAnsi" w:cstheme="minorBidi"/>
      <w:sz w:val="24"/>
    </w:rPr>
  </w:style>
  <w:style w:type="paragraph" w:styleId="25">
    <w:name w:val="Normal (Web)"/>
    <w:basedOn w:val="1"/>
    <w:autoRedefine/>
    <w:qFormat/>
    <w:uiPriority w:val="0"/>
    <w:pPr>
      <w:widowControl/>
      <w:spacing w:before="100" w:beforeAutospacing="1" w:after="100" w:afterAutospacing="1"/>
    </w:pPr>
    <w:rPr>
      <w:rFonts w:ascii="宋体" w:hAnsi="宋体"/>
      <w:kern w:val="0"/>
      <w:sz w:val="24"/>
      <w:szCs w:val="20"/>
    </w:rPr>
  </w:style>
  <w:style w:type="paragraph" w:styleId="26">
    <w:name w:val="Title"/>
    <w:basedOn w:val="1"/>
    <w:next w:val="1"/>
    <w:link w:val="50"/>
    <w:autoRedefine/>
    <w:qFormat/>
    <w:uiPriority w:val="0"/>
    <w:pPr>
      <w:spacing w:before="240" w:after="60"/>
      <w:jc w:val="center"/>
      <w:outlineLvl w:val="0"/>
    </w:pPr>
    <w:rPr>
      <w:rFonts w:asciiTheme="majorHAnsi" w:hAnsiTheme="majorHAnsi" w:eastAsiaTheme="majorEastAsia" w:cstheme="majorBidi"/>
      <w:b/>
      <w:bCs/>
      <w:sz w:val="32"/>
      <w:szCs w:val="32"/>
    </w:rPr>
  </w:style>
  <w:style w:type="paragraph" w:styleId="27">
    <w:name w:val="annotation subject"/>
    <w:basedOn w:val="10"/>
    <w:next w:val="10"/>
    <w:link w:val="52"/>
    <w:autoRedefine/>
    <w:semiHidden/>
    <w:unhideWhenUsed/>
    <w:qFormat/>
    <w:uiPriority w:val="0"/>
    <w:rPr>
      <w:b/>
      <w:bCs/>
      <w:kern w:val="2"/>
      <w:sz w:val="21"/>
    </w:rPr>
  </w:style>
  <w:style w:type="paragraph" w:styleId="28">
    <w:name w:val="Body Text First Indent"/>
    <w:basedOn w:val="11"/>
    <w:next w:val="1"/>
    <w:autoRedefine/>
    <w:unhideWhenUsed/>
    <w:qFormat/>
    <w:uiPriority w:val="99"/>
    <w:pPr>
      <w:spacing w:after="120"/>
      <w:ind w:firstLine="420" w:firstLineChars="100"/>
    </w:pPr>
    <w:rPr>
      <w:rFonts w:ascii="Times New Roman"/>
      <w:sz w:val="21"/>
    </w:rPr>
  </w:style>
  <w:style w:type="paragraph" w:styleId="29">
    <w:name w:val="Body Text First Indent 2"/>
    <w:basedOn w:val="2"/>
    <w:next w:val="1"/>
    <w:autoRedefine/>
    <w:qFormat/>
    <w:uiPriority w:val="0"/>
    <w:pPr>
      <w:spacing w:line="360" w:lineRule="auto"/>
      <w:ind w:firstLine="420" w:firstLineChars="200"/>
    </w:pPr>
    <w:rPr>
      <w:rFonts w:ascii="宋体" w:hAnsi="宋体"/>
    </w:rPr>
  </w:style>
  <w:style w:type="table" w:styleId="31">
    <w:name w:val="Table Grid"/>
    <w:basedOn w:val="3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autoRedefine/>
    <w:qFormat/>
    <w:uiPriority w:val="22"/>
    <w:rPr>
      <w:b/>
      <w:bCs/>
    </w:rPr>
  </w:style>
  <w:style w:type="character" w:styleId="34">
    <w:name w:val="Hyperlink"/>
    <w:basedOn w:val="32"/>
    <w:autoRedefine/>
    <w:qFormat/>
    <w:uiPriority w:val="99"/>
    <w:rPr>
      <w:color w:val="0000FF"/>
      <w:u w:val="single"/>
    </w:rPr>
  </w:style>
  <w:style w:type="character" w:styleId="35">
    <w:name w:val="annotation reference"/>
    <w:autoRedefine/>
    <w:qFormat/>
    <w:uiPriority w:val="99"/>
    <w:rPr>
      <w:sz w:val="21"/>
      <w:szCs w:val="21"/>
    </w:rPr>
  </w:style>
  <w:style w:type="paragraph" w:customStyle="1" w:styleId="36">
    <w:name w:val="Heading1"/>
    <w:basedOn w:val="1"/>
    <w:next w:val="1"/>
    <w:autoRedefine/>
    <w:qFormat/>
    <w:uiPriority w:val="0"/>
    <w:pPr>
      <w:keepNext/>
      <w:textAlignment w:val="baseline"/>
    </w:pPr>
    <w:rPr>
      <w:rFonts w:ascii="等线 Light" w:eastAsia="等线 Light"/>
      <w:sz w:val="28"/>
      <w:szCs w:val="20"/>
    </w:rPr>
  </w:style>
  <w:style w:type="paragraph" w:customStyle="1" w:styleId="37">
    <w:name w:val="首行缩进"/>
    <w:basedOn w:val="1"/>
    <w:autoRedefine/>
    <w:qFormat/>
    <w:uiPriority w:val="0"/>
    <w:pPr>
      <w:ind w:firstLine="480" w:firstLineChars="200"/>
    </w:pPr>
    <w:rPr>
      <w:szCs w:val="20"/>
      <w:lang w:val="zh-CN"/>
    </w:rPr>
  </w:style>
  <w:style w:type="character" w:customStyle="1" w:styleId="38">
    <w:name w:val="页眉 字符"/>
    <w:link w:val="21"/>
    <w:autoRedefine/>
    <w:qFormat/>
    <w:uiPriority w:val="0"/>
    <w:rPr>
      <w:rFonts w:ascii="Times New Roman" w:hAnsi="Times New Roman" w:eastAsia="宋体" w:cs="Times New Roman"/>
      <w:kern w:val="2"/>
      <w:sz w:val="18"/>
      <w:szCs w:val="18"/>
    </w:rPr>
  </w:style>
  <w:style w:type="character" w:customStyle="1" w:styleId="39">
    <w:name w:val="批注框文本 字符"/>
    <w:link w:val="19"/>
    <w:autoRedefine/>
    <w:qFormat/>
    <w:uiPriority w:val="0"/>
    <w:rPr>
      <w:rFonts w:ascii="Times New Roman" w:hAnsi="Times New Roman" w:eastAsia="宋体" w:cs="Times New Roman"/>
      <w:kern w:val="2"/>
      <w:sz w:val="18"/>
      <w:szCs w:val="18"/>
    </w:rPr>
  </w:style>
  <w:style w:type="character" w:customStyle="1" w:styleId="40">
    <w:name w:val="页脚 字符"/>
    <w:link w:val="20"/>
    <w:autoRedefine/>
    <w:qFormat/>
    <w:uiPriority w:val="0"/>
    <w:rPr>
      <w:rFonts w:ascii="Times New Roman" w:hAnsi="Times New Roman" w:eastAsia="宋体" w:cs="Times New Roman"/>
      <w:kern w:val="2"/>
      <w:sz w:val="18"/>
      <w:szCs w:val="18"/>
    </w:rPr>
  </w:style>
  <w:style w:type="paragraph" w:styleId="41">
    <w:name w:val="List Paragraph"/>
    <w:basedOn w:val="1"/>
    <w:autoRedefine/>
    <w:qFormat/>
    <w:uiPriority w:val="34"/>
    <w:pPr>
      <w:ind w:firstLine="420" w:firstLineChars="200"/>
    </w:pPr>
    <w:rPr>
      <w:rFonts w:ascii="Calibri" w:hAnsi="Calibri"/>
      <w:kern w:val="0"/>
      <w:sz w:val="20"/>
      <w:szCs w:val="20"/>
    </w:rPr>
  </w:style>
  <w:style w:type="paragraph" w:customStyle="1" w:styleId="42">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43">
    <w:name w:val="普通正文"/>
    <w:basedOn w:val="1"/>
    <w:autoRedefine/>
    <w:qFormat/>
    <w:uiPriority w:val="99"/>
    <w:pPr>
      <w:adjustRightInd w:val="0"/>
      <w:spacing w:before="120" w:after="120" w:line="360" w:lineRule="auto"/>
      <w:ind w:firstLine="480"/>
      <w:jc w:val="left"/>
      <w:textAlignment w:val="baseline"/>
    </w:pPr>
    <w:rPr>
      <w:rFonts w:ascii="Arial" w:hAnsi="Arial"/>
      <w:kern w:val="0"/>
      <w:sz w:val="24"/>
    </w:rPr>
  </w:style>
  <w:style w:type="paragraph" w:customStyle="1" w:styleId="44">
    <w:name w:val="纯文本1"/>
    <w:basedOn w:val="1"/>
    <w:autoRedefine/>
    <w:qFormat/>
    <w:uiPriority w:val="0"/>
    <w:pPr>
      <w:adjustRightInd w:val="0"/>
    </w:pPr>
    <w:rPr>
      <w:rFonts w:ascii="宋体" w:hAnsi="Courier New" w:eastAsia="楷体_GB2312"/>
      <w:sz w:val="28"/>
      <w:szCs w:val="20"/>
    </w:rPr>
  </w:style>
  <w:style w:type="table" w:customStyle="1" w:styleId="45">
    <w:name w:val="Table Normal"/>
    <w:autoRedefine/>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46">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7">
    <w:name w:val="正文1"/>
    <w:next w:val="1"/>
    <w:autoRedefine/>
    <w:qFormat/>
    <w:uiPriority w:val="0"/>
    <w:pPr>
      <w:widowControl w:val="0"/>
      <w:jc w:val="both"/>
    </w:pPr>
    <w:rPr>
      <w:rFonts w:ascii="Calibri" w:hAnsi="Calibri" w:eastAsia="宋体" w:cs="Times New Roman"/>
      <w:kern w:val="2"/>
      <w:sz w:val="21"/>
      <w:szCs w:val="21"/>
      <w:lang w:val="en-US" w:eastAsia="zh-CN" w:bidi="ar-SA"/>
    </w:rPr>
  </w:style>
  <w:style w:type="character" w:customStyle="1" w:styleId="48">
    <w:name w:val="标题 3 字符"/>
    <w:link w:val="7"/>
    <w:autoRedefine/>
    <w:qFormat/>
    <w:uiPriority w:val="0"/>
    <w:rPr>
      <w:b/>
      <w:sz w:val="32"/>
    </w:rPr>
  </w:style>
  <w:style w:type="character" w:customStyle="1" w:styleId="49">
    <w:name w:val="纯文本 字符"/>
    <w:link w:val="17"/>
    <w:autoRedefine/>
    <w:qFormat/>
    <w:locked/>
    <w:uiPriority w:val="0"/>
    <w:rPr>
      <w:rFonts w:ascii="宋体" w:hAnsi="Courier New"/>
    </w:rPr>
  </w:style>
  <w:style w:type="character" w:customStyle="1" w:styleId="50">
    <w:name w:val="标题 字符"/>
    <w:basedOn w:val="32"/>
    <w:link w:val="26"/>
    <w:autoRedefine/>
    <w:qFormat/>
    <w:uiPriority w:val="0"/>
    <w:rPr>
      <w:rFonts w:asciiTheme="majorHAnsi" w:hAnsiTheme="majorHAnsi" w:eastAsiaTheme="majorEastAsia" w:cstheme="majorBidi"/>
      <w:b/>
      <w:bCs/>
      <w:kern w:val="2"/>
      <w:sz w:val="32"/>
      <w:szCs w:val="32"/>
    </w:rPr>
  </w:style>
  <w:style w:type="character" w:customStyle="1" w:styleId="51">
    <w:name w:val="批注文字 字符"/>
    <w:basedOn w:val="32"/>
    <w:link w:val="10"/>
    <w:autoRedefine/>
    <w:qFormat/>
    <w:uiPriority w:val="99"/>
    <w:rPr>
      <w:szCs w:val="24"/>
    </w:rPr>
  </w:style>
  <w:style w:type="character" w:customStyle="1" w:styleId="52">
    <w:name w:val="批注主题 字符"/>
    <w:basedOn w:val="51"/>
    <w:link w:val="27"/>
    <w:autoRedefine/>
    <w:semiHidden/>
    <w:qFormat/>
    <w:uiPriority w:val="0"/>
    <w:rPr>
      <w:b/>
      <w:bCs/>
      <w:kern w:val="2"/>
      <w:sz w:val="21"/>
      <w:szCs w:val="24"/>
    </w:rPr>
  </w:style>
  <w:style w:type="paragraph" w:customStyle="1" w:styleId="53">
    <w:name w:val="TOC 标题1"/>
    <w:basedOn w:val="4"/>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54">
    <w:name w:val="一、（二级标题）"/>
    <w:autoRedefine/>
    <w:qFormat/>
    <w:uiPriority w:val="0"/>
    <w:pPr>
      <w:widowControl w:val="0"/>
      <w:tabs>
        <w:tab w:val="left" w:pos="993"/>
        <w:tab w:val="left" w:pos="1276"/>
      </w:tabs>
      <w:wordWrap w:val="0"/>
      <w:ind w:firstLine="200" w:firstLineChars="200"/>
      <w:outlineLvl w:val="1"/>
    </w:pPr>
    <w:rPr>
      <w:rFonts w:ascii="Arial" w:hAnsi="Arial" w:eastAsia="黑体" w:cs="Times New Roman"/>
      <w:bCs/>
      <w:kern w:val="2"/>
      <w:sz w:val="28"/>
      <w:szCs w:val="32"/>
      <w:lang w:val="en-US" w:eastAsia="zh-CN" w:bidi="ar-SA"/>
    </w:rPr>
  </w:style>
  <w:style w:type="paragraph" w:customStyle="1" w:styleId="55">
    <w:name w:val="（一）正文标题"/>
    <w:basedOn w:val="7"/>
    <w:autoRedefine/>
    <w:qFormat/>
    <w:uiPriority w:val="0"/>
    <w:pPr>
      <w:keepNext w:val="0"/>
      <w:keepLines w:val="0"/>
      <w:tabs>
        <w:tab w:val="left" w:pos="993"/>
        <w:tab w:val="left" w:pos="1134"/>
        <w:tab w:val="left" w:pos="1276"/>
        <w:tab w:val="left" w:pos="1418"/>
      </w:tabs>
      <w:wordWrap w:val="0"/>
      <w:ind w:firstLine="200" w:firstLineChars="200"/>
    </w:pPr>
    <w:rPr>
      <w:rFonts w:ascii="仿宋_GB2312" w:hAnsi="仿宋_GB2312" w:eastAsia="楷体"/>
      <w:szCs w:val="28"/>
    </w:rPr>
  </w:style>
  <w:style w:type="paragraph" w:customStyle="1" w:styleId="56">
    <w:name w:val="文本"/>
    <w:autoRedefine/>
    <w:qFormat/>
    <w:uiPriority w:val="0"/>
    <w:pPr>
      <w:widowControl w:val="0"/>
      <w:wordWrap w:val="0"/>
      <w:spacing w:line="360" w:lineRule="auto"/>
      <w:ind w:firstLine="200" w:firstLineChars="200"/>
    </w:pPr>
    <w:rPr>
      <w:rFonts w:ascii="仿宋_GB2312" w:hAnsi="Times New Roman" w:eastAsia="仿宋_GB2312" w:cs="Times New Roman"/>
      <w:kern w:val="2"/>
      <w:sz w:val="28"/>
      <w:szCs w:val="24"/>
      <w:lang w:val="en-US" w:eastAsia="zh-CN" w:bidi="ar-SA"/>
    </w:rPr>
  </w:style>
  <w:style w:type="paragraph" w:customStyle="1" w:styleId="57">
    <w:name w:val="1."/>
    <w:autoRedefine/>
    <w:qFormat/>
    <w:uiPriority w:val="0"/>
    <w:pPr>
      <w:widowControl w:val="0"/>
      <w:tabs>
        <w:tab w:val="left" w:pos="851"/>
        <w:tab w:val="left" w:pos="1418"/>
      </w:tabs>
      <w:wordWrap w:val="0"/>
      <w:ind w:firstLine="200" w:firstLineChars="200"/>
      <w:outlineLvl w:val="3"/>
    </w:pPr>
    <w:rPr>
      <w:rFonts w:ascii="仿宋_GB2312" w:hAnsi="Times New Roman" w:eastAsia="仿宋_GB2312" w:cs="Times New Roman"/>
      <w:bCs/>
      <w:kern w:val="2"/>
      <w:sz w:val="28"/>
      <w:szCs w:val="28"/>
      <w:lang w:val="en-US" w:eastAsia="zh-CN" w:bidi="ar-SA"/>
    </w:rPr>
  </w:style>
  <w:style w:type="paragraph" w:customStyle="1" w:styleId="58">
    <w:name w:val="p1"/>
    <w:basedOn w:val="1"/>
    <w:autoRedefine/>
    <w:qFormat/>
    <w:uiPriority w:val="0"/>
    <w:pPr>
      <w:spacing w:line="380" w:lineRule="atLeast"/>
      <w:jc w:val="left"/>
    </w:pPr>
    <w:rPr>
      <w:rFonts w:ascii="helvetica neue" w:hAnsi="helvetica neue" w:eastAsia="helvetica neue"/>
      <w:color w:val="118EFF"/>
      <w:kern w:val="0"/>
      <w:sz w:val="26"/>
      <w:szCs w:val="26"/>
    </w:rPr>
  </w:style>
  <w:style w:type="paragraph" w:customStyle="1" w:styleId="59">
    <w:name w:val="正文_1_0"/>
    <w:basedOn w:val="1"/>
    <w:autoRedefine/>
    <w:qFormat/>
    <w:uiPriority w:val="0"/>
    <w:rPr>
      <w:rFonts w:ascii="Calibri" w:hAnsi="Calibri"/>
      <w:szCs w:val="21"/>
    </w:rPr>
  </w:style>
  <w:style w:type="paragraph" w:customStyle="1" w:styleId="60">
    <w:name w:val="p0"/>
    <w:basedOn w:val="1"/>
    <w:autoRedefine/>
    <w:qFormat/>
    <w:uiPriority w:val="0"/>
    <w:pPr>
      <w:widowControl/>
    </w:pPr>
    <w:rPr>
      <w:rFonts w:ascii="Calibri" w:hAnsi="Calibri"/>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94813-F6BD-4FF3-805E-293E8BDCB742}">
  <ds:schemaRefs/>
</ds:datastoreItem>
</file>

<file path=docProps/app.xml><?xml version="1.0" encoding="utf-8"?>
<Properties xmlns="http://schemas.openxmlformats.org/officeDocument/2006/extended-properties" xmlns:vt="http://schemas.openxmlformats.org/officeDocument/2006/docPropsVTypes">
  <Template>Normal.dotm</Template>
  <Pages>38</Pages>
  <Words>5073</Words>
  <Characters>28921</Characters>
  <Lines>241</Lines>
  <Paragraphs>67</Paragraphs>
  <TotalTime>52</TotalTime>
  <ScaleCrop>false</ScaleCrop>
  <LinksUpToDate>false</LinksUpToDate>
  <CharactersWithSpaces>33927</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2024-02-25T05:24:00Z</dcterms:created>
  <dc:creator>ASUS</dc:creator>
  <cp:lastModifiedBy>ASUS</cp:lastModifiedBy>
  <cp:lastPrinted>2023-03-02T00:52:00Z</cp:lastPrinted>
  <dcterms:modified xsi:type="dcterms:W3CDTF">2024-02-29T03:54:01Z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66E4A35CCE7448519BBA3A592AB2543E_13</vt:lpwstr>
  </property>
</Properties>
</file>