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624E">
      <w:pPr>
        <w:pStyle w:val="3"/>
        <w:spacing w:before="0" w:after="0" w:line="500" w:lineRule="exact"/>
        <w:ind w:firstLine="0"/>
        <w:jc w:val="center"/>
        <w:rPr>
          <w:rFonts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lang w:val="zh-CN"/>
        </w:rPr>
      </w:pPr>
      <w:bookmarkStart w:id="0" w:name="_Toc150538845"/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highlight w:val="none"/>
          <w:lang w:val="zh-CN"/>
        </w:rPr>
        <w:t>采购项目技术、规格要求</w:t>
      </w:r>
      <w:bookmarkEnd w:id="0"/>
    </w:p>
    <w:p w14:paraId="46D4A879">
      <w:pPr>
        <w:spacing w:line="500" w:lineRule="exact"/>
        <w:ind w:firstLine="482" w:firstLineChars="200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</w:p>
    <w:p w14:paraId="11EA2439">
      <w:pPr>
        <w:spacing w:line="500" w:lineRule="exact"/>
        <w:ind w:firstLine="482" w:firstLineChars="200"/>
        <w:jc w:val="left"/>
        <w:outlineLvl w:val="1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一、项目名称：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西园双路水源校内部分接水工程。</w:t>
      </w:r>
    </w:p>
    <w:p w14:paraId="65CFE63A">
      <w:pPr>
        <w:spacing w:line="500" w:lineRule="exact"/>
        <w:ind w:firstLine="482" w:firstLineChars="200"/>
        <w:outlineLvl w:val="1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二、项目概况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p w14:paraId="438DD5EB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基本情况：西园给水管网位于海阔路，原有一路市政给水引入管，现拟由西环路市政给水管网再引入一路进水接入校园给水环网，供校园内消防及生活用水，引入管管径为DN200。市政引入管依据规范设置水表，水表组中设置倒流防止器，其位置应在清洁卫生场所，排水口应采取防止被水淹没的技术措施。</w:t>
      </w:r>
    </w:p>
    <w:p w14:paraId="0B83BF84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2、管材：市政给水引入管采用可延性球墨铸铁管，过桥部分采用热镀锌钢管。</w:t>
      </w:r>
    </w:p>
    <w:p w14:paraId="7480CB51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3、接口：铸铁管采用胶圈承插接口，镀锌钢管采用法兰接口，铸铁管与镀锌管采用承插法兰转换连接。</w:t>
      </w:r>
    </w:p>
    <w:p w14:paraId="3396FE38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4、防腐：钢管内外防腐均采用IPN法防腐。铸铁件也应做相应的內外防腐。</w:t>
      </w:r>
    </w:p>
    <w:p w14:paraId="62216F97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5、给水阀门井为地面操作砖砌立式井，参见05S502(16-22)；阀门采用Z45T-10系列暗杆锲式闸阀。</w:t>
      </w:r>
    </w:p>
    <w:p w14:paraId="49CACFA3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6、本工程给水管道埋深不小于0.8米。管道基础铺设25mm以下粒径碎石130mm，表面再铺20mm与的砂垫层（中、粗砂)，垫层总厚度150mm。</w:t>
      </w:r>
    </w:p>
    <w:p w14:paraId="5D54CA7E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7、管道过大门、接头处或埋深不足处，采用C20混凝土做包封处理，包封厚度为100mm。</w:t>
      </w:r>
    </w:p>
    <w:p w14:paraId="20DBA0B9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8、过桥部分明露在外给水管道需要有保温措施，保温层厚度室外不小于50mm。 </w:t>
      </w:r>
    </w:p>
    <w:p w14:paraId="2D6398D0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9、给水管道铺设完毕后，以2.0倍的工作压力进行试压，恒压10分钟，压降不大于0.5千克力/平方厘米，管道、附件和接口等未发生漏裂，然后将压力降至工作压力，进行外观检查，不漏为合格。</w:t>
      </w:r>
    </w:p>
    <w:p w14:paraId="5CD711B0">
      <w:pPr>
        <w:spacing w:line="50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10、给水管网铺设完毕需冲洗，并用20-30mg/l的漂白粉溶液浸泡24小时。</w:t>
      </w:r>
    </w:p>
    <w:p w14:paraId="420EA99A">
      <w:pPr>
        <w:spacing w:line="500" w:lineRule="exact"/>
        <w:ind w:firstLine="482" w:firstLineChars="200"/>
        <w:outlineLvl w:val="1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三、工程期限：</w:t>
      </w:r>
    </w:p>
    <w:p w14:paraId="6F4536C9">
      <w:pPr>
        <w:spacing w:line="500" w:lineRule="exact"/>
        <w:ind w:firstLine="480" w:firstLineChars="200"/>
        <w:jc w:val="lef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>0日历天。</w:t>
      </w:r>
      <w:r>
        <w:rPr>
          <w:rFonts w:hint="eastAsia"/>
          <w:color w:val="auto"/>
          <w:sz w:val="24"/>
          <w:szCs w:val="24"/>
          <w:highlight w:val="none"/>
        </w:rPr>
        <w:t>如因施工单位自身施工组织问题造成工期延误的，延误时间如超过3天，每延误一天，处罚300元，如因工期延误，造成学校重大影响的，学校有权追究责任。（工程延误处罚款项在审计时直接扣除）</w:t>
      </w:r>
    </w:p>
    <w:p w14:paraId="7A75DE5C">
      <w:pPr>
        <w:spacing w:line="500" w:lineRule="exact"/>
        <w:ind w:firstLine="482" w:firstLineChars="200"/>
        <w:outlineLvl w:val="1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四、保修期或质保期：</w:t>
      </w:r>
    </w:p>
    <w:p w14:paraId="115BC7EA">
      <w:pPr>
        <w:spacing w:line="440" w:lineRule="exac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2 年。质保期自验收合格之日起算。</w:t>
      </w:r>
    </w:p>
    <w:p w14:paraId="184B4C69">
      <w:pPr>
        <w:spacing w:line="500" w:lineRule="exact"/>
        <w:ind w:firstLine="482" w:firstLineChars="200"/>
        <w:outlineLvl w:val="1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五、质保要求：</w:t>
      </w:r>
    </w:p>
    <w:p w14:paraId="64A1581C">
      <w:pPr>
        <w:spacing w:line="500" w:lineRule="exac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工程因自然力等主客观因素出现松动、脱落等现象，乙方需在3日内到场免费维修。</w:t>
      </w:r>
    </w:p>
    <w:p w14:paraId="63EB2FFA">
      <w:pPr>
        <w:spacing w:line="440" w:lineRule="exact"/>
        <w:ind w:firstLine="482" w:firstLineChars="200"/>
        <w:outlineLvl w:val="1"/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六、付款方式：</w:t>
      </w:r>
    </w:p>
    <w:p w14:paraId="450929C3">
      <w:pPr>
        <w:spacing w:line="440" w:lineRule="exac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项目验收合格后无质量问题支付合同价的60%款项；审计合格后付至审计价的90%，余款待验收合格质保结束后无质量问题一次性无息付清。</w:t>
      </w:r>
    </w:p>
    <w:p w14:paraId="6F6412E5">
      <w:pPr>
        <w:spacing w:line="440" w:lineRule="exact"/>
        <w:ind w:firstLine="482" w:firstLineChars="200"/>
        <w:outlineLvl w:val="1"/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七、验收标准：</w:t>
      </w:r>
    </w:p>
    <w:p w14:paraId="2F00FC0E">
      <w:pPr>
        <w:spacing w:line="440" w:lineRule="exact"/>
        <w:ind w:firstLine="480" w:firstLineChars="200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满足招标人要求并通过上级主管部门验收  </w:t>
      </w:r>
      <w:r>
        <w:rPr>
          <w:rFonts w:hint="eastAsia"/>
          <w:b/>
          <w:color w:val="auto"/>
          <w:sz w:val="24"/>
          <w:szCs w:val="24"/>
          <w:highlight w:val="none"/>
        </w:rPr>
        <w:t>。</w:t>
      </w:r>
    </w:p>
    <w:p w14:paraId="28960B18">
      <w:pPr>
        <w:spacing w:line="440" w:lineRule="exact"/>
        <w:ind w:firstLine="482" w:firstLineChars="200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八、主要设备材料招标人推荐品牌一览表</w:t>
      </w:r>
    </w:p>
    <w:tbl>
      <w:tblPr>
        <w:tblStyle w:val="6"/>
        <w:tblpPr w:leftFromText="180" w:rightFromText="180" w:vertAnchor="text" w:horzAnchor="page" w:tblpX="1409" w:tblpY="398"/>
        <w:tblOverlap w:val="never"/>
        <w:tblW w:w="9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44"/>
        <w:gridCol w:w="2756"/>
        <w:gridCol w:w="3873"/>
      </w:tblGrid>
      <w:tr w14:paraId="678C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E5C5">
            <w:pPr>
              <w:jc w:val="center"/>
              <w:rPr>
                <w:rFonts w:cs="宋体"/>
                <w:b/>
                <w:bCs/>
                <w:color w:val="auto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2066A">
            <w:pPr>
              <w:jc w:val="center"/>
              <w:rPr>
                <w:rFonts w:cs="宋体"/>
                <w:b/>
                <w:bCs/>
                <w:color w:val="auto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highlight w:val="none"/>
              </w:rPr>
              <w:t>材料设备名称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AEDE70">
            <w:pPr>
              <w:jc w:val="center"/>
              <w:rPr>
                <w:rFonts w:cs="宋体"/>
                <w:b/>
                <w:bCs/>
                <w:color w:val="auto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highlight w:val="none"/>
              </w:rPr>
              <w:t>材料主要性能要求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76A2D2">
            <w:pPr>
              <w:jc w:val="center"/>
              <w:rPr>
                <w:rFonts w:cs="宋体"/>
                <w:b/>
                <w:bCs/>
                <w:color w:val="auto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highlight w:val="none"/>
              </w:rPr>
              <w:t>招标人推荐品牌</w:t>
            </w:r>
          </w:p>
        </w:tc>
      </w:tr>
      <w:tr w14:paraId="48AA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91FCB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DF43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球墨铸铁管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2AB6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合格品及其以上等级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E6AC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新兴、永通、国铭、北台</w:t>
            </w:r>
          </w:p>
        </w:tc>
      </w:tr>
      <w:tr w14:paraId="400E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344385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6BD0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热镀锌钢管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EF6A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合格品及其以上等级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77D2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天津友发、利达钢管、浙江金洲、江苏国强</w:t>
            </w:r>
          </w:p>
        </w:tc>
      </w:tr>
      <w:tr w14:paraId="16498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00811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E841B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阀门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DBE53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合格品及其以上等级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7B72D">
            <w:pPr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竹箦、上海冠龙、精工、天津塘沽</w:t>
            </w:r>
          </w:p>
        </w:tc>
      </w:tr>
    </w:tbl>
    <w:p w14:paraId="4EF518D2">
      <w:pPr>
        <w:spacing w:line="400" w:lineRule="exact"/>
        <w:jc w:val="left"/>
        <w:rPr>
          <w:rFonts w:cs="宋体"/>
          <w:color w:val="auto"/>
          <w:sz w:val="24"/>
          <w:szCs w:val="21"/>
          <w:highlight w:val="none"/>
        </w:rPr>
      </w:pPr>
      <w:r>
        <w:rPr>
          <w:rFonts w:hint="eastAsia" w:cs="宋体"/>
          <w:color w:val="auto"/>
          <w:sz w:val="24"/>
          <w:szCs w:val="21"/>
          <w:highlight w:val="none"/>
        </w:rPr>
        <w:t>注：</w:t>
      </w:r>
      <w:bookmarkStart w:id="1" w:name="_GoBack"/>
      <w:bookmarkEnd w:id="1"/>
    </w:p>
    <w:p w14:paraId="314AE96B">
      <w:pPr>
        <w:spacing w:line="400" w:lineRule="exact"/>
        <w:ind w:firstLine="480" w:firstLineChars="200"/>
        <w:jc w:val="left"/>
        <w:rPr>
          <w:rFonts w:cs="宋体"/>
          <w:color w:val="auto"/>
          <w:sz w:val="24"/>
          <w:szCs w:val="21"/>
          <w:highlight w:val="none"/>
        </w:rPr>
      </w:pPr>
      <w:r>
        <w:rPr>
          <w:rFonts w:hint="eastAsia" w:cs="宋体"/>
          <w:color w:val="auto"/>
          <w:sz w:val="24"/>
          <w:szCs w:val="21"/>
          <w:highlight w:val="none"/>
        </w:rPr>
        <w:t>1、以上材料在进场前须经建设单位和设计单位认可，建设单位有权在颜色、样式、用量、材质、配置等方面做出适当调整，但价格不予调整。</w:t>
      </w:r>
    </w:p>
    <w:p w14:paraId="2970C4C9">
      <w:pPr>
        <w:spacing w:line="400" w:lineRule="exact"/>
        <w:ind w:firstLine="480" w:firstLineChars="200"/>
        <w:jc w:val="left"/>
        <w:rPr>
          <w:b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1"/>
          <w:highlight w:val="none"/>
        </w:rPr>
        <w:t>2、投标人投标时需选择某一具体品牌。如投标人采用推荐品牌以外的其他产品供货的，质量和性能等技术指标必须优于或者相当于推荐品牌。</w:t>
      </w:r>
      <w:r>
        <w:rPr>
          <w:rFonts w:hint="eastAsia" w:cs="宋体"/>
          <w:color w:val="auto"/>
          <w:sz w:val="24"/>
          <w:szCs w:val="21"/>
          <w:highlight w:val="none"/>
        </w:rPr>
        <w:t>一旦中标，中标人不得以任何理由更换推荐品牌,并于领取中标通知书后三天内向建设单位提供样品，经建设单位认可后方可签订合同。</w:t>
      </w:r>
    </w:p>
    <w:p w14:paraId="41764A89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05DEEA11">
      <w:pPr>
        <w:spacing w:line="440" w:lineRule="exact"/>
        <w:ind w:firstLine="200" w:firstLineChars="100"/>
        <w:jc w:val="center"/>
        <w:rPr>
          <w:rFonts w:ascii="宋体" w:hAnsi="宋体"/>
          <w:color w:val="auto"/>
          <w:sz w:val="20"/>
          <w:highlight w:val="none"/>
        </w:rPr>
      </w:pPr>
    </w:p>
    <w:p w14:paraId="1928604E">
      <w:pPr>
        <w:spacing w:line="440" w:lineRule="exact"/>
        <w:ind w:firstLine="200" w:firstLineChars="100"/>
        <w:jc w:val="center"/>
        <w:rPr>
          <w:rFonts w:ascii="宋体" w:hAnsi="宋体"/>
          <w:color w:val="auto"/>
          <w:sz w:val="20"/>
          <w:highlight w:val="none"/>
        </w:rPr>
      </w:pPr>
    </w:p>
    <w:p w14:paraId="54154575"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4AA4">
    <w:pPr>
      <w:spacing w:before="1" w:line="184" w:lineRule="auto"/>
      <w:ind w:left="4731"/>
      <w:rPr>
        <w:rFonts w:ascii="Arial" w:hAnsi="Arial" w:eastAsia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AC6D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AC6D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1D0F">
    <w:pPr>
      <w:spacing w:line="30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7B1A"/>
    <w:rsid w:val="011467B7"/>
    <w:rsid w:val="02445A42"/>
    <w:rsid w:val="02490A8F"/>
    <w:rsid w:val="025256A9"/>
    <w:rsid w:val="03450073"/>
    <w:rsid w:val="03585EDD"/>
    <w:rsid w:val="04046C69"/>
    <w:rsid w:val="04887D2F"/>
    <w:rsid w:val="059B5BAB"/>
    <w:rsid w:val="059C45FA"/>
    <w:rsid w:val="05A72BD7"/>
    <w:rsid w:val="05BF054E"/>
    <w:rsid w:val="065533D7"/>
    <w:rsid w:val="06B75ED8"/>
    <w:rsid w:val="077A37C7"/>
    <w:rsid w:val="08443056"/>
    <w:rsid w:val="08F51C6F"/>
    <w:rsid w:val="09A02F07"/>
    <w:rsid w:val="09FF1197"/>
    <w:rsid w:val="0A1B177E"/>
    <w:rsid w:val="0A2A3F94"/>
    <w:rsid w:val="0A3A7385"/>
    <w:rsid w:val="0A4C329E"/>
    <w:rsid w:val="0B9B0B50"/>
    <w:rsid w:val="0BA20969"/>
    <w:rsid w:val="0BDB550F"/>
    <w:rsid w:val="0BE805BB"/>
    <w:rsid w:val="0C2306DE"/>
    <w:rsid w:val="0DF924D6"/>
    <w:rsid w:val="0F67422E"/>
    <w:rsid w:val="0FF50CDA"/>
    <w:rsid w:val="112B315A"/>
    <w:rsid w:val="11C4094C"/>
    <w:rsid w:val="126C4B94"/>
    <w:rsid w:val="127A692D"/>
    <w:rsid w:val="12D80EE0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3F4C25"/>
    <w:rsid w:val="1CBF2330"/>
    <w:rsid w:val="1DC14EED"/>
    <w:rsid w:val="1DF50A61"/>
    <w:rsid w:val="1EDB74BB"/>
    <w:rsid w:val="208572BC"/>
    <w:rsid w:val="20C51371"/>
    <w:rsid w:val="20EE4CF7"/>
    <w:rsid w:val="212B481F"/>
    <w:rsid w:val="21580306"/>
    <w:rsid w:val="217534E3"/>
    <w:rsid w:val="230A6D40"/>
    <w:rsid w:val="23597668"/>
    <w:rsid w:val="24BA6FF6"/>
    <w:rsid w:val="24EE3A00"/>
    <w:rsid w:val="269F5436"/>
    <w:rsid w:val="26C070DF"/>
    <w:rsid w:val="26C22868"/>
    <w:rsid w:val="272410F6"/>
    <w:rsid w:val="28666C17"/>
    <w:rsid w:val="28C9014F"/>
    <w:rsid w:val="29D466CC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9A5A45"/>
    <w:rsid w:val="3DB850AD"/>
    <w:rsid w:val="3EA1334D"/>
    <w:rsid w:val="4042629E"/>
    <w:rsid w:val="419032B3"/>
    <w:rsid w:val="41DE5DBD"/>
    <w:rsid w:val="422C623C"/>
    <w:rsid w:val="423E2C3C"/>
    <w:rsid w:val="434F6096"/>
    <w:rsid w:val="436C550E"/>
    <w:rsid w:val="44C83245"/>
    <w:rsid w:val="45815028"/>
    <w:rsid w:val="45F457B6"/>
    <w:rsid w:val="47FB61CA"/>
    <w:rsid w:val="48192681"/>
    <w:rsid w:val="493D590E"/>
    <w:rsid w:val="4A896133"/>
    <w:rsid w:val="4B807A4A"/>
    <w:rsid w:val="4C8B415B"/>
    <w:rsid w:val="4CDC0F66"/>
    <w:rsid w:val="4CFA56BA"/>
    <w:rsid w:val="4EBB1677"/>
    <w:rsid w:val="4F974C0F"/>
    <w:rsid w:val="4FB74DDA"/>
    <w:rsid w:val="4FEB65B7"/>
    <w:rsid w:val="502F64F3"/>
    <w:rsid w:val="506D2F61"/>
    <w:rsid w:val="51224C99"/>
    <w:rsid w:val="518A6222"/>
    <w:rsid w:val="518E3745"/>
    <w:rsid w:val="51FB16DF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7FE69C8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391647"/>
    <w:rsid w:val="5C4D76FA"/>
    <w:rsid w:val="5CF6181D"/>
    <w:rsid w:val="5D193E1C"/>
    <w:rsid w:val="5D271B48"/>
    <w:rsid w:val="5DB211CE"/>
    <w:rsid w:val="5DCC16BA"/>
    <w:rsid w:val="5E59229C"/>
    <w:rsid w:val="5E707315"/>
    <w:rsid w:val="5F8461ED"/>
    <w:rsid w:val="5FB35F53"/>
    <w:rsid w:val="5FDE126D"/>
    <w:rsid w:val="60E751E1"/>
    <w:rsid w:val="610C2C7F"/>
    <w:rsid w:val="611D301E"/>
    <w:rsid w:val="612F4DE2"/>
    <w:rsid w:val="61B761CA"/>
    <w:rsid w:val="629B011D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7E77C3F"/>
    <w:rsid w:val="681B3755"/>
    <w:rsid w:val="68530868"/>
    <w:rsid w:val="690D5110"/>
    <w:rsid w:val="69170515"/>
    <w:rsid w:val="694801CA"/>
    <w:rsid w:val="697D344C"/>
    <w:rsid w:val="69C640CC"/>
    <w:rsid w:val="6AC55AC0"/>
    <w:rsid w:val="6AD938C6"/>
    <w:rsid w:val="6C6359BE"/>
    <w:rsid w:val="6D7628AC"/>
    <w:rsid w:val="6EAA1956"/>
    <w:rsid w:val="6EFE00EB"/>
    <w:rsid w:val="6F6944D6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346479"/>
    <w:rsid w:val="78C23387"/>
    <w:rsid w:val="78F44268"/>
    <w:rsid w:val="7A1C1634"/>
    <w:rsid w:val="7ACD370F"/>
    <w:rsid w:val="7AD1581C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="290" w:after="290"/>
      <w:ind w:firstLine="2890"/>
      <w:outlineLvl w:val="0"/>
    </w:pPr>
    <w:rPr>
      <w:rFonts w:ascii="黑体" w:eastAsia="黑体"/>
      <w:b/>
      <w:sz w:val="24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index 9"/>
    <w:basedOn w:val="1"/>
    <w:next w:val="1"/>
    <w:semiHidden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2025-04-16T09:14:07Z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