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采购需求</w:t>
      </w:r>
    </w:p>
    <w:p>
      <w:pPr>
        <w:rPr>
          <w:rFonts w:hint="eastAsia"/>
        </w:rPr>
      </w:pPr>
    </w:p>
    <w:p>
      <w:pPr>
        <w:adjustRightInd w:val="0"/>
        <w:snapToGrid w:val="0"/>
        <w:spacing w:line="420" w:lineRule="exact"/>
        <w:ind w:firstLine="482" w:firstLineChars="200"/>
        <w:jc w:val="left"/>
        <w:outlineLvl w:val="1"/>
        <w:rPr>
          <w:rFonts w:ascii="宋体" w:hAnsi="宋体" w:cs="宋体"/>
          <w:b/>
          <w:bCs/>
          <w:sz w:val="24"/>
        </w:rPr>
      </w:pPr>
      <w:r>
        <w:rPr>
          <w:rFonts w:hint="eastAsia" w:ascii="宋体" w:hAnsi="宋体" w:cs="宋体"/>
          <w:b/>
          <w:bCs/>
          <w:sz w:val="24"/>
        </w:rPr>
        <w:t>一、项目概况</w:t>
      </w:r>
    </w:p>
    <w:p>
      <w:pPr>
        <w:spacing w:line="500" w:lineRule="exact"/>
        <w:ind w:firstLine="480" w:firstLineChars="200"/>
        <w:rPr>
          <w:rStyle w:val="8"/>
          <w:rFonts w:hint="eastAsia" w:ascii="宋体" w:hAnsi="宋体" w:eastAsia="宋体" w:cs="Times New Roman"/>
          <w:bCs/>
          <w:sz w:val="24"/>
          <w:lang w:val="zh-CN"/>
        </w:rPr>
      </w:pPr>
      <w:r>
        <w:rPr>
          <w:rStyle w:val="8"/>
          <w:rFonts w:hint="eastAsia" w:ascii="宋体" w:hAnsi="宋体" w:eastAsia="宋体" w:cs="Times New Roman"/>
          <w:bCs/>
          <w:sz w:val="24"/>
          <w:lang w:val="zh-CN"/>
        </w:rPr>
        <w:t>1、项目名称：江苏医药职业学院网站云防护服务项目</w:t>
      </w:r>
    </w:p>
    <w:p>
      <w:pPr>
        <w:spacing w:line="500" w:lineRule="exact"/>
        <w:ind w:firstLine="480" w:firstLineChars="200"/>
        <w:rPr>
          <w:rStyle w:val="8"/>
          <w:rFonts w:hint="eastAsia" w:ascii="宋体" w:hAnsi="宋体" w:eastAsia="宋体" w:cs="Times New Roman"/>
          <w:bCs/>
          <w:sz w:val="24"/>
          <w:lang w:val="zh-CN"/>
        </w:rPr>
      </w:pPr>
      <w:r>
        <w:rPr>
          <w:rStyle w:val="8"/>
          <w:rFonts w:hint="eastAsia" w:ascii="宋体" w:hAnsi="宋体" w:eastAsia="宋体" w:cs="Times New Roman"/>
          <w:bCs/>
          <w:sz w:val="24"/>
          <w:lang w:val="zh-CN"/>
        </w:rPr>
        <w:t>2、项目地点：江苏医药职业学院</w:t>
      </w:r>
    </w:p>
    <w:p>
      <w:pPr>
        <w:spacing w:line="500" w:lineRule="exact"/>
        <w:ind w:firstLine="480" w:firstLineChars="200"/>
        <w:rPr>
          <w:rStyle w:val="8"/>
          <w:rFonts w:ascii="宋体" w:hAnsi="宋体" w:eastAsia="宋体" w:cs="Times New Roman"/>
          <w:bCs/>
          <w:sz w:val="24"/>
          <w:lang w:val="zh-CN"/>
        </w:rPr>
      </w:pPr>
      <w:r>
        <w:rPr>
          <w:rStyle w:val="8"/>
          <w:rFonts w:ascii="宋体" w:hAnsi="宋体" w:eastAsia="宋体" w:cs="Times New Roman"/>
          <w:bCs/>
          <w:sz w:val="24"/>
          <w:lang w:val="zh-CN"/>
        </w:rPr>
        <w:t>3、</w:t>
      </w:r>
      <w:r>
        <w:rPr>
          <w:rStyle w:val="8"/>
          <w:rFonts w:hint="eastAsia" w:ascii="宋体" w:hAnsi="宋体" w:eastAsia="宋体" w:cs="Times New Roman"/>
          <w:bCs/>
          <w:sz w:val="24"/>
          <w:lang w:val="zh-CN"/>
        </w:rPr>
        <w:t>总体要求</w:t>
      </w:r>
    </w:p>
    <w:p>
      <w:pPr>
        <w:spacing w:line="500" w:lineRule="exact"/>
        <w:ind w:firstLine="480" w:firstLineChars="200"/>
        <w:rPr>
          <w:rStyle w:val="8"/>
          <w:rFonts w:ascii="宋体" w:hAnsi="宋体" w:eastAsia="宋体" w:cs="Times New Roman"/>
          <w:bCs/>
          <w:sz w:val="24"/>
          <w:lang w:val="zh-CN"/>
        </w:rPr>
      </w:pPr>
      <w:r>
        <w:rPr>
          <w:rStyle w:val="8"/>
          <w:rFonts w:hint="eastAsia" w:ascii="宋体" w:hAnsi="宋体" w:eastAsia="宋体" w:cs="Times New Roman"/>
          <w:bCs/>
          <w:sz w:val="24"/>
          <w:lang w:val="zh-CN"/>
        </w:rPr>
        <w:t>随着网络安全法的颁布和实施，我国对于网络安全的重视空前提高，高校网站在《关键信息基础设施安全保护条例》中被列为关键信息基础设施需要在等级保护基础上进行增强防护。我校网站云防护体系建立，旨在提升对于网站安全状况的感知、提供多维网络攻击防护能力，保障网站高可用性，实现网络安全风险管理闭环。</w:t>
      </w:r>
    </w:p>
    <w:p>
      <w:pPr>
        <w:spacing w:line="500" w:lineRule="exact"/>
        <w:ind w:firstLine="480" w:firstLineChars="200"/>
        <w:rPr>
          <w:rStyle w:val="8"/>
          <w:rFonts w:ascii="宋体" w:hAnsi="宋体" w:eastAsia="宋体" w:cs="Times New Roman"/>
          <w:bCs/>
          <w:sz w:val="24"/>
          <w:lang w:val="zh-CN"/>
        </w:rPr>
      </w:pPr>
      <w:r>
        <w:rPr>
          <w:rStyle w:val="8"/>
          <w:rFonts w:hint="eastAsia" w:ascii="宋体" w:hAnsi="宋体" w:eastAsia="宋体" w:cs="Times New Roman"/>
          <w:bCs/>
          <w:sz w:val="24"/>
          <w:lang w:val="zh-CN"/>
        </w:rPr>
        <w:t>本次服务要求中标单位采用专职服务团队人员加后端专家服务团队人员的方式进行整体服务实施。服务方需成立不少于</w:t>
      </w:r>
      <w:r>
        <w:rPr>
          <w:rStyle w:val="8"/>
          <w:rFonts w:ascii="宋体" w:hAnsi="宋体" w:eastAsia="宋体" w:cs="Times New Roman"/>
          <w:bCs/>
          <w:sz w:val="24"/>
          <w:lang w:val="zh-CN"/>
        </w:rPr>
        <w:t>10人的</w:t>
      </w:r>
      <w:r>
        <w:rPr>
          <w:rStyle w:val="8"/>
          <w:rFonts w:hint="eastAsia" w:ascii="宋体" w:hAnsi="宋体" w:eastAsia="宋体" w:cs="Times New Roman"/>
          <w:bCs/>
          <w:sz w:val="24"/>
          <w:lang w:val="zh-CN"/>
        </w:rPr>
        <w:t>后端专家服务团队</w:t>
      </w:r>
      <w:r>
        <w:rPr>
          <w:rStyle w:val="8"/>
          <w:rFonts w:ascii="宋体" w:hAnsi="宋体" w:eastAsia="宋体" w:cs="Times New Roman"/>
          <w:bCs/>
          <w:sz w:val="24"/>
          <w:lang w:val="zh-CN"/>
        </w:rPr>
        <w:t>，安排高素质的后端支撑人员配合</w:t>
      </w:r>
      <w:r>
        <w:rPr>
          <w:rStyle w:val="8"/>
          <w:rFonts w:hint="eastAsia" w:ascii="宋体" w:hAnsi="宋体" w:eastAsia="宋体" w:cs="Times New Roman"/>
          <w:bCs/>
          <w:sz w:val="24"/>
          <w:lang w:val="zh-CN"/>
        </w:rPr>
        <w:t>专职服务团队人员</w:t>
      </w:r>
      <w:r>
        <w:rPr>
          <w:rStyle w:val="8"/>
          <w:rFonts w:ascii="宋体" w:hAnsi="宋体" w:eastAsia="宋体" w:cs="Times New Roman"/>
          <w:bCs/>
          <w:sz w:val="24"/>
          <w:lang w:val="zh-CN"/>
        </w:rPr>
        <w:t>，完成招标人提供所要求的</w:t>
      </w:r>
      <w:r>
        <w:rPr>
          <w:rStyle w:val="8"/>
          <w:rFonts w:hint="eastAsia" w:ascii="宋体" w:hAnsi="宋体" w:eastAsia="宋体" w:cs="Times New Roman"/>
          <w:bCs/>
          <w:sz w:val="24"/>
          <w:lang w:val="zh-CN"/>
        </w:rPr>
        <w:t>网站云防护</w:t>
      </w:r>
      <w:r>
        <w:rPr>
          <w:rStyle w:val="8"/>
          <w:rFonts w:ascii="宋体" w:hAnsi="宋体" w:eastAsia="宋体" w:cs="Times New Roman"/>
          <w:bCs/>
          <w:sz w:val="24"/>
          <w:lang w:val="zh-CN"/>
        </w:rPr>
        <w:t>服务项目和相关技术支持。同时，</w:t>
      </w:r>
      <w:r>
        <w:rPr>
          <w:rStyle w:val="8"/>
          <w:rFonts w:hint="eastAsia" w:ascii="宋体" w:hAnsi="宋体" w:eastAsia="宋体" w:cs="Times New Roman"/>
          <w:bCs/>
          <w:sz w:val="24"/>
          <w:lang w:val="zh-CN"/>
        </w:rPr>
        <w:t>后端专家服务团队</w:t>
      </w:r>
      <w:r>
        <w:rPr>
          <w:rStyle w:val="8"/>
          <w:rFonts w:ascii="宋体" w:hAnsi="宋体" w:eastAsia="宋体" w:cs="Times New Roman"/>
          <w:bCs/>
          <w:sz w:val="24"/>
          <w:lang w:val="zh-CN"/>
        </w:rPr>
        <w:t>需具备丰富的漏洞挖掘能力、专业的渗透测试能力、数据安全能力及专业的应急响应支撑能力</w:t>
      </w:r>
      <w:r>
        <w:rPr>
          <w:rStyle w:val="8"/>
          <w:rFonts w:hint="eastAsia" w:ascii="宋体" w:hAnsi="宋体" w:eastAsia="宋体" w:cs="Times New Roman"/>
          <w:bCs/>
          <w:sz w:val="24"/>
          <w:lang w:val="zh-CN"/>
        </w:rPr>
        <w:t>，以应对针对我校网站群的各种网络安全攻击及安全事件</w:t>
      </w:r>
      <w:r>
        <w:rPr>
          <w:rStyle w:val="8"/>
          <w:rFonts w:ascii="宋体" w:hAnsi="宋体" w:eastAsia="宋体" w:cs="Times New Roman"/>
          <w:bCs/>
          <w:sz w:val="24"/>
          <w:lang w:val="zh-CN"/>
        </w:rPr>
        <w:t>。</w:t>
      </w:r>
      <w:r>
        <w:rPr>
          <w:rStyle w:val="8"/>
          <w:rFonts w:hint="eastAsia" w:ascii="宋体" w:hAnsi="宋体" w:eastAsia="宋体" w:cs="Times New Roman"/>
          <w:bCs/>
          <w:sz w:val="24"/>
          <w:lang w:val="zh-CN"/>
        </w:rPr>
        <w:t>提供在线专家的7×</w:t>
      </w:r>
      <w:r>
        <w:rPr>
          <w:rStyle w:val="8"/>
          <w:rFonts w:ascii="宋体" w:hAnsi="宋体" w:eastAsia="宋体" w:cs="Times New Roman"/>
          <w:bCs/>
          <w:sz w:val="24"/>
          <w:lang w:val="zh-CN"/>
        </w:rPr>
        <w:t>24</w:t>
      </w:r>
      <w:r>
        <w:rPr>
          <w:rStyle w:val="8"/>
          <w:rFonts w:hint="eastAsia" w:ascii="宋体" w:hAnsi="宋体" w:eastAsia="宋体" w:cs="Times New Roman"/>
          <w:bCs/>
          <w:sz w:val="24"/>
          <w:lang w:val="zh-CN"/>
        </w:rPr>
        <w:t>小时应急响应，当发生安全事件时能够及时响应并协助处置</w:t>
      </w:r>
    </w:p>
    <w:p>
      <w:pPr>
        <w:ind w:firstLine="480" w:firstLineChars="200"/>
        <w:rPr>
          <w:rFonts w:ascii="宋体" w:hAnsi="宋体" w:cs="宋体"/>
          <w:sz w:val="24"/>
        </w:rPr>
      </w:pPr>
      <w:r>
        <w:rPr>
          <w:rFonts w:ascii="宋体" w:hAnsi="宋体" w:cs="宋体"/>
          <w:sz w:val="24"/>
        </w:rPr>
        <w:t>4、</w:t>
      </w:r>
      <w:r>
        <w:rPr>
          <w:rFonts w:hint="eastAsia" w:ascii="宋体" w:hAnsi="宋体" w:cs="宋体"/>
          <w:sz w:val="24"/>
        </w:rPr>
        <w:t>设备清单</w:t>
      </w:r>
    </w:p>
    <w:tbl>
      <w:tblPr>
        <w:tblStyle w:val="6"/>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250"/>
        <w:gridCol w:w="5070"/>
        <w:gridCol w:w="7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05" w:type="dxa"/>
            <w:noWrap w:val="0"/>
            <w:vAlign w:val="center"/>
          </w:tcPr>
          <w:p>
            <w:pPr>
              <w:spacing w:line="360" w:lineRule="exact"/>
              <w:jc w:val="center"/>
              <w:rPr>
                <w:rFonts w:ascii="宋体" w:hAnsi="宋体" w:cs="宋体"/>
                <w:kern w:val="0"/>
                <w:sz w:val="24"/>
              </w:rPr>
            </w:pPr>
            <w:r>
              <w:rPr>
                <w:rFonts w:hint="eastAsia" w:ascii="宋体" w:hAnsi="宋体" w:cs="宋体"/>
                <w:kern w:val="0"/>
                <w:sz w:val="24"/>
              </w:rPr>
              <w:t>序号</w:t>
            </w:r>
          </w:p>
        </w:tc>
        <w:tc>
          <w:tcPr>
            <w:tcW w:w="1250" w:type="dxa"/>
            <w:noWrap w:val="0"/>
            <w:vAlign w:val="center"/>
          </w:tcPr>
          <w:p>
            <w:pPr>
              <w:spacing w:line="360" w:lineRule="exact"/>
              <w:jc w:val="center"/>
              <w:rPr>
                <w:rFonts w:ascii="宋体" w:hAnsi="宋体" w:cs="宋体"/>
                <w:kern w:val="0"/>
                <w:sz w:val="24"/>
              </w:rPr>
            </w:pPr>
            <w:r>
              <w:rPr>
                <w:rFonts w:hint="eastAsia" w:ascii="宋体" w:hAnsi="宋体" w:cs="宋体"/>
                <w:kern w:val="0"/>
                <w:sz w:val="24"/>
              </w:rPr>
              <w:t>设备名称</w:t>
            </w:r>
          </w:p>
        </w:tc>
        <w:tc>
          <w:tcPr>
            <w:tcW w:w="5070" w:type="dxa"/>
            <w:noWrap w:val="0"/>
            <w:vAlign w:val="center"/>
          </w:tcPr>
          <w:p>
            <w:pPr>
              <w:spacing w:line="360" w:lineRule="exact"/>
              <w:jc w:val="center"/>
              <w:rPr>
                <w:rFonts w:ascii="宋体" w:hAnsi="宋体" w:cs="宋体"/>
                <w:kern w:val="0"/>
                <w:sz w:val="24"/>
              </w:rPr>
            </w:pPr>
            <w:r>
              <w:rPr>
                <w:rFonts w:hint="eastAsia" w:ascii="宋体" w:hAnsi="宋体" w:cs="宋体"/>
                <w:kern w:val="0"/>
                <w:sz w:val="24"/>
              </w:rPr>
              <w:t>基本规格参数</w:t>
            </w:r>
          </w:p>
        </w:tc>
        <w:tc>
          <w:tcPr>
            <w:tcW w:w="765" w:type="dxa"/>
            <w:noWrap w:val="0"/>
            <w:vAlign w:val="center"/>
          </w:tcPr>
          <w:p>
            <w:pPr>
              <w:spacing w:line="360" w:lineRule="exact"/>
              <w:jc w:val="center"/>
              <w:rPr>
                <w:rFonts w:ascii="宋体" w:hAnsi="宋体" w:cs="宋体"/>
                <w:kern w:val="0"/>
                <w:sz w:val="24"/>
              </w:rPr>
            </w:pPr>
            <w:r>
              <w:rPr>
                <w:rFonts w:hint="eastAsia" w:ascii="宋体" w:hAnsi="宋体" w:cs="宋体"/>
                <w:kern w:val="0"/>
                <w:sz w:val="24"/>
              </w:rPr>
              <w:t>数量</w:t>
            </w:r>
          </w:p>
        </w:tc>
        <w:tc>
          <w:tcPr>
            <w:tcW w:w="1115" w:type="dxa"/>
            <w:noWrap w:val="0"/>
            <w:vAlign w:val="center"/>
          </w:tcPr>
          <w:p>
            <w:pPr>
              <w:spacing w:line="360" w:lineRule="exact"/>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05" w:type="dxa"/>
            <w:noWrap w:val="0"/>
            <w:vAlign w:val="center"/>
          </w:tcPr>
          <w:p>
            <w:pPr>
              <w:spacing w:line="360" w:lineRule="exact"/>
              <w:jc w:val="center"/>
              <w:rPr>
                <w:rFonts w:ascii="宋体" w:hAnsi="宋体" w:cs="宋体"/>
                <w:color w:val="333940"/>
                <w:kern w:val="0"/>
                <w:sz w:val="24"/>
              </w:rPr>
            </w:pPr>
            <w:r>
              <w:rPr>
                <w:rFonts w:hint="eastAsia" w:ascii="宋体" w:hAnsi="宋体" w:cs="宋体"/>
                <w:color w:val="333940"/>
                <w:kern w:val="0"/>
                <w:sz w:val="24"/>
              </w:rPr>
              <w:t>1</w:t>
            </w:r>
          </w:p>
        </w:tc>
        <w:tc>
          <w:tcPr>
            <w:tcW w:w="1250" w:type="dxa"/>
            <w:noWrap w:val="0"/>
            <w:vAlign w:val="center"/>
          </w:tcPr>
          <w:p>
            <w:pPr>
              <w:spacing w:line="360" w:lineRule="exact"/>
              <w:jc w:val="center"/>
              <w:rPr>
                <w:rFonts w:ascii="宋体" w:hAnsi="宋体" w:cs="宋体"/>
                <w:color w:val="333940"/>
                <w:kern w:val="0"/>
                <w:sz w:val="24"/>
              </w:rPr>
            </w:pPr>
            <w:r>
              <w:rPr>
                <w:rFonts w:hint="eastAsia" w:ascii="宋体" w:hAnsi="宋体" w:cs="宋体"/>
                <w:color w:val="333940"/>
                <w:kern w:val="0"/>
                <w:sz w:val="24"/>
              </w:rPr>
              <w:t>网站云防护服务</w:t>
            </w:r>
          </w:p>
        </w:tc>
        <w:tc>
          <w:tcPr>
            <w:tcW w:w="5070" w:type="dxa"/>
            <w:noWrap w:val="0"/>
            <w:vAlign w:val="center"/>
          </w:tcPr>
          <w:p>
            <w:pPr>
              <w:spacing w:line="360" w:lineRule="exact"/>
              <w:ind w:firstLine="480" w:firstLineChars="200"/>
              <w:rPr>
                <w:rFonts w:ascii="宋体" w:hAnsi="宋体" w:cs="宋体"/>
                <w:color w:val="333940"/>
                <w:kern w:val="0"/>
                <w:sz w:val="24"/>
              </w:rPr>
            </w:pPr>
            <w:r>
              <w:rPr>
                <w:rFonts w:hint="eastAsia" w:ascii="宋体" w:hAnsi="宋体" w:cs="宋体"/>
                <w:color w:val="333940"/>
                <w:sz w:val="24"/>
              </w:rPr>
              <w:t>主动加强对网站群的实时动态防御，保障各类网站的安全，建立常态化监测防御、预警通知与安全分析报告和应急保障</w:t>
            </w:r>
            <w:r>
              <w:rPr>
                <w:rFonts w:ascii="宋体" w:hAnsi="宋体" w:cs="宋体"/>
                <w:color w:val="333940"/>
                <w:sz w:val="24"/>
              </w:rPr>
              <w:t>。</w:t>
            </w:r>
            <w:r>
              <w:rPr>
                <w:rFonts w:hint="eastAsia" w:ascii="宋体" w:hAnsi="宋体" w:cs="宋体"/>
                <w:color w:val="333940"/>
                <w:sz w:val="24"/>
              </w:rPr>
              <w:t>通过7*24小时攻击预警和通知服务，使网站管理和维护人员能够实时获取网站群内所有网站的安全状况；能够通过周期性的检查，发现网站群内所有网站存在的安全漏洞并及时告警；实现在线网站安全专家的7×24小时应急响应。</w:t>
            </w:r>
            <w:r>
              <w:rPr>
                <w:rFonts w:ascii="宋体" w:hAnsi="宋体" w:cs="宋体"/>
                <w:color w:val="333940"/>
                <w:sz w:val="24"/>
              </w:rPr>
              <w:t xml:space="preserve"> </w:t>
            </w:r>
          </w:p>
        </w:tc>
        <w:tc>
          <w:tcPr>
            <w:tcW w:w="765" w:type="dxa"/>
            <w:noWrap w:val="0"/>
            <w:vAlign w:val="center"/>
          </w:tcPr>
          <w:p>
            <w:pPr>
              <w:spacing w:line="360" w:lineRule="exact"/>
              <w:jc w:val="center"/>
              <w:rPr>
                <w:rFonts w:ascii="宋体" w:hAnsi="宋体" w:cs="宋体"/>
                <w:color w:val="333940"/>
                <w:kern w:val="0"/>
                <w:sz w:val="24"/>
              </w:rPr>
            </w:pPr>
            <w:r>
              <w:rPr>
                <w:rFonts w:ascii="宋体" w:hAnsi="宋体" w:cs="宋体"/>
                <w:color w:val="333940"/>
                <w:kern w:val="0"/>
                <w:sz w:val="24"/>
              </w:rPr>
              <w:t>1</w:t>
            </w:r>
            <w:r>
              <w:rPr>
                <w:rFonts w:hint="eastAsia" w:ascii="宋体" w:hAnsi="宋体" w:cs="宋体"/>
                <w:color w:val="333940"/>
                <w:kern w:val="0"/>
                <w:sz w:val="24"/>
              </w:rPr>
              <w:t>套</w:t>
            </w:r>
          </w:p>
        </w:tc>
        <w:tc>
          <w:tcPr>
            <w:tcW w:w="1115" w:type="dxa"/>
            <w:noWrap w:val="0"/>
            <w:vAlign w:val="center"/>
          </w:tcPr>
          <w:p>
            <w:pPr>
              <w:spacing w:line="360" w:lineRule="exact"/>
              <w:jc w:val="center"/>
              <w:rPr>
                <w:rFonts w:ascii="宋体" w:hAnsi="宋体" w:cs="宋体"/>
                <w:kern w:val="0"/>
                <w:sz w:val="24"/>
              </w:rPr>
            </w:pPr>
            <w:r>
              <w:rPr>
                <w:rFonts w:hint="eastAsia" w:ascii="宋体" w:hAnsi="宋体" w:cs="宋体"/>
                <w:sz w:val="24"/>
              </w:rPr>
              <w:t>网站云安全防护服务</w:t>
            </w:r>
          </w:p>
        </w:tc>
      </w:tr>
    </w:tbl>
    <w:p>
      <w:pPr>
        <w:spacing w:line="360" w:lineRule="auto"/>
        <w:rPr>
          <w:rFonts w:ascii="宋体" w:hAnsi="宋体" w:eastAsia="等线"/>
          <w:b/>
          <w:sz w:val="28"/>
          <w:szCs w:val="28"/>
        </w:rPr>
      </w:pPr>
    </w:p>
    <w:p>
      <w:pPr>
        <w:rPr>
          <w:rFonts w:hint="eastAsia" w:ascii="宋体" w:hAnsi="宋体" w:cs="宋体"/>
          <w:b/>
          <w:bCs/>
          <w:sz w:val="24"/>
        </w:rPr>
      </w:pPr>
      <w:r>
        <w:rPr>
          <w:rFonts w:ascii="等线" w:hAnsi="等线" w:eastAsia="等线"/>
          <w:szCs w:val="22"/>
        </w:rPr>
        <w:br w:type="page"/>
      </w:r>
      <w:r>
        <w:rPr>
          <w:rFonts w:hint="eastAsia" w:ascii="宋体" w:hAnsi="宋体" w:cs="宋体"/>
          <w:b/>
          <w:bCs/>
          <w:sz w:val="24"/>
        </w:rPr>
        <w:t>二、主要技术指标：</w:t>
      </w:r>
    </w:p>
    <w:tbl>
      <w:tblPr>
        <w:tblStyle w:val="6"/>
        <w:tblW w:w="9723" w:type="dxa"/>
        <w:tblInd w:w="113" w:type="dxa"/>
        <w:tblLayout w:type="autofit"/>
        <w:tblCellMar>
          <w:top w:w="0" w:type="dxa"/>
          <w:left w:w="108" w:type="dxa"/>
          <w:bottom w:w="0" w:type="dxa"/>
          <w:right w:w="108" w:type="dxa"/>
        </w:tblCellMar>
      </w:tblPr>
      <w:tblGrid>
        <w:gridCol w:w="2405"/>
        <w:gridCol w:w="7318"/>
      </w:tblGrid>
      <w:tr>
        <w:tblPrEx>
          <w:tblCellMar>
            <w:top w:w="0" w:type="dxa"/>
            <w:left w:w="108" w:type="dxa"/>
            <w:bottom w:w="0" w:type="dxa"/>
            <w:right w:w="108" w:type="dxa"/>
          </w:tblCellMar>
        </w:tblPrEx>
        <w:trPr>
          <w:trHeight w:val="662" w:hRule="atLeast"/>
        </w:trPr>
        <w:tc>
          <w:tcPr>
            <w:tcW w:w="24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指标项</w:t>
            </w:r>
          </w:p>
        </w:tc>
        <w:tc>
          <w:tcPr>
            <w:tcW w:w="73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指标要求</w:t>
            </w:r>
          </w:p>
        </w:tc>
      </w:tr>
      <w:tr>
        <w:tblPrEx>
          <w:tblCellMar>
            <w:top w:w="0" w:type="dxa"/>
            <w:left w:w="108" w:type="dxa"/>
            <w:bottom w:w="0" w:type="dxa"/>
            <w:right w:w="108" w:type="dxa"/>
          </w:tblCellMar>
        </w:tblPrEx>
        <w:trPr>
          <w:trHeight w:val="894"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防护能力</w:t>
            </w:r>
          </w:p>
        </w:tc>
        <w:tc>
          <w:tcPr>
            <w:tcW w:w="73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支持无限制IPv4访问带宽、无限制QPS，支持弹性资源调配，特殊情况下可为网站动态分配节点及带宽资源，保障网站正常运行</w:t>
            </w:r>
          </w:p>
        </w:tc>
      </w:tr>
      <w:tr>
        <w:tblPrEx>
          <w:tblCellMar>
            <w:top w:w="0" w:type="dxa"/>
            <w:left w:w="108" w:type="dxa"/>
            <w:bottom w:w="0" w:type="dxa"/>
            <w:right w:w="108" w:type="dxa"/>
          </w:tblCellMar>
        </w:tblPrEx>
        <w:trPr>
          <w:trHeight w:val="535"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产品部署</w:t>
            </w:r>
          </w:p>
        </w:tc>
        <w:tc>
          <w:tcPr>
            <w:tcW w:w="73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无需对原有网络拓扑进行任何更改，需将CNAME别名指向云防护平台</w:t>
            </w:r>
          </w:p>
        </w:tc>
      </w:tr>
      <w:tr>
        <w:tblPrEx>
          <w:tblCellMar>
            <w:top w:w="0" w:type="dxa"/>
            <w:left w:w="108" w:type="dxa"/>
            <w:bottom w:w="0" w:type="dxa"/>
            <w:right w:w="108" w:type="dxa"/>
          </w:tblCellMar>
        </w:tblPrEx>
        <w:trPr>
          <w:trHeight w:val="803"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智能DNS</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★支持根据客户不同服务的运营商智能选择不同的DNS进行解析，并支持解析负载功能</w:t>
            </w:r>
            <w:r>
              <w:rPr>
                <w:rFonts w:hint="eastAsia" w:ascii="宋体" w:hAnsi="宋体" w:cs="宋体"/>
                <w:b/>
                <w:kern w:val="0"/>
                <w:sz w:val="24"/>
              </w:rPr>
              <w:t>（需提供截图证明，加盖投标人公章）</w:t>
            </w:r>
          </w:p>
        </w:tc>
      </w:tr>
      <w:tr>
        <w:tblPrEx>
          <w:tblCellMar>
            <w:top w:w="0" w:type="dxa"/>
            <w:left w:w="108" w:type="dxa"/>
            <w:bottom w:w="0" w:type="dxa"/>
            <w:right w:w="108" w:type="dxa"/>
          </w:tblCellMar>
        </w:tblPrEx>
        <w:trPr>
          <w:trHeight w:val="576"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端口自助配置</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为了满足业务需要，要求能够对网站除80、443以外的非标准端口提供防护，并可以自助配置</w:t>
            </w:r>
          </w:p>
        </w:tc>
      </w:tr>
      <w:tr>
        <w:tblPrEx>
          <w:tblCellMar>
            <w:top w:w="0" w:type="dxa"/>
            <w:left w:w="108" w:type="dxa"/>
            <w:bottom w:w="0" w:type="dxa"/>
            <w:right w:w="108" w:type="dxa"/>
          </w:tblCellMar>
        </w:tblPrEx>
        <w:trPr>
          <w:trHeight w:val="557"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https网站防护支持</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支持HTTPS网站防护，可支持SSL证书上传到防护服务器</w:t>
            </w:r>
          </w:p>
        </w:tc>
      </w:tr>
      <w:tr>
        <w:tblPrEx>
          <w:tblCellMar>
            <w:top w:w="0" w:type="dxa"/>
            <w:left w:w="108" w:type="dxa"/>
            <w:bottom w:w="0" w:type="dxa"/>
            <w:right w:w="108" w:type="dxa"/>
          </w:tblCellMar>
        </w:tblPrEx>
        <w:trPr>
          <w:trHeight w:val="1131"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非标准端口防御</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★提供所有支持的http协议防护端口&gt;300个；https协议防护端口&gt;100个，提供防护平台端口统计表</w:t>
            </w:r>
            <w:r>
              <w:rPr>
                <w:rFonts w:hint="eastAsia" w:ascii="宋体" w:hAnsi="宋体" w:cs="宋体"/>
                <w:b/>
                <w:kern w:val="0"/>
                <w:sz w:val="24"/>
              </w:rPr>
              <w:t>（需提供截图证明，加盖投标人公章）</w:t>
            </w:r>
          </w:p>
        </w:tc>
      </w:tr>
      <w:tr>
        <w:tblPrEx>
          <w:tblCellMar>
            <w:top w:w="0" w:type="dxa"/>
            <w:left w:w="108" w:type="dxa"/>
            <w:bottom w:w="0" w:type="dxa"/>
            <w:right w:w="108" w:type="dxa"/>
          </w:tblCellMar>
        </w:tblPrEx>
        <w:trPr>
          <w:trHeight w:val="606"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Web防火墙</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可防护SQL注入、命令注入、跨站脚本、文件包含、信息探测等常见攻击，防止网站因为漏洞导致被篡改，被拖库，被入侵。</w:t>
            </w:r>
          </w:p>
        </w:tc>
      </w:tr>
      <w:tr>
        <w:tblPrEx>
          <w:tblCellMar>
            <w:top w:w="0" w:type="dxa"/>
            <w:left w:w="108" w:type="dxa"/>
            <w:bottom w:w="0" w:type="dxa"/>
            <w:right w:w="108" w:type="dxa"/>
          </w:tblCellMar>
        </w:tblPrEx>
        <w:trPr>
          <w:trHeight w:val="800"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Webshell防护</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使用WebShell进行攻击尝试和试图访问WebShell的IP地址将被屏蔽，可在整站设置中修改屏蔽时间</w:t>
            </w:r>
          </w:p>
        </w:tc>
      </w:tr>
      <w:tr>
        <w:tblPrEx>
          <w:tblCellMar>
            <w:top w:w="0" w:type="dxa"/>
            <w:left w:w="108" w:type="dxa"/>
            <w:bottom w:w="0" w:type="dxa"/>
            <w:right w:w="108" w:type="dxa"/>
          </w:tblCellMar>
        </w:tblPrEx>
        <w:trPr>
          <w:trHeight w:val="288"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IP黑白名单</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可根据IP地址，建立黑名单或白名单，阻止或者允许特定IP进行访问</w:t>
            </w:r>
          </w:p>
        </w:tc>
      </w:tr>
      <w:tr>
        <w:tblPrEx>
          <w:tblCellMar>
            <w:top w:w="0" w:type="dxa"/>
            <w:left w:w="108" w:type="dxa"/>
            <w:bottom w:w="0" w:type="dxa"/>
            <w:right w:w="108" w:type="dxa"/>
          </w:tblCellMar>
        </w:tblPrEx>
        <w:trPr>
          <w:trHeight w:val="495"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智能攻击识别</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精准识别上百种自动化扫描和攻击软件，并阻断其所有请求</w:t>
            </w:r>
          </w:p>
        </w:tc>
      </w:tr>
      <w:tr>
        <w:tblPrEx>
          <w:tblCellMar>
            <w:top w:w="0" w:type="dxa"/>
            <w:left w:w="108" w:type="dxa"/>
            <w:bottom w:w="0" w:type="dxa"/>
            <w:right w:w="108" w:type="dxa"/>
          </w:tblCellMar>
        </w:tblPrEx>
        <w:trPr>
          <w:trHeight w:val="505"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后台锁</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禁止非授权IP访问网站后台管理地址或重要页面</w:t>
            </w:r>
          </w:p>
        </w:tc>
      </w:tr>
      <w:tr>
        <w:tblPrEx>
          <w:tblCellMar>
            <w:top w:w="0" w:type="dxa"/>
            <w:left w:w="108" w:type="dxa"/>
            <w:bottom w:w="0" w:type="dxa"/>
            <w:right w:w="108" w:type="dxa"/>
          </w:tblCellMar>
        </w:tblPrEx>
        <w:trPr>
          <w:trHeight w:val="557"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防盗链</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保护网站图片、压缩包等资源文件不被其它站点盗用</w:t>
            </w:r>
          </w:p>
        </w:tc>
      </w:tr>
      <w:tr>
        <w:tblPrEx>
          <w:tblCellMar>
            <w:top w:w="0" w:type="dxa"/>
            <w:left w:w="108" w:type="dxa"/>
            <w:bottom w:w="0" w:type="dxa"/>
            <w:right w:w="108" w:type="dxa"/>
          </w:tblCellMar>
        </w:tblPrEx>
        <w:trPr>
          <w:trHeight w:val="576"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拦截黑白名单</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设置不进行防护的IP地址（IP白名单）、不允许访问的IP地址（IP黑名单）和不经过防护的URL地址（URL白名单）</w:t>
            </w:r>
          </w:p>
        </w:tc>
      </w:tr>
      <w:tr>
        <w:tblPrEx>
          <w:tblCellMar>
            <w:top w:w="0" w:type="dxa"/>
            <w:left w:w="108" w:type="dxa"/>
            <w:bottom w:w="0" w:type="dxa"/>
            <w:right w:w="108" w:type="dxa"/>
          </w:tblCellMar>
        </w:tblPrEx>
        <w:trPr>
          <w:trHeight w:val="576"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日志下载</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提供日志下载功能，并区分原始日志，攻击日志和CC攻击日志下载</w:t>
            </w:r>
          </w:p>
        </w:tc>
      </w:tr>
      <w:tr>
        <w:tblPrEx>
          <w:tblCellMar>
            <w:top w:w="0" w:type="dxa"/>
            <w:left w:w="108" w:type="dxa"/>
            <w:bottom w:w="0" w:type="dxa"/>
            <w:right w:w="108" w:type="dxa"/>
          </w:tblCellMar>
        </w:tblPrEx>
        <w:trPr>
          <w:trHeight w:val="576"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网站访问情况</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包括请求数、总流量、网站浏览人数，搜索引擎引导量，遭受攻击次数等，并能按时间端统计的网站访问量</w:t>
            </w:r>
          </w:p>
        </w:tc>
      </w:tr>
      <w:tr>
        <w:tblPrEx>
          <w:tblCellMar>
            <w:top w:w="0" w:type="dxa"/>
            <w:left w:w="108" w:type="dxa"/>
            <w:bottom w:w="0" w:type="dxa"/>
            <w:right w:w="108" w:type="dxa"/>
          </w:tblCellMar>
        </w:tblPrEx>
        <w:trPr>
          <w:trHeight w:val="288"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网站安全状况</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包括各种攻击发生次数，攻击IP、来源（国家）等</w:t>
            </w:r>
          </w:p>
        </w:tc>
      </w:tr>
      <w:tr>
        <w:tblPrEx>
          <w:tblCellMar>
            <w:top w:w="0" w:type="dxa"/>
            <w:left w:w="108" w:type="dxa"/>
            <w:bottom w:w="0" w:type="dxa"/>
            <w:right w:w="108" w:type="dxa"/>
          </w:tblCellMar>
        </w:tblPrEx>
        <w:trPr>
          <w:trHeight w:val="288"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网站安全评级</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网站安全、危险等评级，可显示历史攻击次数</w:t>
            </w:r>
          </w:p>
        </w:tc>
      </w:tr>
      <w:tr>
        <w:tblPrEx>
          <w:tblCellMar>
            <w:top w:w="0" w:type="dxa"/>
            <w:left w:w="108" w:type="dxa"/>
            <w:bottom w:w="0" w:type="dxa"/>
            <w:right w:w="108" w:type="dxa"/>
          </w:tblCellMar>
        </w:tblPrEx>
        <w:trPr>
          <w:trHeight w:val="288"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攻击扫描统计</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可显示攻击者的扫描情况，包括时间、攻击URL，攻击者IP及归属地，攻击类型等</w:t>
            </w:r>
          </w:p>
        </w:tc>
      </w:tr>
      <w:tr>
        <w:tblPrEx>
          <w:tblCellMar>
            <w:top w:w="0" w:type="dxa"/>
            <w:left w:w="108" w:type="dxa"/>
            <w:bottom w:w="0" w:type="dxa"/>
            <w:right w:w="108" w:type="dxa"/>
          </w:tblCellMar>
        </w:tblPrEx>
        <w:trPr>
          <w:trHeight w:val="593"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攻击统计数据</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TOP5攻击来源国家、TOP5攻击来源城市、TOP5攻击来源IP</w:t>
            </w:r>
          </w:p>
        </w:tc>
      </w:tr>
      <w:tr>
        <w:tblPrEx>
          <w:tblCellMar>
            <w:top w:w="0" w:type="dxa"/>
            <w:left w:w="108" w:type="dxa"/>
            <w:bottom w:w="0" w:type="dxa"/>
            <w:right w:w="108" w:type="dxa"/>
          </w:tblCellMar>
        </w:tblPrEx>
        <w:trPr>
          <w:trHeight w:val="593"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IPV6防护</w:t>
            </w:r>
          </w:p>
        </w:tc>
        <w:tc>
          <w:tcPr>
            <w:tcW w:w="731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★提供不少于100个二级域名的IPV6防护服务，无限制IPv6访问带宽、无限制IPv6访问QPS。支持在不改变网站既有配置得情况下，无缝提供访客IPV6访问；提供IPV6 DNS解析服务，该IPV6 DNS具有抗DNS DDoS能力；</w:t>
            </w:r>
          </w:p>
        </w:tc>
      </w:tr>
      <w:tr>
        <w:tblPrEx>
          <w:tblCellMar>
            <w:top w:w="0" w:type="dxa"/>
            <w:left w:w="108" w:type="dxa"/>
            <w:bottom w:w="0" w:type="dxa"/>
            <w:right w:w="108" w:type="dxa"/>
          </w:tblCellMar>
        </w:tblPrEx>
        <w:trPr>
          <w:trHeight w:val="576"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实时防御和追踪</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基于世界地图和中国地图两种视角，实时防御和追踪系统可以直观地查看目前网站的安全状况，被攻击情况，攻击地域分布、攻击类型分布、攻击 IP 情况，以及遭受攻击的具体网址等情况</w:t>
            </w:r>
          </w:p>
        </w:tc>
      </w:tr>
      <w:tr>
        <w:tblPrEx>
          <w:tblCellMar>
            <w:top w:w="0" w:type="dxa"/>
            <w:left w:w="108" w:type="dxa"/>
            <w:bottom w:w="0" w:type="dxa"/>
            <w:right w:w="108" w:type="dxa"/>
          </w:tblCellMar>
        </w:tblPrEx>
        <w:trPr>
          <w:trHeight w:val="1023"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防护节点组</w:t>
            </w:r>
          </w:p>
        </w:tc>
        <w:tc>
          <w:tcPr>
            <w:tcW w:w="7318"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★提供良好的用户访问体验，全国云防护集群节点IP段≥20个、线路类型≥60个，且覆盖移动、电信、联通国内三大主流运营商，提供IP段、线路类型明细</w:t>
            </w:r>
            <w:r>
              <w:rPr>
                <w:rFonts w:hint="eastAsia" w:ascii="宋体" w:hAnsi="宋体" w:cs="宋体"/>
                <w:b/>
                <w:kern w:val="0"/>
                <w:sz w:val="24"/>
              </w:rPr>
              <w:t>（需提供截图证明，加盖投标人公章）</w:t>
            </w:r>
          </w:p>
        </w:tc>
      </w:tr>
      <w:tr>
        <w:tblPrEx>
          <w:tblCellMar>
            <w:top w:w="0" w:type="dxa"/>
            <w:left w:w="108" w:type="dxa"/>
            <w:bottom w:w="0" w:type="dxa"/>
            <w:right w:w="108" w:type="dxa"/>
          </w:tblCellMar>
        </w:tblPrEx>
        <w:trPr>
          <w:trHeight w:val="966" w:hRule="atLeast"/>
        </w:trPr>
        <w:tc>
          <w:tcPr>
            <w:tcW w:w="240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设备生产厂商资质</w:t>
            </w:r>
          </w:p>
        </w:tc>
        <w:tc>
          <w:tcPr>
            <w:tcW w:w="7318" w:type="dxa"/>
            <w:tcBorders>
              <w:top w:val="nil"/>
              <w:left w:val="nil"/>
              <w:bottom w:val="single" w:color="auto" w:sz="4" w:space="0"/>
              <w:right w:val="single" w:color="auto" w:sz="4" w:space="0"/>
            </w:tcBorders>
            <w:noWrap w:val="0"/>
            <w:vAlign w:val="center"/>
          </w:tcPr>
          <w:p>
            <w:pPr>
              <w:spacing w:line="360" w:lineRule="exact"/>
              <w:ind w:firstLine="480" w:firstLineChars="200"/>
              <w:rPr>
                <w:rFonts w:hint="eastAsia" w:ascii="宋体" w:hAnsi="宋体" w:cs="宋体"/>
                <w:kern w:val="0"/>
                <w:sz w:val="24"/>
              </w:rPr>
            </w:pPr>
            <w:r>
              <w:rPr>
                <w:rFonts w:hint="eastAsia" w:ascii="宋体" w:hAnsi="宋体" w:cs="宋体"/>
                <w:kern w:val="0"/>
                <w:sz w:val="24"/>
                <w:lang w:eastAsia="zh-Hans"/>
              </w:rPr>
              <w:t>产品具备工信部颁发的中华人民共和国增值电信业务经营许可证（互联网接入服务业务（全国）、内容分发网络业务类（全国）</w:t>
            </w:r>
          </w:p>
          <w:p>
            <w:pPr>
              <w:spacing w:line="360" w:lineRule="exact"/>
              <w:rPr>
                <w:rFonts w:ascii="宋体" w:hAnsi="宋体" w:cs="宋体"/>
                <w:kern w:val="0"/>
                <w:sz w:val="24"/>
              </w:rPr>
            </w:pPr>
            <w:r>
              <w:rPr>
                <w:rFonts w:hint="eastAsia" w:ascii="宋体" w:hAnsi="宋体" w:cs="宋体"/>
                <w:kern w:val="0"/>
                <w:sz w:val="24"/>
                <w:lang w:eastAsia="zh-Hans"/>
              </w:rPr>
              <w:t>中国信息安全测评中心颁发的《国家信息安全漏洞库兼容性资质》证书。</w:t>
            </w:r>
            <w:r>
              <w:rPr>
                <w:rFonts w:hint="eastAsia" w:ascii="宋体" w:hAnsi="宋体" w:cs="宋体"/>
                <w:b/>
                <w:kern w:val="0"/>
                <w:sz w:val="24"/>
              </w:rPr>
              <w:t>（提供有效期内证书复印件并加盖投标人公章）</w:t>
            </w:r>
          </w:p>
        </w:tc>
      </w:tr>
    </w:tbl>
    <w:p>
      <w:pPr>
        <w:tabs>
          <w:tab w:val="left" w:pos="8393"/>
        </w:tabs>
        <w:spacing w:line="360" w:lineRule="auto"/>
        <w:rPr>
          <w:rFonts w:ascii="宋体" w:hAnsi="宋体" w:cs="Tahoma"/>
          <w:b/>
          <w:sz w:val="24"/>
        </w:rPr>
      </w:pPr>
      <w:r>
        <w:rPr>
          <w:rFonts w:hint="eastAsia" w:ascii="宋体" w:hAnsi="宋体" w:cs="Tahoma"/>
          <w:b/>
          <w:sz w:val="24"/>
        </w:rPr>
        <w:t>防护站点数量：主域名及子域名合计约100个站点左右</w:t>
      </w:r>
      <w:r>
        <w:rPr>
          <w:rFonts w:ascii="宋体" w:hAnsi="宋体" w:cs="Tahoma"/>
          <w:b/>
          <w:sz w:val="24"/>
        </w:rPr>
        <w:tab/>
      </w:r>
    </w:p>
    <w:p>
      <w:pPr>
        <w:adjustRightInd w:val="0"/>
        <w:snapToGrid w:val="0"/>
        <w:spacing w:line="500" w:lineRule="exact"/>
        <w:ind w:firstLine="482" w:firstLineChars="200"/>
        <w:jc w:val="left"/>
        <w:outlineLvl w:val="1"/>
        <w:rPr>
          <w:rFonts w:ascii="宋体" w:hAnsi="宋体" w:cs="宋体"/>
          <w:b/>
          <w:bCs/>
          <w:sz w:val="24"/>
        </w:rPr>
      </w:pPr>
      <w:r>
        <w:rPr>
          <w:rFonts w:hint="eastAsia" w:ascii="宋体" w:hAnsi="宋体" w:cs="宋体"/>
          <w:b/>
          <w:bCs/>
          <w:sz w:val="24"/>
        </w:rPr>
        <w:t>三、质量和服务要求：</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1、所供产品必须符合国家标准，设备和配件为全新原装，功能符合使用要求，保证为正规渠道供货的正宗原厂产品。须提供良好的售后服务，终身提供技术支持。</w:t>
      </w:r>
    </w:p>
    <w:p>
      <w:pPr>
        <w:spacing w:line="360" w:lineRule="auto"/>
        <w:ind w:firstLine="480" w:firstLineChars="200"/>
        <w:jc w:val="left"/>
        <w:rPr>
          <w:rFonts w:ascii="宋体" w:hAnsi="宋体" w:cs="宋体"/>
          <w:sz w:val="24"/>
        </w:rPr>
      </w:pPr>
      <w:r>
        <w:rPr>
          <w:rFonts w:hint="eastAsia" w:ascii="宋体" w:hAnsi="宋体" w:cs="宋体"/>
          <w:sz w:val="24"/>
        </w:rPr>
        <w:t>2、供货方式、时间及地点要求：</w:t>
      </w:r>
    </w:p>
    <w:p>
      <w:pPr>
        <w:spacing w:line="360" w:lineRule="auto"/>
        <w:ind w:firstLine="480" w:firstLineChars="200"/>
        <w:jc w:val="left"/>
        <w:rPr>
          <w:rFonts w:ascii="宋体" w:hAnsi="宋体" w:cs="宋体"/>
          <w:sz w:val="24"/>
          <w:highlight w:val="none"/>
        </w:rPr>
      </w:pPr>
      <w:r>
        <w:rPr>
          <w:rFonts w:hint="eastAsia" w:ascii="宋体" w:hAnsi="宋体" w:cs="宋体"/>
          <w:sz w:val="24"/>
        </w:rPr>
        <w:t>合同签订后</w:t>
      </w:r>
      <w:r>
        <w:rPr>
          <w:rFonts w:hint="eastAsia" w:ascii="宋体" w:hAnsi="宋体" w:cs="宋体"/>
          <w:sz w:val="24"/>
          <w:highlight w:val="none"/>
        </w:rPr>
        <w:t>30天内设备运抵</w:t>
      </w:r>
      <w:r>
        <w:rPr>
          <w:rFonts w:hint="eastAsia" w:ascii="宋体" w:hAnsi="宋体" w:cs="宋体"/>
          <w:color w:val="000000"/>
          <w:kern w:val="0"/>
          <w:sz w:val="24"/>
          <w:highlight w:val="none"/>
        </w:rPr>
        <w:t>江苏医药职业学院校内</w:t>
      </w:r>
      <w:r>
        <w:rPr>
          <w:rFonts w:hint="eastAsia" w:ascii="宋体" w:hAnsi="宋体" w:cs="宋体"/>
          <w:sz w:val="24"/>
          <w:highlight w:val="none"/>
        </w:rPr>
        <w:t>指定地点，并完成安装及调试。</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3、质保期及服务要求：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（1）培训及售后服务：现场完成安装、调试之后，由中标方工程师提供免费操作培训。培训内容主要包括设备原理、基本操作要领、设备简易故障排除和维护保养知识等。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（2）须提供售后服务团队人员名单清单和联系方式。</w:t>
      </w:r>
    </w:p>
    <w:p>
      <w:pPr>
        <w:spacing w:line="360" w:lineRule="auto"/>
        <w:ind w:firstLine="480" w:firstLineChars="200"/>
        <w:jc w:val="left"/>
        <w:rPr>
          <w:rFonts w:ascii="宋体" w:hAnsi="宋体" w:cs="宋体"/>
          <w:sz w:val="24"/>
        </w:rPr>
      </w:pPr>
      <w:r>
        <w:rPr>
          <w:rFonts w:hint="eastAsia" w:ascii="宋体" w:hAnsi="宋体" w:cs="宋体"/>
          <w:sz w:val="24"/>
          <w:highlight w:val="none"/>
        </w:rPr>
        <w:t>（3）质保期：提供至少</w:t>
      </w:r>
      <w:r>
        <w:rPr>
          <w:rFonts w:hint="eastAsia" w:ascii="宋体" w:hAnsi="宋体" w:cs="宋体"/>
          <w:sz w:val="24"/>
          <w:highlight w:val="none"/>
          <w:u w:val="single"/>
        </w:rPr>
        <w:t xml:space="preserve"> </w:t>
      </w:r>
      <w:r>
        <w:rPr>
          <w:rFonts w:ascii="宋体" w:hAnsi="宋体" w:cs="宋体"/>
          <w:sz w:val="24"/>
          <w:highlight w:val="none"/>
          <w:u w:val="single"/>
        </w:rPr>
        <w:t>1</w:t>
      </w:r>
      <w:r>
        <w:rPr>
          <w:rFonts w:hint="eastAsia" w:ascii="宋体" w:hAnsi="宋体" w:cs="宋体"/>
          <w:sz w:val="24"/>
          <w:highlight w:val="none"/>
          <w:u w:val="single"/>
        </w:rPr>
        <w:t xml:space="preserve">  </w:t>
      </w:r>
      <w:r>
        <w:rPr>
          <w:rFonts w:hint="eastAsia" w:ascii="宋体" w:hAnsi="宋体" w:cs="宋体"/>
          <w:sz w:val="24"/>
          <w:highlight w:val="none"/>
        </w:rPr>
        <w:t>年的免费质保期，自验收合格之日起计算。质保期内中标人需提供7×24小时热线服务、须定期上门进行例行检查，并做好记录，以保证设备正常运行。对于采购方的服务通知，中标方必须在接到通知后1小时内予以响应，若有必要，中标方工程师必须2小时内到达现场，常见问题 4小时内处理完毕。若大问题在48小时</w:t>
      </w:r>
      <w:r>
        <w:rPr>
          <w:rFonts w:hint="eastAsia" w:ascii="宋体" w:hAnsi="宋体" w:cs="宋体"/>
          <w:sz w:val="24"/>
        </w:rPr>
        <w:t>内未能有效解决，中标方须免费提供同档次的设备给予采购方临时使用。</w:t>
      </w:r>
    </w:p>
    <w:p>
      <w:pPr>
        <w:spacing w:line="360" w:lineRule="auto"/>
        <w:ind w:firstLine="480" w:firstLineChars="200"/>
        <w:jc w:val="left"/>
        <w:rPr>
          <w:rFonts w:ascii="宋体" w:hAnsi="宋体" w:cs="宋体"/>
          <w:sz w:val="24"/>
        </w:rPr>
      </w:pPr>
      <w:r>
        <w:rPr>
          <w:rFonts w:hint="eastAsia" w:ascii="宋体" w:hAnsi="宋体" w:cs="宋体"/>
          <w:sz w:val="24"/>
        </w:rPr>
        <w:t>服务期：合同签订后7天内完成前期准备，经学校信息中心确认具备正式开展服务的条件后，进入正式服务期，正式服务期为一年。一年期满，服务质量达到我校相关要求，且履约情良好的，在采购人同意的情况下，可续签一年（续签不得超过两次）；</w:t>
      </w:r>
    </w:p>
    <w:p>
      <w:pPr>
        <w:spacing w:line="360" w:lineRule="auto"/>
        <w:ind w:firstLine="480" w:firstLineChars="200"/>
        <w:jc w:val="left"/>
        <w:rPr>
          <w:rFonts w:ascii="宋体" w:hAnsi="宋体" w:cs="宋体"/>
          <w:sz w:val="24"/>
        </w:rPr>
      </w:pPr>
      <w:r>
        <w:rPr>
          <w:rFonts w:hint="eastAsia" w:ascii="宋体" w:hAnsi="宋体" w:cs="宋体"/>
          <w:sz w:val="24"/>
        </w:rPr>
        <w:t>4、验收方法及验收标准：</w:t>
      </w:r>
    </w:p>
    <w:p>
      <w:pPr>
        <w:spacing w:line="360" w:lineRule="auto"/>
        <w:ind w:firstLine="480" w:firstLineChars="200"/>
        <w:jc w:val="left"/>
        <w:rPr>
          <w:rFonts w:ascii="宋体" w:hAnsi="宋体" w:cs="宋体"/>
          <w:sz w:val="24"/>
        </w:rPr>
      </w:pPr>
      <w:r>
        <w:rPr>
          <w:rFonts w:hint="eastAsia" w:ascii="宋体" w:hAnsi="宋体" w:cs="宋体"/>
          <w:sz w:val="24"/>
        </w:rPr>
        <w:t>货物发运前，必须对系统的质量、规格、性能等方面的技术数据进行综合检验，需随系统提供检验合格证书和原产地证明书。 现场安装、调试结束后，中标方和采购方相关人员按验收标准进行验收。验收标准为招标文件、投标文件、合同中的相关技术及服务条款内容。</w:t>
      </w:r>
    </w:p>
    <w:p>
      <w:pPr>
        <w:spacing w:line="360" w:lineRule="auto"/>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服务质量考核</w:t>
      </w:r>
    </w:p>
    <w:p>
      <w:pPr>
        <w:spacing w:line="360" w:lineRule="auto"/>
        <w:ind w:firstLine="480" w:firstLineChars="200"/>
        <w:jc w:val="left"/>
        <w:rPr>
          <w:rFonts w:ascii="宋体" w:hAnsi="宋体" w:cs="宋体"/>
          <w:sz w:val="24"/>
        </w:rPr>
      </w:pPr>
      <w:r>
        <w:rPr>
          <w:rFonts w:hint="eastAsia" w:ascii="宋体" w:hAnsi="宋体" w:cs="宋体"/>
          <w:sz w:val="24"/>
        </w:rPr>
        <w:t>为评价中标方提供的服务质量，每季度对中标人的安全服务进行考核评分（百分制），年度考核评分为每年四个季度考核的平均分。详细考核机制如下表：</w:t>
      </w:r>
    </w:p>
    <w:tbl>
      <w:tblPr>
        <w:tblStyle w:val="6"/>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49"/>
        <w:gridCol w:w="679"/>
        <w:gridCol w:w="48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2"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ascii="宋体" w:hAnsi="宋体" w:eastAsia="等线" w:cs="宋体"/>
                <w:b/>
                <w:bCs/>
                <w:w w:val="99"/>
                <w:szCs w:val="21"/>
              </w:rPr>
              <w:t>考核</w:t>
            </w:r>
          </w:p>
        </w:tc>
        <w:tc>
          <w:tcPr>
            <w:tcW w:w="1549"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ascii="宋体" w:hAnsi="宋体" w:eastAsia="等线" w:cs="宋体"/>
                <w:b/>
                <w:bCs/>
                <w:w w:val="99"/>
                <w:szCs w:val="21"/>
              </w:rPr>
              <w:t>考核项目</w:t>
            </w:r>
          </w:p>
        </w:tc>
        <w:tc>
          <w:tcPr>
            <w:tcW w:w="679" w:type="dxa"/>
            <w:noWrap/>
            <w:vAlign w:val="center"/>
          </w:tcPr>
          <w:p>
            <w:pPr>
              <w:adjustRightInd w:val="0"/>
              <w:snapToGrid w:val="0"/>
              <w:spacing w:before="159" w:beforeLines="50" w:after="159" w:afterLines="50" w:line="240" w:lineRule="exact"/>
              <w:jc w:val="center"/>
              <w:rPr>
                <w:rFonts w:ascii="宋体" w:hAnsi="宋体" w:eastAsia="等线" w:cs="宋体"/>
                <w:b/>
                <w:bCs/>
                <w:szCs w:val="21"/>
              </w:rPr>
            </w:pPr>
            <w:r>
              <w:rPr>
                <w:rFonts w:ascii="宋体" w:hAnsi="宋体" w:eastAsia="等线" w:cs="宋体"/>
                <w:b/>
                <w:bCs/>
                <w:w w:val="99"/>
                <w:szCs w:val="21"/>
              </w:rPr>
              <w:t>分值</w:t>
            </w:r>
          </w:p>
        </w:tc>
        <w:tc>
          <w:tcPr>
            <w:tcW w:w="4812"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ascii="宋体" w:hAnsi="宋体" w:eastAsia="等线" w:cs="宋体"/>
                <w:b/>
                <w:bCs/>
                <w:szCs w:val="21"/>
              </w:rPr>
              <w:t>评价描述</w:t>
            </w:r>
          </w:p>
        </w:tc>
        <w:tc>
          <w:tcPr>
            <w:tcW w:w="1313"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ascii="宋体" w:hAnsi="宋体" w:eastAsia="等线" w:cs="宋体"/>
                <w:b/>
                <w:bCs/>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2" w:type="dxa"/>
            <w:vMerge w:val="restart"/>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工作考核</w:t>
            </w:r>
          </w:p>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90分</w:t>
            </w:r>
          </w:p>
        </w:tc>
        <w:tc>
          <w:tcPr>
            <w:tcW w:w="1549" w:type="dxa"/>
            <w:noWrap/>
            <w:vAlign w:val="center"/>
          </w:tcPr>
          <w:p>
            <w:pPr>
              <w:adjustRightInd w:val="0"/>
              <w:snapToGrid w:val="0"/>
              <w:spacing w:before="50" w:after="50" w:line="240" w:lineRule="exact"/>
              <w:jc w:val="center"/>
              <w:rPr>
                <w:rFonts w:ascii="宋体" w:hAnsi="宋体" w:eastAsia="等线"/>
                <w:szCs w:val="21"/>
              </w:rPr>
            </w:pPr>
            <w:r>
              <w:rPr>
                <w:rFonts w:hint="eastAsia" w:ascii="宋体" w:hAnsi="宋体" w:eastAsia="等线"/>
                <w:szCs w:val="21"/>
              </w:rPr>
              <w:t>任务完成效率</w:t>
            </w:r>
          </w:p>
        </w:tc>
        <w:tc>
          <w:tcPr>
            <w:tcW w:w="679" w:type="dxa"/>
            <w:noWrap/>
            <w:vAlign w:val="center"/>
          </w:tcPr>
          <w:p>
            <w:pPr>
              <w:adjustRightInd w:val="0"/>
              <w:snapToGrid w:val="0"/>
              <w:spacing w:before="50" w:after="50" w:line="240" w:lineRule="exact"/>
              <w:jc w:val="center"/>
              <w:rPr>
                <w:rFonts w:ascii="宋体" w:hAnsi="宋体" w:eastAsia="等线"/>
                <w:szCs w:val="21"/>
              </w:rPr>
            </w:pPr>
            <w:r>
              <w:rPr>
                <w:rFonts w:hint="eastAsia" w:ascii="宋体" w:hAnsi="宋体" w:eastAsia="等线"/>
                <w:szCs w:val="21"/>
              </w:rPr>
              <w:t>40</w:t>
            </w:r>
          </w:p>
        </w:tc>
        <w:tc>
          <w:tcPr>
            <w:tcW w:w="4812" w:type="dxa"/>
            <w:noWrap/>
            <w:vAlign w:val="center"/>
          </w:tcPr>
          <w:p>
            <w:pPr>
              <w:adjustRightInd w:val="0"/>
              <w:snapToGrid w:val="0"/>
              <w:spacing w:before="159" w:beforeLines="50" w:after="159" w:afterLines="50" w:line="240" w:lineRule="exact"/>
              <w:jc w:val="left"/>
              <w:rPr>
                <w:rFonts w:ascii="宋体" w:hAnsi="宋体" w:eastAsia="等线"/>
                <w:szCs w:val="21"/>
              </w:rPr>
            </w:pPr>
            <w:r>
              <w:rPr>
                <w:rFonts w:ascii="宋体" w:hAnsi="宋体" w:eastAsia="等线"/>
                <w:szCs w:val="21"/>
              </w:rPr>
              <w:t>未充分规划、在规定时间内不能完成任务</w:t>
            </w:r>
          </w:p>
        </w:tc>
        <w:tc>
          <w:tcPr>
            <w:tcW w:w="1313" w:type="dxa"/>
            <w:noWrap/>
            <w:vAlign w:val="center"/>
          </w:tcPr>
          <w:p>
            <w:pPr>
              <w:adjustRightInd w:val="0"/>
              <w:snapToGrid w:val="0"/>
              <w:spacing w:before="50" w:after="50" w:line="240" w:lineRule="exact"/>
              <w:jc w:val="center"/>
              <w:rPr>
                <w:rFonts w:ascii="宋体" w:hAnsi="宋体" w:eastAsia="等线"/>
                <w:szCs w:val="21"/>
              </w:rPr>
            </w:pPr>
            <w:r>
              <w:rPr>
                <w:rFonts w:hint="eastAsia" w:ascii="宋体" w:hAnsi="宋体" w:eastAsia="等线"/>
                <w:szCs w:val="21"/>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02" w:type="dxa"/>
            <w:vMerge w:val="continue"/>
            <w:noWrap/>
            <w:vAlign w:val="center"/>
          </w:tcPr>
          <w:p>
            <w:pPr>
              <w:adjustRightInd w:val="0"/>
              <w:snapToGrid w:val="0"/>
              <w:spacing w:before="50" w:after="50" w:line="240" w:lineRule="exact"/>
              <w:jc w:val="center"/>
              <w:rPr>
                <w:rFonts w:ascii="宋体" w:hAnsi="宋体" w:eastAsia="等线"/>
                <w:szCs w:val="21"/>
              </w:rPr>
            </w:pPr>
          </w:p>
        </w:tc>
        <w:tc>
          <w:tcPr>
            <w:tcW w:w="1549" w:type="dxa"/>
            <w:vMerge w:val="restart"/>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任务完成质量</w:t>
            </w:r>
          </w:p>
        </w:tc>
        <w:tc>
          <w:tcPr>
            <w:tcW w:w="679" w:type="dxa"/>
            <w:vMerge w:val="restart"/>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50</w:t>
            </w:r>
          </w:p>
        </w:tc>
        <w:tc>
          <w:tcPr>
            <w:tcW w:w="4812" w:type="dxa"/>
            <w:noWrap/>
            <w:vAlign w:val="center"/>
          </w:tcPr>
          <w:p>
            <w:pPr>
              <w:adjustRightInd w:val="0"/>
              <w:snapToGrid w:val="0"/>
              <w:spacing w:before="159" w:beforeLines="50" w:after="159" w:afterLines="50" w:line="240" w:lineRule="exact"/>
              <w:jc w:val="left"/>
              <w:rPr>
                <w:rFonts w:ascii="宋体" w:hAnsi="宋体" w:eastAsia="等线"/>
                <w:szCs w:val="21"/>
              </w:rPr>
            </w:pPr>
            <w:r>
              <w:rPr>
                <w:rFonts w:hint="eastAsia" w:ascii="宋体" w:hAnsi="宋体" w:eastAsia="等线"/>
                <w:szCs w:val="21"/>
              </w:rPr>
              <w:t>出现质量异常（投诉、失误、返工）</w:t>
            </w:r>
          </w:p>
        </w:tc>
        <w:tc>
          <w:tcPr>
            <w:tcW w:w="1313"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eastAsia="等线"/>
                <w:szCs w:val="21"/>
              </w:rPr>
            </w:pPr>
          </w:p>
        </w:tc>
        <w:tc>
          <w:tcPr>
            <w:tcW w:w="154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67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4812" w:type="dxa"/>
            <w:noWrap/>
            <w:vAlign w:val="center"/>
          </w:tcPr>
          <w:p>
            <w:pPr>
              <w:adjustRightInd w:val="0"/>
              <w:snapToGrid w:val="0"/>
              <w:spacing w:before="159" w:beforeLines="50" w:after="159" w:afterLines="50" w:line="240" w:lineRule="exact"/>
              <w:jc w:val="left"/>
              <w:rPr>
                <w:rFonts w:ascii="宋体" w:hAnsi="宋体" w:eastAsia="等线"/>
                <w:szCs w:val="21"/>
              </w:rPr>
            </w:pPr>
            <w:r>
              <w:rPr>
                <w:rFonts w:hint="eastAsia" w:ascii="宋体" w:hAnsi="宋体" w:eastAsia="等线"/>
                <w:szCs w:val="21"/>
              </w:rPr>
              <w:t>出现严重质量异常（投诉、失误、返工）</w:t>
            </w:r>
          </w:p>
        </w:tc>
        <w:tc>
          <w:tcPr>
            <w:tcW w:w="1313"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每次扣6分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eastAsia="等线"/>
                <w:szCs w:val="21"/>
              </w:rPr>
            </w:pPr>
          </w:p>
        </w:tc>
        <w:tc>
          <w:tcPr>
            <w:tcW w:w="154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67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4812" w:type="dxa"/>
            <w:noWrap/>
            <w:vAlign w:val="center"/>
          </w:tcPr>
          <w:p>
            <w:pPr>
              <w:jc w:val="left"/>
              <w:rPr>
                <w:rFonts w:ascii="宋体" w:hAnsi="宋体" w:eastAsia="等线"/>
                <w:szCs w:val="21"/>
              </w:rPr>
            </w:pPr>
            <w:r>
              <w:rPr>
                <w:rFonts w:ascii="宋体" w:hAnsi="宋体" w:eastAsia="等线"/>
                <w:szCs w:val="21"/>
              </w:rPr>
              <w:t>出现因安全服务导致的宕机超过</w:t>
            </w:r>
            <w:r>
              <w:rPr>
                <w:rFonts w:hint="eastAsia" w:ascii="宋体" w:hAnsi="宋体" w:eastAsia="等线"/>
                <w:szCs w:val="21"/>
              </w:rPr>
              <w:t>4</w:t>
            </w:r>
            <w:r>
              <w:rPr>
                <w:rFonts w:ascii="宋体" w:hAnsi="宋体" w:eastAsia="等线"/>
                <w:szCs w:val="21"/>
              </w:rPr>
              <w:t>小时</w:t>
            </w:r>
          </w:p>
        </w:tc>
        <w:tc>
          <w:tcPr>
            <w:tcW w:w="1313"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eastAsia="等线"/>
                <w:szCs w:val="21"/>
              </w:rPr>
            </w:pPr>
          </w:p>
        </w:tc>
        <w:tc>
          <w:tcPr>
            <w:tcW w:w="154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67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4812" w:type="dxa"/>
            <w:noWrap/>
            <w:vAlign w:val="center"/>
          </w:tcPr>
          <w:p>
            <w:pPr>
              <w:adjustRightInd w:val="0"/>
              <w:snapToGrid w:val="0"/>
              <w:spacing w:before="159" w:beforeLines="50" w:after="159" w:afterLines="50" w:line="240" w:lineRule="exact"/>
              <w:jc w:val="left"/>
              <w:rPr>
                <w:rFonts w:ascii="宋体" w:hAnsi="宋体" w:eastAsia="等线"/>
                <w:szCs w:val="21"/>
              </w:rPr>
            </w:pPr>
            <w:r>
              <w:rPr>
                <w:rFonts w:hint="eastAsia" w:ascii="宋体" w:hAnsi="宋体" w:eastAsia="等线"/>
                <w:szCs w:val="21"/>
              </w:rPr>
              <w:t>响应需求被动，消极处理问题</w:t>
            </w:r>
          </w:p>
        </w:tc>
        <w:tc>
          <w:tcPr>
            <w:tcW w:w="1313"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2" w:type="dxa"/>
            <w:vMerge w:val="restart"/>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人员考核</w:t>
            </w:r>
          </w:p>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10分</w:t>
            </w:r>
          </w:p>
        </w:tc>
        <w:tc>
          <w:tcPr>
            <w:tcW w:w="1549" w:type="dxa"/>
            <w:vMerge w:val="restart"/>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服务质量</w:t>
            </w:r>
          </w:p>
        </w:tc>
        <w:tc>
          <w:tcPr>
            <w:tcW w:w="679" w:type="dxa"/>
            <w:vMerge w:val="restart"/>
            <w:noWrap/>
            <w:vAlign w:val="center"/>
          </w:tcPr>
          <w:p>
            <w:pPr>
              <w:adjustRightInd w:val="0"/>
              <w:snapToGrid w:val="0"/>
              <w:spacing w:before="159" w:beforeLines="50" w:after="159" w:afterLines="50" w:line="240" w:lineRule="exact"/>
              <w:jc w:val="center"/>
              <w:rPr>
                <w:rFonts w:ascii="宋体" w:hAnsi="宋体" w:eastAsia="等线"/>
                <w:szCs w:val="21"/>
              </w:rPr>
            </w:pPr>
            <w:r>
              <w:rPr>
                <w:rFonts w:hint="eastAsia" w:ascii="宋体" w:hAnsi="宋体" w:eastAsia="等线"/>
                <w:szCs w:val="21"/>
              </w:rPr>
              <w:t>10</w:t>
            </w:r>
          </w:p>
        </w:tc>
        <w:tc>
          <w:tcPr>
            <w:tcW w:w="4812" w:type="dxa"/>
            <w:noWrap/>
            <w:vAlign w:val="top"/>
          </w:tcPr>
          <w:p>
            <w:pPr>
              <w:spacing w:before="159" w:beforeLines="50" w:after="159" w:afterLines="50"/>
              <w:rPr>
                <w:rFonts w:ascii="宋体" w:hAnsi="宋体" w:eastAsia="等线"/>
                <w:szCs w:val="21"/>
              </w:rPr>
            </w:pPr>
            <w:r>
              <w:rPr>
                <w:rFonts w:ascii="宋体" w:hAnsi="宋体" w:eastAsia="等线"/>
                <w:szCs w:val="21"/>
              </w:rPr>
              <w:t>不注重沟通</w:t>
            </w:r>
            <w:r>
              <w:rPr>
                <w:rFonts w:hint="eastAsia" w:ascii="宋体" w:hAnsi="宋体" w:eastAsia="等线"/>
                <w:szCs w:val="21"/>
              </w:rPr>
              <w:t>，</w:t>
            </w:r>
            <w:r>
              <w:rPr>
                <w:rFonts w:ascii="宋体" w:hAnsi="宋体" w:eastAsia="等线"/>
                <w:szCs w:val="21"/>
              </w:rPr>
              <w:t>遇到问题以强硬或回避的态度来应对</w:t>
            </w:r>
          </w:p>
        </w:tc>
        <w:tc>
          <w:tcPr>
            <w:tcW w:w="1313" w:type="dxa"/>
            <w:noWrap/>
            <w:vAlign w:val="center"/>
          </w:tcPr>
          <w:p>
            <w:pPr>
              <w:adjustRightInd w:val="0"/>
              <w:snapToGrid w:val="0"/>
              <w:spacing w:before="159" w:beforeLines="50" w:after="159" w:afterLines="50" w:line="240" w:lineRule="exact"/>
              <w:jc w:val="center"/>
              <w:rPr>
                <w:rFonts w:ascii="宋体" w:hAnsi="宋体" w:eastAsia="等线"/>
                <w:szCs w:val="21"/>
              </w:rPr>
            </w:pPr>
            <w:r>
              <w:rPr>
                <w:rFonts w:ascii="宋体" w:hAnsi="宋体" w:eastAsia="等线" w:cs="宋体"/>
                <w:szCs w:val="21"/>
              </w:rPr>
              <w:t>每次扣</w:t>
            </w:r>
            <w:r>
              <w:rPr>
                <w:rFonts w:hint="eastAsia" w:ascii="宋体" w:hAnsi="宋体" w:eastAsia="等线" w:cs="宋体"/>
                <w:szCs w:val="21"/>
              </w:rPr>
              <w:t>2</w:t>
            </w:r>
            <w:r>
              <w:rPr>
                <w:rFonts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154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679" w:type="dxa"/>
            <w:vMerge w:val="continue"/>
            <w:noWrap/>
            <w:vAlign w:val="center"/>
          </w:tcPr>
          <w:p>
            <w:pPr>
              <w:adjustRightInd w:val="0"/>
              <w:snapToGrid w:val="0"/>
              <w:spacing w:before="159" w:beforeLines="50" w:after="159" w:afterLines="50" w:line="240" w:lineRule="exact"/>
              <w:jc w:val="center"/>
              <w:rPr>
                <w:rFonts w:ascii="宋体" w:hAnsi="宋体" w:eastAsia="等线"/>
                <w:szCs w:val="21"/>
              </w:rPr>
            </w:pPr>
          </w:p>
        </w:tc>
        <w:tc>
          <w:tcPr>
            <w:tcW w:w="4812" w:type="dxa"/>
            <w:noWrap/>
            <w:vAlign w:val="bottom"/>
          </w:tcPr>
          <w:p>
            <w:pPr>
              <w:adjustRightInd w:val="0"/>
              <w:snapToGrid w:val="0"/>
              <w:spacing w:before="159" w:beforeLines="50" w:after="159" w:afterLines="50" w:line="240" w:lineRule="exact"/>
              <w:jc w:val="left"/>
              <w:rPr>
                <w:rFonts w:ascii="宋体" w:hAnsi="宋体" w:eastAsia="等线" w:cs="宋体"/>
                <w:w w:val="99"/>
                <w:szCs w:val="21"/>
              </w:rPr>
            </w:pPr>
            <w:r>
              <w:rPr>
                <w:rFonts w:ascii="宋体" w:hAnsi="宋体" w:eastAsia="等线" w:cs="宋体"/>
                <w:szCs w:val="21"/>
              </w:rPr>
              <w:t>服务态度差，甲方收到投诉</w:t>
            </w:r>
          </w:p>
        </w:tc>
        <w:tc>
          <w:tcPr>
            <w:tcW w:w="1313" w:type="dxa"/>
            <w:noWrap/>
            <w:vAlign w:val="bottom"/>
          </w:tcPr>
          <w:p>
            <w:pPr>
              <w:adjustRightInd w:val="0"/>
              <w:snapToGrid w:val="0"/>
              <w:spacing w:before="159" w:beforeLines="50" w:after="159" w:afterLines="50" w:line="240" w:lineRule="exact"/>
              <w:jc w:val="center"/>
              <w:rPr>
                <w:rFonts w:ascii="宋体" w:hAnsi="宋体" w:eastAsia="等线" w:cs="宋体"/>
                <w:szCs w:val="21"/>
              </w:rPr>
            </w:pPr>
            <w:r>
              <w:rPr>
                <w:rFonts w:ascii="宋体" w:hAnsi="宋体" w:eastAsia="等线" w:cs="宋体"/>
                <w:szCs w:val="21"/>
              </w:rPr>
              <w:t>每次扣</w:t>
            </w:r>
            <w:r>
              <w:rPr>
                <w:rFonts w:hint="eastAsia" w:ascii="宋体" w:hAnsi="宋体" w:eastAsia="等线" w:cs="宋体"/>
                <w:szCs w:val="21"/>
              </w:rPr>
              <w:t>5</w:t>
            </w:r>
            <w:r>
              <w:rPr>
                <w:rFonts w:ascii="宋体" w:hAnsi="宋体" w:eastAsia="等线" w:cs="宋体"/>
                <w:szCs w:val="21"/>
              </w:rPr>
              <w:t>分</w:t>
            </w:r>
          </w:p>
        </w:tc>
      </w:tr>
    </w:tbl>
    <w:p>
      <w:pPr>
        <w:spacing w:line="360" w:lineRule="auto"/>
        <w:ind w:firstLine="420" w:firstLineChars="200"/>
        <w:rPr>
          <w:rFonts w:ascii="宋体" w:hAnsi="宋体" w:eastAsia="等线" w:cs="宋体"/>
          <w:b/>
          <w:szCs w:val="21"/>
        </w:rPr>
      </w:pPr>
      <w:r>
        <w:rPr>
          <w:rFonts w:ascii="宋体" w:hAnsi="宋体" w:eastAsia="等线" w:cs="宋体"/>
          <w:b/>
          <w:szCs w:val="21"/>
        </w:rPr>
        <w:t>考核说明：</w:t>
      </w:r>
    </w:p>
    <w:p>
      <w:pPr>
        <w:spacing w:line="360" w:lineRule="auto"/>
        <w:ind w:firstLine="480" w:firstLineChars="200"/>
        <w:jc w:val="left"/>
        <w:rPr>
          <w:rFonts w:ascii="宋体" w:hAnsi="宋体" w:cs="宋体"/>
          <w:sz w:val="24"/>
        </w:rPr>
      </w:pPr>
      <w:r>
        <w:rPr>
          <w:rFonts w:hint="eastAsia" w:ascii="宋体" w:hAnsi="宋体" w:cs="宋体"/>
          <w:sz w:val="24"/>
        </w:rPr>
        <w:t>1.考核初始赋值 100分。考核表格包括但不限于以上内容，在实际运作中不断完善。每个考核项目扣分项最多将该项分值扣至0分。</w:t>
      </w:r>
    </w:p>
    <w:p>
      <w:pPr>
        <w:spacing w:line="360" w:lineRule="auto"/>
        <w:ind w:firstLine="480" w:firstLineChars="200"/>
        <w:jc w:val="left"/>
        <w:rPr>
          <w:rFonts w:ascii="宋体" w:hAnsi="宋体" w:cs="宋体"/>
          <w:sz w:val="24"/>
        </w:rPr>
      </w:pPr>
      <w:r>
        <w:rPr>
          <w:rFonts w:hint="eastAsia" w:ascii="宋体" w:hAnsi="宋体" w:cs="宋体"/>
          <w:sz w:val="24"/>
        </w:rPr>
        <w:t>2.每季度考核分数在60到80分之间，将要求中标方对安全服务团队责任人进行谈话，并责令整改。每季度考核分数≦60分，中标方须更换安全服务实施人员，更换人员须符合安全服务人员要求。如无法更换符合要求的安全服务人员，甲方将终止合同，并拒付剩余合同款项。</w:t>
      </w:r>
    </w:p>
    <w:p>
      <w:pPr>
        <w:spacing w:line="360" w:lineRule="auto"/>
        <w:ind w:firstLine="480" w:firstLineChars="200"/>
        <w:jc w:val="left"/>
      </w:pPr>
      <w:r>
        <w:rPr>
          <w:rFonts w:hint="eastAsia" w:ascii="宋体" w:hAnsi="宋体" w:cs="宋体"/>
          <w:sz w:val="24"/>
        </w:rPr>
        <w:t>3.年度评分将作为考核中标方服务质量的依据，作为下一次安全服务招标对中标方评价的重要参考依据。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6B75ED8"/>
    <w:rsid w:val="0A4C329E"/>
    <w:rsid w:val="0B9B0B50"/>
    <w:rsid w:val="0C2306DE"/>
    <w:rsid w:val="127A692D"/>
    <w:rsid w:val="16F9394C"/>
    <w:rsid w:val="171017F6"/>
    <w:rsid w:val="1B8859E5"/>
    <w:rsid w:val="1CBF2330"/>
    <w:rsid w:val="1EDB74BB"/>
    <w:rsid w:val="208572BC"/>
    <w:rsid w:val="21580306"/>
    <w:rsid w:val="24BA6FF6"/>
    <w:rsid w:val="26C22868"/>
    <w:rsid w:val="28C9014F"/>
    <w:rsid w:val="2A3E773C"/>
    <w:rsid w:val="2C023617"/>
    <w:rsid w:val="2C413E10"/>
    <w:rsid w:val="2C4A15C5"/>
    <w:rsid w:val="2CE45FAF"/>
    <w:rsid w:val="2FB61930"/>
    <w:rsid w:val="31DB7C26"/>
    <w:rsid w:val="35751081"/>
    <w:rsid w:val="39B95254"/>
    <w:rsid w:val="3C257A29"/>
    <w:rsid w:val="3EA1334D"/>
    <w:rsid w:val="419032B3"/>
    <w:rsid w:val="423E2C3C"/>
    <w:rsid w:val="4A896133"/>
    <w:rsid w:val="4B807A4A"/>
    <w:rsid w:val="4FEB65B7"/>
    <w:rsid w:val="518E3745"/>
    <w:rsid w:val="52191E7B"/>
    <w:rsid w:val="53002936"/>
    <w:rsid w:val="550A4E58"/>
    <w:rsid w:val="5796147C"/>
    <w:rsid w:val="57DB0FF9"/>
    <w:rsid w:val="583E6D60"/>
    <w:rsid w:val="58687284"/>
    <w:rsid w:val="59121EEA"/>
    <w:rsid w:val="59801CB3"/>
    <w:rsid w:val="59E60742"/>
    <w:rsid w:val="5A2C7A72"/>
    <w:rsid w:val="5A7E088E"/>
    <w:rsid w:val="5AEB5DEF"/>
    <w:rsid w:val="5BFC68F7"/>
    <w:rsid w:val="5C4D76FA"/>
    <w:rsid w:val="5CF6181D"/>
    <w:rsid w:val="5D193E1C"/>
    <w:rsid w:val="5E707315"/>
    <w:rsid w:val="60E751E1"/>
    <w:rsid w:val="612F4DE2"/>
    <w:rsid w:val="61B761CA"/>
    <w:rsid w:val="629E4AE7"/>
    <w:rsid w:val="62A533D5"/>
    <w:rsid w:val="645F10F0"/>
    <w:rsid w:val="648A4D97"/>
    <w:rsid w:val="65CF0629"/>
    <w:rsid w:val="66251931"/>
    <w:rsid w:val="68530868"/>
    <w:rsid w:val="6C6359BE"/>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360" w:lineRule="auto"/>
      <w:ind w:firstLine="420" w:firstLineChars="200"/>
    </w:pPr>
    <w:rPr>
      <w:rFonts w:ascii="Calibri" w:hAnsi="Calibri" w:eastAsia="宋体"/>
      <w:sz w:val="21"/>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cs="Arial"/>
    </w:rPr>
  </w:style>
  <w:style w:type="paragraph" w:styleId="5">
    <w:name w:val="Body Text"/>
    <w:basedOn w:val="1"/>
    <w:next w:val="1"/>
    <w:qFormat/>
    <w:uiPriority w:val="0"/>
    <w:rPr>
      <w:rFonts w:ascii="楷体_GB2312" w:hAnsi="Arial" w:eastAsia="楷体_GB2312"/>
      <w:sz w:val="28"/>
      <w:szCs w:val="20"/>
    </w:rPr>
  </w:style>
  <w:style w:type="character" w:customStyle="1" w:styleId="8">
    <w:name w:val="NormalCharacter"/>
    <w:qFormat/>
    <w:uiPriority w:val="0"/>
    <w:rPr>
      <w:kern w:val="2"/>
      <w:sz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2024-06-27T08:53:44Z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