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6438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540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59264;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3360;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2336;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74930</wp:posOffset>
                </wp:positionV>
                <wp:extent cx="6354445" cy="619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4445" cy="619760"/>
                        </a:xfrm>
                        <a:prstGeom prst="rect">
                          <a:avLst/>
                        </a:prstGeom>
                        <a:noFill/>
                        <a:ln>
                          <a:noFill/>
                        </a:ln>
                        <a:effectLst/>
                      </wps:spPr>
                      <wps:txbx>
                        <w:txbxContent>
                          <w:p>
                            <w:pPr>
                              <w:jc w:val="center"/>
                              <w:rPr>
                                <w:rFonts w:ascii="方正小标宋简体" w:eastAsia="方正小标宋简体" w:hAnsiTheme="majorEastAsia" w:cstheme="majorEastAsia"/>
                                <w:kern w:val="24"/>
                                <w:sz w:val="48"/>
                                <w:szCs w:val="48"/>
                              </w:rPr>
                            </w:pPr>
                            <w:r>
                              <w:rPr>
                                <w:rFonts w:hint="eastAsia" w:ascii="方正小标宋简体" w:eastAsia="方正小标宋简体" w:hAnsiTheme="majorEastAsia" w:cstheme="majorEastAsia"/>
                                <w:kern w:val="24"/>
                                <w:sz w:val="48"/>
                                <w:szCs w:val="48"/>
                              </w:rPr>
                              <w:t>江苏医药职业学院人工智能实训室建设项目</w:t>
                            </w:r>
                          </w:p>
                        </w:txbxContent>
                      </wps:txbx>
                      <wps:bodyPr wrap="square" rtlCol="0">
                        <a:noAutofit/>
                      </wps:bodyPr>
                    </wps:wsp>
                  </a:graphicData>
                </a:graphic>
              </wp:anchor>
            </w:drawing>
          </mc:Choice>
          <mc:Fallback>
            <w:pict>
              <v:shape id="_x0000_s1026" o:spid="_x0000_s1026" o:spt="202" type="#_x0000_t202" style="position:absolute;left:0pt;margin-left:-0.45pt;margin-top:5.9pt;height:48.8pt;width:500.35pt;z-index:251668480;mso-width-relative:page;mso-height-relative:page;" filled="f" stroked="f" coordsize="21600,21600" o:gfxdata="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fGT7dIAAAAIAQAADwAAAAAAAAABACAAAAAiAAAAZHJzL2Rvd25yZXYu&#10;eG1sUEsBAhQAFAAAAAgAh07iQLBvEejIAQAAhQMAAA4AAAAAAAAAAQAgAAAAIQEAAGRycy9lMm9E&#10;b2MueG1sUEsFBgAAAAAGAAYAWQEAAFsFAAAAAA==&#10;">
                <v:fill on="f" focussize="0,0"/>
                <v:stroke on="f"/>
                <v:imagedata o:title=""/>
                <o:lock v:ext="edit" aspectratio="f"/>
                <v:textbox>
                  <w:txbxContent>
                    <w:p>
                      <w:pPr>
                        <w:jc w:val="center"/>
                        <w:rPr>
                          <w:rFonts w:ascii="方正小标宋简体" w:eastAsia="方正小标宋简体" w:hAnsiTheme="majorEastAsia" w:cstheme="majorEastAsia"/>
                          <w:kern w:val="24"/>
                          <w:sz w:val="48"/>
                          <w:szCs w:val="48"/>
                        </w:rPr>
                      </w:pPr>
                      <w:r>
                        <w:rPr>
                          <w:rFonts w:hint="eastAsia" w:ascii="方正小标宋简体" w:eastAsia="方正小标宋简体" w:hAnsiTheme="majorEastAsia" w:cstheme="majorEastAsia"/>
                          <w:kern w:val="24"/>
                          <w:sz w:val="48"/>
                          <w:szCs w:val="48"/>
                        </w:rPr>
                        <w:t>江苏医药职业学院人工智能实训室建设项目</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67310</wp:posOffset>
                </wp:positionV>
                <wp:extent cx="5604510" cy="13525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352550"/>
                        </a:xfrm>
                        <a:prstGeom prst="rect">
                          <a:avLst/>
                        </a:prstGeom>
                        <a:noFill/>
                        <a:ln>
                          <a:noFill/>
                        </a:ln>
                        <a:effectLst/>
                      </wps:spPr>
                      <wps:txbx>
                        <w:txbxContent>
                          <w:p>
                            <w:pPr>
                              <w:pStyle w:val="25"/>
                              <w:jc w:val="center"/>
                              <w:rPr>
                                <w:rFonts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55pt;margin-top:5.3pt;height:106.5pt;width:441.3pt;z-index:251661312;mso-width-relative:page;mso-height-relative:page;" filled="f" stroked="f" coordsize="21600,21600" o:gfxdata="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V/odrWAAAACQEAAA8AAAAAAAAAAQAgAAAAIgAAAGRycy9kb3du&#10;cmV2LnhtbFBLAQIUABQAAAAIAIdO4kCSgwapyAEAAIYDAAAOAAAAAAAAAAEAIAAAACUBAABkcnMv&#10;ZTJvRG9jLnhtbFBLBQYAAAAABgAGAFkBAABfBQAAAAA=&#10;">
                <v:fill on="f" focussize="0,0"/>
                <v:stroke on="f"/>
                <v:imagedata o:title=""/>
                <o:lock v:ext="edit" aspectratio="f"/>
                <v:textbox>
                  <w:txbxContent>
                    <w:p>
                      <w:pPr>
                        <w:pStyle w:val="25"/>
                        <w:jc w:val="center"/>
                        <w:rPr>
                          <w:rFonts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v:textbox>
              </v:shape>
            </w:pict>
          </mc:Fallback>
        </mc:AlternateContent>
      </w: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1704975</wp:posOffset>
                </wp:positionH>
                <wp:positionV relativeFrom="paragraph">
                  <wp:posOffset>2630170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09</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25pt;margin-top:207.1pt;height:31.65pt;width:190.85pt;z-index:251660288;mso-width-relative:page;mso-height-relative:page;" filled="f" stroked="f" coordsize="21600,21600" o:gfxdata="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Ipu5a2wAAAAsBAAAPAAAAAAAAAAEAIAAA&#10;ACIAAABkcnMvZG93bnJldi54bWxQSwECFAAUAAAACACHTuJA/8orr0ICAAB0BAAADgAAAAAAAAAB&#10;ACAAAAAqAQAAZHJzL2Uyb0RvYy54bWxQSwUGAAAAAAYABgBZAQAA3gU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09</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1685925</wp:posOffset>
                </wp:positionH>
                <wp:positionV relativeFrom="paragraph">
                  <wp:posOffset>2265045</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32.75pt;margin-top:178.35pt;height:27pt;width:267.75pt;z-index:251671552;mso-width-relative:page;mso-height-relative:page;" filled="f" stroked="f" coordsize="21600,21600" o:gfxdata="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Z6xmtwAAAALAQAADwAAAAAAAAABACAA&#10;AAAiAAAAZHJzL2Rvd25yZXYueG1sUEsBAhQAFAAAAAgAh07iQEtkpBHQAQAAjwMAAA4AAAAAAAAA&#10;AQAgAAAAKwEAAGRycy9lMm9Eb2MueG1sUEsFBgAAAAAGAAYAWQEAAG0FA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1708150</wp:posOffset>
                </wp:positionH>
                <wp:positionV relativeFrom="paragraph">
                  <wp:posOffset>1840230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49475"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34.5pt;margin-top:144.9pt;height:28.55pt;width:169.25pt;z-index:251670528;mso-width-relative:page;mso-height-relative:page;" filled="f" stroked="f" coordsize="21600,21600" o:gfxdata="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67Yt3AAAAAsBAAAPAAAAAAAAAAEAIAAA&#10;ACIAAABkcnMvZG93bnJldi54bWxQSwECFAAUAAAACACHTuJAIEeONs8BAACPAwAADgAAAAAAAAAB&#10;ACAAAAArAQAAZHJzL2Uyb0RvYy54bWxQSwUGAAAAAAYABgBZAQAAbAU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1758315</wp:posOffset>
                </wp:positionH>
                <wp:positionV relativeFrom="paragraph">
                  <wp:posOffset>584835</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SY2023-032-HW-JC </w:t>
                            </w:r>
                          </w:p>
                        </w:txbxContent>
                      </wps:txbx>
                      <wps:bodyPr wrap="square" rtlCol="0">
                        <a:noAutofit/>
                      </wps:bodyPr>
                    </wps:wsp>
                  </a:graphicData>
                </a:graphic>
              </wp:anchor>
            </w:drawing>
          </mc:Choice>
          <mc:Fallback>
            <w:pict>
              <v:shape id="_x0000_s1026" o:spid="_x0000_s1026" o:spt="202" type="#_x0000_t202" style="position:absolute;left:0pt;flip:x;margin-left:138.45pt;margin-top:46.05pt;height:30.2pt;width:209.25pt;z-index:251669504;mso-width-relative:page;mso-height-relative:page;" filled="f" stroked="f" coordsize="21600,21600" o:gfxdata="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RBMgraAAAACgEAAA8AAAAAAAAAAQAgAAAA&#10;IgAAAGRycy9kb3ducmV2LnhtbFBLAQIUABQAAAAIAIdO4kD4UQ+60AEAAI8DAAAOAAAAAAAAAAEA&#10;IAAAACkBAABkcnMvZTJvRG9jLnhtbFBLBQYAAAAABgAGAFkBAABrBQ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SY2023-032-HW-JC </w:t>
                      </w:r>
                    </w:p>
                  </w:txbxContent>
                </v:textbox>
              </v:shape>
            </w:pict>
          </mc:Fallback>
        </mc:AlternateContent>
      </w: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1731645</wp:posOffset>
                </wp:positionH>
                <wp:positionV relativeFrom="paragraph">
                  <wp:posOffset>1075690</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09795" cy="478155"/>
                        </a:xfrm>
                        <a:prstGeom prst="rect">
                          <a:avLst/>
                        </a:prstGeom>
                        <a:noFill/>
                        <a:ln w="6350">
                          <a:noFill/>
                        </a:ln>
                        <a:effectLst/>
                      </wps:spPr>
                      <wps:txbx>
                        <w:txbxContent>
                          <w:p>
                            <w:pPr>
                              <w:rPr>
                                <w:rFonts w:asciiTheme="minorEastAsia" w:hAnsiTheme="minorEastAsia" w:eastAsiaTheme="minorEastAsia" w:cstheme="minorEastAsia"/>
                                <w:kern w:val="24"/>
                                <w:sz w:val="36"/>
                                <w:szCs w:val="36"/>
                              </w:rPr>
                            </w:pPr>
                            <w:r>
                              <w:rPr>
                                <w:rFonts w:hint="eastAsia" w:asciiTheme="minorEastAsia" w:hAnsiTheme="minorEastAsia" w:eastAsiaTheme="minorEastAsia" w:cstheme="minorEastAsia"/>
                                <w:sz w:val="36"/>
                                <w:szCs w:val="36"/>
                              </w:rPr>
                              <w:t>江苏医药职业学院人工智能实训室建设项目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35pt;margin-top:84.7pt;height:37.65pt;width:370.85pt;z-index:251673600;mso-width-relative:page;mso-height-relative:page;" filled="f" stroked="f" coordsize="21600,21600" o:gfxdata="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6tiLo2wAAAAwBAAAPAAAAAAAAAAEAIAAA&#10;ACIAAABkcnMvZG93bnJldi54bWxQSwECFAAUAAAACACHTuJASVu89kICAAB2BAAADgAAAAAAAAAB&#10;ACAAAAAqAQAAZHJzL2Uyb0RvYy54bWxQSwUGAAAAAAYABgBZAQAA3gUAAAAA&#10;">
                <v:fill on="f" focussize="0,0"/>
                <v:stroke on="f" weight="0.5pt"/>
                <v:imagedata o:title=""/>
                <o:lock v:ext="edit" aspectratio="f"/>
                <v:textbox>
                  <w:txbxContent>
                    <w:p>
                      <w:pPr>
                        <w:rPr>
                          <w:rFonts w:asciiTheme="minorEastAsia" w:hAnsiTheme="minorEastAsia" w:eastAsiaTheme="minorEastAsia" w:cstheme="minorEastAsia"/>
                          <w:kern w:val="24"/>
                          <w:sz w:val="36"/>
                          <w:szCs w:val="36"/>
                        </w:rPr>
                      </w:pPr>
                      <w:r>
                        <w:rPr>
                          <w:rFonts w:hint="eastAsia" w:asciiTheme="minorEastAsia" w:hAnsiTheme="minorEastAsia" w:eastAsiaTheme="minorEastAsia" w:cstheme="minorEastAsia"/>
                          <w:sz w:val="36"/>
                          <w:szCs w:val="36"/>
                        </w:rPr>
                        <w:t>江苏医药职业学院人工智能实训室建设项目</w:t>
                      </w:r>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2"/>
            <w:jc w:val="center"/>
            <w:rPr>
              <w:b/>
              <w:bCs/>
              <w:lang w:val="zh-CN"/>
            </w:rPr>
          </w:pPr>
          <w:r>
            <w:rPr>
              <w:b/>
              <w:sz w:val="40"/>
              <w:lang w:val="zh-CN"/>
            </w:rPr>
            <w:t>目录</w:t>
          </w:r>
          <w:r>
            <w:fldChar w:fldCharType="begin"/>
          </w:r>
          <w:r>
            <w:instrText xml:space="preserve"> TOC \o "1-3" \h \z \u </w:instrText>
          </w:r>
          <w:r>
            <w:fldChar w:fldCharType="separate"/>
          </w:r>
        </w:p>
        <w:p>
          <w:pPr>
            <w:pStyle w:val="22"/>
            <w:tabs>
              <w:tab w:val="right" w:leader="dot" w:pos="8306"/>
            </w:tabs>
          </w:pPr>
          <w:r>
            <w:fldChar w:fldCharType="begin"/>
          </w:r>
          <w:r>
            <w:instrText xml:space="preserve"> HYPERLINK \l "_Toc10208" </w:instrText>
          </w:r>
          <w:r>
            <w:fldChar w:fldCharType="separate"/>
          </w:r>
          <w:r>
            <w:rPr>
              <w:rFonts w:hint="eastAsia"/>
            </w:rPr>
            <w:t xml:space="preserve">第一章 </w:t>
          </w:r>
          <w:r>
            <w:rPr>
              <w:rFonts w:hint="eastAsia" w:ascii="宋体" w:hAnsi="宋体" w:cs="宋体"/>
              <w:szCs w:val="21"/>
            </w:rPr>
            <w:t>采购公告采购公告</w:t>
          </w:r>
          <w:r>
            <w:tab/>
          </w:r>
          <w:r>
            <w:fldChar w:fldCharType="begin"/>
          </w:r>
          <w:r>
            <w:instrText xml:space="preserve"> PAGEREF _Toc10208 \h </w:instrText>
          </w:r>
          <w:r>
            <w:fldChar w:fldCharType="separate"/>
          </w:r>
          <w:r>
            <w:t>3</w:t>
          </w:r>
          <w:r>
            <w:fldChar w:fldCharType="end"/>
          </w:r>
          <w:r>
            <w:fldChar w:fldCharType="end"/>
          </w:r>
        </w:p>
        <w:p>
          <w:pPr>
            <w:pStyle w:val="24"/>
            <w:tabs>
              <w:tab w:val="right" w:leader="dot" w:pos="8306"/>
            </w:tabs>
          </w:pPr>
          <w:r>
            <w:fldChar w:fldCharType="begin"/>
          </w:r>
          <w:r>
            <w:instrText xml:space="preserve"> HYPERLINK \l "_Toc15109" </w:instrText>
          </w:r>
          <w:r>
            <w:fldChar w:fldCharType="separate"/>
          </w:r>
          <w:r>
            <w:rPr>
              <w:rFonts w:hint="eastAsia" w:asciiTheme="minorEastAsia" w:hAnsiTheme="minorEastAsia" w:eastAsiaTheme="minorEastAsia" w:cstheme="minorEastAsia"/>
              <w:szCs w:val="21"/>
            </w:rPr>
            <w:t>二、采购文件</w:t>
          </w:r>
          <w:r>
            <w:tab/>
          </w:r>
          <w:r>
            <w:fldChar w:fldCharType="begin"/>
          </w:r>
          <w:r>
            <w:instrText xml:space="preserve"> PAGEREF _Toc15109 \h </w:instrText>
          </w:r>
          <w:r>
            <w:fldChar w:fldCharType="separate"/>
          </w:r>
          <w:r>
            <w:t>7</w:t>
          </w:r>
          <w:r>
            <w:fldChar w:fldCharType="end"/>
          </w:r>
          <w:r>
            <w:fldChar w:fldCharType="end"/>
          </w:r>
        </w:p>
        <w:p>
          <w:pPr>
            <w:pStyle w:val="24"/>
            <w:tabs>
              <w:tab w:val="right" w:leader="dot" w:pos="8306"/>
            </w:tabs>
          </w:pPr>
          <w:r>
            <w:fldChar w:fldCharType="begin"/>
          </w:r>
          <w:r>
            <w:instrText xml:space="preserve"> HYPERLINK \l "_Toc6663" </w:instrText>
          </w:r>
          <w:r>
            <w:fldChar w:fldCharType="separate"/>
          </w:r>
          <w:r>
            <w:rPr>
              <w:rFonts w:hint="eastAsia" w:asciiTheme="minorEastAsia" w:hAnsiTheme="minorEastAsia" w:eastAsiaTheme="minorEastAsia" w:cstheme="minorEastAsia"/>
              <w:szCs w:val="21"/>
            </w:rPr>
            <w:t>三、响应文件编制要求及保证金</w:t>
          </w:r>
          <w:r>
            <w:tab/>
          </w:r>
          <w:r>
            <w:fldChar w:fldCharType="begin"/>
          </w:r>
          <w:r>
            <w:instrText xml:space="preserve"> PAGEREF _Toc6663 \h </w:instrText>
          </w:r>
          <w:r>
            <w:fldChar w:fldCharType="separate"/>
          </w:r>
          <w:r>
            <w:t>7</w:t>
          </w:r>
          <w:r>
            <w:fldChar w:fldCharType="end"/>
          </w:r>
          <w:r>
            <w:fldChar w:fldCharType="end"/>
          </w:r>
        </w:p>
        <w:p>
          <w:pPr>
            <w:pStyle w:val="24"/>
            <w:tabs>
              <w:tab w:val="right" w:leader="dot" w:pos="8306"/>
            </w:tabs>
          </w:pPr>
          <w:r>
            <w:fldChar w:fldCharType="begin"/>
          </w:r>
          <w:r>
            <w:instrText xml:space="preserve"> HYPERLINK \l "_Toc3551" </w:instrText>
          </w:r>
          <w:r>
            <w:fldChar w:fldCharType="separate"/>
          </w:r>
          <w:r>
            <w:rPr>
              <w:rFonts w:hint="eastAsia" w:asciiTheme="minorEastAsia" w:hAnsiTheme="minorEastAsia" w:eastAsiaTheme="minorEastAsia" w:cstheme="minorEastAsia"/>
              <w:bCs/>
              <w:szCs w:val="21"/>
            </w:rPr>
            <w:t>四、响应文件的递交</w:t>
          </w:r>
          <w:r>
            <w:rPr>
              <w:rFonts w:hint="eastAsia" w:asciiTheme="minorEastAsia" w:hAnsiTheme="minorEastAsia" w:eastAsiaTheme="minorEastAsia" w:cstheme="minorEastAsia"/>
              <w:szCs w:val="21"/>
            </w:rPr>
            <w:t>及</w:t>
          </w:r>
          <w:r>
            <w:rPr>
              <w:rFonts w:hint="eastAsia" w:asciiTheme="minorEastAsia" w:hAnsiTheme="minorEastAsia" w:eastAsiaTheme="minorEastAsia" w:cstheme="minorEastAsia"/>
              <w:bCs/>
              <w:szCs w:val="21"/>
            </w:rPr>
            <w:t>接收</w:t>
          </w:r>
          <w:r>
            <w:tab/>
          </w:r>
          <w:r>
            <w:fldChar w:fldCharType="begin"/>
          </w:r>
          <w:r>
            <w:instrText xml:space="preserve"> PAGEREF _Toc3551 \h </w:instrText>
          </w:r>
          <w:r>
            <w:fldChar w:fldCharType="separate"/>
          </w:r>
          <w:r>
            <w:t>9</w:t>
          </w:r>
          <w:r>
            <w:fldChar w:fldCharType="end"/>
          </w:r>
          <w:r>
            <w:fldChar w:fldCharType="end"/>
          </w:r>
        </w:p>
        <w:p>
          <w:pPr>
            <w:pStyle w:val="24"/>
            <w:tabs>
              <w:tab w:val="right" w:leader="dot" w:pos="8306"/>
            </w:tabs>
          </w:pPr>
          <w:r>
            <w:fldChar w:fldCharType="begin"/>
          </w:r>
          <w:r>
            <w:instrText xml:space="preserve"> HYPERLINK \l "_Toc12591" </w:instrText>
          </w:r>
          <w:r>
            <w:fldChar w:fldCharType="separate"/>
          </w:r>
          <w:r>
            <w:rPr>
              <w:rFonts w:hint="eastAsia" w:asciiTheme="minorEastAsia" w:hAnsiTheme="minorEastAsia" w:eastAsiaTheme="minorEastAsia" w:cstheme="minorEastAsia"/>
              <w:szCs w:val="21"/>
            </w:rPr>
            <w:t>五、响应开启、评审程序与评审</w:t>
          </w:r>
          <w:r>
            <w:tab/>
          </w:r>
          <w:r>
            <w:fldChar w:fldCharType="begin"/>
          </w:r>
          <w:r>
            <w:instrText xml:space="preserve"> PAGEREF _Toc12591 \h </w:instrText>
          </w:r>
          <w:r>
            <w:fldChar w:fldCharType="separate"/>
          </w:r>
          <w:r>
            <w:t>10</w:t>
          </w:r>
          <w:r>
            <w:fldChar w:fldCharType="end"/>
          </w:r>
          <w:r>
            <w:fldChar w:fldCharType="end"/>
          </w:r>
        </w:p>
        <w:p>
          <w:pPr>
            <w:pStyle w:val="24"/>
            <w:tabs>
              <w:tab w:val="right" w:leader="dot" w:pos="8306"/>
            </w:tabs>
          </w:pPr>
          <w:r>
            <w:fldChar w:fldCharType="begin"/>
          </w:r>
          <w:r>
            <w:instrText xml:space="preserve"> HYPERLINK \l "_Toc30312" </w:instrText>
          </w:r>
          <w:r>
            <w:fldChar w:fldCharType="separate"/>
          </w:r>
          <w:r>
            <w:rPr>
              <w:rFonts w:hint="eastAsia" w:asciiTheme="minorEastAsia" w:hAnsiTheme="minorEastAsia" w:eastAsiaTheme="minorEastAsia" w:cstheme="minorEastAsia"/>
              <w:szCs w:val="21"/>
            </w:rPr>
            <w:t>七、质疑受理</w:t>
          </w:r>
          <w:r>
            <w:tab/>
          </w:r>
          <w:r>
            <w:fldChar w:fldCharType="begin"/>
          </w:r>
          <w:r>
            <w:instrText xml:space="preserve"> PAGEREF _Toc30312 \h </w:instrText>
          </w:r>
          <w:r>
            <w:fldChar w:fldCharType="separate"/>
          </w:r>
          <w:r>
            <w:t>12</w:t>
          </w:r>
          <w:r>
            <w:fldChar w:fldCharType="end"/>
          </w:r>
          <w:r>
            <w:fldChar w:fldCharType="end"/>
          </w:r>
        </w:p>
        <w:p>
          <w:pPr>
            <w:pStyle w:val="24"/>
            <w:tabs>
              <w:tab w:val="right" w:leader="dot" w:pos="8306"/>
            </w:tabs>
          </w:pPr>
          <w:r>
            <w:fldChar w:fldCharType="begin"/>
          </w:r>
          <w:r>
            <w:instrText xml:space="preserve"> HYPERLINK \l "_Toc22061" </w:instrText>
          </w:r>
          <w:r>
            <w:fldChar w:fldCharType="separate"/>
          </w:r>
          <w:r>
            <w:rPr>
              <w:rFonts w:hint="eastAsia" w:asciiTheme="minorEastAsia" w:hAnsiTheme="minorEastAsia" w:eastAsiaTheme="minorEastAsia" w:cstheme="minorEastAsia"/>
              <w:szCs w:val="21"/>
            </w:rPr>
            <w:t>八、终止磋商采购活动</w:t>
          </w:r>
          <w:r>
            <w:tab/>
          </w:r>
          <w:r>
            <w:fldChar w:fldCharType="begin"/>
          </w:r>
          <w:r>
            <w:instrText xml:space="preserve"> PAGEREF _Toc22061 \h </w:instrText>
          </w:r>
          <w:r>
            <w:fldChar w:fldCharType="separate"/>
          </w:r>
          <w:r>
            <w:t>12</w:t>
          </w:r>
          <w:r>
            <w:fldChar w:fldCharType="end"/>
          </w:r>
          <w:r>
            <w:fldChar w:fldCharType="end"/>
          </w:r>
        </w:p>
        <w:p>
          <w:pPr>
            <w:pStyle w:val="24"/>
            <w:tabs>
              <w:tab w:val="right" w:leader="dot" w:pos="8306"/>
            </w:tabs>
          </w:pPr>
          <w:r>
            <w:fldChar w:fldCharType="begin"/>
          </w:r>
          <w:r>
            <w:instrText xml:space="preserve"> HYPERLINK \l "_Toc12733" </w:instrText>
          </w:r>
          <w:r>
            <w:fldChar w:fldCharType="separate"/>
          </w:r>
          <w:r>
            <w:rPr>
              <w:rFonts w:hint="eastAsia" w:asciiTheme="minorEastAsia" w:hAnsiTheme="minorEastAsia" w:eastAsiaTheme="minorEastAsia" w:cstheme="minorEastAsia"/>
              <w:szCs w:val="21"/>
            </w:rPr>
            <w:t>九、其他</w:t>
          </w:r>
          <w:r>
            <w:tab/>
          </w:r>
          <w:r>
            <w:fldChar w:fldCharType="begin"/>
          </w:r>
          <w:r>
            <w:instrText xml:space="preserve"> PAGEREF _Toc12733 \h </w:instrText>
          </w:r>
          <w:r>
            <w:fldChar w:fldCharType="separate"/>
          </w:r>
          <w:r>
            <w:t>12</w:t>
          </w:r>
          <w:r>
            <w:fldChar w:fldCharType="end"/>
          </w:r>
          <w:r>
            <w:fldChar w:fldCharType="end"/>
          </w:r>
        </w:p>
        <w:p>
          <w:pPr>
            <w:pStyle w:val="22"/>
            <w:tabs>
              <w:tab w:val="right" w:leader="dot" w:pos="8306"/>
            </w:tabs>
          </w:pPr>
          <w:r>
            <w:fldChar w:fldCharType="begin"/>
          </w:r>
          <w:r>
            <w:instrText xml:space="preserve"> HYPERLINK \l "_Toc21220" </w:instrText>
          </w:r>
          <w:r>
            <w:fldChar w:fldCharType="separate"/>
          </w:r>
          <w:r>
            <w:rPr>
              <w:rFonts w:hint="eastAsia" w:ascii="宋体" w:hAnsi="宋体" w:cs="宋体"/>
              <w:szCs w:val="21"/>
            </w:rPr>
            <w:t>第三章  采购需求及政府采购合同（拟签订的合同文本）</w:t>
          </w:r>
          <w:r>
            <w:tab/>
          </w:r>
          <w:r>
            <w:fldChar w:fldCharType="begin"/>
          </w:r>
          <w:r>
            <w:instrText xml:space="preserve"> PAGEREF _Toc21220 \h </w:instrText>
          </w:r>
          <w:r>
            <w:fldChar w:fldCharType="separate"/>
          </w:r>
          <w:r>
            <w:t>13</w:t>
          </w:r>
          <w:r>
            <w:fldChar w:fldCharType="end"/>
          </w:r>
          <w:r>
            <w:fldChar w:fldCharType="end"/>
          </w:r>
        </w:p>
        <w:p>
          <w:pPr>
            <w:pStyle w:val="24"/>
            <w:tabs>
              <w:tab w:val="right" w:leader="dot" w:pos="8306"/>
            </w:tabs>
          </w:pPr>
          <w:r>
            <w:fldChar w:fldCharType="begin"/>
          </w:r>
          <w:r>
            <w:instrText xml:space="preserve"> HYPERLINK \l "_Toc9887" </w:instrText>
          </w:r>
          <w:r>
            <w:fldChar w:fldCharType="separate"/>
          </w:r>
          <w:r>
            <w:rPr>
              <w:rFonts w:hint="eastAsia" w:asciiTheme="minorEastAsia" w:hAnsiTheme="minorEastAsia" w:eastAsiaTheme="minorEastAsia" w:cstheme="minorEastAsia"/>
              <w:szCs w:val="21"/>
            </w:rPr>
            <w:t xml:space="preserve">第一项 </w:t>
          </w:r>
          <w:r>
            <w:rPr>
              <w:rFonts w:hint="eastAsia" w:ascii="宋体" w:hAnsi="宋体" w:cs="宋体"/>
            </w:rPr>
            <w:t>采购需求</w:t>
          </w:r>
          <w:r>
            <w:rPr>
              <w:rFonts w:hint="eastAsia" w:asciiTheme="minorEastAsia" w:hAnsiTheme="minorEastAsia" w:eastAsiaTheme="minorEastAsia" w:cstheme="minorEastAsia"/>
              <w:szCs w:val="21"/>
            </w:rPr>
            <w:t>一、项目内容：</w:t>
          </w:r>
          <w:r>
            <w:tab/>
          </w:r>
          <w:r>
            <w:fldChar w:fldCharType="begin"/>
          </w:r>
          <w:r>
            <w:instrText xml:space="preserve"> PAGEREF _Toc9887 \h </w:instrText>
          </w:r>
          <w:r>
            <w:fldChar w:fldCharType="separate"/>
          </w:r>
          <w:r>
            <w:t>14</w:t>
          </w:r>
          <w:r>
            <w:fldChar w:fldCharType="end"/>
          </w:r>
          <w:r>
            <w:fldChar w:fldCharType="end"/>
          </w:r>
        </w:p>
        <w:p>
          <w:pPr>
            <w:pStyle w:val="22"/>
            <w:tabs>
              <w:tab w:val="right" w:leader="dot" w:pos="8306"/>
            </w:tabs>
          </w:pPr>
          <w:r>
            <w:fldChar w:fldCharType="begin"/>
          </w:r>
          <w:r>
            <w:instrText xml:space="preserve"> HYPERLINK \l "_Toc19913" </w:instrText>
          </w:r>
          <w:r>
            <w:fldChar w:fldCharType="separate"/>
          </w:r>
          <w:r>
            <w:rPr>
              <w:rFonts w:hint="eastAsia" w:ascii="宋体" w:hAnsi="宋体" w:cs="宋体"/>
              <w:szCs w:val="28"/>
            </w:rPr>
            <w:t>第二项 政府采购合同（拟签订的合同文本）</w:t>
          </w:r>
          <w:r>
            <w:tab/>
          </w:r>
          <w:r>
            <w:fldChar w:fldCharType="begin"/>
          </w:r>
          <w:r>
            <w:instrText xml:space="preserve"> PAGEREF _Toc19913 \h </w:instrText>
          </w:r>
          <w:r>
            <w:fldChar w:fldCharType="separate"/>
          </w:r>
          <w:r>
            <w:t>22</w:t>
          </w:r>
          <w:r>
            <w:fldChar w:fldCharType="end"/>
          </w:r>
          <w:r>
            <w:fldChar w:fldCharType="end"/>
          </w:r>
        </w:p>
        <w:p>
          <w:pPr>
            <w:pStyle w:val="24"/>
            <w:tabs>
              <w:tab w:val="right" w:leader="dot" w:pos="8306"/>
            </w:tabs>
          </w:pPr>
          <w:r>
            <w:fldChar w:fldCharType="begin"/>
          </w:r>
          <w:r>
            <w:instrText xml:space="preserve"> HYPERLINK \l "_Toc22886" </w:instrText>
          </w:r>
          <w:r>
            <w:fldChar w:fldCharType="separate"/>
          </w:r>
          <w:r>
            <w:rPr>
              <w:rFonts w:hint="eastAsia" w:asciiTheme="minorEastAsia" w:hAnsiTheme="minorEastAsia" w:eastAsiaTheme="minorEastAsia" w:cstheme="minorEastAsia"/>
              <w:szCs w:val="21"/>
            </w:rPr>
            <w:t>四、合同金额</w:t>
          </w:r>
          <w:r>
            <w:tab/>
          </w:r>
          <w:r>
            <w:fldChar w:fldCharType="begin"/>
          </w:r>
          <w:r>
            <w:instrText xml:space="preserve"> PAGEREF _Toc22886 \h </w:instrText>
          </w:r>
          <w:r>
            <w:fldChar w:fldCharType="separate"/>
          </w:r>
          <w:r>
            <w:t>22</w:t>
          </w:r>
          <w:r>
            <w:fldChar w:fldCharType="end"/>
          </w:r>
          <w:r>
            <w:fldChar w:fldCharType="end"/>
          </w:r>
        </w:p>
        <w:p>
          <w:pPr>
            <w:pStyle w:val="24"/>
            <w:tabs>
              <w:tab w:val="right" w:leader="dot" w:pos="8306"/>
            </w:tabs>
          </w:pPr>
          <w:r>
            <w:fldChar w:fldCharType="begin"/>
          </w:r>
          <w:r>
            <w:instrText xml:space="preserve"> HYPERLINK \l "_Toc15021" </w:instrText>
          </w:r>
          <w:r>
            <w:fldChar w:fldCharType="separate"/>
          </w:r>
          <w:r>
            <w:rPr>
              <w:rFonts w:hint="eastAsia" w:asciiTheme="minorEastAsia" w:hAnsiTheme="minorEastAsia" w:eastAsiaTheme="minorEastAsia" w:cstheme="minorEastAsia"/>
              <w:szCs w:val="21"/>
            </w:rPr>
            <w:t>五、交货期和交货地点</w:t>
          </w:r>
          <w:r>
            <w:tab/>
          </w:r>
          <w:r>
            <w:fldChar w:fldCharType="begin"/>
          </w:r>
          <w:r>
            <w:instrText xml:space="preserve"> PAGEREF _Toc15021 \h </w:instrText>
          </w:r>
          <w:r>
            <w:fldChar w:fldCharType="separate"/>
          </w:r>
          <w:r>
            <w:t>23</w:t>
          </w:r>
          <w:r>
            <w:fldChar w:fldCharType="end"/>
          </w:r>
          <w:r>
            <w:fldChar w:fldCharType="end"/>
          </w:r>
        </w:p>
        <w:p>
          <w:pPr>
            <w:pStyle w:val="24"/>
            <w:tabs>
              <w:tab w:val="right" w:leader="dot" w:pos="8306"/>
            </w:tabs>
          </w:pPr>
          <w:r>
            <w:fldChar w:fldCharType="begin"/>
          </w:r>
          <w:r>
            <w:instrText xml:space="preserve"> HYPERLINK \l "_Toc7291" </w:instrText>
          </w:r>
          <w:r>
            <w:fldChar w:fldCharType="separate"/>
          </w:r>
          <w:r>
            <w:rPr>
              <w:rFonts w:hint="eastAsia" w:asciiTheme="minorEastAsia" w:hAnsiTheme="minorEastAsia" w:eastAsiaTheme="minorEastAsia" w:cstheme="minorEastAsia"/>
              <w:szCs w:val="21"/>
            </w:rPr>
            <w:t>六、售后服务承诺</w:t>
          </w:r>
          <w:r>
            <w:tab/>
          </w:r>
          <w:r>
            <w:fldChar w:fldCharType="begin"/>
          </w:r>
          <w:r>
            <w:instrText xml:space="preserve"> PAGEREF _Toc7291 \h </w:instrText>
          </w:r>
          <w:r>
            <w:fldChar w:fldCharType="separate"/>
          </w:r>
          <w:r>
            <w:t>23</w:t>
          </w:r>
          <w:r>
            <w:fldChar w:fldCharType="end"/>
          </w:r>
          <w:r>
            <w:fldChar w:fldCharType="end"/>
          </w:r>
        </w:p>
        <w:p>
          <w:pPr>
            <w:pStyle w:val="24"/>
            <w:tabs>
              <w:tab w:val="right" w:leader="dot" w:pos="8306"/>
            </w:tabs>
          </w:pPr>
          <w:r>
            <w:fldChar w:fldCharType="begin"/>
          </w:r>
          <w:r>
            <w:instrText xml:space="preserve"> HYPERLINK \l "_Toc2984" </w:instrText>
          </w:r>
          <w:r>
            <w:fldChar w:fldCharType="separate"/>
          </w:r>
          <w:r>
            <w:rPr>
              <w:rFonts w:hint="eastAsia" w:asciiTheme="minorEastAsia" w:hAnsiTheme="minorEastAsia" w:eastAsiaTheme="minorEastAsia" w:cstheme="minorEastAsia"/>
              <w:szCs w:val="21"/>
            </w:rPr>
            <w:t>七、验收办法</w:t>
          </w:r>
          <w:r>
            <w:tab/>
          </w:r>
          <w:r>
            <w:fldChar w:fldCharType="begin"/>
          </w:r>
          <w:r>
            <w:instrText xml:space="preserve"> PAGEREF _Toc2984 \h </w:instrText>
          </w:r>
          <w:r>
            <w:fldChar w:fldCharType="separate"/>
          </w:r>
          <w:r>
            <w:t>24</w:t>
          </w:r>
          <w:r>
            <w:fldChar w:fldCharType="end"/>
          </w:r>
          <w:r>
            <w:fldChar w:fldCharType="end"/>
          </w:r>
        </w:p>
        <w:p>
          <w:pPr>
            <w:pStyle w:val="24"/>
            <w:tabs>
              <w:tab w:val="right" w:leader="dot" w:pos="8306"/>
            </w:tabs>
          </w:pPr>
          <w:r>
            <w:fldChar w:fldCharType="begin"/>
          </w:r>
          <w:r>
            <w:instrText xml:space="preserve"> HYPERLINK \l "_Toc10284" </w:instrText>
          </w:r>
          <w:r>
            <w:fldChar w:fldCharType="separate"/>
          </w:r>
          <w:r>
            <w:rPr>
              <w:rFonts w:hint="eastAsia" w:asciiTheme="minorEastAsia" w:hAnsiTheme="minorEastAsia" w:eastAsiaTheme="minorEastAsia" w:cstheme="minorEastAsia"/>
              <w:szCs w:val="21"/>
            </w:rPr>
            <w:t>八、双方的权利和义务</w:t>
          </w:r>
          <w:r>
            <w:tab/>
          </w:r>
          <w:r>
            <w:fldChar w:fldCharType="begin"/>
          </w:r>
          <w:r>
            <w:instrText xml:space="preserve"> PAGEREF _Toc10284 \h </w:instrText>
          </w:r>
          <w:r>
            <w:fldChar w:fldCharType="separate"/>
          </w:r>
          <w:r>
            <w:t>24</w:t>
          </w:r>
          <w:r>
            <w:fldChar w:fldCharType="end"/>
          </w:r>
          <w:r>
            <w:fldChar w:fldCharType="end"/>
          </w:r>
        </w:p>
        <w:p>
          <w:pPr>
            <w:pStyle w:val="22"/>
            <w:tabs>
              <w:tab w:val="right" w:leader="dot" w:pos="8306"/>
            </w:tabs>
          </w:pPr>
          <w:r>
            <w:fldChar w:fldCharType="begin"/>
          </w:r>
          <w:r>
            <w:instrText xml:space="preserve"> HYPERLINK \l "_Toc10665" </w:instrText>
          </w:r>
          <w:r>
            <w:fldChar w:fldCharType="separate"/>
          </w:r>
          <w:r>
            <w:rPr>
              <w:rFonts w:hint="eastAsia" w:ascii="宋体" w:hAnsi="宋体" w:cs="宋体"/>
              <w:szCs w:val="28"/>
            </w:rPr>
            <w:t>第四章  评标方法和标准</w:t>
          </w:r>
          <w:r>
            <w:rPr>
              <w:rFonts w:hint="eastAsia" w:ascii="宋体" w:hAnsi="宋体"/>
              <w:szCs w:val="28"/>
            </w:rPr>
            <w:t>（主要部分）</w:t>
          </w:r>
          <w:r>
            <w:tab/>
          </w:r>
          <w:r>
            <w:fldChar w:fldCharType="begin"/>
          </w:r>
          <w:r>
            <w:instrText xml:space="preserve"> PAGEREF _Toc10665 \h </w:instrText>
          </w:r>
          <w:r>
            <w:fldChar w:fldCharType="separate"/>
          </w:r>
          <w:r>
            <w:t>28</w:t>
          </w:r>
          <w:r>
            <w:fldChar w:fldCharType="end"/>
          </w:r>
          <w:r>
            <w:fldChar w:fldCharType="end"/>
          </w:r>
        </w:p>
        <w:p>
          <w:pPr>
            <w:pStyle w:val="22"/>
            <w:tabs>
              <w:tab w:val="right" w:leader="dot" w:pos="8306"/>
            </w:tabs>
          </w:pPr>
          <w:r>
            <w:fldChar w:fldCharType="begin"/>
          </w:r>
          <w:r>
            <w:instrText xml:space="preserve"> HYPERLINK \l "_Toc13969" </w:instrText>
          </w:r>
          <w:r>
            <w:fldChar w:fldCharType="separate"/>
          </w:r>
          <w:r>
            <w:rPr>
              <w:rFonts w:hint="eastAsia" w:ascii="宋体" w:hAnsi="宋体" w:cs="宋体"/>
              <w:szCs w:val="28"/>
            </w:rPr>
            <w:t>第五章  投标（响应）文件格式</w:t>
          </w:r>
          <w:r>
            <w:tab/>
          </w:r>
          <w:r>
            <w:fldChar w:fldCharType="begin"/>
          </w:r>
          <w:r>
            <w:instrText xml:space="preserve"> PAGEREF _Toc13969 \h </w:instrText>
          </w:r>
          <w:r>
            <w:fldChar w:fldCharType="separate"/>
          </w:r>
          <w:r>
            <w:t>30</w:t>
          </w:r>
          <w:r>
            <w:fldChar w:fldCharType="end"/>
          </w:r>
          <w:r>
            <w:fldChar w:fldCharType="end"/>
          </w:r>
        </w:p>
        <w:p>
          <w:pPr>
            <w:pStyle w:val="24"/>
            <w:tabs>
              <w:tab w:val="right" w:leader="dot" w:pos="8306"/>
            </w:tabs>
          </w:pPr>
          <w:r>
            <w:fldChar w:fldCharType="begin"/>
          </w:r>
          <w:r>
            <w:instrText xml:space="preserve"> HYPERLINK \l "_Toc25822" </w:instrText>
          </w:r>
          <w:r>
            <w:fldChar w:fldCharType="separate"/>
          </w:r>
          <w:r>
            <w:rPr>
              <w:rFonts w:hint="eastAsia" w:ascii="宋体" w:hAnsi="宋体" w:cs="宋体"/>
              <w:szCs w:val="21"/>
            </w:rPr>
            <w:t>投标（响应）文件目录</w:t>
          </w:r>
          <w:r>
            <w:tab/>
          </w:r>
          <w:r>
            <w:fldChar w:fldCharType="begin"/>
          </w:r>
          <w:r>
            <w:instrText xml:space="preserve"> PAGEREF _Toc25822 \h </w:instrText>
          </w:r>
          <w:r>
            <w:fldChar w:fldCharType="separate"/>
          </w:r>
          <w:r>
            <w:t>31</w:t>
          </w:r>
          <w:r>
            <w:fldChar w:fldCharType="end"/>
          </w:r>
          <w:r>
            <w:fldChar w:fldCharType="end"/>
          </w:r>
        </w:p>
        <w:p>
          <w:pPr>
            <w:pStyle w:val="24"/>
            <w:tabs>
              <w:tab w:val="right" w:leader="dot" w:pos="8306"/>
            </w:tabs>
          </w:pPr>
          <w:r>
            <w:fldChar w:fldCharType="begin"/>
          </w:r>
          <w:r>
            <w:instrText xml:space="preserve"> HYPERLINK \l "_Toc18458" </w:instrText>
          </w:r>
          <w:r>
            <w:fldChar w:fldCharType="separate"/>
          </w:r>
          <w:r>
            <w:rPr>
              <w:rFonts w:hint="eastAsia" w:ascii="宋体" w:hAnsi="宋体" w:cs="宋体"/>
              <w:bCs/>
              <w:szCs w:val="28"/>
            </w:rPr>
            <w:t>一、报价一览表(报价表)（格式）</w:t>
          </w:r>
          <w:r>
            <w:tab/>
          </w:r>
          <w:r>
            <w:fldChar w:fldCharType="begin"/>
          </w:r>
          <w:r>
            <w:instrText xml:space="preserve"> PAGEREF _Toc18458 \h </w:instrText>
          </w:r>
          <w:r>
            <w:fldChar w:fldCharType="separate"/>
          </w:r>
          <w:r>
            <w:t>32</w:t>
          </w:r>
          <w:r>
            <w:fldChar w:fldCharType="end"/>
          </w:r>
          <w:r>
            <w:fldChar w:fldCharType="end"/>
          </w:r>
        </w:p>
        <w:p>
          <w:pPr>
            <w:pStyle w:val="24"/>
            <w:tabs>
              <w:tab w:val="right" w:leader="dot" w:pos="8306"/>
            </w:tabs>
          </w:pPr>
          <w:r>
            <w:fldChar w:fldCharType="begin"/>
          </w:r>
          <w:r>
            <w:instrText xml:space="preserve"> HYPERLINK \l "_Toc30897" </w:instrText>
          </w:r>
          <w:r>
            <w:fldChar w:fldCharType="separate"/>
          </w:r>
          <w:r>
            <w:rPr>
              <w:rFonts w:hint="eastAsia" w:ascii="宋体" w:hAnsi="宋体"/>
              <w:szCs w:val="28"/>
            </w:rPr>
            <w:t>二、供应商的资格证明文件</w:t>
          </w:r>
          <w:r>
            <w:tab/>
          </w:r>
          <w:r>
            <w:fldChar w:fldCharType="begin"/>
          </w:r>
          <w:r>
            <w:instrText xml:space="preserve"> PAGEREF _Toc30897 \h </w:instrText>
          </w:r>
          <w:r>
            <w:fldChar w:fldCharType="separate"/>
          </w:r>
          <w:r>
            <w:t>33</w:t>
          </w:r>
          <w:r>
            <w:fldChar w:fldCharType="end"/>
          </w:r>
          <w:r>
            <w:fldChar w:fldCharType="end"/>
          </w:r>
        </w:p>
        <w:p>
          <w:pPr>
            <w:pStyle w:val="24"/>
            <w:tabs>
              <w:tab w:val="right" w:leader="dot" w:pos="8306"/>
            </w:tabs>
          </w:pPr>
          <w:r>
            <w:fldChar w:fldCharType="begin"/>
          </w:r>
          <w:r>
            <w:instrText xml:space="preserve"> HYPERLINK \l "_Toc10745" </w:instrText>
          </w:r>
          <w:r>
            <w:fldChar w:fldCharType="separate"/>
          </w:r>
          <w:r>
            <w:rPr>
              <w:rFonts w:hint="eastAsia" w:hAnsi="宋体" w:cs="宋体"/>
              <w:szCs w:val="28"/>
            </w:rPr>
            <w:t>三、法定代表人授权委托书(格式）</w:t>
          </w:r>
          <w:r>
            <w:rPr>
              <w:rFonts w:hint="eastAsia" w:ascii="宋体" w:hAnsi="宋体" w:cs="宋体"/>
              <w:szCs w:val="21"/>
            </w:rPr>
            <w:t>（自然人投标的无需提供）</w:t>
          </w:r>
          <w:r>
            <w:tab/>
          </w:r>
          <w:r>
            <w:fldChar w:fldCharType="begin"/>
          </w:r>
          <w:r>
            <w:instrText xml:space="preserve"> PAGEREF _Toc10745 \h </w:instrText>
          </w:r>
          <w:r>
            <w:fldChar w:fldCharType="separate"/>
          </w:r>
          <w:r>
            <w:t>35</w:t>
          </w:r>
          <w:r>
            <w:fldChar w:fldCharType="end"/>
          </w:r>
          <w:r>
            <w:fldChar w:fldCharType="end"/>
          </w:r>
        </w:p>
        <w:p>
          <w:pPr>
            <w:pStyle w:val="24"/>
            <w:tabs>
              <w:tab w:val="right" w:leader="dot" w:pos="8306"/>
            </w:tabs>
          </w:pPr>
          <w:r>
            <w:fldChar w:fldCharType="begin"/>
          </w:r>
          <w:r>
            <w:instrText xml:space="preserve"> HYPERLINK \l "_Toc5930" </w:instrText>
          </w:r>
          <w:r>
            <w:fldChar w:fldCharType="separate"/>
          </w:r>
          <w:r>
            <w:rPr>
              <w:rFonts w:hint="eastAsia" w:ascii="宋体" w:hAnsi="宋体" w:cs="宋体"/>
              <w:szCs w:val="28"/>
            </w:rPr>
            <w:t>四、投标（响应）书（格式）</w:t>
          </w:r>
          <w:r>
            <w:tab/>
          </w:r>
          <w:r>
            <w:fldChar w:fldCharType="begin"/>
          </w:r>
          <w:r>
            <w:instrText xml:space="preserve"> PAGEREF _Toc5930 \h </w:instrText>
          </w:r>
          <w:r>
            <w:fldChar w:fldCharType="separate"/>
          </w:r>
          <w:r>
            <w:t>36</w:t>
          </w:r>
          <w:r>
            <w:fldChar w:fldCharType="end"/>
          </w:r>
          <w:r>
            <w:fldChar w:fldCharType="end"/>
          </w:r>
        </w:p>
        <w:p>
          <w:pPr>
            <w:pStyle w:val="24"/>
            <w:tabs>
              <w:tab w:val="right" w:leader="dot" w:pos="8306"/>
            </w:tabs>
          </w:pPr>
          <w:r>
            <w:fldChar w:fldCharType="begin"/>
          </w:r>
          <w:r>
            <w:instrText xml:space="preserve"> HYPERLINK \l "_Toc11754" </w:instrText>
          </w:r>
          <w:r>
            <w:fldChar w:fldCharType="separate"/>
          </w:r>
          <w:r>
            <w:rPr>
              <w:rFonts w:hint="eastAsia" w:ascii="宋体" w:hAnsi="宋体"/>
              <w:szCs w:val="28"/>
            </w:rPr>
            <w:t>五、盐城市政府采购事前信用承诺书（格式）</w:t>
          </w:r>
          <w:r>
            <w:tab/>
          </w:r>
          <w:r>
            <w:fldChar w:fldCharType="begin"/>
          </w:r>
          <w:r>
            <w:instrText xml:space="preserve"> PAGEREF _Toc11754 \h </w:instrText>
          </w:r>
          <w:r>
            <w:fldChar w:fldCharType="separate"/>
          </w:r>
          <w:r>
            <w:t>37</w:t>
          </w:r>
          <w:r>
            <w:fldChar w:fldCharType="end"/>
          </w:r>
          <w:r>
            <w:fldChar w:fldCharType="end"/>
          </w:r>
        </w:p>
        <w:p>
          <w:pPr>
            <w:pStyle w:val="24"/>
            <w:tabs>
              <w:tab w:val="right" w:leader="dot" w:pos="8306"/>
            </w:tabs>
          </w:pPr>
          <w:r>
            <w:fldChar w:fldCharType="begin"/>
          </w:r>
          <w:r>
            <w:instrText xml:space="preserve"> HYPERLINK \l "_Toc27234" </w:instrText>
          </w:r>
          <w:r>
            <w:fldChar w:fldCharType="separate"/>
          </w:r>
          <w:r>
            <w:rPr>
              <w:rFonts w:hint="eastAsia" w:ascii="宋体" w:hAnsi="宋体"/>
              <w:szCs w:val="28"/>
            </w:rPr>
            <w:t>六、商务条款偏离表（格式）</w:t>
          </w:r>
          <w:r>
            <w:tab/>
          </w:r>
          <w:r>
            <w:fldChar w:fldCharType="begin"/>
          </w:r>
          <w:r>
            <w:instrText xml:space="preserve"> PAGEREF _Toc27234 \h </w:instrText>
          </w:r>
          <w:r>
            <w:fldChar w:fldCharType="separate"/>
          </w:r>
          <w:r>
            <w:t>38</w:t>
          </w:r>
          <w:r>
            <w:fldChar w:fldCharType="end"/>
          </w:r>
          <w:r>
            <w:fldChar w:fldCharType="end"/>
          </w:r>
        </w:p>
        <w:p>
          <w:pPr>
            <w:pStyle w:val="24"/>
            <w:tabs>
              <w:tab w:val="right" w:leader="dot" w:pos="8306"/>
            </w:tabs>
          </w:pPr>
          <w:r>
            <w:fldChar w:fldCharType="begin"/>
          </w:r>
          <w:r>
            <w:instrText xml:space="preserve"> HYPERLINK \l "_Toc8133" </w:instrText>
          </w:r>
          <w:r>
            <w:fldChar w:fldCharType="separate"/>
          </w:r>
          <w:r>
            <w:rPr>
              <w:rFonts w:hint="eastAsia" w:ascii="宋体" w:hAnsi="宋体"/>
              <w:szCs w:val="28"/>
            </w:rPr>
            <w:t>七、投标（响应）分项报价表（格式）</w:t>
          </w:r>
          <w:r>
            <w:tab/>
          </w:r>
          <w:r>
            <w:fldChar w:fldCharType="begin"/>
          </w:r>
          <w:r>
            <w:instrText xml:space="preserve"> PAGEREF _Toc8133 \h </w:instrText>
          </w:r>
          <w:r>
            <w:fldChar w:fldCharType="separate"/>
          </w:r>
          <w:r>
            <w:t>39</w:t>
          </w:r>
          <w:r>
            <w:fldChar w:fldCharType="end"/>
          </w:r>
          <w:r>
            <w:fldChar w:fldCharType="end"/>
          </w:r>
        </w:p>
        <w:p>
          <w:pPr>
            <w:pStyle w:val="24"/>
            <w:tabs>
              <w:tab w:val="right" w:leader="dot" w:pos="8306"/>
            </w:tabs>
          </w:pPr>
          <w:r>
            <w:fldChar w:fldCharType="begin"/>
          </w:r>
          <w:r>
            <w:instrText xml:space="preserve"> HYPERLINK \l "_Toc14437" </w:instrText>
          </w:r>
          <w:r>
            <w:fldChar w:fldCharType="separate"/>
          </w:r>
          <w:r>
            <w:rPr>
              <w:rFonts w:hint="eastAsia"/>
              <w:szCs w:val="28"/>
            </w:rPr>
            <w:t>八、技术规格（采购需求）偏离表</w:t>
          </w:r>
          <w:r>
            <w:tab/>
          </w:r>
          <w:r>
            <w:fldChar w:fldCharType="begin"/>
          </w:r>
          <w:r>
            <w:instrText xml:space="preserve"> PAGEREF _Toc14437 \h </w:instrText>
          </w:r>
          <w:r>
            <w:fldChar w:fldCharType="separate"/>
          </w:r>
          <w:r>
            <w:t>40</w:t>
          </w:r>
          <w:r>
            <w:fldChar w:fldCharType="end"/>
          </w:r>
          <w:r>
            <w:fldChar w:fldCharType="end"/>
          </w:r>
        </w:p>
        <w:p>
          <w:pPr>
            <w:pStyle w:val="52"/>
            <w:jc w:val="both"/>
            <w:sectPr>
              <w:pgSz w:w="11906" w:h="16838"/>
              <w:pgMar w:top="1134" w:right="1134" w:bottom="1134" w:left="1134" w:header="851" w:footer="992" w:gutter="0"/>
              <w:cols w:space="425" w:num="1"/>
              <w:docGrid w:type="lines" w:linePitch="312" w:charSpace="0"/>
            </w:sectPr>
          </w:pPr>
          <w:r>
            <w:rPr>
              <w:b/>
              <w:bCs/>
              <w:lang w:val="zh-CN"/>
            </w:rPr>
            <w:fldChar w:fldCharType="end"/>
          </w:r>
        </w:p>
      </w:sdtContent>
    </w:sdt>
    <w:p>
      <w:pPr>
        <w:spacing w:line="480" w:lineRule="auto"/>
        <w:jc w:val="center"/>
        <w:outlineLvl w:val="0"/>
        <w:rPr>
          <w:rFonts w:ascii="宋体" w:hAnsi="宋体" w:cs="宋体"/>
          <w:b/>
          <w:color w:val="000000"/>
          <w:sz w:val="24"/>
          <w:szCs w:val="21"/>
        </w:rPr>
      </w:pPr>
      <w:bookmarkStart w:id="0" w:name="_Toc10208"/>
      <w:r>
        <w:rPr>
          <w:rFonts w:hint="eastAsia" w:ascii="宋体" w:hAnsi="宋体" w:cs="宋体"/>
          <w:b/>
          <w:color w:val="000000"/>
          <w:sz w:val="24"/>
          <w:szCs w:val="21"/>
        </w:rPr>
        <w:t>第一章 采购公告</w:t>
      </w:r>
      <w:bookmarkEnd w:id="0"/>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江苏医药职业学院人工智能实训室建设项目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w:t>
      </w:r>
      <w:r>
        <w:rPr>
          <w:rFonts w:hint="eastAsia" w:ascii="宋体" w:hAnsi="宋体"/>
          <w:b/>
          <w:bCs/>
          <w:szCs w:val="21"/>
          <w:u w:val="single"/>
          <w:lang w:val="en-US" w:eastAsia="zh-CN"/>
        </w:rPr>
        <w:t>8</w:t>
      </w:r>
      <w:r>
        <w:rPr>
          <w:rFonts w:hint="eastAsia" w:ascii="宋体" w:hAnsi="宋体"/>
          <w:b/>
          <w:bCs/>
          <w:szCs w:val="21"/>
          <w:u w:val="single"/>
        </w:rPr>
        <w:t>月</w:t>
      </w:r>
      <w:r>
        <w:rPr>
          <w:rFonts w:hint="eastAsia" w:ascii="宋体" w:hAnsi="宋体"/>
          <w:b/>
          <w:bCs/>
          <w:szCs w:val="21"/>
          <w:u w:val="single"/>
          <w:lang w:val="en-US" w:eastAsia="zh-CN"/>
        </w:rPr>
        <w:t>22</w:t>
      </w:r>
      <w:r>
        <w:rPr>
          <w:rFonts w:hint="eastAsia" w:ascii="宋体" w:hAnsi="宋体"/>
          <w:b/>
          <w:bCs/>
          <w:szCs w:val="21"/>
          <w:u w:val="single"/>
        </w:rPr>
        <w:t>日15点00分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bookmarkStart w:id="1" w:name="_Toc28359089"/>
      <w:bookmarkStart w:id="2" w:name="_Toc35393629"/>
      <w:bookmarkStart w:id="3" w:name="_Toc35393798"/>
      <w:bookmarkStart w:id="4" w:name="_Toc28359012"/>
    </w:p>
    <w:bookmarkEnd w:id="1"/>
    <w:bookmarkEnd w:id="2"/>
    <w:bookmarkEnd w:id="3"/>
    <w:bookmarkEnd w:id="4"/>
    <w:p>
      <w:pPr>
        <w:spacing w:line="336" w:lineRule="auto"/>
        <w:ind w:firstLine="422" w:firstLineChars="200"/>
        <w:outlineLvl w:val="1"/>
        <w:rPr>
          <w:rFonts w:ascii="宋体" w:hAnsi="宋体" w:cs="宋体"/>
          <w:b/>
        </w:rPr>
      </w:pPr>
      <w:r>
        <w:rPr>
          <w:rFonts w:hint="eastAsia" w:ascii="宋体" w:hAnsi="宋体" w:cs="宋体"/>
          <w:b/>
        </w:rPr>
        <w:t>一、项目基本情况</w:t>
      </w:r>
    </w:p>
    <w:p>
      <w:pPr>
        <w:spacing w:line="336" w:lineRule="auto"/>
        <w:ind w:firstLine="420" w:firstLineChars="200"/>
        <w:rPr>
          <w:rFonts w:ascii="宋体" w:hAnsi="宋体" w:cs="宋体"/>
          <w:szCs w:val="21"/>
        </w:rPr>
      </w:pPr>
      <w:r>
        <w:rPr>
          <w:rFonts w:hint="eastAsia" w:ascii="宋体" w:hAnsi="宋体" w:cs="宋体"/>
          <w:szCs w:val="21"/>
        </w:rPr>
        <w:t>项目编号：SY2023-032-HW-JC</w:t>
      </w:r>
    </w:p>
    <w:p>
      <w:pPr>
        <w:spacing w:line="336" w:lineRule="auto"/>
        <w:ind w:firstLine="420" w:firstLineChars="200"/>
        <w:rPr>
          <w:rFonts w:ascii="宋体" w:hAnsi="宋体" w:cs="宋体"/>
          <w:szCs w:val="21"/>
        </w:rPr>
      </w:pPr>
      <w:r>
        <w:rPr>
          <w:rFonts w:hint="eastAsia" w:ascii="宋体" w:hAnsi="宋体" w:cs="宋体"/>
          <w:szCs w:val="21"/>
        </w:rPr>
        <w:t>项目名称：江苏医药职业学院人工智能实训室建设项目</w:t>
      </w:r>
    </w:p>
    <w:p>
      <w:pPr>
        <w:spacing w:line="336" w:lineRule="auto"/>
        <w:ind w:firstLine="420" w:firstLineChars="200"/>
        <w:rPr>
          <w:rFonts w:ascii="宋体" w:hAnsi="宋体" w:cs="宋体"/>
        </w:rPr>
      </w:pPr>
      <w:r>
        <w:rPr>
          <w:rFonts w:hint="eastAsia" w:ascii="宋体" w:hAnsi="宋体" w:cs="宋体"/>
        </w:rPr>
        <w:t>采购方式：竞争性磋商</w:t>
      </w:r>
    </w:p>
    <w:p>
      <w:pPr>
        <w:spacing w:line="336" w:lineRule="auto"/>
        <w:ind w:firstLine="422" w:firstLineChars="200"/>
        <w:rPr>
          <w:rFonts w:ascii="宋体" w:hAnsi="宋体" w:cs="宋体"/>
          <w:szCs w:val="21"/>
        </w:rPr>
      </w:pPr>
      <w:r>
        <w:rPr>
          <w:rFonts w:hint="eastAsia" w:ascii="宋体" w:hAnsi="宋体" w:cs="宋体"/>
          <w:b/>
          <w:szCs w:val="21"/>
        </w:rPr>
        <w:t>基本概况：</w:t>
      </w:r>
      <w:r>
        <w:rPr>
          <w:rFonts w:hint="eastAsia" w:ascii="宋体" w:hAnsi="宋体" w:cs="宋体"/>
          <w:szCs w:val="21"/>
        </w:rPr>
        <w:t>医学影像学院需采购相关设备建设人工智能实训室,具体技术需求详见采购文件；</w:t>
      </w:r>
    </w:p>
    <w:p>
      <w:pPr>
        <w:spacing w:line="336" w:lineRule="auto"/>
        <w:ind w:firstLine="422" w:firstLineChars="200"/>
        <w:rPr>
          <w:rFonts w:ascii="宋体" w:hAnsi="宋体" w:cs="宋体"/>
          <w:color w:val="auto"/>
          <w:szCs w:val="21"/>
        </w:rPr>
      </w:pPr>
      <w:r>
        <w:rPr>
          <w:rFonts w:hint="eastAsia" w:ascii="宋体" w:hAnsi="宋体" w:cs="宋体"/>
          <w:b/>
          <w:bCs/>
          <w:color w:val="auto"/>
          <w:szCs w:val="21"/>
        </w:rPr>
        <w:t>最高预算（最高限价）：</w:t>
      </w:r>
      <w:r>
        <w:rPr>
          <w:rFonts w:hint="eastAsia" w:ascii="宋体" w:hAnsi="宋体" w:cs="宋体"/>
          <w:color w:val="auto"/>
          <w:szCs w:val="21"/>
          <w:u w:val="single"/>
        </w:rPr>
        <w:t>61</w:t>
      </w:r>
      <w:r>
        <w:rPr>
          <w:rFonts w:hint="eastAsia" w:ascii="宋体" w:hAnsi="宋体" w:cs="宋体"/>
          <w:color w:val="auto"/>
          <w:szCs w:val="21"/>
        </w:rPr>
        <w:t>万元；报价超过最高限价的为无效报价，按照无效响应处理；</w:t>
      </w:r>
    </w:p>
    <w:p>
      <w:pPr>
        <w:spacing w:line="336" w:lineRule="auto"/>
        <w:ind w:firstLine="422" w:firstLineChars="200"/>
        <w:rPr>
          <w:rFonts w:ascii="宋体" w:hAnsi="宋体" w:cs="宋体"/>
          <w:color w:val="auto"/>
          <w:szCs w:val="21"/>
        </w:rPr>
      </w:pPr>
      <w:r>
        <w:rPr>
          <w:rFonts w:hint="eastAsia" w:ascii="宋体" w:hAnsi="宋体" w:cs="宋体"/>
          <w:b/>
          <w:bCs/>
          <w:color w:val="auto"/>
          <w:szCs w:val="21"/>
        </w:rPr>
        <w:t>工期：</w:t>
      </w:r>
      <w:r>
        <w:rPr>
          <w:rFonts w:hint="eastAsia" w:ascii="宋体" w:hAnsi="宋体" w:cs="宋体"/>
          <w:color w:val="auto"/>
          <w:szCs w:val="21"/>
        </w:rPr>
        <w:t>自合同签订之日起，国产设备</w:t>
      </w:r>
      <w:r>
        <w:rPr>
          <w:rFonts w:hint="eastAsia" w:ascii="宋体" w:hAnsi="宋体" w:cs="宋体"/>
          <w:color w:val="auto"/>
          <w:szCs w:val="21"/>
          <w:u w:val="single"/>
        </w:rPr>
        <w:t>35</w:t>
      </w:r>
      <w:r>
        <w:rPr>
          <w:rFonts w:hint="eastAsia" w:ascii="宋体" w:hAnsi="宋体" w:cs="宋体"/>
          <w:color w:val="auto"/>
          <w:szCs w:val="21"/>
        </w:rPr>
        <w:t>日历天供货、安装完毕；</w:t>
      </w:r>
    </w:p>
    <w:p>
      <w:pPr>
        <w:spacing w:line="336" w:lineRule="auto"/>
        <w:ind w:firstLine="422" w:firstLineChars="200"/>
        <w:rPr>
          <w:rFonts w:ascii="宋体" w:hAnsi="宋体" w:cs="宋体"/>
          <w:color w:val="auto"/>
          <w:szCs w:val="21"/>
        </w:rPr>
      </w:pPr>
      <w:r>
        <w:rPr>
          <w:rFonts w:hint="eastAsia" w:ascii="宋体" w:hAnsi="宋体" w:cs="宋体"/>
          <w:b/>
          <w:bCs/>
          <w:color w:val="auto"/>
          <w:szCs w:val="21"/>
        </w:rPr>
        <w:t>质保期：</w:t>
      </w:r>
      <w:r>
        <w:rPr>
          <w:rFonts w:ascii="宋体" w:hAnsi="宋体" w:cs="宋体"/>
          <w:color w:val="auto"/>
          <w:szCs w:val="21"/>
        </w:rPr>
        <w:t>≥</w:t>
      </w:r>
      <w:r>
        <w:rPr>
          <w:rFonts w:hint="eastAsia" w:ascii="宋体" w:hAnsi="宋体" w:cs="宋体"/>
          <w:color w:val="auto"/>
          <w:szCs w:val="21"/>
        </w:rPr>
        <w:t>3年；质保期自验收合格之日起计算。</w:t>
      </w:r>
      <w:bookmarkStart w:id="5" w:name="_Toc28359013"/>
      <w:bookmarkStart w:id="6" w:name="_Toc28359090"/>
      <w:bookmarkStart w:id="7" w:name="_Toc35393630"/>
      <w:bookmarkStart w:id="8" w:name="_Toc35393799"/>
    </w:p>
    <w:p>
      <w:pPr>
        <w:spacing w:line="336" w:lineRule="auto"/>
        <w:ind w:firstLine="422" w:firstLineChars="200"/>
        <w:outlineLvl w:val="1"/>
        <w:rPr>
          <w:rFonts w:ascii="宋体" w:hAnsi="宋体" w:cs="宋体"/>
          <w:b/>
        </w:rPr>
      </w:pPr>
      <w:r>
        <w:rPr>
          <w:rFonts w:hint="eastAsia" w:ascii="宋体" w:hAnsi="宋体" w:cs="宋体"/>
          <w:b/>
        </w:rPr>
        <w:t>二、申请人（供应商）的资格要求（具体证明材料见响应文件格式）：</w:t>
      </w:r>
      <w:bookmarkEnd w:id="5"/>
      <w:bookmarkEnd w:id="6"/>
      <w:bookmarkEnd w:id="7"/>
      <w:bookmarkEnd w:id="8"/>
    </w:p>
    <w:p>
      <w:pPr>
        <w:spacing w:line="33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33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33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33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33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33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33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336" w:lineRule="auto"/>
        <w:ind w:firstLine="420" w:firstLineChars="200"/>
        <w:rPr>
          <w:rFonts w:ascii="宋体" w:hAnsi="宋体" w:cs="宋体"/>
          <w:szCs w:val="21"/>
        </w:rPr>
      </w:pPr>
      <w:r>
        <w:rPr>
          <w:rFonts w:hint="eastAsia" w:ascii="宋体" w:hAnsi="宋体" w:cs="宋体"/>
          <w:szCs w:val="21"/>
        </w:rPr>
        <w:t>2.落实政府采购政策需满足的资格要求：</w:t>
      </w:r>
      <w:bookmarkStart w:id="9" w:name="_Toc28359091"/>
      <w:bookmarkStart w:id="10" w:name="_Toc35393800"/>
      <w:bookmarkStart w:id="11" w:name="_Toc28359014"/>
      <w:bookmarkStart w:id="12" w:name="_Toc35393631"/>
      <w:r>
        <w:rPr>
          <w:rFonts w:hint="eastAsia" w:ascii="宋体" w:hAnsi="宋体" w:cs="宋体"/>
          <w:szCs w:val="21"/>
        </w:rPr>
        <w:t>无。</w:t>
      </w:r>
    </w:p>
    <w:p>
      <w:pPr>
        <w:spacing w:line="33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本项目的特定资格要求：无。</w:t>
      </w:r>
    </w:p>
    <w:p>
      <w:pPr>
        <w:spacing w:line="336" w:lineRule="auto"/>
        <w:ind w:firstLine="420" w:firstLineChars="200"/>
      </w:pPr>
      <w:r>
        <w:rPr>
          <w:rFonts w:hint="eastAsia" w:ascii="宋体" w:hAnsi="宋体" w:cs="宋体"/>
          <w:szCs w:val="21"/>
        </w:rPr>
        <w:t>4.供应商</w:t>
      </w:r>
      <w:r>
        <w:rPr>
          <w:rFonts w:hint="eastAsia" w:ascii="宋体" w:hAnsi="宋体" w:cs="宋体"/>
          <w:szCs w:val="21"/>
          <w:lang w:val="en-US" w:eastAsia="zh-CN"/>
        </w:rPr>
        <w:t>未</w:t>
      </w:r>
      <w:r>
        <w:rPr>
          <w:rFonts w:hint="eastAsia" w:ascii="宋体" w:hAnsi="宋体" w:cs="宋体"/>
          <w:szCs w:val="21"/>
        </w:rPr>
        <w:t>被“信用中国”网站(www.creditchina.gov.cn)、“中国政府采购网”(www.ccgp.gov.cn)列入失信被执行人、重大税收违法案件当事人名单、政府采购严重违法失信行为记录名单。</w:t>
      </w:r>
    </w:p>
    <w:p>
      <w:pPr>
        <w:spacing w:line="336" w:lineRule="auto"/>
        <w:ind w:firstLine="422" w:firstLineChars="200"/>
        <w:outlineLvl w:val="1"/>
        <w:rPr>
          <w:rFonts w:ascii="宋体" w:hAnsi="宋体" w:cs="宋体"/>
          <w:b/>
        </w:rPr>
      </w:pPr>
      <w:r>
        <w:rPr>
          <w:rFonts w:hint="eastAsia" w:ascii="宋体" w:hAnsi="宋体" w:cs="宋体"/>
          <w:b/>
        </w:rPr>
        <w:t>三、获取采购文件</w:t>
      </w:r>
      <w:bookmarkEnd w:id="9"/>
      <w:bookmarkEnd w:id="10"/>
      <w:bookmarkEnd w:id="11"/>
      <w:bookmarkEnd w:id="12"/>
    </w:p>
    <w:p>
      <w:pPr>
        <w:spacing w:line="336" w:lineRule="auto"/>
        <w:ind w:firstLine="420" w:firstLineChars="200"/>
        <w:rPr>
          <w:rFonts w:ascii="宋体" w:hAnsi="宋体" w:cs="宋体"/>
          <w:u w:val="single"/>
        </w:rPr>
      </w:pPr>
      <w:r>
        <w:rPr>
          <w:rFonts w:hint="eastAsia" w:ascii="宋体" w:hAnsi="宋体" w:cs="宋体"/>
          <w:u w:val="single"/>
        </w:rPr>
        <w:t>时间：2023年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10</w:t>
      </w:r>
      <w:r>
        <w:rPr>
          <w:rFonts w:hint="eastAsia" w:ascii="宋体" w:hAnsi="宋体" w:cs="宋体"/>
          <w:u w:val="single"/>
        </w:rPr>
        <w:t>日至2023年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16</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33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336" w:lineRule="auto"/>
        <w:ind w:firstLine="420" w:firstLineChars="200"/>
        <w:rPr>
          <w:rFonts w:ascii="宋体" w:hAnsi="宋体" w:cs="宋体"/>
          <w:bCs/>
          <w:szCs w:val="21"/>
        </w:rPr>
      </w:pPr>
      <w:bookmarkStart w:id="13" w:name="_Toc35393801"/>
      <w:bookmarkStart w:id="14" w:name="_Toc35393632"/>
      <w:bookmarkStart w:id="15" w:name="_Toc28359015"/>
      <w:bookmarkStart w:id="16" w:name="_Toc28359092"/>
      <w:r>
        <w:rPr>
          <w:rFonts w:hint="eastAsia" w:ascii="宋体" w:hAnsi="宋体" w:cs="宋体"/>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0" w:firstLineChars="200"/>
        <w:rPr>
          <w:rFonts w:ascii="宋体" w:hAnsi="宋体"/>
          <w:bCs/>
          <w:szCs w:val="21"/>
        </w:rPr>
      </w:pPr>
      <w:r>
        <w:rPr>
          <w:rFonts w:hint="eastAsia" w:ascii="宋体" w:hAnsi="宋体"/>
          <w:bCs/>
          <w:szCs w:val="21"/>
        </w:rPr>
        <w:t>售价：500元，售后不退；交纳方式：现金、支付宝（18662096009）等</w:t>
      </w:r>
      <w:bookmarkEnd w:id="13"/>
      <w:bookmarkEnd w:id="14"/>
      <w:bookmarkEnd w:id="15"/>
      <w:bookmarkEnd w:id="16"/>
      <w:bookmarkStart w:id="17" w:name="_Toc28359082"/>
      <w:bookmarkStart w:id="18" w:name="_Toc28359005"/>
      <w:bookmarkStart w:id="19" w:name="_Toc35393793"/>
      <w:bookmarkStart w:id="20" w:name="_Toc35393624"/>
      <w:bookmarkStart w:id="21" w:name="_Toc35393802"/>
      <w:bookmarkStart w:id="22" w:name="_Toc35393633"/>
      <w:bookmarkStart w:id="23" w:name="_Toc28359093"/>
      <w:bookmarkStart w:id="24" w:name="_Toc28359016"/>
      <w:bookmarkStart w:id="25" w:name="_Toc35393795"/>
      <w:bookmarkStart w:id="26" w:name="_Toc35393626"/>
      <w:bookmarkStart w:id="27" w:name="_Toc35393635"/>
      <w:bookmarkStart w:id="28" w:name="_Toc35393804"/>
    </w:p>
    <w:p>
      <w:pPr>
        <w:spacing w:line="336" w:lineRule="auto"/>
        <w:ind w:firstLine="422" w:firstLineChars="200"/>
        <w:rPr>
          <w:rFonts w:ascii="宋体" w:hAnsi="宋体"/>
          <w:b/>
          <w:szCs w:val="22"/>
        </w:rPr>
      </w:pPr>
      <w:r>
        <w:rPr>
          <w:rFonts w:hint="eastAsia" w:ascii="宋体" w:hAnsi="宋体"/>
          <w:b/>
          <w:szCs w:val="22"/>
        </w:rPr>
        <w:t>四、提交投标文件</w:t>
      </w:r>
      <w:bookmarkEnd w:id="17"/>
      <w:bookmarkEnd w:id="18"/>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19"/>
      <w:bookmarkEnd w:id="20"/>
    </w:p>
    <w:p>
      <w:pPr>
        <w:spacing w:line="336" w:lineRule="auto"/>
        <w:ind w:firstLine="420" w:firstLineChars="200"/>
        <w:rPr>
          <w:rFonts w:ascii="宋体" w:hAnsi="宋体" w:cs="宋体"/>
          <w:u w:val="single"/>
        </w:rPr>
      </w:pPr>
      <w:r>
        <w:rPr>
          <w:rFonts w:hint="eastAsia" w:ascii="宋体" w:hAnsi="宋体" w:cs="宋体"/>
          <w:u w:val="single"/>
        </w:rPr>
        <w:t>时间：2023年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日15点00分（北京时间）（逾期送达的为无效文件）</w:t>
      </w:r>
    </w:p>
    <w:p>
      <w:pPr>
        <w:spacing w:line="336" w:lineRule="auto"/>
        <w:ind w:firstLine="420" w:firstLineChars="200"/>
        <w:rPr>
          <w:rFonts w:ascii="宋体" w:hAnsi="宋体" w:cs="宋体"/>
          <w:u w:val="single"/>
        </w:rPr>
      </w:pPr>
      <w:r>
        <w:rPr>
          <w:rFonts w:hint="eastAsia" w:ascii="宋体" w:hAnsi="宋体" w:cs="宋体"/>
          <w:u w:val="single"/>
        </w:rPr>
        <w:t>地点：江苏医药职业学院（盐城市解放南路283号）行政楼210室。</w:t>
      </w:r>
    </w:p>
    <w:p>
      <w:pPr>
        <w:spacing w:line="336" w:lineRule="auto"/>
        <w:ind w:firstLine="422" w:firstLineChars="200"/>
        <w:rPr>
          <w:rFonts w:ascii="宋体" w:hAnsi="宋体" w:cs="宋体"/>
          <w:b/>
          <w:bCs w:val="0"/>
          <w:szCs w:val="21"/>
        </w:rPr>
      </w:pPr>
      <w:r>
        <w:rPr>
          <w:rFonts w:hint="eastAsia" w:ascii="宋体" w:hAnsi="宋体" w:cs="宋体"/>
          <w:b/>
          <w:bCs w:val="0"/>
          <w:szCs w:val="21"/>
        </w:rPr>
        <w:t>注：本项目开标方式为不见面开标</w:t>
      </w:r>
    </w:p>
    <w:p>
      <w:pPr>
        <w:spacing w:line="336" w:lineRule="auto"/>
        <w:ind w:firstLine="422" w:firstLineChars="200"/>
        <w:rPr>
          <w:rFonts w:ascii="宋体" w:hAnsi="宋体" w:cs="宋体"/>
          <w:b/>
          <w:bCs w:val="0"/>
          <w:szCs w:val="21"/>
        </w:rPr>
      </w:pPr>
      <w:r>
        <w:rPr>
          <w:rFonts w:hint="eastAsia" w:ascii="宋体" w:hAnsi="宋体" w:cs="宋体"/>
          <w:b/>
          <w:bCs w:val="0"/>
          <w:szCs w:val="21"/>
        </w:rPr>
        <w:t>（邮寄或提前现场送达地点：盐城市府西路华邦国际西厦A区（东）302室，联系人：施婷婷；电话：13270072015；时间建议在</w:t>
      </w:r>
      <w:r>
        <w:rPr>
          <w:rFonts w:hint="eastAsia" w:ascii="宋体" w:hAnsi="宋体" w:cs="宋体"/>
          <w:b/>
          <w:bCs w:val="0"/>
          <w:u w:val="single"/>
        </w:rPr>
        <w:t>2023年</w:t>
      </w:r>
      <w:r>
        <w:rPr>
          <w:rFonts w:hint="eastAsia" w:ascii="宋体" w:hAnsi="宋体" w:cs="宋体"/>
          <w:b/>
          <w:bCs w:val="0"/>
          <w:u w:val="single"/>
          <w:lang w:val="en-US" w:eastAsia="zh-CN"/>
        </w:rPr>
        <w:t>8</w:t>
      </w:r>
      <w:r>
        <w:rPr>
          <w:rFonts w:hint="eastAsia" w:ascii="宋体" w:hAnsi="宋体" w:cs="宋体"/>
          <w:b/>
          <w:bCs w:val="0"/>
          <w:u w:val="single"/>
        </w:rPr>
        <w:t>月</w:t>
      </w:r>
      <w:r>
        <w:rPr>
          <w:rFonts w:hint="eastAsia" w:ascii="宋体" w:hAnsi="宋体" w:cs="宋体"/>
          <w:b/>
          <w:bCs w:val="0"/>
          <w:u w:val="single"/>
          <w:lang w:val="en-US" w:eastAsia="zh-CN"/>
        </w:rPr>
        <w:t>22</w:t>
      </w:r>
      <w:r>
        <w:rPr>
          <w:rFonts w:hint="eastAsia" w:ascii="宋体" w:hAnsi="宋体" w:cs="宋体"/>
          <w:b/>
          <w:bCs w:val="0"/>
          <w:u w:val="single"/>
        </w:rPr>
        <w:t>日</w:t>
      </w:r>
      <w:r>
        <w:rPr>
          <w:rFonts w:hint="eastAsia" w:ascii="宋体" w:hAnsi="宋体" w:cs="宋体"/>
          <w:b/>
          <w:bCs w:val="0"/>
          <w:u w:val="single"/>
          <w:lang w:val="en-US" w:eastAsia="zh-CN"/>
        </w:rPr>
        <w:t>上</w:t>
      </w:r>
      <w:r>
        <w:rPr>
          <w:rFonts w:hint="eastAsia" w:ascii="宋体" w:hAnsi="宋体" w:cs="宋体"/>
          <w:b/>
          <w:bCs w:val="0"/>
          <w:u w:val="single"/>
        </w:rPr>
        <w:t>午</w:t>
      </w:r>
      <w:r>
        <w:rPr>
          <w:rFonts w:hint="eastAsia" w:ascii="宋体" w:hAnsi="宋体" w:cs="宋体"/>
          <w:b/>
          <w:bCs w:val="0"/>
          <w:u w:val="single"/>
          <w:lang w:val="en-US" w:eastAsia="zh-CN"/>
        </w:rPr>
        <w:t>9点00分</w:t>
      </w:r>
      <w:r>
        <w:rPr>
          <w:rFonts w:hint="eastAsia" w:ascii="宋体" w:hAnsi="宋体" w:cs="宋体"/>
          <w:b/>
          <w:bCs w:val="0"/>
          <w:u w:val="single"/>
        </w:rPr>
        <w:t>送达）。</w:t>
      </w:r>
    </w:p>
    <w:p>
      <w:pPr>
        <w:spacing w:line="336" w:lineRule="auto"/>
        <w:ind w:firstLine="422" w:firstLineChars="200"/>
        <w:rPr>
          <w:rFonts w:ascii="宋体" w:hAnsi="宋体" w:cs="宋体"/>
          <w:b/>
          <w:bCs w:val="0"/>
        </w:rPr>
      </w:pPr>
      <w:r>
        <w:rPr>
          <w:rFonts w:hint="eastAsia" w:ascii="宋体" w:hAnsi="宋体" w:cs="宋体"/>
          <w:b/>
          <w:bCs w:val="0"/>
          <w:szCs w:val="21"/>
        </w:rPr>
        <w:t>投标文件可以邮寄或提前现场送达的方式递交（密封完好，响应文件提交截止时间前，</w:t>
      </w:r>
      <w:r>
        <w:rPr>
          <w:rFonts w:hint="eastAsia" w:ascii="宋体" w:hAnsi="宋体" w:cs="宋体"/>
          <w:b/>
          <w:bCs w:val="0"/>
          <w:u w:val="single"/>
        </w:rPr>
        <w:t>投标文件送达现场的，投标人不需要在现场等待），最后报价由代理公司另行通知（腾讯会议号在收到投标文件后发送到报名邮箱）</w:t>
      </w:r>
      <w:r>
        <w:rPr>
          <w:rFonts w:hint="eastAsia" w:ascii="宋体" w:hAnsi="宋体" w:cs="宋体"/>
          <w:b/>
          <w:bCs w:val="0"/>
        </w:rPr>
        <w:t>；</w:t>
      </w:r>
    </w:p>
    <w:p>
      <w:pPr>
        <w:spacing w:line="336" w:lineRule="auto"/>
        <w:ind w:firstLine="422" w:firstLineChars="200"/>
        <w:rPr>
          <w:rFonts w:ascii="宋体" w:hAnsi="宋体" w:cs="宋体"/>
          <w:b/>
          <w:bCs w:val="0"/>
          <w:szCs w:val="21"/>
        </w:rPr>
      </w:pPr>
      <w:r>
        <w:rPr>
          <w:rFonts w:hint="eastAsia" w:ascii="宋体" w:hAnsi="宋体" w:cs="宋体"/>
          <w:b/>
          <w:bCs w:val="0"/>
          <w:szCs w:val="21"/>
        </w:rPr>
        <w:t>邮寄方式递交的投标文件以快递签收时间为准（建议提前邮寄），快递风险自行承担，逾期或密封不完整的不予接收，如因此造成供应商权益受到损害的等影响的，均由供应商自负（视为供应商过错）。</w:t>
      </w:r>
    </w:p>
    <w:p>
      <w:pPr>
        <w:spacing w:line="336" w:lineRule="auto"/>
        <w:ind w:firstLine="422" w:firstLineChars="200"/>
        <w:rPr>
          <w:rFonts w:ascii="宋体" w:hAnsi="宋体" w:cs="宋体"/>
          <w:b/>
          <w:u w:val="single"/>
        </w:rPr>
      </w:pPr>
      <w:r>
        <w:rPr>
          <w:rFonts w:hint="eastAsia" w:ascii="宋体" w:hAnsi="宋体" w:cs="宋体"/>
          <w:b/>
          <w:bCs/>
          <w:u w:val="single"/>
        </w:rPr>
        <w:t>五、开启</w:t>
      </w:r>
      <w:bookmarkEnd w:id="21"/>
      <w:bookmarkEnd w:id="22"/>
      <w:bookmarkEnd w:id="23"/>
      <w:bookmarkEnd w:id="24"/>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22</w:t>
      </w:r>
      <w:r>
        <w:rPr>
          <w:rFonts w:hint="eastAsia" w:ascii="宋体" w:hAnsi="宋体" w:cs="宋体"/>
          <w:b/>
          <w:u w:val="single"/>
        </w:rPr>
        <w:t>日15点00分</w:t>
      </w:r>
      <w:r>
        <w:rPr>
          <w:rFonts w:hint="eastAsia" w:ascii="宋体" w:hAnsi="宋体" w:cs="宋体"/>
          <w:b/>
          <w:bCs/>
          <w:u w:val="single"/>
        </w:rPr>
        <w:t>（北京时间）</w:t>
      </w:r>
      <w:r>
        <w:rPr>
          <w:rFonts w:hint="eastAsia" w:ascii="宋体" w:hAnsi="宋体" w:cs="宋体"/>
          <w:b/>
          <w:u w:val="single"/>
        </w:rPr>
        <w:t>（逾期送达的为无效文件）</w:t>
      </w:r>
    </w:p>
    <w:p>
      <w:pPr>
        <w:spacing w:line="336" w:lineRule="auto"/>
        <w:ind w:firstLine="420" w:firstLineChars="200"/>
        <w:rPr>
          <w:rFonts w:ascii="宋体" w:hAnsi="宋体" w:cs="宋体"/>
          <w:u w:val="single"/>
        </w:rPr>
      </w:pPr>
      <w:r>
        <w:rPr>
          <w:rFonts w:hint="eastAsia" w:ascii="宋体" w:hAnsi="宋体" w:cs="宋体"/>
          <w:u w:val="single"/>
        </w:rPr>
        <w:t>地点：江苏医药职业学院（盐城市解放南路283号）行政楼210室。</w:t>
      </w:r>
    </w:p>
    <w:p>
      <w:pPr>
        <w:spacing w:line="336" w:lineRule="auto"/>
        <w:ind w:firstLine="422" w:firstLineChars="200"/>
        <w:rPr>
          <w:rFonts w:ascii="宋体" w:hAnsi="宋体" w:cs="宋体"/>
          <w:b/>
          <w:bCs/>
        </w:rPr>
      </w:pPr>
      <w:r>
        <w:rPr>
          <w:rFonts w:hint="eastAsia" w:ascii="宋体" w:hAnsi="宋体" w:cs="宋体"/>
          <w:b/>
        </w:rPr>
        <w:t>六、公告期限</w:t>
      </w:r>
      <w:r>
        <w:rPr>
          <w:rFonts w:hint="eastAsia" w:ascii="宋体" w:hAnsi="宋体" w:cs="宋体"/>
          <w:b/>
          <w:bCs/>
        </w:rPr>
        <w:t>：</w:t>
      </w:r>
    </w:p>
    <w:p>
      <w:pPr>
        <w:spacing w:line="336" w:lineRule="auto"/>
        <w:ind w:firstLine="420" w:firstLineChars="200"/>
        <w:jc w:val="left"/>
        <w:rPr>
          <w:rFonts w:ascii="宋体" w:hAnsi="宋体" w:cs="宋体"/>
          <w:kern w:val="0"/>
        </w:rPr>
      </w:pPr>
      <w:r>
        <w:rPr>
          <w:rFonts w:hint="eastAsia" w:ascii="宋体" w:hAnsi="宋体" w:cs="宋体"/>
          <w:kern w:val="0"/>
        </w:rPr>
        <w:t>自本公告发布之日起3个工作日(“江苏医药职业学院网站”)</w:t>
      </w:r>
    </w:p>
    <w:p>
      <w:pPr>
        <w:spacing w:line="336" w:lineRule="auto"/>
        <w:ind w:firstLine="422" w:firstLineChars="200"/>
        <w:jc w:val="left"/>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5"/>
    <w:bookmarkEnd w:id="26"/>
    <w:p>
      <w:pPr>
        <w:spacing w:line="336" w:lineRule="auto"/>
        <w:ind w:firstLine="420" w:firstLineChars="200"/>
        <w:rPr>
          <w:rFonts w:ascii="宋体" w:hAnsi="宋体" w:cs="宋体"/>
          <w:szCs w:val="21"/>
        </w:rPr>
      </w:pPr>
      <w:bookmarkStart w:id="29" w:name="_Toc28359085"/>
      <w:bookmarkStart w:id="30" w:name="_Toc35393796"/>
      <w:bookmarkStart w:id="31" w:name="_Toc35393627"/>
      <w:bookmarkStart w:id="32"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336" w:lineRule="auto"/>
        <w:ind w:firstLine="630" w:firstLineChars="300"/>
        <w:rPr>
          <w:rFonts w:ascii="宋体" w:hAnsi="宋体" w:cs="宋体"/>
          <w:szCs w:val="21"/>
        </w:rPr>
      </w:pPr>
      <w:r>
        <w:rPr>
          <w:rFonts w:hint="eastAsia" w:ascii="宋体" w:hAnsi="宋体" w:cs="宋体"/>
          <w:szCs w:val="21"/>
        </w:rPr>
        <w:t>项目联系人：李老师；电话：13813439765；</w:t>
      </w:r>
    </w:p>
    <w:p>
      <w:pPr>
        <w:spacing w:line="33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33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33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33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336" w:lineRule="auto"/>
        <w:ind w:firstLine="630" w:firstLineChars="300"/>
        <w:rPr>
          <w:rFonts w:ascii="宋体" w:hAnsi="宋体"/>
          <w:szCs w:val="21"/>
        </w:rPr>
      </w:pPr>
      <w:r>
        <w:rPr>
          <w:rFonts w:hint="eastAsia" w:ascii="宋体" w:hAnsi="宋体"/>
          <w:szCs w:val="21"/>
        </w:rPr>
        <w:t>联系方式：施工；电话：13270072015；</w:t>
      </w:r>
    </w:p>
    <w:p>
      <w:pPr>
        <w:spacing w:line="336" w:lineRule="auto"/>
        <w:ind w:firstLine="632" w:firstLineChars="300"/>
        <w:rPr>
          <w:rFonts w:ascii="宋体" w:hAnsi="宋体"/>
          <w:szCs w:val="21"/>
          <w:u w:val="single"/>
        </w:rPr>
      </w:pPr>
      <w:r>
        <w:rPr>
          <w:rFonts w:hint="eastAsia" w:ascii="宋体" w:hAnsi="宋体"/>
          <w:b/>
          <w:bCs/>
        </w:rPr>
        <w:t>邮箱：xsyg005@163.com</w:t>
      </w:r>
      <w:r>
        <w:rPr>
          <w:rFonts w:hint="eastAsia" w:ascii="宋体" w:hAnsi="宋体"/>
          <w:b/>
          <w:bCs/>
          <w:szCs w:val="21"/>
        </w:rPr>
        <w:t>；</w:t>
      </w:r>
    </w:p>
    <w:p>
      <w:pPr>
        <w:spacing w:line="33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33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336" w:lineRule="auto"/>
        <w:ind w:firstLine="632" w:firstLineChars="300"/>
        <w:rPr>
          <w:b/>
          <w:bCs/>
          <w:lang w:val="zh-TW" w:eastAsia="zh-TW"/>
        </w:rPr>
      </w:pPr>
      <w:r>
        <w:rPr>
          <w:rFonts w:hint="eastAsia" w:ascii="宋体" w:hAnsi="宋体"/>
          <w:b/>
        </w:rPr>
        <w:t>八、其他补充事宜</w:t>
      </w:r>
    </w:p>
    <w:p>
      <w:pPr>
        <w:widowControl/>
        <w:shd w:val="clear" w:color="auto" w:fill="FFFFFF"/>
        <w:spacing w:line="336" w:lineRule="auto"/>
        <w:ind w:firstLine="420"/>
        <w:jc w:val="left"/>
        <w:rPr>
          <w:rFonts w:hint="eastAsia" w:ascii="宋体" w:hAnsi="宋体" w:eastAsia="宋体" w:cs="宋体"/>
          <w:color w:val="444444"/>
          <w:szCs w:val="21"/>
        </w:rPr>
      </w:pPr>
      <w:r>
        <w:rPr>
          <w:rFonts w:hint="eastAsia" w:ascii="宋体" w:hAnsi="宋体" w:cs="宋体"/>
          <w:color w:val="444444"/>
          <w:kern w:val="0"/>
          <w:szCs w:val="21"/>
          <w:shd w:val="clear" w:color="auto" w:fill="FFFFFF"/>
        </w:rPr>
        <w:t>本项目鼓励供应商开展信用担保（0515-88285999）、扶持</w:t>
      </w:r>
      <w:r>
        <w:rPr>
          <w:rFonts w:hint="eastAsia" w:ascii="宋体" w:hAnsi="宋体" w:eastAsia="宋体" w:cs="宋体"/>
          <w:color w:val="444444"/>
          <w:kern w:val="0"/>
          <w:szCs w:val="21"/>
          <w:shd w:val="clear" w:color="auto" w:fill="FFFFFF"/>
        </w:rPr>
        <w:t>不发达地区等政府采购政策。</w:t>
      </w:r>
    </w:p>
    <w:p>
      <w:pPr>
        <w:widowControl/>
        <w:shd w:val="clear" w:color="auto" w:fill="FFFFFF"/>
        <w:spacing w:line="336" w:lineRule="auto"/>
        <w:ind w:firstLine="420"/>
        <w:jc w:val="left"/>
        <w:rPr>
          <w:rFonts w:hint="eastAsia" w:ascii="宋体" w:hAnsi="宋体" w:eastAsia="宋体" w:cs="宋体"/>
          <w:lang w:val="zh-TW" w:eastAsia="zh-TW"/>
        </w:rPr>
      </w:pPr>
      <w:r>
        <w:rPr>
          <w:rFonts w:hint="eastAsia" w:ascii="宋体" w:hAnsi="宋体" w:eastAsia="宋体" w:cs="宋体"/>
          <w:color w:val="444444"/>
          <w:kern w:val="0"/>
          <w:szCs w:val="21"/>
          <w:shd w:val="clear" w:color="auto" w:fill="FFFFFF"/>
        </w:rPr>
        <w:t>本项目使用时间：北京时间，24小时制；货币单位：人民币；</w:t>
      </w:r>
    </w:p>
    <w:bookmarkEnd w:id="27"/>
    <w:bookmarkEnd w:id="28"/>
    <w:bookmarkEnd w:id="29"/>
    <w:bookmarkEnd w:id="30"/>
    <w:bookmarkEnd w:id="31"/>
    <w:bookmarkEnd w:id="32"/>
    <w:p>
      <w:pPr>
        <w:spacing w:line="336" w:lineRule="auto"/>
        <w:jc w:val="right"/>
        <w:rPr>
          <w:rFonts w:hint="eastAsia" w:ascii="宋体" w:hAnsi="宋体" w:eastAsia="宋体" w:cs="宋体"/>
          <w:szCs w:val="21"/>
        </w:rPr>
      </w:pPr>
    </w:p>
    <w:p>
      <w:pPr>
        <w:widowControl/>
        <w:shd w:val="clear" w:color="auto" w:fill="FFFFFF"/>
        <w:spacing w:line="336" w:lineRule="auto"/>
        <w:ind w:firstLine="420"/>
        <w:jc w:val="right"/>
        <w:rPr>
          <w:rFonts w:hint="eastAsia" w:ascii="宋体" w:hAnsi="宋体" w:eastAsia="宋体" w:cs="宋体"/>
          <w:color w:val="444444"/>
          <w:kern w:val="0"/>
          <w:szCs w:val="21"/>
          <w:shd w:val="clear" w:color="auto" w:fill="FFFFFF"/>
        </w:rPr>
      </w:pPr>
      <w:r>
        <w:rPr>
          <w:rFonts w:hint="eastAsia" w:ascii="宋体" w:hAnsi="宋体" w:eastAsia="宋体" w:cs="宋体"/>
          <w:color w:val="444444"/>
          <w:kern w:val="0"/>
          <w:szCs w:val="21"/>
          <w:shd w:val="clear" w:color="auto" w:fill="FFFFFF"/>
        </w:rPr>
        <w:t>盐城市携手阳光集中采购代理有限公司</w:t>
      </w:r>
    </w:p>
    <w:p>
      <w:pPr>
        <w:jc w:val="center"/>
        <w:rPr>
          <w:rFonts w:ascii="宋体" w:hAnsi="宋体" w:cs="宋体"/>
          <w:b/>
          <w:color w:val="000000"/>
          <w:sz w:val="32"/>
          <w:szCs w:val="21"/>
        </w:rPr>
      </w:pPr>
      <w:r>
        <w:rPr>
          <w:rFonts w:hint="eastAsia" w:ascii="宋体" w:hAnsi="宋体" w:eastAsia="宋体" w:cs="宋体"/>
        </w:rPr>
        <w:t xml:space="preserve">                                                            2023年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09</w:t>
      </w:r>
      <w:r>
        <w:rPr>
          <w:rFonts w:hint="eastAsia" w:ascii="宋体" w:hAnsi="宋体" w:eastAsia="宋体" w:cs="宋体"/>
        </w:rPr>
        <w:t>日</w:t>
      </w:r>
      <w:r>
        <w:rPr>
          <w:rFonts w:hint="eastAsia"/>
          <w:color w:val="444444"/>
          <w:kern w:val="0"/>
          <w:shd w:val="clear" w:color="auto" w:fill="FFFFFF"/>
        </w:rPr>
        <w:br w:type="page"/>
      </w:r>
      <w:r>
        <w:rPr>
          <w:rFonts w:hint="eastAsia" w:ascii="宋体" w:hAnsi="宋体" w:cs="宋体"/>
          <w:b/>
          <w:color w:val="000000"/>
          <w:sz w:val="32"/>
          <w:szCs w:val="21"/>
        </w:rPr>
        <w:t>第二章  供货商须知</w:t>
      </w:r>
    </w:p>
    <w:p>
      <w:pPr>
        <w:spacing w:line="336"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1418" w:type="dxa"/>
            <w:vAlign w:val="center"/>
          </w:tcPr>
          <w:p>
            <w:pPr>
              <w:spacing w:line="276" w:lineRule="auto"/>
              <w:jc w:val="center"/>
              <w:rPr>
                <w:rFonts w:asciiTheme="minorEastAsia" w:hAnsiTheme="minorEastAsia" w:eastAsiaTheme="minorEastAsia" w:cstheme="minorEastAsia"/>
                <w:b/>
                <w:szCs w:val="21"/>
              </w:rPr>
            </w:pPr>
            <w:bookmarkStart w:id="33" w:name="_Hlt26954907"/>
            <w:bookmarkEnd w:id="33"/>
            <w:bookmarkStart w:id="34" w:name="_Hlt26954810"/>
            <w:bookmarkEnd w:id="34"/>
            <w:bookmarkStart w:id="35" w:name="_Hlt26954824"/>
            <w:bookmarkEnd w:id="35"/>
            <w:bookmarkStart w:id="36" w:name="_Hlt26668836"/>
            <w:bookmarkEnd w:id="36"/>
            <w:bookmarkStart w:id="37" w:name="_Hlt26670330"/>
            <w:bookmarkEnd w:id="37"/>
            <w:r>
              <w:rPr>
                <w:rFonts w:hint="eastAsia" w:asciiTheme="minorEastAsia" w:hAnsiTheme="minorEastAsia" w:eastAsiaTheme="minorEastAsia" w:cstheme="minorEastAsia"/>
                <w:b/>
                <w:szCs w:val="21"/>
              </w:rPr>
              <w:t>条款号/名称</w:t>
            </w:r>
          </w:p>
        </w:tc>
        <w:tc>
          <w:tcPr>
            <w:tcW w:w="8096"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096"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适用法律</w:t>
            </w:r>
          </w:p>
        </w:tc>
        <w:tc>
          <w:tcPr>
            <w:tcW w:w="8096"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采购文件的约束力</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与供应商的联系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276"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276"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38" w:name="_Toc118235408"/>
            <w:r>
              <w:rPr>
                <w:rFonts w:hint="eastAsia" w:asciiTheme="minorEastAsia" w:hAnsiTheme="minorEastAsia" w:eastAsiaTheme="minorEastAsia" w:cstheme="minorEastAsia"/>
                <w:szCs w:val="21"/>
              </w:rPr>
              <w:t>详见：《供货商须知》六、合同签订相关事项。</w:t>
            </w:r>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代理服务费（中标服务费）：本项目的代理服务费由成交供应商承担。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代理服务费收费标准：为方便计算，代理服务费参照原《招标代理服务收费管理暂行办法》（计价格[2002]1980号）</w:t>
            </w:r>
            <w:r>
              <w:rPr>
                <w:rFonts w:hint="eastAsia" w:ascii="宋体" w:hAnsi="宋体"/>
              </w:rPr>
              <w:t>收费标准的40%计取（如低于3000元的，按3000元计取）；</w:t>
            </w:r>
          </w:p>
          <w:p>
            <w:pPr>
              <w:pStyle w:val="23"/>
              <w:spacing w:line="276" w:lineRule="auto"/>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版权所有翻版必究</w:t>
            </w:r>
          </w:p>
        </w:tc>
        <w:tc>
          <w:tcPr>
            <w:tcW w:w="8096" w:type="dxa"/>
            <w:vAlign w:val="center"/>
          </w:tcPr>
          <w:p>
            <w:pPr>
              <w:spacing w:line="276"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CSR企业社会责任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责任说明</w:t>
            </w:r>
          </w:p>
        </w:tc>
        <w:tc>
          <w:tcPr>
            <w:tcW w:w="8096" w:type="dxa"/>
            <w:vAlign w:val="center"/>
          </w:tcPr>
          <w:p>
            <w:pPr>
              <w:spacing w:line="276"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投标供应商所投产品除</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文件中明确规定要求提供官网截图或相应检测报告的证明材料以外，所有技术参数描述均以投标文件为准。投标供应商对所投产品技术参数的真实性承担法律责任。项目招标结束后、质疑期限内，如有质疑供应商认为</w:t>
            </w:r>
            <w:r>
              <w:rPr>
                <w:rFonts w:hint="eastAsia" w:asciiTheme="minorEastAsia" w:hAnsiTheme="minorEastAsia" w:eastAsiaTheme="minorEastAsia" w:cstheme="minorEastAsia"/>
                <w:szCs w:val="21"/>
                <w:lang w:val="en-US" w:eastAsia="zh-CN"/>
              </w:rPr>
              <w:t>成交</w:t>
            </w:r>
            <w:r>
              <w:rPr>
                <w:rFonts w:hint="eastAsia" w:asciiTheme="minorEastAsia" w:hAnsiTheme="minorEastAsia" w:eastAsiaTheme="minorEastAsia" w:cstheme="minorEastAsia"/>
                <w:szCs w:val="21"/>
              </w:rPr>
              <w:t>供应商所投产品、投标文件技术参数与</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需求存在重大偏离、错误、甚至造假的情况，应提供具体有效的证明材料。</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bookmarkStart w:id="39" w:name="_Toc118275554"/>
      <w:bookmarkStart w:id="40" w:name="_Toc118275514"/>
      <w:bookmarkStart w:id="41" w:name="_Toc118275634"/>
      <w:bookmarkStart w:id="42" w:name="_Toc107916288"/>
      <w:bookmarkStart w:id="43" w:name="_Toc118235409"/>
    </w:p>
    <w:p>
      <w:pPr>
        <w:spacing w:line="41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39"/>
      <w:bookmarkEnd w:id="40"/>
      <w:bookmarkEnd w:id="41"/>
      <w:bookmarkEnd w:id="42"/>
      <w:bookmarkEnd w:id="43"/>
    </w:p>
    <w:p>
      <w:pPr>
        <w:spacing w:line="262" w:lineRule="auto"/>
        <w:ind w:firstLine="211" w:firstLineChars="1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44" w:name="_Toc32623"/>
      <w:bookmarkStart w:id="45" w:name="_Toc520356144"/>
      <w:bookmarkStart w:id="46" w:name="_Toc32189"/>
      <w:bookmarkStart w:id="47" w:name="_Toc5999"/>
      <w:bookmarkStart w:id="48" w:name="_Toc515647758"/>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44"/>
      <w:bookmarkEnd w:id="45"/>
      <w:bookmarkEnd w:id="46"/>
      <w:bookmarkEnd w:id="47"/>
      <w:bookmarkEnd w:id="48"/>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30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49" w:name="_Hlt26954828"/>
      <w:bookmarkEnd w:id="49"/>
      <w:bookmarkStart w:id="50" w:name="_Hlt26670345"/>
      <w:bookmarkEnd w:id="50"/>
      <w:bookmarkStart w:id="51" w:name="_Hlt26670354"/>
      <w:bookmarkEnd w:id="51"/>
      <w:bookmarkStart w:id="52" w:name="_Hlt26954830"/>
      <w:bookmarkEnd w:id="52"/>
      <w:bookmarkStart w:id="53" w:name="_Hlt26668969"/>
      <w:bookmarkEnd w:id="53"/>
      <w:bookmarkStart w:id="54" w:name="_Hlt26954832"/>
      <w:bookmarkEnd w:id="54"/>
      <w:bookmarkStart w:id="55" w:name="_Hlt26670348"/>
      <w:bookmarkEnd w:id="55"/>
      <w:bookmarkStart w:id="56" w:name="_Toc462564072"/>
      <w:bookmarkStart w:id="57" w:name="_Toc14577351"/>
      <w:bookmarkStart w:id="58" w:name="_Toc61149553"/>
      <w:bookmarkStart w:id="59" w:name="_Toc513029213"/>
    </w:p>
    <w:p>
      <w:pPr>
        <w:pStyle w:val="11"/>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60" w:name="_Toc107916289"/>
      <w:bookmarkStart w:id="61" w:name="_Toc118235410"/>
      <w:bookmarkStart w:id="62" w:name="_Toc15109"/>
      <w:bookmarkStart w:id="63" w:name="_Toc118275555"/>
      <w:bookmarkStart w:id="64" w:name="_Toc118275635"/>
      <w:bookmarkStart w:id="65" w:name="_Toc118275515"/>
      <w:r>
        <w:rPr>
          <w:rFonts w:hint="eastAsia" w:asciiTheme="minorEastAsia" w:hAnsiTheme="minorEastAsia" w:eastAsiaTheme="minorEastAsia" w:cstheme="minorEastAsia"/>
          <w:b/>
          <w:szCs w:val="21"/>
        </w:rPr>
        <w:t>二、采购文件</w:t>
      </w:r>
      <w:bookmarkEnd w:id="60"/>
      <w:bookmarkEnd w:id="61"/>
      <w:bookmarkEnd w:id="62"/>
      <w:bookmarkEnd w:id="63"/>
      <w:bookmarkEnd w:id="64"/>
      <w:bookmarkEnd w:id="65"/>
    </w:p>
    <w:p>
      <w:pPr>
        <w:pStyle w:val="11"/>
        <w:spacing w:line="240" w:lineRule="exact"/>
        <w:rPr>
          <w:rFonts w:asciiTheme="minorEastAsia" w:hAnsiTheme="minorEastAsia" w:eastAsiaTheme="minorEastAsia" w:cstheme="minorEastAsia"/>
          <w:sz w:val="21"/>
          <w:szCs w:val="21"/>
        </w:rPr>
      </w:pP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66" w:name="_Toc515904805"/>
      <w:bookmarkStart w:id="67" w:name="_Toc1922"/>
      <w:bookmarkStart w:id="68" w:name="_Toc26044"/>
      <w:bookmarkStart w:id="69" w:name="_Toc9232"/>
    </w:p>
    <w:p>
      <w:pPr>
        <w:tabs>
          <w:tab w:val="left" w:pos="0"/>
        </w:tabs>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66"/>
      <w:r>
        <w:rPr>
          <w:rFonts w:hint="eastAsia" w:asciiTheme="minorEastAsia" w:hAnsiTheme="minorEastAsia" w:eastAsiaTheme="minorEastAsia" w:cstheme="minorEastAsia"/>
          <w:b/>
          <w:bCs/>
          <w:szCs w:val="21"/>
        </w:rPr>
        <w:t>与修改</w:t>
      </w:r>
      <w:bookmarkEnd w:id="67"/>
      <w:bookmarkEnd w:id="68"/>
      <w:bookmarkEnd w:id="69"/>
    </w:p>
    <w:p>
      <w:pPr>
        <w:spacing w:line="262" w:lineRule="auto"/>
        <w:ind w:firstLine="420" w:firstLineChars="200"/>
        <w:rPr>
          <w:rFonts w:asciiTheme="minorEastAsia" w:hAnsiTheme="minorEastAsia" w:eastAsiaTheme="minorEastAsia" w:cstheme="minorEastAsia"/>
          <w:szCs w:val="21"/>
        </w:rPr>
      </w:pPr>
      <w:bookmarkStart w:id="70"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71" w:name="_Toc14569"/>
      <w:bookmarkStart w:id="72" w:name="_Toc12448"/>
      <w:bookmarkStart w:id="73" w:name="_Toc25635"/>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bookmarkEnd w:id="70"/>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71"/>
      <w:bookmarkEnd w:id="72"/>
      <w:bookmarkEnd w:id="73"/>
    </w:p>
    <w:p>
      <w:pPr>
        <w:spacing w:line="262"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spacing w:line="262" w:lineRule="auto"/>
        <w:jc w:val="center"/>
        <w:outlineLvl w:val="1"/>
        <w:rPr>
          <w:rFonts w:asciiTheme="minorEastAsia" w:hAnsiTheme="minorEastAsia" w:eastAsiaTheme="minorEastAsia" w:cstheme="minorEastAsia"/>
          <w:b/>
          <w:szCs w:val="21"/>
        </w:rPr>
      </w:pPr>
      <w:bookmarkStart w:id="74" w:name="_Toc107916290"/>
      <w:bookmarkStart w:id="75" w:name="_Toc118235411"/>
      <w:bookmarkStart w:id="76" w:name="_Toc6663"/>
      <w:bookmarkStart w:id="77" w:name="_Toc118275516"/>
      <w:bookmarkStart w:id="78" w:name="_Toc118275636"/>
      <w:bookmarkStart w:id="79" w:name="_Toc118275556"/>
      <w:r>
        <w:rPr>
          <w:rFonts w:hint="eastAsia" w:asciiTheme="minorEastAsia" w:hAnsiTheme="minorEastAsia" w:eastAsiaTheme="minorEastAsia" w:cstheme="minorEastAsia"/>
          <w:b/>
          <w:szCs w:val="21"/>
        </w:rPr>
        <w:t>三、</w:t>
      </w:r>
      <w:bookmarkEnd w:id="56"/>
      <w:bookmarkEnd w:id="57"/>
      <w:bookmarkEnd w:id="58"/>
      <w:bookmarkEnd w:id="59"/>
      <w:r>
        <w:rPr>
          <w:rFonts w:hint="eastAsia" w:asciiTheme="minorEastAsia" w:hAnsiTheme="minorEastAsia" w:eastAsiaTheme="minorEastAsia" w:cstheme="minorEastAsia"/>
          <w:b/>
          <w:szCs w:val="21"/>
        </w:rPr>
        <w:t>响应文件编制要求及保证金</w:t>
      </w:r>
      <w:bookmarkEnd w:id="74"/>
      <w:bookmarkEnd w:id="75"/>
      <w:bookmarkEnd w:id="76"/>
      <w:bookmarkEnd w:id="77"/>
      <w:bookmarkEnd w:id="78"/>
      <w:bookmarkEnd w:id="79"/>
    </w:p>
    <w:p>
      <w:pPr>
        <w:pStyle w:val="11"/>
        <w:spacing w:line="240" w:lineRule="exact"/>
        <w:rPr>
          <w:rFonts w:asciiTheme="minorEastAsia" w:hAnsiTheme="minorEastAsia" w:eastAsiaTheme="minorEastAsia" w:cstheme="minorEastAsia"/>
          <w:sz w:val="21"/>
          <w:szCs w:val="21"/>
        </w:rPr>
      </w:pP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80" w:name="_Ref467306676"/>
      <w:bookmarkStart w:id="81" w:name="_Toc516367022"/>
      <w:bookmarkStart w:id="82" w:name="_Ref467306195"/>
      <w:bookmarkStart w:id="83" w:name="_Toc18692"/>
      <w:bookmarkStart w:id="84" w:name="_Toc520356152"/>
      <w:bookmarkStart w:id="85" w:name="_Toc28307"/>
      <w:bookmarkStart w:id="86" w:name="_Toc515647768"/>
      <w:bookmarkStart w:id="87" w:name="_Toc10364"/>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80"/>
      <w:bookmarkEnd w:id="81"/>
      <w:bookmarkEnd w:id="82"/>
      <w:r>
        <w:rPr>
          <w:rFonts w:hint="eastAsia" w:asciiTheme="minorEastAsia" w:hAnsiTheme="minorEastAsia" w:eastAsiaTheme="minorEastAsia" w:cstheme="minorEastAsia"/>
          <w:b/>
          <w:szCs w:val="21"/>
        </w:rPr>
        <w:t>（响应）文件构成</w:t>
      </w:r>
      <w:bookmarkEnd w:id="83"/>
      <w:bookmarkEnd w:id="84"/>
      <w:bookmarkEnd w:id="85"/>
      <w:bookmarkEnd w:id="86"/>
      <w:bookmarkEnd w:id="8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88" w:name="_Toc10379"/>
      <w:bookmarkStart w:id="89" w:name="_Toc4601"/>
      <w:bookmarkStart w:id="90" w:name="_Toc520356153"/>
      <w:bookmarkStart w:id="91" w:name="_Toc515647769"/>
      <w:bookmarkStart w:id="92" w:name="_Toc13143"/>
      <w:bookmarkStart w:id="93" w:name="_Toc516367023"/>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（6）法律、法规及本采购文件规定的其他情况。</w:t>
      </w:r>
      <w:bookmarkStart w:id="94" w:name="_Toc515647772"/>
      <w:bookmarkStart w:id="95" w:name="_Toc520356157"/>
      <w:bookmarkStart w:id="96" w:name="_Toc22901"/>
      <w:bookmarkStart w:id="97" w:name="_Toc32569"/>
      <w:bookmarkStart w:id="98" w:name="_Toc23590"/>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6.投标有效期</w:t>
      </w:r>
      <w:bookmarkEnd w:id="94"/>
      <w:bookmarkEnd w:id="95"/>
      <w:bookmarkEnd w:id="96"/>
      <w:bookmarkEnd w:id="97"/>
      <w:bookmarkEnd w:id="9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99" w:name="_Toc3551"/>
      <w:bookmarkStart w:id="100" w:name="_Toc107916291"/>
      <w:bookmarkStart w:id="101" w:name="_Toc118275517"/>
      <w:bookmarkStart w:id="102" w:name="_Toc118235412"/>
      <w:bookmarkStart w:id="103" w:name="_Toc118275557"/>
      <w:bookmarkStart w:id="104" w:name="_Toc118275637"/>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99"/>
      <w:bookmarkEnd w:id="100"/>
      <w:bookmarkEnd w:id="101"/>
      <w:bookmarkEnd w:id="102"/>
      <w:bookmarkEnd w:id="103"/>
      <w:bookmarkEnd w:id="104"/>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05" w:name="_Toc2421"/>
      <w:bookmarkStart w:id="106" w:name="_Toc518926877"/>
      <w:bookmarkStart w:id="107" w:name="_Toc8324"/>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ind w:firstLine="422" w:firstLineChars="20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05"/>
      <w:bookmarkEnd w:id="106"/>
      <w:bookmarkEnd w:id="107"/>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88"/>
      <w:bookmarkEnd w:id="89"/>
      <w:bookmarkEnd w:id="90"/>
      <w:bookmarkEnd w:id="91"/>
      <w:bookmarkEnd w:id="92"/>
      <w:bookmarkEnd w:id="93"/>
      <w:bookmarkStart w:id="108" w:name="_Toc61149562"/>
      <w:bookmarkStart w:id="109" w:name="_Toc513029224"/>
      <w:bookmarkStart w:id="110" w:name="_Toc145773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11"/>
        <w:spacing w:line="240" w:lineRule="exact"/>
        <w:rPr>
          <w:rFonts w:asciiTheme="minorEastAsia" w:hAnsiTheme="minorEastAsia" w:eastAsiaTheme="minorEastAsia" w:cstheme="minorEastAsia"/>
          <w:sz w:val="21"/>
          <w:szCs w:val="21"/>
        </w:rPr>
      </w:pPr>
    </w:p>
    <w:bookmarkEnd w:id="108"/>
    <w:bookmarkEnd w:id="109"/>
    <w:bookmarkEnd w:id="110"/>
    <w:p>
      <w:pPr>
        <w:spacing w:line="262" w:lineRule="auto"/>
        <w:jc w:val="center"/>
        <w:outlineLvl w:val="1"/>
        <w:rPr>
          <w:rFonts w:asciiTheme="minorEastAsia" w:hAnsiTheme="minorEastAsia" w:eastAsiaTheme="minorEastAsia" w:cstheme="minorEastAsia"/>
          <w:sz w:val="21"/>
          <w:szCs w:val="21"/>
        </w:rPr>
      </w:pPr>
      <w:bookmarkStart w:id="111" w:name="_Hlt26954864"/>
      <w:bookmarkEnd w:id="111"/>
      <w:bookmarkStart w:id="112" w:name="_Hlt26954856"/>
      <w:bookmarkEnd w:id="112"/>
      <w:bookmarkStart w:id="113" w:name="_Hlt26670523"/>
      <w:bookmarkEnd w:id="113"/>
      <w:bookmarkStart w:id="114" w:name="_Toc118275518"/>
      <w:bookmarkStart w:id="115" w:name="_Toc12591"/>
      <w:bookmarkStart w:id="116" w:name="_Toc107916292"/>
      <w:bookmarkStart w:id="117" w:name="_Toc118275558"/>
      <w:bookmarkStart w:id="118" w:name="_Toc118275638"/>
      <w:bookmarkStart w:id="119" w:name="_Toc118235413"/>
      <w:r>
        <w:rPr>
          <w:rFonts w:hint="eastAsia" w:asciiTheme="minorEastAsia" w:hAnsiTheme="minorEastAsia" w:eastAsiaTheme="minorEastAsia" w:cstheme="minorEastAsia"/>
          <w:b/>
          <w:szCs w:val="21"/>
        </w:rPr>
        <w:t>五、响应开启、评审程序与评审</w:t>
      </w:r>
      <w:bookmarkEnd w:id="114"/>
      <w:bookmarkEnd w:id="115"/>
      <w:bookmarkEnd w:id="116"/>
      <w:bookmarkEnd w:id="117"/>
      <w:bookmarkEnd w:id="118"/>
      <w:bookmarkEnd w:id="119"/>
      <w:bookmarkStart w:id="120" w:name="_Toc513029230"/>
      <w:bookmarkStart w:id="121" w:name="_Toc16938546"/>
      <w:bookmarkStart w:id="122" w:name="_Toc20823302"/>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20"/>
      <w:bookmarkEnd w:id="121"/>
      <w:bookmarkEnd w:id="122"/>
      <w:r>
        <w:rPr>
          <w:rFonts w:hint="eastAsia" w:asciiTheme="minorEastAsia" w:hAnsiTheme="minorEastAsia" w:eastAsiaTheme="minorEastAsia" w:cstheme="minorEastAsia"/>
          <w:b/>
          <w:szCs w:val="21"/>
        </w:rPr>
        <w:t>.响应</w:t>
      </w:r>
      <w:bookmarkStart w:id="123" w:name="_Toc513029231"/>
      <w:bookmarkStart w:id="124" w:name="_Toc16938547"/>
      <w:bookmarkStart w:id="125" w:name="_Toc20823303"/>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23"/>
      <w:bookmarkEnd w:id="124"/>
      <w:bookmarkEnd w:id="125"/>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26" w:name="_Toc513029233"/>
      <w:bookmarkStart w:id="127" w:name="_Toc20823305"/>
      <w:bookmarkStart w:id="128" w:name="_Toc16938549"/>
      <w:r>
        <w:rPr>
          <w:rFonts w:hint="eastAsia" w:asciiTheme="minorEastAsia" w:hAnsiTheme="minorEastAsia" w:eastAsiaTheme="minorEastAsia" w:cstheme="minorEastAsia"/>
          <w:b/>
          <w:szCs w:val="21"/>
        </w:rPr>
        <w:t>3.有效的响应文件</w:t>
      </w:r>
    </w:p>
    <w:bookmarkEnd w:id="126"/>
    <w:bookmarkEnd w:id="127"/>
    <w:bookmarkEnd w:id="128"/>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29" w:name="_Toc20823306"/>
      <w:bookmarkStart w:id="130" w:name="_Toc513029234"/>
      <w:bookmarkStart w:id="131" w:name="_Toc16938550"/>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32" w:name="_Toc16938548"/>
      <w:bookmarkStart w:id="133" w:name="_Toc20823304"/>
      <w:bookmarkStart w:id="134" w:name="_Toc513029232"/>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r>
        <w:rPr>
          <w:rFonts w:hint="eastAsia" w:asciiTheme="minorEastAsia" w:hAnsiTheme="minorEastAsia" w:eastAsiaTheme="minorEastAsia" w:cstheme="minorEastAsia"/>
          <w:b/>
          <w:szCs w:val="21"/>
        </w:rPr>
        <w:t>4.评审过程的澄清</w:t>
      </w:r>
      <w:bookmarkEnd w:id="132"/>
      <w:bookmarkEnd w:id="133"/>
      <w:bookmarkEnd w:id="134"/>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29"/>
      <w:bookmarkEnd w:id="130"/>
      <w:bookmarkEnd w:id="131"/>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35" w:name="_Toc513029235"/>
      <w:bookmarkStart w:id="136" w:name="_Toc16938551"/>
      <w:bookmarkStart w:id="137" w:name="_Toc20823307"/>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bookmarkEnd w:id="135"/>
      <w:bookmarkEnd w:id="136"/>
      <w:bookmarkEnd w:id="137"/>
      <w:bookmarkStart w:id="138" w:name="_Toc118275559"/>
      <w:bookmarkStart w:id="139" w:name="_Toc118235414"/>
      <w:bookmarkStart w:id="140" w:name="_Toc107916293"/>
      <w:bookmarkStart w:id="141" w:name="_Toc118275519"/>
      <w:bookmarkStart w:id="142" w:name="_Toc118275639"/>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六、合同签订相关事项</w:t>
      </w:r>
      <w:bookmarkEnd w:id="138"/>
      <w:bookmarkEnd w:id="139"/>
      <w:bookmarkEnd w:id="140"/>
      <w:bookmarkEnd w:id="141"/>
      <w:bookmarkEnd w:id="142"/>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tabs>
          <w:tab w:val="left" w:pos="312"/>
        </w:tabs>
        <w:spacing w:line="262" w:lineRule="auto"/>
        <w:ind w:firstLine="422" w:firstLineChars="200"/>
        <w:rPr>
          <w:rFonts w:asciiTheme="minorEastAsia" w:hAnsiTheme="minorEastAsia" w:eastAsiaTheme="minorEastAsia" w:cstheme="minorEastAsia"/>
          <w:b/>
          <w:szCs w:val="21"/>
        </w:rPr>
      </w:pPr>
      <w:r>
        <w:rPr>
          <w:rFonts w:asciiTheme="minorEastAsia" w:hAnsiTheme="minorEastAsia" w:eastAsiaTheme="minorEastAsia" w:cstheme="minorEastAsia"/>
          <w:b/>
          <w:szCs w:val="21"/>
        </w:rPr>
        <w:t>2</w:t>
      </w: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143" w:name="_Toc118275520"/>
      <w:bookmarkStart w:id="144" w:name="_Toc30312"/>
      <w:bookmarkStart w:id="145" w:name="_Toc118235415"/>
      <w:bookmarkStart w:id="146" w:name="_Toc118275640"/>
      <w:bookmarkStart w:id="147" w:name="_Toc107916294"/>
      <w:bookmarkStart w:id="148" w:name="_Toc118275560"/>
      <w:r>
        <w:rPr>
          <w:rFonts w:hint="eastAsia" w:asciiTheme="minorEastAsia" w:hAnsiTheme="minorEastAsia" w:eastAsiaTheme="minorEastAsia" w:cstheme="minorEastAsia"/>
          <w:b/>
          <w:szCs w:val="21"/>
        </w:rPr>
        <w:t>七、质疑受理</w:t>
      </w:r>
      <w:bookmarkEnd w:id="143"/>
      <w:bookmarkEnd w:id="144"/>
      <w:bookmarkEnd w:id="145"/>
      <w:bookmarkEnd w:id="146"/>
      <w:bookmarkEnd w:id="147"/>
      <w:bookmarkEnd w:id="148"/>
    </w:p>
    <w:p>
      <w:pPr>
        <w:spacing w:line="262" w:lineRule="auto"/>
        <w:ind w:firstLine="422" w:firstLineChars="200"/>
        <w:rPr>
          <w:rFonts w:asciiTheme="minorEastAsia" w:hAnsiTheme="minorEastAsia" w:eastAsiaTheme="minorEastAsia" w:cstheme="minorEastAsia"/>
          <w:szCs w:val="21"/>
        </w:rPr>
      </w:pPr>
      <w:bookmarkStart w:id="149" w:name="_Toc16938553"/>
      <w:bookmarkStart w:id="150" w:name="_Toc20823309"/>
      <w:bookmarkStart w:id="151" w:name="_Toc513029237"/>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152" w:name="_Toc22061"/>
      <w:bookmarkStart w:id="153" w:name="_Toc118235416"/>
      <w:bookmarkStart w:id="154" w:name="_Toc118275561"/>
      <w:bookmarkStart w:id="155" w:name="_Toc118275521"/>
      <w:bookmarkStart w:id="156" w:name="_Toc118275641"/>
      <w:bookmarkStart w:id="157" w:name="_Toc107916295"/>
      <w:r>
        <w:rPr>
          <w:rFonts w:hint="eastAsia" w:asciiTheme="minorEastAsia" w:hAnsiTheme="minorEastAsia" w:eastAsiaTheme="minorEastAsia" w:cstheme="minorEastAsia"/>
          <w:b/>
          <w:szCs w:val="21"/>
        </w:rPr>
        <w:t>八、终止磋商采购活动</w:t>
      </w:r>
      <w:bookmarkEnd w:id="152"/>
      <w:bookmarkEnd w:id="153"/>
      <w:bookmarkEnd w:id="154"/>
      <w:bookmarkEnd w:id="155"/>
      <w:bookmarkEnd w:id="156"/>
      <w:bookmarkEnd w:id="157"/>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49"/>
    <w:bookmarkEnd w:id="150"/>
    <w:bookmarkEnd w:id="151"/>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11"/>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sz w:val="21"/>
          <w:szCs w:val="21"/>
        </w:rPr>
      </w:pPr>
      <w:bookmarkStart w:id="158" w:name="_Toc118235417"/>
      <w:bookmarkStart w:id="159" w:name="_Toc118275642"/>
      <w:bookmarkStart w:id="160" w:name="_Toc118275522"/>
      <w:bookmarkStart w:id="161" w:name="_Toc107916296"/>
      <w:bookmarkStart w:id="162" w:name="_Toc12733"/>
      <w:bookmarkStart w:id="163" w:name="_Toc118275562"/>
      <w:r>
        <w:rPr>
          <w:rFonts w:hint="eastAsia" w:asciiTheme="minorEastAsia" w:hAnsiTheme="minorEastAsia" w:eastAsiaTheme="minorEastAsia" w:cstheme="minorEastAsia"/>
          <w:b/>
          <w:szCs w:val="21"/>
        </w:rPr>
        <w:t>九、其他</w:t>
      </w:r>
      <w:bookmarkEnd w:id="158"/>
      <w:bookmarkEnd w:id="159"/>
      <w:bookmarkEnd w:id="160"/>
      <w:bookmarkEnd w:id="161"/>
      <w:bookmarkEnd w:id="162"/>
      <w:bookmarkEnd w:id="163"/>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outlineLvl w:val="0"/>
        <w:rPr>
          <w:rFonts w:ascii="宋体" w:hAnsi="宋体" w:cs="宋体"/>
          <w:b/>
          <w:color w:val="000000"/>
          <w:sz w:val="32"/>
          <w:szCs w:val="21"/>
        </w:rPr>
      </w:pPr>
      <w:bookmarkStart w:id="164" w:name="_Toc21220"/>
    </w:p>
    <w:p>
      <w:pPr>
        <w:spacing w:line="480" w:lineRule="auto"/>
        <w:jc w:val="center"/>
        <w:outlineLvl w:val="0"/>
        <w:rPr>
          <w:rFonts w:ascii="宋体" w:hAnsi="宋体" w:cs="宋体"/>
          <w:b/>
          <w:color w:val="000000"/>
          <w:sz w:val="32"/>
          <w:szCs w:val="21"/>
        </w:rPr>
      </w:pPr>
      <w:r>
        <w:rPr>
          <w:rFonts w:hint="eastAsia" w:ascii="宋体" w:hAnsi="宋体" w:cs="宋体"/>
          <w:b/>
          <w:color w:val="000000"/>
          <w:sz w:val="32"/>
          <w:szCs w:val="21"/>
        </w:rPr>
        <w:t>第三章  采购需求及政府采购合同（拟签订的合同文本）</w:t>
      </w:r>
    </w:p>
    <w:p>
      <w:pPr>
        <w:spacing w:line="276" w:lineRule="auto"/>
        <w:jc w:val="center"/>
        <w:rPr>
          <w:rFonts w:ascii="宋体" w:hAnsi="宋体" w:cs="宋体"/>
          <w:b/>
          <w:bCs/>
          <w:color w:val="000000"/>
          <w:szCs w:val="21"/>
        </w:rPr>
      </w:pP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p>
    <w:p>
      <w:pPr>
        <w:spacing w:line="276" w:lineRule="auto"/>
        <w:jc w:val="center"/>
        <w:rPr>
          <w:rFonts w:ascii="宋体" w:hAnsi="宋体"/>
          <w:b/>
          <w:color w:val="000000"/>
        </w:rPr>
      </w:pPr>
    </w:p>
    <w:p>
      <w:pPr>
        <w:spacing w:line="276" w:lineRule="auto"/>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bookmarkEnd w:id="164"/>
    </w:p>
    <w:tbl>
      <w:tblPr>
        <w:tblStyle w:val="29"/>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0" w:firstLineChars="200"/>
              <w:jc w:val="left"/>
              <w:rPr>
                <w:color w:val="auto"/>
                <w:highlight w:val="yellow"/>
              </w:rPr>
            </w:pPr>
            <w:r>
              <w:rPr>
                <w:rFonts w:hint="eastAsia"/>
                <w:color w:val="auto"/>
              </w:rPr>
              <w:t>自合同签订之日起</w:t>
            </w:r>
            <w:r>
              <w:rPr>
                <w:rFonts w:hint="eastAsia"/>
                <w:color w:val="auto"/>
                <w:highlight w:val="none"/>
              </w:rPr>
              <w:t>，国产设备</w:t>
            </w:r>
            <w:r>
              <w:rPr>
                <w:rFonts w:hint="eastAsia"/>
                <w:color w:val="auto"/>
                <w:highlight w:val="none"/>
                <w:u w:val="single"/>
                <w:lang w:val="en-US" w:eastAsia="zh-CN"/>
              </w:rPr>
              <w:t>35</w:t>
            </w:r>
            <w:r>
              <w:rPr>
                <w:rFonts w:hint="eastAsia"/>
                <w:color w:val="auto"/>
                <w:highlight w:val="none"/>
              </w:rPr>
              <w:t>日历天供货、安装完毕；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★质保期</w:t>
            </w:r>
          </w:p>
        </w:tc>
        <w:tc>
          <w:tcPr>
            <w:tcW w:w="7170" w:type="dxa"/>
            <w:noWrap/>
            <w:vAlign w:val="center"/>
          </w:tcPr>
          <w:p>
            <w:pPr>
              <w:spacing w:line="276" w:lineRule="auto"/>
              <w:ind w:firstLine="420" w:firstLineChars="200"/>
              <w:jc w:val="left"/>
              <w:rPr>
                <w:color w:val="auto"/>
              </w:rPr>
            </w:pPr>
            <w:r>
              <w:rPr>
                <w:rFonts w:hint="eastAsia"/>
                <w:color w:val="auto"/>
              </w:rPr>
              <w:t>≥3年，质保期自验收合格之日起算。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auto"/>
              </w:rPr>
            </w:pPr>
            <w:r>
              <w:rPr>
                <w:rFonts w:hint="eastAsia"/>
                <w:color w:val="auto"/>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276" w:lineRule="auto"/>
              <w:ind w:firstLine="422" w:firstLineChars="200"/>
              <w:rPr>
                <w:rFonts w:ascii="宋体" w:hAnsi="宋体"/>
                <w:b/>
                <w:color w:val="auto"/>
              </w:rPr>
            </w:pPr>
            <w:r>
              <w:rPr>
                <w:rFonts w:hint="eastAsia" w:ascii="宋体" w:hAnsi="宋体"/>
                <w:b/>
                <w:color w:val="auto"/>
              </w:rPr>
              <w:t xml:space="preserve">1.支付方式：电汇或转账等非现金方式  </w:t>
            </w:r>
          </w:p>
          <w:p>
            <w:pPr>
              <w:spacing w:line="276" w:lineRule="auto"/>
              <w:ind w:firstLine="422" w:firstLineChars="200"/>
              <w:rPr>
                <w:rFonts w:ascii="宋体" w:hAnsi="宋体"/>
                <w:b/>
                <w:bCs/>
                <w:color w:val="auto"/>
                <w:szCs w:val="21"/>
              </w:rPr>
            </w:pPr>
            <w:r>
              <w:rPr>
                <w:rFonts w:hint="eastAsia" w:ascii="宋体" w:hAnsi="宋体"/>
                <w:b/>
                <w:bCs/>
                <w:color w:val="auto"/>
                <w:szCs w:val="21"/>
              </w:rPr>
              <w:t>2.支付时间、条件付款方式：</w:t>
            </w:r>
          </w:p>
          <w:p>
            <w:pPr>
              <w:pStyle w:val="15"/>
              <w:spacing w:line="276" w:lineRule="auto"/>
              <w:rPr>
                <w:color w:val="auto"/>
              </w:rPr>
            </w:pPr>
            <w:r>
              <w:rPr>
                <w:rFonts w:hint="eastAsia" w:cs="宋体"/>
                <w:color w:val="auto"/>
                <w:szCs w:val="24"/>
              </w:rPr>
              <w:t>项目验收合格后无质量问题支付合同价的70%款项；审计合格后付至审计价的90%，余款待验收合格质保结束后无质量问题一次性无息付清。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11"/>
        <w:jc w:val="center"/>
        <w:rPr>
          <w:rFonts w:ascii="宋体" w:hAnsi="宋体" w:eastAsia="宋体" w:cs="宋体"/>
          <w:b/>
        </w:rPr>
      </w:pPr>
    </w:p>
    <w:p>
      <w:pPr>
        <w:pStyle w:val="17"/>
      </w:pPr>
    </w:p>
    <w:p>
      <w:pPr>
        <w:pStyle w:val="11"/>
        <w:numPr>
          <w:numId w:val="0"/>
        </w:numPr>
        <w:jc w:val="both"/>
        <w:outlineLvl w:val="1"/>
        <w:rPr>
          <w:rFonts w:asciiTheme="minorEastAsia" w:hAnsiTheme="minorEastAsia" w:eastAsiaTheme="minorEastAsia" w:cstheme="minorEastAsia"/>
          <w:b/>
          <w:szCs w:val="21"/>
        </w:rPr>
      </w:pPr>
    </w:p>
    <w:p>
      <w:pPr>
        <w:pStyle w:val="11"/>
        <w:numPr>
          <w:numId w:val="0"/>
        </w:numPr>
        <w:jc w:val="center"/>
        <w:outlineLvl w:val="1"/>
        <w:rPr>
          <w:rFonts w:hint="eastAsia" w:ascii="宋体" w:hAnsi="宋体" w:eastAsia="宋体" w:cs="宋体"/>
          <w:b/>
          <w:lang w:val="en-US" w:eastAsia="zh-CN"/>
        </w:rPr>
      </w:pPr>
    </w:p>
    <w:p>
      <w:pPr>
        <w:pStyle w:val="11"/>
        <w:numPr>
          <w:numId w:val="0"/>
        </w:numPr>
        <w:jc w:val="center"/>
        <w:outlineLvl w:val="1"/>
        <w:rPr>
          <w:rFonts w:hint="eastAsia" w:ascii="宋体" w:hAnsi="宋体" w:eastAsia="宋体" w:cs="宋体"/>
          <w:b/>
          <w:lang w:val="en-US" w:eastAsia="zh-CN"/>
        </w:rPr>
      </w:pPr>
    </w:p>
    <w:p>
      <w:pPr>
        <w:pStyle w:val="11"/>
        <w:numPr>
          <w:numId w:val="0"/>
        </w:numPr>
        <w:jc w:val="center"/>
        <w:outlineLvl w:val="1"/>
        <w:rPr>
          <w:rFonts w:asciiTheme="minorEastAsia" w:hAnsiTheme="minorEastAsia" w:eastAsiaTheme="minorEastAsia" w:cstheme="minorEastAsia"/>
          <w:b/>
          <w:szCs w:val="21"/>
        </w:rPr>
      </w:pPr>
      <w:bookmarkStart w:id="231" w:name="_GoBack"/>
      <w:bookmarkEnd w:id="231"/>
      <w:r>
        <w:rPr>
          <w:rFonts w:hint="eastAsia" w:ascii="宋体" w:hAnsi="宋体" w:eastAsia="宋体" w:cs="宋体"/>
          <w:b/>
          <w:lang w:val="en-US" w:eastAsia="zh-CN"/>
        </w:rPr>
        <w:t>第一项</w:t>
      </w:r>
      <w:r>
        <w:rPr>
          <w:rFonts w:hint="eastAsia" w:ascii="宋体" w:hAnsi="宋体" w:eastAsia="宋体" w:cs="宋体"/>
          <w:b/>
        </w:rPr>
        <w:t xml:space="preserve"> </w:t>
      </w:r>
      <w:bookmarkStart w:id="165" w:name="_Toc9887"/>
      <w:r>
        <w:rPr>
          <w:rFonts w:hint="eastAsia" w:ascii="宋体" w:hAnsi="宋体" w:eastAsia="宋体" w:cs="宋体"/>
          <w:b/>
        </w:rPr>
        <w:t>采购需求</w:t>
      </w:r>
    </w:p>
    <w:p>
      <w:pPr>
        <w:spacing w:line="33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一、项目内容：</w:t>
      </w:r>
      <w:bookmarkEnd w:id="165"/>
    </w:p>
    <w:p>
      <w:pPr>
        <w:spacing w:line="336" w:lineRule="auto"/>
        <w:ind w:firstLine="420" w:firstLineChars="200"/>
        <w:rPr>
          <w:rFonts w:asciiTheme="minorEastAsia" w:hAnsiTheme="minorEastAsia" w:eastAsiaTheme="minorEastAsia" w:cstheme="minorEastAsia"/>
          <w:szCs w:val="21"/>
        </w:rPr>
      </w:pPr>
      <w:bookmarkStart w:id="166" w:name="_Hlk138832737"/>
      <w:r>
        <w:rPr>
          <w:rFonts w:hint="eastAsia" w:asciiTheme="minorEastAsia" w:hAnsiTheme="minorEastAsia" w:eastAsiaTheme="minorEastAsia" w:cstheme="minorEastAsia"/>
          <w:szCs w:val="21"/>
        </w:rPr>
        <w:t>为了适应医学影像学院三个专业的发展需要，需增加人工智能方面相关课程，其实验实训环节需要向学生演示深度学习的相关程序运行、算法测试、以及图像处理等实际应用环境。另外，该实训室也可对相关方向感兴趣的同学定时开放，为“互联网+”和“挑战杯”等创新创业比赛提供技术支持。AI技术在医学领域的影响愈加广泛和深刻，尤其在医学影像方面如疾病诊断、图像分割、病灶定位等方面的应用越来越成熟，是医学影像发展的一个重要方向。人工智能专业发展初期需要较大的设备投入，因此需采购相关设备建设人工智能实训室。</w:t>
      </w:r>
      <w:bookmarkEnd w:id="166"/>
    </w:p>
    <w:p>
      <w:pPr>
        <w:spacing w:line="33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二、项目清单：</w:t>
      </w:r>
    </w:p>
    <w:tbl>
      <w:tblPr>
        <w:tblStyle w:val="29"/>
        <w:tblW w:w="0" w:type="auto"/>
        <w:jc w:val="center"/>
        <w:tblLayout w:type="autofit"/>
        <w:tblCellMar>
          <w:top w:w="0" w:type="dxa"/>
          <w:left w:w="108" w:type="dxa"/>
          <w:bottom w:w="0" w:type="dxa"/>
          <w:right w:w="108" w:type="dxa"/>
        </w:tblCellMar>
      </w:tblPr>
      <w:tblGrid>
        <w:gridCol w:w="1009"/>
        <w:gridCol w:w="6740"/>
        <w:gridCol w:w="791"/>
        <w:gridCol w:w="805"/>
      </w:tblGrid>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3D 打印机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人工智能机械臂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人工智能开发套件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投影仪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交换机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CellMar>
            <w:top w:w="0" w:type="dxa"/>
            <w:left w:w="108" w:type="dxa"/>
            <w:bottom w:w="0" w:type="dxa"/>
            <w:right w:w="108" w:type="dxa"/>
          </w:tblCellMar>
        </w:tblPrEx>
        <w:trPr>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6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bl>
    <w:p>
      <w:pPr>
        <w:spacing w:line="336"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三、主要技术参数：</w:t>
      </w:r>
    </w:p>
    <w:tbl>
      <w:tblPr>
        <w:tblStyle w:val="2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04"/>
        <w:gridCol w:w="647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4" w:type="dxa"/>
            <w:vAlign w:val="center"/>
          </w:tcPr>
          <w:p>
            <w:pPr>
              <w:spacing w:line="33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6470" w:type="dxa"/>
            <w:tcBorders>
              <w:top w:val="single" w:color="000000" w:sz="4" w:space="0"/>
            </w:tcBorders>
            <w:vAlign w:val="center"/>
          </w:tcPr>
          <w:p>
            <w:pPr>
              <w:spacing w:line="336"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主要技术需求</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w:t>
            </w:r>
          </w:p>
        </w:tc>
        <w:tc>
          <w:tcPr>
            <w:tcW w:w="6470" w:type="dxa"/>
          </w:tcPr>
          <w:p>
            <w:pPr>
              <w:spacing w:line="276" w:lineRule="auto"/>
              <w:ind w:left="210" w:leftChars="100" w:firstLine="211" w:firstLineChars="1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一、硬件部分：</w:t>
            </w:r>
          </w:p>
          <w:p>
            <w:pPr>
              <w:spacing w:line="276" w:lineRule="auto"/>
              <w:ind w:left="210" w:leftChars="100"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★1.CPU：第十二代英特尔酷睿i7-12700</w:t>
            </w:r>
          </w:p>
          <w:p>
            <w:pPr>
              <w:spacing w:line="276" w:lineRule="auto"/>
              <w:ind w:left="210" w:leftChars="100"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★2.主板：不低于Q670芯片组及以上</w:t>
            </w:r>
          </w:p>
          <w:p>
            <w:pPr>
              <w:spacing w:line="276" w:lineRule="auto"/>
              <w:ind w:left="210" w:leftChars="100"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★3.内存：≥16GB 3200MHz DDR4，最大支持64G</w:t>
            </w:r>
          </w:p>
          <w:p>
            <w:pPr>
              <w:spacing w:line="276" w:lineRule="auto"/>
              <w:ind w:left="210" w:leftChars="100"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★4.硬盘：≥512GB M.2 SSD＋1TB 机械硬盘</w:t>
            </w:r>
          </w:p>
          <w:p>
            <w:pPr>
              <w:spacing w:line="276" w:lineRule="auto"/>
              <w:ind w:left="210" w:leftChars="100"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★5.显卡：T400 4G以上独立显卡，须适配虚拟仿真软件运行。 </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6.接口：整机USB接口≥9个，其中 USB3.2接口≥7个，HDMI接口1个,DP接口1个</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7.声卡：集成声卡，前置通用音频接口，后置音频输入/输出接口</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8.显示器≥27英寸及以上IPS屏显示器 ，分辨率不低于2560×1440。HDMI接口×1，DP接口×1,Type-A接口×4个，显示器可上下15CM升降，轴心、左右旋转。原厂预置优化显示器寿命模块</w:t>
            </w:r>
            <w:r>
              <w:rPr>
                <w:rFonts w:hint="eastAsia" w:asciiTheme="minorEastAsia" w:hAnsiTheme="minorEastAsia" w:eastAsiaTheme="minorEastAsia" w:cstheme="minorEastAsia"/>
                <w:b/>
                <w:bCs/>
                <w:szCs w:val="21"/>
              </w:rPr>
              <w:t>（投标时提供相关证明材料，加盖投标人公章）</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9.网卡：集成10/100/1000以太网卡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10.操作系统：原厂预装win11操作系统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11.服务：原厂三年整机上门保修服务（含显示器）</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12.电源≥260W，能效不低于92%，高效节能电源，最大支持400W</w:t>
            </w:r>
          </w:p>
          <w:p>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★13.键盘鼠标：原厂USB防水抗菌键盘、抗菌鼠标。具有国家权威机构（需有CNAS认可的检测机构）出具的键盘防水，键盘抗菌，鼠标抗菌检验证书或检测报告</w:t>
            </w:r>
            <w:r>
              <w:rPr>
                <w:rFonts w:hint="eastAsia" w:asciiTheme="minorEastAsia" w:hAnsiTheme="minorEastAsia" w:eastAsiaTheme="minorEastAsia" w:cstheme="minorEastAsia"/>
                <w:b/>
                <w:bCs/>
                <w:szCs w:val="21"/>
              </w:rPr>
              <w:t>（投标时提供相关证明材料复印件并加盖投标人公章）</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14.机箱：立式机箱，采用蜂窝结构，机箱体积＞16L</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二、网络同传：</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1.出厂自带BIOS版还原卡，支持系统自动还原、同时支持GPT分区和MBR分区。</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2.自动修改IP。</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3.硬盘保护、网络同传、增量拷贝、断点续传。</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4.远程唤醒、远程重启、远程关机。</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5.千兆网络传输速度≥7GB/分钟。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6.可以从底层控制U盘和光驱等设备的使用。</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3D</w:t>
            </w:r>
          </w:p>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打印机</w:t>
            </w:r>
          </w:p>
        </w:tc>
        <w:tc>
          <w:tcPr>
            <w:tcW w:w="647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搭配≥8G存储大内存，支持300+个模型存储和读取存储模型文件更高效，多任务切换更顺畅。支持500mm/s（峰值)的打印速度和5000mm/s2(峰值)的加速度，搭载64位1.5G主频≥4核高性能处理器，5.2倍挤出比，挤出力度更大，搭配铜-钛全金属耐高温喉管和高速喷嘴设计，可兼容PLA、PETG、ABS和柔性长丝如TPU等多种耗材；</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支持最高温度300℃打印，可打印尼龙等高温耗材，更轻巧的挤出结构，重量仅为N3Pro的70%。PEI磁吸平台+高效高温热床，采用特殊PE引涂层+弹簧钢+软磁贴三种相结合的创新型打印平台，打印完成平台降温后模型会自动松脱，模型易粘易取，搭配高效高温250W热床，可快速加热到110°C，采用非接触式高精度传感器自动检测打印平台上的100个点并实时采集数据，实现自动校准和补偿喷嘴与热床之间的距离一键调平，提高打印效率，也可以通过手拧螺母校准平台和调整Z轴高度来补偿打印平台的水平度，提升打印成功率；</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3.智能散热方案搭载≥6个高转速滚珠风扇，风量大幅提升；快速打印时可极速全面散热，减短散热路径，整机散热能力飙升，有效降低堵塞风险；</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4.机器在打印完成后，当喷头温度低于50℃，喷头散热风扇会自动停止工作，降低能耗；含两卷打印耗材。</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人工智能机械臂</w:t>
            </w:r>
          </w:p>
        </w:tc>
        <w:tc>
          <w:tcPr>
            <w:tcW w:w="647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1.机械臂重量：</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1.2kg  </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2.机身材质：支架材质：硬铝合金材料连接柱材质：PA66+玻纤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3.电源：7.5V 6A DC适配器，供电稳定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4.控制器：支持树莓派4B、树莓派拓展板</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5.摄像头参数：</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可视角度：≥120°广角，可探测角度视野大系统支持：Windows、Linux、Openwrt产品像素：≥30万像素（640×480）对焦方式：支持手动调焦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6.软件部分：VNC软件、图形化上位机软件和安卓/iOS 手机APP软件</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7.自由度：≥6个自由度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8.舵机及电机：支持采用LX-15D总线舵机或LX-225总线舵机或支持单轴总线舵机和支持直流减速电机</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9.功能：</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机体遥控：通过APP既可以实现机体遥控，还可以看到机器人的第一视觉画面。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颜色追踪：通过摄像头模块识别设定好的颜色，对该目标颜色进行前、后、左、右、上、下追踪。</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人脸识别：通过摄像模块识别到人脸时，机械臂会进行打招呼动等动作。</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物品分拣：通过摄像头模块检测红、绿、蓝和不同标签的木块，依次将木块分拣到指定位置。</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智能码垛：通过摄像头模块检测红、绿、蓝和不同标签的木块，分别把颜色木块和标签木块进行码垛，堆放在指定区域。</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4" w:type="dxa"/>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人工智能开发套件</w:t>
            </w:r>
          </w:p>
        </w:tc>
        <w:tc>
          <w:tcPr>
            <w:tcW w:w="6470" w:type="dxa"/>
            <w:vAlign w:val="center"/>
          </w:tcPr>
          <w:p>
            <w:pPr>
              <w:spacing w:line="276"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一、总体描述</w:t>
            </w:r>
          </w:p>
          <w:p>
            <w:pPr>
              <w:spacing w:line="276"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1．边缘计算实验套件是面向人工智能、智能科学与技术等专业</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的学生进行各类科研和创新大赛的技术平台，亦可作为学科基础知识和专业技术教学平台。</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基于边缘计算框架设计，具有单独AI计算加速能力，支持多sensor输入，具有POE受电的千兆网络。集成丰富的硬件接口，包括蓝牙/WIFI、4G、5G、PCIE、扩展GPIO等接口，内置多种人工智能视觉算法API（图像分类、人脸识别、人脸属性分析、车牌识别等）。</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二、硬件资源：</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1．边缘计算终端</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★(1)终端内置高性能处理器，处理器不少于五核,其中须包含不低于双核ARM CortexA72芯片，GPU处理器数量不少于双核。</w:t>
            </w:r>
          </w:p>
          <w:p>
            <w:pPr>
              <w:numPr>
                <w:ilvl w:val="0"/>
                <w:numId w:val="1"/>
              </w:num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终端须内置AI加速处理单元，主频不低于840MHz,运算能力不低于3.0TFLOPS。</w:t>
            </w:r>
          </w:p>
          <w:p>
            <w:pPr>
              <w:numPr>
                <w:ilvl w:val="0"/>
                <w:numId w:val="1"/>
              </w:num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终端搭载内存≥4GB DDR4。</w:t>
            </w:r>
          </w:p>
          <w:p>
            <w:pPr>
              <w:numPr>
                <w:ilvl w:val="0"/>
                <w:numId w:val="1"/>
              </w:num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终端搭载Emmc5.1存储器，存储≥32GB。</w:t>
            </w:r>
          </w:p>
          <w:p>
            <w:pPr>
              <w:numPr>
                <w:ilvl w:val="0"/>
                <w:numId w:val="1"/>
              </w:num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无线单元：</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内置单频2.4G Wi-Fi模组，BLE4.2模组，支持Wi-Fi、BLE传感网设备接入。可扩展配置全网通4G模组，支持LTE-FDD,LTE-TDD,DC-HSDPA,HSPA+,HSDPA,HSUPA,WCDMA,TD-SCDMA,CDMA,EDGE和 GPRS等多种网络制式，支持LTE传感网设备接入。内置PCIE2.0接口。</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（6）外设接口：</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千兆以太网口，须支持POE受电（可选）。 不少于3个的USB 3.0 HOST的TYPE-A接口。 提供3.5mm音频输入输出接口。提供至少支持1路MIPI CSI接口，至少支持8路视频接入。提供HDMI2.0视频输出接口，输出最大支持4K@60fps。 提供串行接口：支持RS232和RS485接入方式, 支持Micro USB的U转调试串口。提供40PIN板载扩展，可接不少于1×I2S、2×I2C、ADC1_CHO、ADC1_CH1、1×PWM、2×SPI，支持中断编程。</w:t>
            </w:r>
          </w:p>
          <w:p>
            <w:pPr>
              <w:numPr>
                <w:ilvl w:val="0"/>
                <w:numId w:val="2"/>
              </w:num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高清摄像头</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模块须搭载不低于800万像素工业级无畸变摄像头。模块支持自动曝光控制AEC，支持自动增益控制AGC，支持自动白平衡。支持自动对焦功能。</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3.语音采集播放设备</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LED指示灯：须支持无亮待机及通话模式；绿灯须表示静音模式；声音功能 ：声音取样频率不低于32KHz；通讯模式：须支持全双工同时对谈；回音消除：不低于58dB；须支持AGC(音频自动增益控制）功能；麦克风须支持全指向；</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三、操作系统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1.边缘计算终端须支持linux嵌入式操作系统，满足嵌入式操作系统教学。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2.边缘计算终端须内置Python3.5以上版本的运行环境，满足Python  的AI教学。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3.边缘计算终端须内置QT、PYQT5的运行环境，满足AI的可视化教学。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★4.边缘计算终端内置的AI算法至少包括目标检测、人脸识别、车牌识别、车位检测、人脸多属性分析、人体骨骼关键点检测，满足AI的基础应用与开发教学。</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★5.边缘计算终端须内置人脸多属性分析算法，具有不少于2个维度的分析结果，比如（表情、是否佩戴眼镜、是否佩戴口罩、年龄、性别）；</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★6.边缘计算终端须内置人体骨骼关键点检测算法，具有不少于16个关键点的检测。</w:t>
            </w:r>
          </w:p>
          <w:p>
            <w:pPr>
              <w:spacing w:line="276" w:lineRule="auto"/>
              <w:ind w:left="210" w:leftChars="100"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四、内置应用软件</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应用软件具有不少于5个内置AI算法应用，程序界面应包括摄像头调用、图像采集、算法调用、结果呈现等功能与代码对照教学演示，可展开关键技术分解教学。在认知和关键步骤上进行实际操作，满足AI的通识教学。展开的内置AI算法应用至包括物品分类识别、物品目标检测、人脸识别、车牌车别和人脸属性识别。</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五、可视化模型训练工具：</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提供可视化模型训练工具，支持学生零代码构建高精度模型,支持分类/检测预训练模型，载入标注后的数据后，工具提供“数据预处理”、“数据生产”、“训练参数配置”、“模型训练”和“模型验证”功能。训练好的模型无需交叉编译可直接部署到边缘计算终端进行端侧推理验证。</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六、配套资源：</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1.提供物品分类、物品目标检测、人脸识别、人脸多属性分析、车牌识别、车位检测、人体骨骼描点、RS485串口调试案例、人脸注册与人脸识别案例，包含源码以及使用说明文档。</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2.提供板载RockX_SDK资源，包含SDK、Python Demo源码、说明文档等内容。</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3.提供相关的拓展资料，包含Debian10开发环境搭建及配置资料、NLE-AI800 v3.0开发板底板接口介绍、rknn-toolkit-v1.6.0工具、语音识别的调用程序参考案例。</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4.提供相关软件安装包，包含pycharm、MOBAXterm、QTDesigner等。提供产品配套的镜像包以及刷机制作教程。</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投影仪</w:t>
            </w:r>
          </w:p>
        </w:tc>
        <w:tc>
          <w:tcPr>
            <w:tcW w:w="6470" w:type="dxa"/>
            <w:vAlign w:val="center"/>
          </w:tcPr>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★1.投影显示系统：3LCD显示系统，芯片尺寸：≥0.63”</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★2.亮度：≥ 4800流明（中心亮度）；≥4600lm（ISO21118标准）</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★3.分辨率：1024×768</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★4.对比度：≥25000:1</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5.光源类型：240W长寿命灯泡</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6.长寿命灯泡，标准模式下使用寿命长达10000小时，节能模式下使用寿命≥20000小时</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7.多种投影方式：前投；背投；吊装/前投；吊顶背投；自动吊顶/前投；自动吊顶/背投 </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★8.快速冷却功能：三种快速冷却方式可选：0秒允许关机后直接拔掉电源线无需等待投影机冷却，60秒比正常模式冷却时间短冷却速度快，正常即正常速度冷却，在不同模式下关机所需冷却时间不一样。</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9.梯形校正功能：多种功能可选：调整校正储存或者复位；水平或者垂直梯形手动调整；四角校正；复位值将调整的梯形范围恢复原值。</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★10.自动设置：自动设置功能可选：输入源搜索开或者关；自动切换搜索输入信号源自动电脑调整输入模拟信 号时自动调整相位、水平位置等；自动梯形校正具有关或者手动或者自动进行梯形校正。</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11.密码保护：开机后输入正确设置密码启用投影机；支持开机画面设置密码锁定，防止开机画面被随意更改。</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12. HDMI信号设置可以设置HDMI信号格式图像范围以及HDMI声音输出，以及通过HDMI EQ调整声音输出效果。</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★13.无线投屏：通过专用投屏软件，搭配WiFi dongle（选配）即可实现无线投屏功能，同时支持最多4路信号同时输入，以及4分屏，以及将电脑图像投屏至多台投影机显示。</w:t>
            </w:r>
          </w:p>
          <w:p>
            <w:pPr>
              <w:numPr>
                <w:ilvl w:val="0"/>
                <w:numId w:val="3"/>
              </w:numPr>
              <w:spacing w:line="276" w:lineRule="auto"/>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rPr>
              <w:t>供货要求：成交供应商在</w:t>
            </w:r>
            <w:r>
              <w:rPr>
                <w:rFonts w:hint="eastAsia" w:ascii="宋体" w:hAnsi="宋体" w:cs="宋体"/>
                <w:b/>
                <w:bCs/>
                <w:color w:val="000000"/>
                <w:kern w:val="0"/>
                <w:szCs w:val="21"/>
                <w:lang w:val="en-US" w:eastAsia="zh-CN"/>
              </w:rPr>
              <w:t>中标后，</w:t>
            </w:r>
            <w:r>
              <w:rPr>
                <w:rFonts w:hint="eastAsia" w:ascii="宋体" w:hAnsi="宋体" w:cs="宋体"/>
                <w:b/>
                <w:bCs/>
                <w:color w:val="000000"/>
                <w:kern w:val="0"/>
                <w:szCs w:val="21"/>
              </w:rPr>
              <w:t>供货时须提供厂家供货证明函和售后服务承诺函。</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投标时提供相关承诺函并加盖投标人公章，格式自拟</w:t>
            </w:r>
            <w:r>
              <w:rPr>
                <w:rFonts w:hint="eastAsia" w:ascii="宋体" w:hAnsi="宋体" w:cs="宋体"/>
                <w:b/>
                <w:bCs/>
                <w:color w:val="000000"/>
                <w:kern w:val="0"/>
                <w:szCs w:val="21"/>
                <w:lang w:eastAsia="zh-CN"/>
              </w:rPr>
              <w:t>）</w:t>
            </w:r>
          </w:p>
          <w:p>
            <w:pPr>
              <w:numPr>
                <w:ilvl w:val="0"/>
                <w:numId w:val="3"/>
              </w:numPr>
              <w:spacing w:line="276" w:lineRule="auto"/>
              <w:ind w:firstLine="422" w:firstLineChars="200"/>
              <w:rPr>
                <w:rFonts w:asciiTheme="minorEastAsia" w:hAnsiTheme="minorEastAsia" w:eastAsiaTheme="minorEastAsia" w:cstheme="minorEastAsia"/>
                <w:b/>
                <w:bCs/>
                <w:szCs w:val="21"/>
              </w:rPr>
            </w:pPr>
            <w:r>
              <w:rPr>
                <w:rFonts w:hint="eastAsia" w:ascii="宋体" w:hAnsi="宋体" w:cs="宋体"/>
                <w:b/>
                <w:bCs/>
                <w:color w:val="000000"/>
                <w:kern w:val="0"/>
                <w:szCs w:val="21"/>
              </w:rPr>
              <w:t>提供制造商环境管理体系认证证书ISO14001，质量管理认证证书ISO9001，售后服务认证证书、职业健康安全管理体系认证证书。</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提供相关认证证书复印件并加盖投标人公章</w:t>
            </w:r>
            <w:r>
              <w:rPr>
                <w:rFonts w:hint="eastAsia" w:ascii="宋体" w:hAnsi="宋体" w:cs="宋体"/>
                <w:b/>
                <w:bCs/>
                <w:color w:val="000000"/>
                <w:kern w:val="0"/>
                <w:szCs w:val="21"/>
                <w:lang w:eastAsia="zh-CN"/>
              </w:rPr>
              <w:t>）</w:t>
            </w:r>
          </w:p>
          <w:p>
            <w:pPr>
              <w:numPr>
                <w:ilvl w:val="0"/>
                <w:numId w:val="3"/>
              </w:numPr>
              <w:spacing w:line="276" w:lineRule="auto"/>
              <w:ind w:firstLine="422" w:firstLineChars="200"/>
              <w:rPr>
                <w:rFonts w:asciiTheme="minorEastAsia" w:hAnsiTheme="minorEastAsia" w:eastAsiaTheme="minorEastAsia" w:cstheme="minorEastAsia"/>
                <w:szCs w:val="21"/>
              </w:rPr>
            </w:pPr>
            <w:r>
              <w:rPr>
                <w:rFonts w:hint="eastAsia" w:ascii="宋体" w:hAnsi="宋体" w:cs="宋体"/>
                <w:b/>
                <w:bCs/>
                <w:color w:val="000000"/>
                <w:kern w:val="0"/>
                <w:szCs w:val="21"/>
                <w:highlight w:val="none"/>
              </w:rPr>
              <w:t>提供投标所投产品带有CMA</w:t>
            </w:r>
            <w:r>
              <w:rPr>
                <w:rFonts w:hint="eastAsia" w:ascii="宋体" w:hAnsi="宋体" w:cs="宋体"/>
                <w:b/>
                <w:bCs/>
                <w:color w:val="000000"/>
                <w:kern w:val="0"/>
                <w:szCs w:val="21"/>
                <w:highlight w:val="none"/>
                <w:lang w:val="en-US" w:eastAsia="zh-CN"/>
              </w:rPr>
              <w:t>或</w:t>
            </w:r>
            <w:r>
              <w:rPr>
                <w:rFonts w:hint="eastAsia" w:ascii="宋体" w:hAnsi="宋体" w:cs="宋体"/>
                <w:b/>
                <w:bCs/>
                <w:color w:val="000000"/>
                <w:kern w:val="0"/>
                <w:szCs w:val="21"/>
                <w:highlight w:val="none"/>
              </w:rPr>
              <w:t>ilac-MRA</w:t>
            </w:r>
            <w:r>
              <w:rPr>
                <w:rFonts w:hint="eastAsia" w:ascii="宋体" w:hAnsi="宋体" w:cs="宋体"/>
                <w:b/>
                <w:bCs/>
                <w:color w:val="000000"/>
                <w:kern w:val="0"/>
                <w:szCs w:val="21"/>
                <w:highlight w:val="none"/>
                <w:lang w:val="en-US" w:eastAsia="zh-CN"/>
              </w:rPr>
              <w:t>或</w:t>
            </w:r>
            <w:r>
              <w:rPr>
                <w:rFonts w:hint="eastAsia" w:ascii="宋体" w:hAnsi="宋体" w:cs="宋体"/>
                <w:b/>
                <w:bCs/>
                <w:color w:val="000000"/>
                <w:kern w:val="0"/>
                <w:szCs w:val="21"/>
                <w:highlight w:val="none"/>
              </w:rPr>
              <w:t>CNAS认证的检测报告。</w:t>
            </w:r>
            <w:r>
              <w:rPr>
                <w:rFonts w:hint="eastAsia" w:ascii="宋体" w:hAnsi="宋体" w:cs="宋体"/>
                <w:b/>
                <w:bCs/>
                <w:color w:val="000000"/>
                <w:kern w:val="0"/>
                <w:szCs w:val="21"/>
                <w:highlight w:val="none"/>
                <w:lang w:eastAsia="zh-CN"/>
              </w:rPr>
              <w:t>（</w:t>
            </w:r>
            <w:r>
              <w:rPr>
                <w:rFonts w:hint="eastAsia" w:ascii="宋体" w:hAnsi="宋体" w:cs="宋体"/>
                <w:b/>
                <w:bCs/>
                <w:color w:val="000000"/>
                <w:kern w:val="0"/>
                <w:szCs w:val="21"/>
                <w:lang w:val="en-US" w:eastAsia="zh-CN"/>
              </w:rPr>
              <w:t>提供相关认证证书复印件并加盖投标人公章</w:t>
            </w:r>
            <w:r>
              <w:rPr>
                <w:rFonts w:hint="eastAsia" w:ascii="宋体" w:hAnsi="宋体" w:cs="宋体"/>
                <w:b/>
                <w:bCs/>
                <w:color w:val="000000"/>
                <w:kern w:val="0"/>
                <w:szCs w:val="21"/>
                <w:lang w:eastAsia="zh-CN"/>
              </w:rPr>
              <w:t>）</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交换机</w:t>
            </w:r>
          </w:p>
        </w:tc>
        <w:tc>
          <w:tcPr>
            <w:tcW w:w="647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1.固化端口：≥48个10/100/1000Mbps电口，≥4个SFP光口，标准1U设备；</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2.交换容量≥432Gbps，包转发率≥87Mpps；</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3.为避免网络被异常流量和突发流量波及导致网络瘫痪，要求设备支持QOS，支持端口流量限速；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4.支持标准的ACL、支持基于IP/MAC扩展的ACL</w:t>
            </w:r>
          </w:p>
          <w:p>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★5.支持网管平台管理，通过可上网的移动终端，即可完成部署，即插即用，支持可视化整网拓扑、前面板端口通断状态呈现、CPU、内存利用率、设备配置等功能，</w:t>
            </w:r>
            <w:r>
              <w:rPr>
                <w:rFonts w:hint="eastAsia" w:asciiTheme="minorEastAsia" w:hAnsiTheme="minorEastAsia" w:eastAsiaTheme="minorEastAsia" w:cstheme="minorEastAsia"/>
                <w:b/>
                <w:bCs/>
                <w:szCs w:val="21"/>
              </w:rPr>
              <w:t>投标时提供功能截图及网管平台软件产品登记测试报告并加盖投标人公章；</w:t>
            </w:r>
          </w:p>
          <w:p>
            <w:pPr>
              <w:spacing w:line="276"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★6.投标时提供电信设备进网许可证证书复印件，加盖投标人公章。</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4" w:type="dxa"/>
            <w:vAlign w:val="center"/>
          </w:tcPr>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04"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机柜</w:t>
            </w:r>
          </w:p>
        </w:tc>
        <w:tc>
          <w:tcPr>
            <w:tcW w:w="6470"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优质冷轧钢板，拼装式机柜框架，前门是 ≥5mm3C 认证透明钢化玻璃门，后门是钢质平板门，机柜侧板两快侧板可拆卸，厚度（MM）：19 英寸角规 ≥2.0 600 深侧门 ≥1.0 其他 ≥1.2，负载：动态≤600，静态≤800；19 英寸角规，表面脱脂，磷化、静电喷塑处理；最大开启角度&gt;180 度；防护等级 ≥IP20</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09" w:type="dxa"/>
            <w:vAlign w:val="center"/>
          </w:tcPr>
          <w:p>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bl>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四、供货安装、调试要求</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（一）技术规格</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1.所有材料须提交详细的技术条款响应表，并注明品牌产地和生产厂地。</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2.成交供应商所提供的设备进场后，如采购人发现有任何问题（如外观有损坏），成交供应商应以同样型号的设备在采购人商定的时间内更换，确保其使用。</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（二）质量要求</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1.应严格按照采购文件的要求和国家有关标准，提供全新的、未经使用的、技术先进的设备。</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2.品质说明：必须保证提供的设备完全与采购文件所述的质量、规格和性能相符，所使用的材料及配件达到优质标准，相关设备具有厂家出具的设备质量合格证明书。</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3.成交供应商保证向采购人提供的设备或设备的任何一部分，免受第三方提出的侵犯其专利权、商标权或知识产权等的起诉，任何由此引起的法律责任和经济责任均由供应商承担。</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（三）验收方式</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1.设备到达现场后，成交供应商应在采购人在场情况下当面开箱，共同清点、检查外观，作出开箱记录，双方签字确认。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2.成交供应商应保证货物到达采购人所在地完好无损，如有缺漏、损坏，由成交供应商负责调换、补齐或赔偿。</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3.成交供应商应提供完备的技术资料、原厂真货证明、装箱单和合格证等。验收合格条件如下：</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（1）产品技术参数与项目合同一致，性能指标达到规定的标准。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（2）货物技术资料、原厂真货证明、装箱单、合格证等资料齐全。</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（3）在规定时间内完成交货并由双方组织验收小组进行验收，并经验收小组签字确认。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4.成交供应商提供的货物未达到招标文件规定要求，且对采购人造成损失的，由成交供应商承担一切责任，并赔偿所造成的损失。</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（四）验收标准与要求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2.成交供应商须保证所提供硬件产品包括相关附件为相应硬件厂家原装正品，软件产品为相关厂家正版软件，符合国家有关规定。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3.成交供应商须及时和学校用户沟通，确认所有设备材质、款式、规格后方可供货，并确保产品质量。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4.成交供应商应采取安全措施，确保施工安全。因本项目施工产生的施工人员和学校师生人生安全问题由中标供应商承担全部责任。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5.严格按照投标文件与采购文件对比验收，保留邀请第三方质检部门验收的权利。</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五、供货和质量（质保及售后）要求：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（一）供货要求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（2）要求所投设备之间能互联互通，满足采购人使用需求。可利用的旧设备要求免费进行安装调试。</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（二）质保及售后服务要求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1.产品质量保证期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（1）质量保证期（简称“质保期”）：自合同签订之日起，提供不少于3年免费硬件质保。质保期内合同中所有设备由成交供应商提供免费上门保修服务。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（2）投标产品属于国家规定“三包”范围的，其产品质量保证期不得低于“三包”规定。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（3）成交供应商的质量保证期承诺优于国家“三包”规定的，按中标供应商实际承诺执行。</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（4）投标产品由制造商（指产品生产制造商，或其负责销售、售后服务机构）负责标准售后服务的，应当在投标文件中予以明确说明，并附制造商售后服务承诺。</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2.售后服务要求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①正常使用范围内造成的损坏均免费维修，出现质量缺陷问题或同一货物在质保期内出现三次质量问题，成交供应商须免费予以更换。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②电话咨询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质量保证期内，采购人遇到使用及技术问题，成交供应商和原厂商（生产者）应当为采购人提供技术援助电话。电话咨询不能解决的，成交供应商和原厂商（生产者）应采取相应措施，提供上门服务。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③现场响应</w:t>
      </w:r>
    </w:p>
    <w:p>
      <w:pPr>
        <w:numPr>
          <w:ilvl w:val="0"/>
          <w:numId w:val="4"/>
        </w:num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3.培训要求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采购人可根据实际情况决定培训的时间、人数、地点和培训方式。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成交供应商须为所有被培训人员提供培训使用的文字资料和讲义等相关用品，以及协助用户方准备培训用的计算机和网络环境。</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（2）质保期过后服务要求：提供终身上门服务（只收材料成本费，其余费用均不得收取）。</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（3）项目交付使用前须提供完整的设备技术文档，并配合学校完成技术文档的归档工作。</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（三）其它要求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1.投标供应商依据招标文件中规格要求、材质要求、项目功能和配置清单并依据实际场地情况提供优化设计返方案。</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2.安装调试要求。所有设备安装、搬运、调试到位，能够正常运转。</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pStyle w:val="43"/>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jc w:val="center"/>
        <w:rPr>
          <w:rFonts w:ascii="宋体" w:hAnsi="宋体" w:cs="宋体"/>
          <w:b/>
          <w:color w:val="000000"/>
          <w:sz w:val="28"/>
          <w:szCs w:val="28"/>
          <w:highlight w:val="none"/>
        </w:rPr>
      </w:pPr>
      <w:bookmarkStart w:id="167" w:name="_Toc19913"/>
      <w:r>
        <w:rPr>
          <w:rFonts w:hint="eastAsia" w:ascii="宋体" w:hAnsi="宋体" w:cs="宋体"/>
          <w:b/>
          <w:color w:val="000000"/>
          <w:sz w:val="28"/>
          <w:szCs w:val="28"/>
          <w:highlight w:val="none"/>
        </w:rPr>
        <w:t>第二项 政府采购合同（拟签订的合同文本）</w:t>
      </w:r>
    </w:p>
    <w:p>
      <w:pPr>
        <w:spacing w:line="360" w:lineRule="auto"/>
        <w:jc w:val="center"/>
        <w:rPr>
          <w:szCs w:val="21"/>
        </w:rPr>
      </w:pPr>
      <w:r>
        <w:rPr>
          <w:rFonts w:hint="eastAsia" w:ascii="宋体" w:hAnsi="宋体" w:cs="宋体"/>
          <w:b/>
          <w:bCs/>
          <w:color w:val="000000"/>
          <w:szCs w:val="21"/>
        </w:rPr>
        <w:t>（在未改变实质性条件下，可双方协商确定）</w:t>
      </w:r>
      <w:bookmarkEnd w:id="167"/>
    </w:p>
    <w:p>
      <w:pPr>
        <w:spacing w:line="400" w:lineRule="exact"/>
        <w:jc w:val="center"/>
        <w:rPr>
          <w:rFonts w:ascii="宋体" w:hAnsi="宋体" w:cs="宋体"/>
          <w:color w:val="000000"/>
          <w:szCs w:val="21"/>
        </w:rPr>
      </w:pPr>
      <w:r>
        <w:rPr>
          <w:rFonts w:ascii="楷体_GB2312" w:hAnsi="宋体" w:eastAsia="楷体_GB2312" w:cs="Arial Unicode MS"/>
          <w:color w:val="000000"/>
          <w:sz w:val="18"/>
          <w:szCs w:val="18"/>
        </w:rPr>
        <w:t xml:space="preserve">           </w:t>
      </w:r>
      <w:r>
        <w:rPr>
          <w:rFonts w:hint="eastAsia" w:ascii="宋体" w:hAnsi="宋体" w:cs="宋体"/>
          <w:color w:val="000000"/>
          <w:szCs w:val="21"/>
        </w:rPr>
        <w:t xml:space="preserve">                                                       </w:t>
      </w:r>
    </w:p>
    <w:p>
      <w:pPr>
        <w:spacing w:line="400" w:lineRule="exact"/>
        <w:ind w:firstLine="6204" w:firstLineChars="2943"/>
        <w:jc w:val="left"/>
        <w:rPr>
          <w:rFonts w:ascii="宋体" w:hAnsi="宋体" w:cs="宋体"/>
          <w:color w:val="000000"/>
          <w:szCs w:val="21"/>
        </w:rPr>
      </w:pPr>
      <w:r>
        <w:rPr>
          <w:rFonts w:hint="eastAsia" w:ascii="宋体" w:hAnsi="宋体" w:cs="宋体"/>
          <w:b/>
          <w:color w:val="000000"/>
          <w:szCs w:val="21"/>
        </w:rPr>
        <w:t>合同编号：</w:t>
      </w:r>
      <w:r>
        <w:rPr>
          <w:rFonts w:hint="eastAsia" w:ascii="宋体" w:hAnsi="宋体" w:cs="宋体"/>
          <w:color w:val="000000"/>
          <w:szCs w:val="21"/>
        </w:rPr>
        <w:t>（采购编号）</w:t>
      </w:r>
    </w:p>
    <w:p>
      <w:pPr>
        <w:spacing w:line="400" w:lineRule="exact"/>
        <w:ind w:firstLine="6204" w:firstLineChars="2943"/>
        <w:rPr>
          <w:rFonts w:ascii="宋体" w:hAnsi="宋体" w:cs="宋体"/>
          <w:color w:val="000000"/>
          <w:szCs w:val="21"/>
        </w:rPr>
      </w:pPr>
      <w:r>
        <w:rPr>
          <w:rFonts w:hint="eastAsia" w:ascii="宋体" w:hAnsi="宋体" w:cs="宋体"/>
          <w:b/>
          <w:color w:val="000000"/>
          <w:szCs w:val="21"/>
        </w:rPr>
        <w:t>签署地点：</w:t>
      </w:r>
      <w:r>
        <w:rPr>
          <w:rFonts w:hint="eastAsia" w:ascii="宋体" w:hAnsi="宋体" w:cs="宋体"/>
          <w:color w:val="000000"/>
          <w:szCs w:val="21"/>
        </w:rPr>
        <w:t>江苏医药职业学院</w:t>
      </w:r>
    </w:p>
    <w:p>
      <w:pPr>
        <w:spacing w:line="400" w:lineRule="exact"/>
        <w:rPr>
          <w:rFonts w:ascii="宋体" w:hAnsi="宋体" w:cs="Arial Unicode MS"/>
          <w:color w:val="000000"/>
          <w:szCs w:val="21"/>
        </w:rPr>
      </w:pPr>
    </w:p>
    <w:p>
      <w:pPr>
        <w:spacing w:line="400" w:lineRule="exact"/>
        <w:rPr>
          <w:rFonts w:ascii="宋体" w:hAnsi="宋体" w:cs="Arial Unicode MS"/>
          <w:color w:val="000000"/>
          <w:szCs w:val="21"/>
          <w:u w:val="single"/>
        </w:rPr>
      </w:pPr>
      <w:r>
        <w:rPr>
          <w:rFonts w:hint="eastAsia" w:ascii="宋体" w:hAnsi="宋体" w:cs="Arial Unicode MS"/>
          <w:color w:val="000000"/>
          <w:szCs w:val="21"/>
        </w:rPr>
        <w:t>甲方</w:t>
      </w:r>
      <w:r>
        <w:rPr>
          <w:rFonts w:ascii="宋体" w:hAnsi="宋体" w:cs="Arial Unicode MS"/>
          <w:color w:val="000000"/>
          <w:szCs w:val="21"/>
        </w:rPr>
        <w:t>(</w:t>
      </w:r>
      <w:r>
        <w:rPr>
          <w:rFonts w:hint="eastAsia" w:ascii="宋体" w:hAnsi="宋体" w:cs="Arial Unicode MS"/>
          <w:color w:val="000000"/>
          <w:szCs w:val="21"/>
        </w:rPr>
        <w:t>需方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u w:val="single"/>
        </w:rPr>
        <w:t xml:space="preserve">江苏医药职业学院 </w:t>
      </w:r>
    </w:p>
    <w:p>
      <w:pPr>
        <w:spacing w:line="400" w:lineRule="exact"/>
        <w:rPr>
          <w:rFonts w:ascii="宋体" w:hAnsi="宋体" w:cs="Arial Unicode MS"/>
          <w:color w:val="000000"/>
          <w:szCs w:val="21"/>
        </w:rPr>
      </w:pPr>
      <w:r>
        <w:rPr>
          <w:rFonts w:hint="eastAsia" w:ascii="宋体" w:hAnsi="宋体" w:cs="Arial Unicode MS"/>
          <w:color w:val="000000"/>
          <w:szCs w:val="21"/>
        </w:rPr>
        <w:t>乙方</w:t>
      </w:r>
      <w:r>
        <w:rPr>
          <w:rFonts w:ascii="宋体" w:hAnsi="宋体" w:cs="Arial Unicode MS"/>
          <w:color w:val="000000"/>
          <w:szCs w:val="21"/>
        </w:rPr>
        <w:t>(</w:t>
      </w:r>
      <w:r>
        <w:rPr>
          <w:rFonts w:hint="eastAsia" w:ascii="宋体" w:hAnsi="宋体" w:cs="Arial Unicode MS"/>
          <w:color w:val="000000"/>
          <w:szCs w:val="21"/>
        </w:rPr>
        <w:t>供方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u w:val="single"/>
        </w:rPr>
        <w:t xml:space="preserve"> </w:t>
      </w:r>
      <w:r>
        <w:rPr>
          <w:rFonts w:ascii="宋体" w:hAnsi="宋体" w:cs="Arial Unicode MS"/>
          <w:color w:val="000000"/>
          <w:szCs w:val="21"/>
          <w:u w:val="single"/>
        </w:rPr>
        <w:t xml:space="preserve">    </w:t>
      </w:r>
      <w:r>
        <w:rPr>
          <w:rFonts w:hint="eastAsia" w:ascii="宋体" w:hAnsi="宋体" w:cs="Arial Unicode MS"/>
          <w:color w:val="000000"/>
          <w:szCs w:val="21"/>
        </w:rPr>
        <w:t xml:space="preserve"> </w:t>
      </w:r>
    </w:p>
    <w:p>
      <w:pPr>
        <w:spacing w:before="312" w:beforeLines="100" w:line="276" w:lineRule="auto"/>
        <w:ind w:firstLine="420" w:firstLineChars="200"/>
        <w:jc w:val="left"/>
        <w:rPr>
          <w:rFonts w:ascii="宋体" w:cs="Arial Unicode MS"/>
          <w:color w:val="000000"/>
          <w:szCs w:val="21"/>
        </w:rPr>
      </w:pPr>
      <w:r>
        <w:rPr>
          <w:rFonts w:hint="eastAsia" w:ascii="宋体" w:hAnsi="宋体" w:cs="Arial Unicode MS"/>
          <w:color w:val="000000"/>
          <w:szCs w:val="21"/>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400" w:lineRule="exact"/>
        <w:ind w:firstLine="422" w:firstLineChars="200"/>
        <w:rPr>
          <w:rFonts w:ascii="宋体" w:hAnsi="宋体" w:cs="仿宋"/>
          <w:b/>
          <w:bCs/>
          <w:color w:val="000000"/>
          <w:szCs w:val="21"/>
        </w:rPr>
      </w:pPr>
      <w:r>
        <w:rPr>
          <w:rFonts w:hint="eastAsia" w:ascii="宋体" w:hAnsi="宋体" w:cs="仿宋"/>
          <w:b/>
          <w:bCs/>
          <w:color w:val="000000"/>
          <w:szCs w:val="21"/>
        </w:rPr>
        <w:t>一、合同文件</w:t>
      </w:r>
    </w:p>
    <w:p>
      <w:pPr>
        <w:autoSpaceDE w:val="0"/>
        <w:autoSpaceDN w:val="0"/>
        <w:adjustRightInd w:val="0"/>
        <w:spacing w:line="400" w:lineRule="exact"/>
        <w:ind w:firstLine="420" w:firstLineChars="200"/>
        <w:rPr>
          <w:rFonts w:ascii="宋体" w:hAnsi="宋体" w:cs="仿宋"/>
          <w:color w:val="000000"/>
          <w:szCs w:val="21"/>
        </w:rPr>
      </w:pPr>
      <w:r>
        <w:rPr>
          <w:rFonts w:hint="eastAsia" w:ascii="宋体" w:hAnsi="宋体" w:cs="仿宋"/>
          <w:color w:val="000000"/>
          <w:szCs w:val="21"/>
          <w:lang w:val="zh-CN"/>
        </w:rPr>
        <w:t>本合同所附下列文件资料为本合同不可分割的部分：</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1</w:t>
      </w:r>
      <w:r>
        <w:rPr>
          <w:rFonts w:hint="eastAsia" w:ascii="宋体" w:hAnsi="宋体" w:cs="仿宋"/>
          <w:color w:val="000000"/>
          <w:szCs w:val="21"/>
        </w:rPr>
        <w:t>.</w:t>
      </w:r>
      <w:r>
        <w:rPr>
          <w:rFonts w:hint="eastAsia" w:ascii="宋体" w:hAnsi="宋体" w:cs="仿宋"/>
          <w:color w:val="000000"/>
          <w:szCs w:val="21"/>
          <w:lang w:val="zh-CN"/>
        </w:rPr>
        <w:t>政府采购招标文件（包括澄清、修改）；</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2</w:t>
      </w:r>
      <w:r>
        <w:rPr>
          <w:rFonts w:hint="eastAsia" w:ascii="宋体" w:hAnsi="宋体" w:cs="仿宋"/>
          <w:color w:val="000000"/>
          <w:szCs w:val="21"/>
        </w:rPr>
        <w:t>.</w:t>
      </w:r>
      <w:r>
        <w:rPr>
          <w:rFonts w:hint="eastAsia" w:ascii="宋体" w:hAnsi="宋体" w:cs="仿宋"/>
          <w:color w:val="000000"/>
          <w:szCs w:val="21"/>
          <w:lang w:val="zh-CN"/>
        </w:rPr>
        <w:t>乙方投标文件；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3</w:t>
      </w:r>
      <w:r>
        <w:rPr>
          <w:rFonts w:hint="eastAsia" w:ascii="宋体" w:hAnsi="宋体" w:cs="仿宋"/>
          <w:color w:val="000000"/>
          <w:szCs w:val="21"/>
        </w:rPr>
        <w:t>.</w:t>
      </w:r>
      <w:r>
        <w:rPr>
          <w:rFonts w:hint="eastAsia" w:ascii="宋体" w:hAnsi="宋体" w:cs="仿宋"/>
          <w:color w:val="000000"/>
          <w:szCs w:val="21"/>
          <w:lang w:val="zh-CN"/>
        </w:rPr>
        <w:t>中标（成交）通知书；</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4</w:t>
      </w:r>
      <w:r>
        <w:rPr>
          <w:rFonts w:hint="eastAsia" w:ascii="宋体" w:hAnsi="宋体" w:cs="仿宋"/>
          <w:color w:val="000000"/>
          <w:szCs w:val="21"/>
        </w:rPr>
        <w:t>.</w:t>
      </w:r>
      <w:r>
        <w:rPr>
          <w:rFonts w:hint="eastAsia" w:ascii="宋体" w:hAnsi="宋体" w:cs="仿宋"/>
          <w:color w:val="000000"/>
          <w:szCs w:val="21"/>
          <w:lang w:val="zh-CN"/>
        </w:rPr>
        <w:t>中标人在评标过程中做出的有关澄清、说明、承诺或者补正文件；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5</w:t>
      </w:r>
      <w:r>
        <w:rPr>
          <w:rFonts w:hint="eastAsia" w:ascii="宋体" w:hAnsi="宋体" w:cs="仿宋"/>
          <w:color w:val="000000"/>
          <w:szCs w:val="21"/>
        </w:rPr>
        <w:t>.</w:t>
      </w:r>
      <w:r>
        <w:rPr>
          <w:rFonts w:hint="eastAsia" w:ascii="宋体" w:hAnsi="宋体" w:cs="仿宋"/>
          <w:color w:val="000000"/>
          <w:szCs w:val="21"/>
          <w:lang w:val="zh-CN"/>
        </w:rPr>
        <w:t>政府采购委托协议书。</w:t>
      </w:r>
    </w:p>
    <w:p>
      <w:pPr>
        <w:autoSpaceDE w:val="0"/>
        <w:autoSpaceDN w:val="0"/>
        <w:adjustRightInd w:val="0"/>
        <w:spacing w:line="400" w:lineRule="exact"/>
        <w:ind w:firstLine="422" w:firstLineChars="200"/>
        <w:rPr>
          <w:rFonts w:ascii="宋体" w:hAnsi="宋体" w:cs="仿宋"/>
          <w:color w:val="000000"/>
          <w:szCs w:val="21"/>
        </w:rPr>
      </w:pPr>
      <w:r>
        <w:rPr>
          <w:rFonts w:hint="eastAsia" w:ascii="宋体" w:hAnsi="宋体" w:cs="仿宋"/>
          <w:b/>
          <w:bCs/>
          <w:color w:val="000000"/>
          <w:szCs w:val="21"/>
        </w:rPr>
        <w:t>二、合同范围和条件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本合同的范围和条件应与上述合同文件的规定相一致。</w:t>
      </w:r>
    </w:p>
    <w:p>
      <w:pPr>
        <w:pStyle w:val="2"/>
        <w:spacing w:line="276" w:lineRule="auto"/>
        <w:ind w:firstLine="42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三、采购内容、价格及采购清单：</w:t>
      </w:r>
      <w:r>
        <w:rPr>
          <w:rFonts w:asciiTheme="minorEastAsia" w:hAnsiTheme="minorEastAsia" w:eastAsiaTheme="minorEastAsia" w:cstheme="minorEastAsia"/>
          <w:color w:val="000000"/>
          <w:sz w:val="21"/>
          <w:szCs w:val="21"/>
        </w:rPr>
        <w:t xml:space="preserve"> </w:t>
      </w:r>
    </w:p>
    <w:tbl>
      <w:tblPr>
        <w:tblStyle w:val="29"/>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
        <w:gridCol w:w="751"/>
        <w:gridCol w:w="1918"/>
        <w:gridCol w:w="1360"/>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685" w:type="dxa"/>
            <w:gridSpan w:val="3"/>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tc>
        <w:tc>
          <w:tcPr>
            <w:tcW w:w="136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品牌/型号</w:t>
            </w:r>
          </w:p>
        </w:tc>
        <w:tc>
          <w:tcPr>
            <w:tcW w:w="67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单价（元）</w:t>
            </w:r>
          </w:p>
        </w:tc>
        <w:tc>
          <w:tcPr>
            <w:tcW w:w="85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总价（元）</w:t>
            </w:r>
          </w:p>
        </w:tc>
        <w:tc>
          <w:tcPr>
            <w:tcW w:w="851"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免费质保期</w:t>
            </w:r>
          </w:p>
        </w:tc>
        <w:tc>
          <w:tcPr>
            <w:tcW w:w="76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360"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gridSpan w:val="2"/>
          </w:tcPr>
          <w:p>
            <w:pPr>
              <w:spacing w:line="360" w:lineRule="auto"/>
              <w:jc w:val="left"/>
              <w:rPr>
                <w:rFonts w:asciiTheme="minorEastAsia" w:hAnsiTheme="minorEastAsia" w:eastAsiaTheme="minorEastAsia" w:cstheme="minorEastAsia"/>
                <w:color w:val="000000"/>
                <w:szCs w:val="21"/>
              </w:rPr>
            </w:pPr>
          </w:p>
        </w:tc>
        <w:tc>
          <w:tcPr>
            <w:tcW w:w="9557" w:type="dxa"/>
            <w:gridSpan w:val="10"/>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bl>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168" w:name="_Toc22886"/>
      <w:r>
        <w:rPr>
          <w:rFonts w:hint="eastAsia" w:asciiTheme="minorEastAsia" w:hAnsiTheme="minorEastAsia" w:eastAsiaTheme="minorEastAsia" w:cstheme="minorEastAsia"/>
          <w:b/>
          <w:color w:val="000000"/>
          <w:sz w:val="21"/>
          <w:szCs w:val="21"/>
        </w:rPr>
        <w:t>四、合同金额</w:t>
      </w:r>
      <w:bookmarkEnd w:id="168"/>
    </w:p>
    <w:p>
      <w:pPr>
        <w:spacing w:line="4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根据中标通知书中规定，合同总金额为人民币大写: </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 xml:space="preserve"> ；小写：</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w:t>
      </w:r>
    </w:p>
    <w:p>
      <w:pPr>
        <w:spacing w:line="4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169" w:name="_Toc15021"/>
      <w:r>
        <w:rPr>
          <w:rFonts w:hint="eastAsia" w:asciiTheme="minorEastAsia" w:hAnsiTheme="minorEastAsia" w:eastAsiaTheme="minorEastAsia" w:cstheme="minorEastAsia"/>
          <w:b/>
          <w:color w:val="000000"/>
          <w:sz w:val="21"/>
          <w:szCs w:val="21"/>
        </w:rPr>
        <w:t>五、交货期和交货地点</w:t>
      </w:r>
      <w:bookmarkEnd w:id="169"/>
    </w:p>
    <w:p>
      <w:pPr>
        <w:pStyle w:val="54"/>
        <w:wordWrap/>
        <w:spacing w:line="400" w:lineRule="exact"/>
        <w:ind w:firstLine="420"/>
        <w:outlineLvl w:val="9"/>
        <w:rPr>
          <w:rFonts w:asciiTheme="minorEastAsia" w:hAnsiTheme="minorEastAsia" w:eastAsiaTheme="minorEastAsia" w:cstheme="minorEastAsia"/>
          <w:b w:val="0"/>
          <w:snapToGrid w:val="0"/>
          <w:color w:val="000000"/>
          <w:sz w:val="21"/>
          <w:szCs w:val="21"/>
        </w:rPr>
      </w:pPr>
      <w:bookmarkStart w:id="170" w:name="_Toc13357"/>
      <w:r>
        <w:rPr>
          <w:rFonts w:hint="eastAsia" w:asciiTheme="minorEastAsia" w:hAnsiTheme="minorEastAsia" w:eastAsiaTheme="minorEastAsia" w:cstheme="minorEastAsia"/>
          <w:b w:val="0"/>
          <w:color w:val="000000"/>
          <w:sz w:val="21"/>
          <w:szCs w:val="21"/>
        </w:rPr>
        <w:t>1.交货期：</w:t>
      </w:r>
      <w:r>
        <w:rPr>
          <w:rFonts w:hint="eastAsia" w:asciiTheme="minorEastAsia" w:hAnsiTheme="minorEastAsia" w:eastAsiaTheme="minorEastAsia" w:cstheme="minorEastAsia"/>
          <w:b w:val="0"/>
          <w:snapToGrid w:val="0"/>
          <w:color w:val="000000"/>
          <w:sz w:val="21"/>
          <w:szCs w:val="21"/>
          <w:u w:val="single"/>
        </w:rPr>
        <w:t xml:space="preserve">             </w:t>
      </w:r>
      <w:r>
        <w:rPr>
          <w:rFonts w:hint="eastAsia" w:asciiTheme="minorEastAsia" w:hAnsiTheme="minorEastAsia" w:eastAsiaTheme="minorEastAsia" w:cstheme="minorEastAsia"/>
          <w:b w:val="0"/>
          <w:snapToGrid w:val="0"/>
          <w:color w:val="000000"/>
          <w:sz w:val="21"/>
          <w:szCs w:val="21"/>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bookmarkEnd w:id="170"/>
    </w:p>
    <w:p>
      <w:pPr>
        <w:pStyle w:val="54"/>
        <w:wordWrap/>
        <w:spacing w:line="400" w:lineRule="exact"/>
        <w:ind w:firstLine="420"/>
        <w:outlineLvl w:val="9"/>
        <w:rPr>
          <w:rFonts w:asciiTheme="minorEastAsia" w:hAnsiTheme="minorEastAsia" w:eastAsiaTheme="minorEastAsia" w:cstheme="minorEastAsia"/>
          <w:color w:val="000000"/>
          <w:sz w:val="21"/>
          <w:szCs w:val="21"/>
        </w:rPr>
      </w:pPr>
      <w:bookmarkStart w:id="171" w:name="_Toc12963"/>
      <w:r>
        <w:rPr>
          <w:rFonts w:hint="eastAsia" w:asciiTheme="minorEastAsia" w:hAnsiTheme="minorEastAsia" w:eastAsiaTheme="minorEastAsia" w:cstheme="minorEastAsia"/>
          <w:b w:val="0"/>
          <w:color w:val="000000"/>
          <w:sz w:val="21"/>
          <w:szCs w:val="21"/>
        </w:rPr>
        <w:t>2.交货地点：江苏医药职业学院指定地点</w:t>
      </w:r>
      <w:bookmarkEnd w:id="171"/>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72" w:name="_Toc28052"/>
      <w:r>
        <w:rPr>
          <w:rFonts w:hint="eastAsia" w:asciiTheme="minorEastAsia" w:hAnsiTheme="minorEastAsia" w:eastAsiaTheme="minorEastAsia" w:cstheme="minorEastAsia"/>
          <w:snapToGrid w:val="0"/>
          <w:color w:val="000000"/>
          <w:kern w:val="0"/>
          <w:sz w:val="21"/>
          <w:szCs w:val="21"/>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bookmarkEnd w:id="172"/>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73" w:name="_Toc29750"/>
      <w:r>
        <w:rPr>
          <w:rFonts w:hint="eastAsia" w:asciiTheme="minorEastAsia" w:hAnsiTheme="minorEastAsia" w:eastAsiaTheme="minorEastAsia" w:cstheme="minorEastAsia"/>
          <w:color w:val="000000"/>
          <w:sz w:val="21"/>
          <w:szCs w:val="21"/>
        </w:rPr>
        <w:t>4.货物所有权自乙方负责将货物运送至交货地点、交付甲方时起转移，交付给甲方之前的相关的运输、保险、保管等费用及货物灭失、损毁的一切风险由乙方承担，并负责补足、更换、修理及承担相应费用。</w:t>
      </w:r>
      <w:bookmarkEnd w:id="173"/>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74" w:name="_Toc27297"/>
      <w:r>
        <w:rPr>
          <w:rFonts w:hint="eastAsia" w:asciiTheme="minorEastAsia" w:hAnsiTheme="minorEastAsia" w:eastAsiaTheme="minorEastAsia" w:cstheme="minorEastAsia"/>
          <w:color w:val="000000"/>
          <w:sz w:val="21"/>
          <w:szCs w:val="21"/>
        </w:rPr>
        <w:t>5.乙方应承担由于包装或其防护措施不妥而引起的货物损坏或丢失等的全部责任。</w:t>
      </w:r>
      <w:bookmarkEnd w:id="174"/>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75" w:name="_Toc5720"/>
      <w:r>
        <w:rPr>
          <w:rFonts w:hint="eastAsia" w:asciiTheme="minorEastAsia" w:hAnsiTheme="minorEastAsia" w:eastAsiaTheme="minorEastAsia" w:cstheme="minorEastAsia"/>
          <w:color w:val="000000"/>
          <w:sz w:val="21"/>
          <w:szCs w:val="21"/>
        </w:rPr>
        <w:t>6.安全责任：货物在运输、装卸、正常使用过程中，因质量问题等造成甲方或第三方人身伤害及财产损失的，由乙方承担全部责任。</w:t>
      </w:r>
      <w:bookmarkEnd w:id="175"/>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176" w:name="_Toc7291"/>
      <w:r>
        <w:rPr>
          <w:rFonts w:hint="eastAsia" w:asciiTheme="minorEastAsia" w:hAnsiTheme="minorEastAsia" w:eastAsiaTheme="minorEastAsia" w:cstheme="minorEastAsia"/>
          <w:b/>
          <w:color w:val="000000"/>
          <w:sz w:val="21"/>
          <w:szCs w:val="21"/>
        </w:rPr>
        <w:t>六、售后服务承诺</w:t>
      </w:r>
      <w:bookmarkEnd w:id="176"/>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供应商对所提供货物的售后服务作如下承诺：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1.保证所提供货物必须符合国家有关标准；保证货物是全新、未使用过的原装合格正品，且是近期生产的。</w:t>
      </w:r>
    </w:p>
    <w:p>
      <w:pPr>
        <w:spacing w:line="40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rPr>
        <w:t>2.保证货物在经正确安装、正常使用和保养条件下，在其使用寿命周期内具有等于或优于合同技术参数指标条款规定的性能，对由于设计、工艺或材料的缺陷而发生的任何不足或故障负责，并承担弥补这些货物本</w:t>
      </w:r>
      <w:r>
        <w:rPr>
          <w:rFonts w:hint="eastAsia" w:asciiTheme="minorEastAsia" w:hAnsiTheme="minorEastAsia" w:eastAsiaTheme="minorEastAsia" w:cstheme="minorEastAsia"/>
          <w:color w:val="000000"/>
          <w:szCs w:val="21"/>
          <w:highlight w:val="none"/>
        </w:rPr>
        <w:t>身不足和缺陷的相关费用。</w:t>
      </w:r>
    </w:p>
    <w:p>
      <w:pPr>
        <w:spacing w:line="40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3.质保期、保修期及保修服务的内容严格遵守国家法律及合同文件规定。</w:t>
      </w:r>
    </w:p>
    <w:p>
      <w:pPr>
        <w:spacing w:line="40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质保期限为</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rPr>
        <w:t>个月，质保期限从验收合格之日起计算，质保期内“三包”责任所产生的费用由供应商承担。</w:t>
      </w:r>
    </w:p>
    <w:p>
      <w:pPr>
        <w:spacing w:line="400" w:lineRule="exact"/>
        <w:ind w:firstLine="420" w:firstLineChars="20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保修期限为</w:t>
      </w:r>
      <w:r>
        <w:rPr>
          <w:rFonts w:hint="eastAsia" w:asciiTheme="minorEastAsia" w:hAnsiTheme="minorEastAsia" w:eastAsiaTheme="minorEastAsia" w:cstheme="minorEastAsia"/>
          <w:color w:val="000000"/>
          <w:szCs w:val="21"/>
          <w:highlight w:val="none"/>
          <w:u w:val="single"/>
        </w:rPr>
        <w:t xml:space="preserve">     </w:t>
      </w:r>
      <w:r>
        <w:rPr>
          <w:rFonts w:hint="eastAsia" w:asciiTheme="minorEastAsia" w:hAnsiTheme="minorEastAsia" w:eastAsiaTheme="minorEastAsia" w:cstheme="minorEastAsia"/>
          <w:color w:val="000000"/>
          <w:szCs w:val="21"/>
          <w:highlight w:val="none"/>
        </w:rPr>
        <w:t>，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4.对制造商提供的货</w:t>
      </w:r>
      <w:r>
        <w:rPr>
          <w:rFonts w:hint="eastAsia" w:asciiTheme="minorEastAsia" w:hAnsiTheme="minorEastAsia" w:eastAsiaTheme="minorEastAsia" w:cstheme="minorEastAsia"/>
          <w:color w:val="000000"/>
          <w:sz w:val="21"/>
          <w:szCs w:val="21"/>
        </w:rPr>
        <w:t>物的硬件或软件的升级改进服务，有及时告知用户的义务，在用户同意接受这些服务的情况下提供便利条件。</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u w:val="single"/>
        </w:rPr>
        <w:t>乙方质保负责人：          ，联系电话（手机）：            。</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177" w:name="_Toc2984"/>
      <w:r>
        <w:rPr>
          <w:rFonts w:hint="eastAsia" w:asciiTheme="minorEastAsia" w:hAnsiTheme="minorEastAsia" w:eastAsiaTheme="minorEastAsia" w:cstheme="minorEastAsia"/>
          <w:b/>
          <w:color w:val="000000"/>
          <w:sz w:val="21"/>
          <w:szCs w:val="21"/>
        </w:rPr>
        <w:t>七、验收办法</w:t>
      </w:r>
      <w:bookmarkEnd w:id="177"/>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bookmarkStart w:id="178" w:name="_Toc8464"/>
      <w:r>
        <w:rPr>
          <w:rFonts w:hint="eastAsia" w:asciiTheme="minorEastAsia" w:hAnsiTheme="minorEastAsia" w:eastAsiaTheme="minorEastAsia" w:cstheme="minorEastAsia"/>
          <w:bCs w:val="0"/>
          <w:color w:val="000000"/>
          <w:sz w:val="21"/>
          <w:szCs w:val="21"/>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78"/>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bookmarkStart w:id="179" w:name="_Toc16640"/>
      <w:r>
        <w:rPr>
          <w:rFonts w:hint="eastAsia" w:asciiTheme="minorEastAsia" w:hAnsiTheme="minorEastAsia" w:eastAsiaTheme="minorEastAsia" w:cstheme="minorEastAsia"/>
          <w:bCs w:val="0"/>
          <w:color w:val="000000"/>
          <w:sz w:val="21"/>
          <w:szCs w:val="21"/>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sz w:val="21"/>
          <w:szCs w:val="21"/>
        </w:rPr>
        <w:t>对包装破损、型号规格、外观或质量不符合约定的货物，甲方将予以拒收，该部分视为乙方未按时供货。如甲方对全部货物验收合格，双方签字确认。</w:t>
      </w:r>
      <w:bookmarkEnd w:id="179"/>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bookmarkStart w:id="180" w:name="_Toc26090"/>
      <w:r>
        <w:rPr>
          <w:rFonts w:hint="eastAsia" w:asciiTheme="minorEastAsia" w:hAnsiTheme="minorEastAsia" w:eastAsiaTheme="minorEastAsia" w:cstheme="minorEastAsia"/>
          <w:bCs w:val="0"/>
          <w:color w:val="000000"/>
          <w:sz w:val="21"/>
          <w:szCs w:val="21"/>
        </w:rPr>
        <w:t>2.技术验收：检查货物是否按规范进行安装；通过运行调试（包括功能调试、技术指标调试、整机统调等）对性能指标、技术质量等进行检测；供应商是否按照合同要求提供人员培训、完成履约任务。</w:t>
      </w:r>
      <w:bookmarkEnd w:id="180"/>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81" w:name="_Toc14704"/>
      <w:r>
        <w:rPr>
          <w:rFonts w:hint="eastAsia" w:asciiTheme="minorEastAsia" w:hAnsiTheme="minorEastAsia" w:eastAsiaTheme="minorEastAsia" w:cstheme="minorEastAsia"/>
          <w:color w:val="000000"/>
          <w:sz w:val="21"/>
          <w:szCs w:val="21"/>
        </w:rPr>
        <w:t>3.甲方对货物的清点、检验、确认、初步验收等不能解除或减轻乙方提供合格货物的责任，在使用期内发现货物缺陷、质量问题的，乙方仍应承担责任。</w:t>
      </w:r>
      <w:bookmarkEnd w:id="181"/>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82" w:name="_Toc18114"/>
      <w:r>
        <w:rPr>
          <w:rFonts w:hint="eastAsia" w:asciiTheme="minorEastAsia" w:hAnsiTheme="minorEastAsia" w:eastAsiaTheme="minorEastAsia" w:cstheme="minorEastAsia"/>
          <w:color w:val="000000"/>
          <w:sz w:val="21"/>
          <w:szCs w:val="21"/>
        </w:rPr>
        <w:t>4.如果甲方发现货物存在缺陷（如货物的数量、外观、规格型号、尺码、质量、做工等与合同约定不符等）时，则甲方有权采取下列一种或几种方式解决，并通知乙方：</w:t>
      </w:r>
      <w:bookmarkEnd w:id="182"/>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83" w:name="_Toc23309"/>
      <w:r>
        <w:rPr>
          <w:rFonts w:hint="eastAsia" w:asciiTheme="minorEastAsia" w:hAnsiTheme="minorEastAsia" w:eastAsiaTheme="minorEastAsia" w:cstheme="minorEastAsia"/>
          <w:color w:val="000000"/>
          <w:sz w:val="21"/>
          <w:szCs w:val="21"/>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83"/>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84" w:name="_Toc11666"/>
      <w:r>
        <w:rPr>
          <w:rFonts w:hint="eastAsia" w:asciiTheme="minorEastAsia" w:hAnsiTheme="minorEastAsia" w:eastAsiaTheme="minorEastAsia" w:cstheme="minorEastAsia"/>
          <w:color w:val="000000"/>
          <w:sz w:val="21"/>
          <w:szCs w:val="21"/>
        </w:rPr>
        <w:t>4.2如甲方决定换货，则乙方应在 7 日内负责更换，乙方应承担全部费用和风险，并按照逾期交货承担违约责任。</w:t>
      </w:r>
      <w:bookmarkEnd w:id="184"/>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185" w:name="_Toc31553"/>
      <w:r>
        <w:rPr>
          <w:rFonts w:hint="eastAsia" w:asciiTheme="minorEastAsia" w:hAnsiTheme="minorEastAsia" w:eastAsiaTheme="minorEastAsia" w:cstheme="minorEastAsia"/>
          <w:color w:val="000000"/>
          <w:sz w:val="21"/>
          <w:szCs w:val="21"/>
        </w:rPr>
        <w:t>5.如果在甲方发出通知后2日内，乙方未作答复，上述通知内容视为已被乙方接受。</w:t>
      </w:r>
      <w:bookmarkEnd w:id="185"/>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186" w:name="_Toc10284"/>
      <w:r>
        <w:rPr>
          <w:rFonts w:hint="eastAsia" w:asciiTheme="minorEastAsia" w:hAnsiTheme="minorEastAsia" w:eastAsiaTheme="minorEastAsia" w:cstheme="minorEastAsia"/>
          <w:b/>
          <w:color w:val="000000"/>
          <w:sz w:val="21"/>
          <w:szCs w:val="21"/>
        </w:rPr>
        <w:t>八、双方的权利和义务</w:t>
      </w:r>
      <w:bookmarkEnd w:id="186"/>
    </w:p>
    <w:p>
      <w:pPr>
        <w:pStyle w:val="54"/>
        <w:wordWrap/>
        <w:spacing w:line="400" w:lineRule="exact"/>
        <w:ind w:firstLine="422"/>
        <w:outlineLvl w:val="9"/>
        <w:rPr>
          <w:rFonts w:asciiTheme="minorEastAsia" w:hAnsiTheme="minorEastAsia" w:eastAsiaTheme="minorEastAsia" w:cstheme="minorEastAsia"/>
          <w:color w:val="000000"/>
          <w:sz w:val="21"/>
          <w:szCs w:val="21"/>
        </w:rPr>
      </w:pPr>
      <w:bookmarkStart w:id="187" w:name="_Toc28278"/>
      <w:r>
        <w:rPr>
          <w:rFonts w:hint="eastAsia" w:asciiTheme="minorEastAsia" w:hAnsiTheme="minorEastAsia" w:eastAsiaTheme="minorEastAsia" w:cstheme="minorEastAsia"/>
          <w:color w:val="000000"/>
          <w:sz w:val="21"/>
          <w:szCs w:val="21"/>
        </w:rPr>
        <w:t>1.甲方的权利和义务</w:t>
      </w:r>
      <w:bookmarkEnd w:id="187"/>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1.1甲方有权向乙方询问工作进展情况；</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1.2甲方有权对具体本项目全部工作内容提出科学性、合理性建议和意见；</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1.3甲方有权向乙方索取与委托采购内容有关的成果文件；</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1.4甲方有权对乙方提供货物及服务过程进行监督、检查、考核；</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1.5协调乙方在提供货物及服务过程相关的政府部门和单位；</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54"/>
        <w:wordWrap/>
        <w:spacing w:line="400" w:lineRule="exact"/>
        <w:ind w:firstLine="422"/>
        <w:outlineLvl w:val="9"/>
        <w:rPr>
          <w:rFonts w:asciiTheme="minorEastAsia" w:hAnsiTheme="minorEastAsia" w:eastAsiaTheme="minorEastAsia" w:cstheme="minorEastAsia"/>
          <w:color w:val="000000"/>
          <w:sz w:val="21"/>
          <w:szCs w:val="21"/>
        </w:rPr>
      </w:pPr>
      <w:bookmarkStart w:id="188" w:name="_Toc18341"/>
      <w:r>
        <w:rPr>
          <w:rFonts w:hint="eastAsia" w:asciiTheme="minorEastAsia" w:hAnsiTheme="minorEastAsia" w:eastAsiaTheme="minorEastAsia" w:cstheme="minorEastAsia"/>
          <w:color w:val="000000"/>
          <w:sz w:val="21"/>
          <w:szCs w:val="21"/>
        </w:rPr>
        <w:t>2.乙方的权利和义务</w:t>
      </w:r>
      <w:bookmarkEnd w:id="188"/>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2.1.乙方可要求甲方按本合同的约定按时足额支付</w:t>
      </w:r>
      <w:bookmarkStart w:id="189" w:name="_Hlk40975009"/>
      <w:r>
        <w:rPr>
          <w:rFonts w:hint="eastAsia" w:asciiTheme="minorEastAsia" w:hAnsiTheme="minorEastAsia" w:eastAsiaTheme="minorEastAsia" w:cstheme="minorEastAsia"/>
          <w:color w:val="000000"/>
          <w:sz w:val="21"/>
          <w:szCs w:val="21"/>
        </w:rPr>
        <w:t>相应费用</w:t>
      </w:r>
      <w:bookmarkEnd w:id="189"/>
      <w:r>
        <w:rPr>
          <w:rFonts w:hint="eastAsia" w:asciiTheme="minorEastAsia" w:hAnsiTheme="minorEastAsia" w:eastAsiaTheme="minorEastAsia" w:cstheme="minorEastAsia"/>
          <w:color w:val="000000"/>
          <w:sz w:val="21"/>
          <w:szCs w:val="21"/>
        </w:rPr>
        <w:t>；</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2.2.乙方在履行合同过程中，不得将本项目委托给第三人，如有违反，甲方有权解除合同，乙方应退还甲方已付全部合同价款，并按照本合同向甲方支付违约金。</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40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    九.付款方式与结算</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1.履约保证金支付</w:t>
      </w:r>
    </w:p>
    <w:p>
      <w:pPr>
        <w:pStyle w:val="2"/>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在签订合同前，乙方需向招标人交纳人民币</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 w:val="21"/>
          <w:szCs w:val="21"/>
        </w:rPr>
        <w:t>元作为本合同的履约保证金（具体金额为中标价的5%）。履约保证金以转帐、电汇或网汇形式汇转至招标人指定帐户并存于甲方处，待项目验收结束后无质量问题一次性无息退还。</w:t>
      </w:r>
    </w:p>
    <w:p>
      <w:pPr>
        <w:pStyle w:val="2"/>
        <w:spacing w:line="400" w:lineRule="exact"/>
        <w:ind w:firstLine="422"/>
        <w:rPr>
          <w:rFonts w:asciiTheme="minorEastAsia" w:hAnsiTheme="minorEastAsia" w:eastAsiaTheme="minorEastAsia" w:cstheme="minorEastAsia"/>
          <w:b/>
          <w:bCs/>
          <w:color w:val="000000"/>
          <w:sz w:val="21"/>
          <w:szCs w:val="21"/>
          <w:lang w:val="zh-CN"/>
        </w:rPr>
      </w:pPr>
      <w:r>
        <w:rPr>
          <w:rFonts w:hint="eastAsia" w:asciiTheme="minorEastAsia" w:hAnsiTheme="minorEastAsia" w:eastAsiaTheme="minorEastAsia" w:cstheme="minorEastAsia"/>
          <w:b/>
          <w:bCs/>
          <w:color w:val="000000"/>
          <w:sz w:val="21"/>
          <w:szCs w:val="21"/>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2.合同金额结算及支付方式：</w:t>
      </w:r>
    </w:p>
    <w:p>
      <w:pPr>
        <w:pStyle w:val="2"/>
        <w:spacing w:line="400" w:lineRule="exact"/>
        <w:rPr>
          <w:rFonts w:asciiTheme="minorEastAsia" w:hAnsiTheme="minorEastAsia" w:eastAsiaTheme="minorEastAsia" w:cstheme="minorEastAsia"/>
          <w:bCs/>
          <w:color w:val="000000"/>
          <w:kern w:val="2"/>
          <w:sz w:val="21"/>
          <w:szCs w:val="21"/>
          <w:lang w:eastAsia="zh-Hans"/>
        </w:rPr>
      </w:pPr>
      <w:r>
        <w:rPr>
          <w:rFonts w:hint="eastAsia" w:asciiTheme="minorEastAsia" w:hAnsiTheme="minorEastAsia" w:eastAsiaTheme="minorEastAsia" w:cstheme="minorEastAsia"/>
          <w:bCs/>
          <w:color w:val="000000"/>
          <w:kern w:val="2"/>
          <w:sz w:val="21"/>
          <w:szCs w:val="21"/>
        </w:rPr>
        <w:t>合同签订后，</w:t>
      </w:r>
      <w:r>
        <w:rPr>
          <w:rFonts w:hint="eastAsia" w:asciiTheme="minorEastAsia" w:hAnsiTheme="minorEastAsia" w:eastAsiaTheme="minorEastAsia" w:cstheme="minorEastAsia"/>
          <w:bCs/>
          <w:color w:val="000000"/>
          <w:kern w:val="2"/>
          <w:sz w:val="21"/>
          <w:szCs w:val="21"/>
          <w:lang w:eastAsia="zh-Hans"/>
        </w:rPr>
        <w:t>项目验收合格后无质量问题支付合同价的70%款项；审计合格后付至审计价的90%，余款待完成合同规定服务事项及合同履约</w:t>
      </w:r>
      <w:r>
        <w:rPr>
          <w:rFonts w:hint="eastAsia" w:asciiTheme="minorEastAsia" w:hAnsiTheme="minorEastAsia" w:eastAsiaTheme="minorEastAsia" w:cstheme="minorEastAsia"/>
          <w:bCs/>
          <w:color w:val="000000"/>
          <w:kern w:val="2"/>
          <w:sz w:val="21"/>
          <w:szCs w:val="21"/>
        </w:rPr>
        <w:t>结束</w:t>
      </w:r>
      <w:r>
        <w:rPr>
          <w:rFonts w:hint="eastAsia" w:asciiTheme="minorEastAsia" w:hAnsiTheme="minorEastAsia" w:eastAsiaTheme="minorEastAsia" w:cstheme="minorEastAsia"/>
          <w:bCs/>
          <w:color w:val="000000"/>
          <w:kern w:val="2"/>
          <w:sz w:val="21"/>
          <w:szCs w:val="21"/>
          <w:lang w:eastAsia="zh-Hans"/>
        </w:rPr>
        <w:t>后一次性无息付清。</w:t>
      </w:r>
    </w:p>
    <w:p>
      <w:pPr>
        <w:pStyle w:val="2"/>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以上付款均以人民币通过银行支付, 付款前需提供我校财务处认可的增值税发票（仪器设备须开增值税专用发票）。</w:t>
      </w:r>
    </w:p>
    <w:p>
      <w:pPr>
        <w:snapToGrid w:val="0"/>
        <w:spacing w:line="400" w:lineRule="exact"/>
        <w:ind w:firstLine="422" w:firstLineChars="200"/>
        <w:rPr>
          <w:rFonts w:asciiTheme="minorEastAsia" w:hAnsiTheme="minorEastAsia" w:eastAsiaTheme="minorEastAsia" w:cstheme="minorEastAsia"/>
          <w:b/>
          <w:bCs/>
          <w:i/>
          <w:iCs/>
          <w:color w:val="000000"/>
          <w:szCs w:val="21"/>
        </w:rPr>
      </w:pPr>
      <w:r>
        <w:rPr>
          <w:rFonts w:hint="eastAsia" w:asciiTheme="minorEastAsia" w:hAnsiTheme="minorEastAsia" w:eastAsiaTheme="minorEastAsia" w:cstheme="minorEastAsia"/>
          <w:b/>
          <w:bCs/>
          <w:i/>
          <w:iCs/>
          <w:color w:val="000000"/>
          <w:szCs w:val="21"/>
        </w:rPr>
        <w:t>提醒：合同中的付款方式、质保期限必须与中标文件中的付款方式、质保期（最终承诺）相一致。（正式合同中须删除此处填写说明）</w:t>
      </w:r>
    </w:p>
    <w:p>
      <w:pPr>
        <w:pStyle w:val="7"/>
        <w:spacing w:line="400" w:lineRule="exact"/>
        <w:ind w:firstLine="48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十、违约责任</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0" w:name="_Toc15964"/>
      <w:r>
        <w:rPr>
          <w:rFonts w:hint="eastAsia" w:asciiTheme="minorEastAsia" w:hAnsiTheme="minorEastAsia" w:eastAsiaTheme="minorEastAsia" w:cstheme="minorEastAsia"/>
          <w:b w:val="0"/>
          <w:color w:val="000000"/>
          <w:sz w:val="21"/>
          <w:szCs w:val="21"/>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bookmarkEnd w:id="190"/>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1" w:name="_Toc30"/>
      <w:r>
        <w:rPr>
          <w:rFonts w:hint="eastAsia" w:asciiTheme="minorEastAsia" w:hAnsiTheme="minorEastAsia" w:eastAsiaTheme="minorEastAsia" w:cstheme="minorEastAsia"/>
          <w:b w:val="0"/>
          <w:color w:val="000000"/>
          <w:sz w:val="21"/>
          <w:szCs w:val="21"/>
        </w:rPr>
        <w:t>2.甲方应配合乙方的工作，若因甲方原因造成乙方未完成规定采购内容，甲方不得扣除乙方相应费用。</w:t>
      </w:r>
      <w:bookmarkEnd w:id="191"/>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2" w:name="_Toc790"/>
      <w:r>
        <w:rPr>
          <w:rFonts w:hint="eastAsia" w:asciiTheme="minorEastAsia" w:hAnsiTheme="minorEastAsia" w:eastAsiaTheme="minorEastAsia" w:cstheme="minorEastAsia"/>
          <w:b w:val="0"/>
          <w:color w:val="000000"/>
          <w:sz w:val="21"/>
          <w:szCs w:val="21"/>
        </w:rPr>
        <w:t>3.如因乙方自身原因，不履行合同义务或者履行合同义务不符合约定的，应当承担继续履行、采取补救措施或者由甲方扣除相应合同价款作为对甲方造成损失的赔偿。</w:t>
      </w:r>
      <w:bookmarkEnd w:id="192"/>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3" w:name="_Toc13220"/>
      <w:r>
        <w:rPr>
          <w:rFonts w:hint="eastAsia" w:asciiTheme="minorEastAsia" w:hAnsiTheme="minorEastAsia" w:eastAsiaTheme="minorEastAsia" w:cstheme="minorEastAsia"/>
          <w:b w:val="0"/>
          <w:color w:val="000000"/>
          <w:sz w:val="21"/>
          <w:szCs w:val="21"/>
        </w:rPr>
        <w:t>4.如乙方未按照本合同的约定期限交货的，则每迟延1日，应向甲方支付合同总价款1％的违约金；迟延超过10日的，甲方有权单方解除本合同。</w:t>
      </w:r>
      <w:bookmarkEnd w:id="193"/>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4" w:name="_Toc32527"/>
      <w:r>
        <w:rPr>
          <w:rFonts w:hint="eastAsia" w:asciiTheme="minorEastAsia" w:hAnsiTheme="minorEastAsia" w:eastAsiaTheme="minorEastAsia" w:cstheme="minorEastAsia"/>
          <w:b w:val="0"/>
          <w:color w:val="000000"/>
          <w:sz w:val="21"/>
          <w:szCs w:val="21"/>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bookmarkEnd w:id="194"/>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5" w:name="_Toc10558"/>
      <w:r>
        <w:rPr>
          <w:rFonts w:hint="eastAsia" w:asciiTheme="minorEastAsia" w:hAnsiTheme="minorEastAsia" w:eastAsiaTheme="minorEastAsia" w:cstheme="minorEastAsia"/>
          <w:b w:val="0"/>
          <w:color w:val="000000"/>
          <w:sz w:val="21"/>
          <w:szCs w:val="21"/>
        </w:rPr>
        <w:t>6.乙方未经甲方书面同意将本合同的全部或部分义务转让给第三方，或者将合同权利、对甲方享有的债权转让给第三方的，该等转让对甲方无效，且甲方有权单方解除本合同。</w:t>
      </w:r>
      <w:bookmarkEnd w:id="195"/>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6" w:name="_Toc23119"/>
      <w:r>
        <w:rPr>
          <w:rFonts w:hint="eastAsia" w:asciiTheme="minorEastAsia" w:hAnsiTheme="minorEastAsia" w:eastAsiaTheme="minorEastAsia" w:cstheme="minorEastAsia"/>
          <w:b w:val="0"/>
          <w:color w:val="000000"/>
          <w:sz w:val="21"/>
          <w:szCs w:val="21"/>
        </w:rPr>
        <w:t>7.乙方提供的货物不属于生产厂家的原装正品的，甲方有权单方解除合同。</w:t>
      </w:r>
      <w:bookmarkEnd w:id="196"/>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7" w:name="_Toc31090"/>
      <w:r>
        <w:rPr>
          <w:rFonts w:hint="eastAsia" w:asciiTheme="minorEastAsia" w:hAnsiTheme="minorEastAsia" w:eastAsiaTheme="minorEastAsia" w:cstheme="minorEastAsia"/>
          <w:b w:val="0"/>
          <w:color w:val="000000"/>
          <w:sz w:val="21"/>
          <w:szCs w:val="21"/>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bookmarkEnd w:id="197"/>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8" w:name="_Toc379"/>
      <w:r>
        <w:rPr>
          <w:rFonts w:hint="eastAsia" w:asciiTheme="minorEastAsia" w:hAnsiTheme="minorEastAsia" w:eastAsiaTheme="minorEastAsia" w:cstheme="minorEastAsia"/>
          <w:b w:val="0"/>
          <w:color w:val="000000"/>
          <w:sz w:val="21"/>
          <w:szCs w:val="21"/>
        </w:rPr>
        <w:t>9.因乙方存在其他违约行为或因乙方原因导致合同目的无法实现或合同无法继续履行的，甲方有权解除合同。</w:t>
      </w:r>
      <w:bookmarkEnd w:id="198"/>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199" w:name="_Toc949"/>
      <w:r>
        <w:rPr>
          <w:rFonts w:hint="eastAsia" w:asciiTheme="minorEastAsia" w:hAnsiTheme="minorEastAsia" w:eastAsiaTheme="minorEastAsia" w:cstheme="minorEastAsia"/>
          <w:b w:val="0"/>
          <w:color w:val="000000"/>
          <w:sz w:val="21"/>
          <w:szCs w:val="21"/>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bookmarkEnd w:id="199"/>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bookmarkStart w:id="200" w:name="_Toc3570"/>
      <w:r>
        <w:rPr>
          <w:rFonts w:hint="eastAsia" w:asciiTheme="minorEastAsia" w:hAnsiTheme="minorEastAsia" w:eastAsiaTheme="minorEastAsia" w:cstheme="minorEastAsia"/>
          <w:b w:val="0"/>
          <w:color w:val="000000"/>
          <w:sz w:val="21"/>
          <w:szCs w:val="21"/>
        </w:rPr>
        <w:t>11.本合同所涉及全部违约金，甲方均有权从未付合同价款中扣除，乙方对此无异议。</w:t>
      </w:r>
      <w:bookmarkEnd w:id="200"/>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201" w:name="_Toc23724"/>
      <w:r>
        <w:rPr>
          <w:rFonts w:hint="eastAsia" w:asciiTheme="minorEastAsia" w:hAnsiTheme="minorEastAsia" w:eastAsiaTheme="minorEastAsia" w:cstheme="minorEastAsia"/>
          <w:b/>
          <w:color w:val="000000"/>
          <w:sz w:val="21"/>
          <w:szCs w:val="21"/>
        </w:rPr>
        <w:t>十一、合同解除</w:t>
      </w:r>
      <w:bookmarkEnd w:id="201"/>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2" w:name="_Toc1947"/>
      <w:r>
        <w:rPr>
          <w:rFonts w:hint="eastAsia" w:asciiTheme="minorEastAsia" w:hAnsiTheme="minorEastAsia" w:eastAsiaTheme="minorEastAsia" w:cstheme="minorEastAsia"/>
          <w:color w:val="000000"/>
          <w:sz w:val="21"/>
          <w:szCs w:val="21"/>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202"/>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3" w:name="_Toc25384"/>
      <w:r>
        <w:rPr>
          <w:rFonts w:hint="eastAsia" w:asciiTheme="minorEastAsia" w:hAnsiTheme="minorEastAsia" w:eastAsiaTheme="minorEastAsia" w:cstheme="minorEastAsia"/>
          <w:color w:val="000000"/>
          <w:sz w:val="21"/>
          <w:szCs w:val="21"/>
        </w:rPr>
        <w:t>2.按合同约定或法律规定，解除合同的事由发生时，解除权人可以解除合同。享有解除权的一方应当自解除事由发生之日起三年内行使解除权，期限届满不行使的，解除权消灭。</w:t>
      </w:r>
      <w:bookmarkEnd w:id="203"/>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204" w:name="_Toc5731"/>
      <w:r>
        <w:rPr>
          <w:rFonts w:hint="eastAsia" w:asciiTheme="minorEastAsia" w:hAnsiTheme="minorEastAsia" w:eastAsiaTheme="minorEastAsia" w:cstheme="minorEastAsia"/>
          <w:b/>
          <w:color w:val="000000"/>
          <w:sz w:val="21"/>
          <w:szCs w:val="21"/>
        </w:rPr>
        <w:t>十二、不可抗力</w:t>
      </w:r>
      <w:bookmarkEnd w:id="204"/>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5" w:name="_Toc23101"/>
      <w:r>
        <w:rPr>
          <w:rFonts w:hint="eastAsia" w:asciiTheme="minorEastAsia" w:hAnsiTheme="minorEastAsia" w:eastAsiaTheme="minorEastAsia" w:cstheme="minorEastAsia"/>
          <w:color w:val="000000"/>
          <w:sz w:val="21"/>
          <w:szCs w:val="21"/>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205"/>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6" w:name="_Toc10370"/>
      <w:r>
        <w:rPr>
          <w:rFonts w:hint="eastAsia" w:asciiTheme="minorEastAsia" w:hAnsiTheme="minorEastAsia" w:eastAsiaTheme="minorEastAsia" w:cstheme="minorEastAsia"/>
          <w:color w:val="000000"/>
          <w:sz w:val="21"/>
          <w:szCs w:val="21"/>
        </w:rPr>
        <w:t>2.双方确定，因发生不可抗力，致使本合同的履行成为不必要或不可能的，一方应当及时通知另一方解除合同。如果一方未及时通知对方或未采取必要措施，责任方须对扩大的损失承担赔偿责任。</w:t>
      </w:r>
      <w:bookmarkEnd w:id="206"/>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207" w:name="_Toc6378"/>
      <w:r>
        <w:rPr>
          <w:rFonts w:hint="eastAsia" w:asciiTheme="minorEastAsia" w:hAnsiTheme="minorEastAsia" w:eastAsiaTheme="minorEastAsia" w:cstheme="minorEastAsia"/>
          <w:b/>
          <w:color w:val="000000"/>
          <w:sz w:val="21"/>
          <w:szCs w:val="21"/>
        </w:rPr>
        <w:t>十三、通知与送达</w:t>
      </w:r>
      <w:bookmarkEnd w:id="207"/>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8" w:name="_Toc31736"/>
      <w:r>
        <w:rPr>
          <w:rFonts w:hint="eastAsia" w:asciiTheme="minorEastAsia" w:hAnsiTheme="minorEastAsia" w:eastAsiaTheme="minorEastAsia" w:cstheme="minorEastAsia"/>
          <w:color w:val="000000"/>
          <w:sz w:val="21"/>
          <w:szCs w:val="21"/>
        </w:rPr>
        <w:t>1.乙方的通知与送达方式为：</w:t>
      </w:r>
      <w:bookmarkEnd w:id="208"/>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09" w:name="_Toc9260"/>
      <w:r>
        <w:rPr>
          <w:rFonts w:hint="eastAsia" w:asciiTheme="minorEastAsia" w:hAnsiTheme="minorEastAsia" w:eastAsiaTheme="minorEastAsia" w:cstheme="minorEastAsia"/>
          <w:color w:val="000000"/>
          <w:sz w:val="21"/>
          <w:szCs w:val="21"/>
        </w:rPr>
        <w:t>乙方：</w:t>
      </w:r>
      <w:bookmarkEnd w:id="209"/>
      <w:r>
        <w:rPr>
          <w:rFonts w:hint="eastAsia" w:asciiTheme="minorEastAsia" w:hAnsiTheme="minorEastAsia" w:eastAsiaTheme="minorEastAsia" w:cstheme="minorEastAsia"/>
          <w:color w:val="000000"/>
          <w:szCs w:val="21"/>
          <w:u w:val="single"/>
        </w:rPr>
        <w:t xml:space="preserve">                </w:t>
      </w:r>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10" w:name="_Toc11492"/>
      <w:r>
        <w:rPr>
          <w:rFonts w:hint="eastAsia" w:asciiTheme="minorEastAsia" w:hAnsiTheme="minorEastAsia" w:eastAsiaTheme="minorEastAsia" w:cstheme="minorEastAsia"/>
          <w:color w:val="000000"/>
          <w:sz w:val="21"/>
          <w:szCs w:val="21"/>
        </w:rPr>
        <w:t>通讯地址：</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 w:val="21"/>
          <w:szCs w:val="21"/>
        </w:rPr>
        <w:t>；</w:t>
      </w:r>
      <w:bookmarkEnd w:id="210"/>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11" w:name="_Toc28272"/>
      <w:r>
        <w:rPr>
          <w:rFonts w:hint="eastAsia" w:asciiTheme="minorEastAsia" w:hAnsiTheme="minorEastAsia" w:eastAsiaTheme="minorEastAsia" w:cstheme="minorEastAsia"/>
          <w:color w:val="000000"/>
          <w:sz w:val="21"/>
          <w:szCs w:val="21"/>
        </w:rPr>
        <w:t>联系人：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 w:val="21"/>
          <w:szCs w:val="21"/>
        </w:rPr>
        <w:t>；联系电话（手机）：</w:t>
      </w:r>
      <w:bookmarkEnd w:id="211"/>
      <w:r>
        <w:rPr>
          <w:rFonts w:hint="eastAsia" w:asciiTheme="minorEastAsia" w:hAnsiTheme="minorEastAsia" w:eastAsiaTheme="minorEastAsia" w:cstheme="minorEastAsia"/>
          <w:color w:val="000000"/>
          <w:szCs w:val="21"/>
          <w:u w:val="single"/>
        </w:rPr>
        <w:t xml:space="preserve">                </w:t>
      </w:r>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12" w:name="_Toc14243"/>
      <w:r>
        <w:rPr>
          <w:rFonts w:hint="eastAsia" w:asciiTheme="minorEastAsia" w:hAnsiTheme="minorEastAsia" w:eastAsiaTheme="minorEastAsia" w:cstheme="minorEastAsia"/>
          <w:color w:val="000000"/>
          <w:sz w:val="21"/>
          <w:szCs w:val="21"/>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212"/>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13" w:name="_Toc4025"/>
      <w:r>
        <w:rPr>
          <w:rFonts w:hint="eastAsia" w:asciiTheme="minorEastAsia" w:hAnsiTheme="minorEastAsia" w:eastAsiaTheme="minorEastAsia" w:cstheme="minorEastAsia"/>
          <w:color w:val="000000"/>
          <w:sz w:val="21"/>
          <w:szCs w:val="21"/>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213"/>
    </w:p>
    <w:p>
      <w:pPr>
        <w:pStyle w:val="53"/>
        <w:wordWrap/>
        <w:spacing w:line="400" w:lineRule="exact"/>
        <w:ind w:firstLine="420"/>
        <w:outlineLvl w:val="9"/>
        <w:rPr>
          <w:rFonts w:asciiTheme="minorEastAsia" w:hAnsiTheme="minorEastAsia" w:eastAsiaTheme="minorEastAsia" w:cstheme="minorEastAsia"/>
          <w:color w:val="000000"/>
          <w:sz w:val="21"/>
          <w:szCs w:val="21"/>
        </w:rPr>
      </w:pPr>
      <w:bookmarkStart w:id="214" w:name="_Toc5336"/>
      <w:r>
        <w:rPr>
          <w:rFonts w:hint="eastAsia" w:asciiTheme="minorEastAsia" w:hAnsiTheme="minorEastAsia" w:eastAsiaTheme="minorEastAsia" w:cstheme="minorEastAsia"/>
          <w:color w:val="000000"/>
          <w:sz w:val="21"/>
          <w:szCs w:val="21"/>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214"/>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215" w:name="_Toc9221"/>
      <w:r>
        <w:rPr>
          <w:rFonts w:hint="eastAsia" w:asciiTheme="minorEastAsia" w:hAnsiTheme="minorEastAsia" w:eastAsiaTheme="minorEastAsia" w:cstheme="minorEastAsia"/>
          <w:b/>
          <w:color w:val="000000"/>
          <w:sz w:val="21"/>
          <w:szCs w:val="21"/>
        </w:rPr>
        <w:t>十四、争议解决方式</w:t>
      </w:r>
      <w:bookmarkEnd w:id="215"/>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双方因本合同发生争议，由甲、乙方协商解决，协商不成的，应向甲方住所地有管辖权的人民法院诉讼解决。</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bookmarkStart w:id="216" w:name="_Toc1745"/>
      <w:r>
        <w:rPr>
          <w:rFonts w:hint="eastAsia" w:asciiTheme="minorEastAsia" w:hAnsiTheme="minorEastAsia" w:eastAsiaTheme="minorEastAsia" w:cstheme="minorEastAsia"/>
          <w:b/>
          <w:color w:val="000000"/>
          <w:sz w:val="21"/>
          <w:szCs w:val="21"/>
        </w:rPr>
        <w:t>十五、</w:t>
      </w:r>
      <w:r>
        <w:rPr>
          <w:rFonts w:hint="eastAsia" w:asciiTheme="minorEastAsia" w:hAnsiTheme="minorEastAsia" w:eastAsiaTheme="minorEastAsia" w:cstheme="minorEastAsia"/>
          <w:b/>
          <w:bCs w:val="0"/>
          <w:color w:val="000000"/>
          <w:sz w:val="21"/>
          <w:szCs w:val="21"/>
        </w:rPr>
        <w:t>合同生效及其它</w:t>
      </w:r>
      <w:bookmarkEnd w:id="216"/>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zh-CN"/>
        </w:rPr>
        <w:t>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zh-CN"/>
        </w:rPr>
        <w:t>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zh-CN"/>
        </w:rPr>
        <w:t>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zh-CN"/>
        </w:rPr>
        <w:t>本合同未尽事宜，供需双方可签订补充协议，与本合同具有同等法律效力。</w:t>
      </w:r>
    </w:p>
    <w:p>
      <w:pPr>
        <w:autoSpaceDE w:val="0"/>
        <w:autoSpaceDN w:val="0"/>
        <w:adjustRightInd w:val="0"/>
        <w:spacing w:line="400" w:lineRule="exact"/>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rPr>
        <w:t>5</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zh-CN"/>
        </w:rPr>
        <w:t>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asciiTheme="minorEastAsia" w:hAnsiTheme="minorEastAsia" w:eastAsiaTheme="minorEastAsia" w:cstheme="minorEastAsia"/>
          <w:color w:val="000000"/>
          <w:szCs w:val="21"/>
        </w:rPr>
      </w:pPr>
    </w:p>
    <w:p>
      <w:pPr>
        <w:spacing w:line="276"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附件：货物清单明细</w:t>
      </w:r>
    </w:p>
    <w:p>
      <w:pPr>
        <w:pStyle w:val="11"/>
        <w:rPr>
          <w:rFonts w:asciiTheme="minorEastAsia" w:hAnsiTheme="minorEastAsia" w:eastAsiaTheme="minorEastAsia" w:cstheme="minorEastAsia"/>
          <w:color w:val="000000"/>
          <w:sz w:val="21"/>
          <w:szCs w:val="21"/>
        </w:rPr>
      </w:pPr>
    </w:p>
    <w:p>
      <w:pPr>
        <w:spacing w:line="276"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rPr>
        <w:t>（以下无正文）</w:t>
      </w:r>
    </w:p>
    <w:p>
      <w:pPr>
        <w:pStyle w:val="2"/>
        <w:rPr>
          <w:rFonts w:asciiTheme="minorEastAsia" w:hAnsiTheme="minorEastAsia" w:eastAsiaTheme="minorEastAsia" w:cstheme="minorEastAsia"/>
          <w:color w:val="000000"/>
          <w:sz w:val="21"/>
          <w:szCs w:val="21"/>
        </w:rPr>
      </w:pPr>
    </w:p>
    <w:p>
      <w:pPr>
        <w:snapToGrid w:val="0"/>
        <w:spacing w:line="360" w:lineRule="auto"/>
        <w:ind w:firstLine="411" w:firstLineChars="196"/>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甲方(印章): 江苏医药职业学院                   乙方(印章):                  </w:t>
      </w:r>
    </w:p>
    <w:p>
      <w:pPr>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法定代表人或其委托代理人：                     法定代表人或其委托代理人：</w:t>
      </w:r>
    </w:p>
    <w:p>
      <w:pPr>
        <w:snapToGrid w:val="0"/>
        <w:spacing w:line="360" w:lineRule="auto"/>
        <w:ind w:firstLine="1260" w:firstLineChars="600"/>
        <w:jc w:val="left"/>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（签字）:                                       (签字):</w:t>
      </w:r>
    </w:p>
    <w:p>
      <w:pPr>
        <w:snapToGrid w:val="0"/>
        <w:spacing w:line="360" w:lineRule="auto"/>
        <w:ind w:left="5670" w:leftChars="200" w:hanging="5250" w:hangingChars="25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地址: 盐城市解放南路283号                     地址:                       </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电话:051588550311                              电话:</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p>
      <w:pPr>
        <w:snapToGrid w:val="0"/>
        <w:spacing w:line="360" w:lineRule="auto"/>
        <w:ind w:firstLine="420" w:firstLineChars="200"/>
        <w:rPr>
          <w:rFonts w:asciiTheme="minorEastAsia" w:hAnsiTheme="minorEastAsia" w:eastAsiaTheme="minorEastAsia" w:cstheme="minorEastAsia"/>
          <w:color w:val="000000"/>
          <w:szCs w:val="21"/>
        </w:rPr>
      </w:pPr>
    </w:p>
    <w:p>
      <w:pPr>
        <w:snapToGrid w:val="0"/>
        <w:spacing w:line="360" w:lineRule="auto"/>
        <w:ind w:firstLine="420" w:firstLineChars="200"/>
        <w:jc w:val="righ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日期:    年   月   日</w:t>
      </w:r>
    </w:p>
    <w:p>
      <w:pPr>
        <w:spacing w:line="360" w:lineRule="auto"/>
        <w:jc w:val="center"/>
        <w:outlineLvl w:val="0"/>
        <w:rPr>
          <w:rFonts w:ascii="宋体" w:hAnsi="宋体" w:cs="宋体"/>
          <w:b/>
          <w:color w:val="000000"/>
          <w:sz w:val="28"/>
          <w:szCs w:val="28"/>
        </w:rPr>
      </w:pPr>
      <w:bookmarkStart w:id="217" w:name="_Toc10665"/>
    </w:p>
    <w:p>
      <w:pPr>
        <w:spacing w:line="360" w:lineRule="auto"/>
        <w:jc w:val="center"/>
        <w:outlineLvl w:val="0"/>
        <w:rPr>
          <w:rFonts w:ascii="宋体" w:hAnsi="宋体" w:cs="宋体"/>
          <w:b/>
          <w:color w:val="000000"/>
          <w:sz w:val="28"/>
          <w:szCs w:val="28"/>
        </w:rPr>
      </w:pPr>
    </w:p>
    <w:p>
      <w:pPr>
        <w:spacing w:line="360" w:lineRule="auto"/>
        <w:jc w:val="center"/>
        <w:outlineLvl w:val="0"/>
        <w:rPr>
          <w:rFonts w:ascii="宋体" w:hAnsi="宋体" w:cs="宋体"/>
          <w:b/>
          <w:bCs/>
          <w:color w:val="000000"/>
          <w:sz w:val="28"/>
          <w:szCs w:val="28"/>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217"/>
    </w:p>
    <w:p>
      <w:pPr>
        <w:snapToGrid w:val="0"/>
        <w:spacing w:line="360" w:lineRule="auto"/>
        <w:jc w:val="center"/>
        <w:rPr>
          <w:rFonts w:ascii="宋体" w:hAnsi="宋体" w:cs="宋体"/>
          <w:b/>
          <w:color w:val="000000"/>
          <w:kern w:val="0"/>
          <w:sz w:val="24"/>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218" w:name="_Toc10972"/>
      <w:r>
        <w:rPr>
          <w:rFonts w:hint="eastAsia" w:asciiTheme="minorEastAsia" w:hAnsiTheme="minorEastAsia" w:eastAsiaTheme="minorEastAsia" w:cstheme="minorEastAsia"/>
          <w:b/>
          <w:color w:val="000000"/>
          <w:sz w:val="21"/>
          <w:szCs w:val="21"/>
        </w:rPr>
        <w:t>一、评标方法</w:t>
      </w:r>
      <w:bookmarkEnd w:id="218"/>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2"/>
        <w:ind w:firstLine="640"/>
      </w:pPr>
    </w:p>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40"/>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219" w:name="_Toc18366"/>
      <w:r>
        <w:rPr>
          <w:rFonts w:hint="eastAsia" w:asciiTheme="minorEastAsia" w:hAnsiTheme="minorEastAsia" w:eastAsiaTheme="minorEastAsia" w:cstheme="minorEastAsia"/>
          <w:b/>
          <w:color w:val="000000"/>
          <w:sz w:val="21"/>
          <w:szCs w:val="21"/>
        </w:rPr>
        <w:t>二、评分标准</w:t>
      </w:r>
      <w:bookmarkEnd w:id="219"/>
    </w:p>
    <w:tbl>
      <w:tblPr>
        <w:tblStyle w:val="29"/>
        <w:tblW w:w="99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2"/>
        <w:gridCol w:w="725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2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7250"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以满足招标文件要求且投标价格最低的投标报价为评标基准价，其价格分为满分30分，其他投标人的价格分按照下列公式计算：投标报价得分=（评标基准价/投标报价）×30（小数点后保留两位，四舍五入）</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技术响应</w:t>
            </w:r>
          </w:p>
        </w:tc>
        <w:tc>
          <w:tcPr>
            <w:tcW w:w="725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w:t>
            </w:r>
            <w:r>
              <w:rPr>
                <w:rFonts w:hint="eastAsia" w:ascii="宋体" w:hAnsi="宋体" w:cs="宋体"/>
                <w:color w:val="auto"/>
                <w:kern w:val="0"/>
                <w:szCs w:val="21"/>
              </w:rPr>
              <w:t>标产品对招标文件具体需求的响应程度能够满足招标文件技术要求的得30分。如带</w:t>
            </w:r>
            <w:r>
              <w:rPr>
                <w:rFonts w:hint="eastAsia" w:ascii="宋体" w:hAnsi="宋体" w:cs="宋体"/>
                <w:color w:val="auto"/>
                <w:kern w:val="0"/>
                <w:szCs w:val="21"/>
                <w:highlight w:val="none"/>
              </w:rPr>
              <w:t>“★”条款存在负偏离的，每一条负偏离扣3分，负偏离≥3条的本项不得分；未带“★”条款负偏离1项扣1分，负</w:t>
            </w:r>
            <w:r>
              <w:rPr>
                <w:rFonts w:hint="eastAsia" w:ascii="宋体" w:hAnsi="宋体" w:cs="宋体"/>
                <w:color w:val="000000" w:themeColor="text1"/>
                <w:kern w:val="0"/>
                <w:szCs w:val="21"/>
                <w:highlight w:val="none"/>
                <w14:textFill>
                  <w14:solidFill>
                    <w14:schemeClr w14:val="tx1"/>
                  </w14:solidFill>
                </w14:textFill>
              </w:rPr>
              <w:t>偏离≥</w:t>
            </w:r>
            <w:r>
              <w:rPr>
                <w:rFonts w:hint="eastAsia" w:ascii="宋体" w:hAnsi="宋体" w:cs="宋体"/>
                <w:color w:val="000000" w:themeColor="text1"/>
                <w:kern w:val="0"/>
                <w:szCs w:val="21"/>
                <w14:textFill>
                  <w14:solidFill>
                    <w14:schemeClr w14:val="tx1"/>
                  </w14:solidFill>
                </w14:textFill>
              </w:rPr>
              <w:t>5条的本项不得分。</w:t>
            </w:r>
          </w:p>
          <w:p>
            <w:pPr>
              <w:tabs>
                <w:tab w:val="left" w:pos="-540"/>
                <w:tab w:val="left" w:pos="2880"/>
                <w:tab w:val="left" w:pos="3600"/>
                <w:tab w:val="left" w:pos="4320"/>
                <w:tab w:val="center" w:pos="4433"/>
              </w:tabs>
              <w:autoSpaceDE w:val="0"/>
              <w:autoSpaceDN w:val="0"/>
              <w:adjustRightInd w:val="0"/>
              <w:ind w:firstLine="422" w:firstLineChars="200"/>
              <w:jc w:val="left"/>
              <w:rPr>
                <w:rFonts w:hint="eastAsia" w:eastAsia="宋体"/>
                <w:color w:val="000000" w:themeColor="text1"/>
                <w:lang w:eastAsia="zh-CN"/>
                <w14:textFill>
                  <w14:solidFill>
                    <w14:schemeClr w14:val="tx1"/>
                  </w14:solidFill>
                </w14:textFill>
              </w:rPr>
            </w:pPr>
            <w:r>
              <w:rPr>
                <w:rFonts w:hint="eastAsia"/>
                <w:b/>
                <w:bCs/>
              </w:rPr>
              <w:t>采购需求中若要求提供材料证明的以提供相关证明材料为准，未作要求的以投标人提供的技术参数响应及偏离表为准</w:t>
            </w:r>
            <w:r>
              <w:rPr>
                <w:rFonts w:hint="eastAsia"/>
                <w:b/>
                <w:bCs/>
                <w:lang w:eastAsia="zh-CN"/>
              </w:rPr>
              <w:t>。</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23"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项目业绩</w:t>
            </w:r>
          </w:p>
        </w:tc>
        <w:tc>
          <w:tcPr>
            <w:tcW w:w="7250" w:type="dxa"/>
            <w:tcBorders>
              <w:top w:val="single" w:color="auto" w:sz="4" w:space="0"/>
              <w:left w:val="single" w:color="auto" w:sz="4" w:space="0"/>
              <w:right w:val="single" w:color="auto" w:sz="4" w:space="0"/>
            </w:tcBorders>
            <w:vAlign w:val="center"/>
          </w:tcPr>
          <w:p>
            <w:pPr>
              <w:ind w:firstLine="420" w:firstLineChars="200"/>
              <w:rPr>
                <w:rFonts w:ascii="宋体" w:hAnsi="宋体" w:cs="宋体"/>
              </w:rPr>
            </w:pPr>
            <w:r>
              <w:rPr>
                <w:rFonts w:hint="eastAsia" w:ascii="宋体" w:hAnsi="宋体" w:cs="宋体"/>
              </w:rPr>
              <w:t>根据投标人2020年1月1日以来（以合同签订日期为准）的同类业绩打分：投标人每提供1个同类业绩合同，得2分，最高得4分。</w:t>
            </w:r>
          </w:p>
          <w:p>
            <w:pPr>
              <w:rPr>
                <w:rFonts w:ascii="宋体" w:hAnsi="宋体" w:cs="宋体"/>
                <w:b/>
                <w:bCs/>
              </w:rPr>
            </w:pPr>
            <w:r>
              <w:rPr>
                <w:rFonts w:hint="eastAsia" w:ascii="宋体" w:hAnsi="宋体" w:cs="宋体"/>
                <w:b/>
                <w:bCs/>
              </w:rPr>
              <w:t>说明：</w:t>
            </w:r>
          </w:p>
          <w:p>
            <w:pPr>
              <w:rPr>
                <w:rFonts w:hint="eastAsia" w:ascii="宋体" w:hAnsi="宋体" w:eastAsia="宋体" w:cs="宋体"/>
                <w:b/>
                <w:bCs/>
                <w:lang w:eastAsia="zh-CN"/>
              </w:rPr>
            </w:pPr>
            <w:r>
              <w:rPr>
                <w:rFonts w:hint="eastAsia" w:ascii="宋体" w:hAnsi="宋体" w:cs="宋体"/>
                <w:b/>
                <w:bCs/>
              </w:rPr>
              <w:t>1.投标时提供合同复印件及中标（成交）公告网站截图【或中标（成交）通知书】并加盖投标人公章</w:t>
            </w:r>
            <w:r>
              <w:rPr>
                <w:rFonts w:hint="eastAsia" w:ascii="宋体" w:hAnsi="宋体" w:cs="宋体"/>
                <w:b/>
                <w:bCs/>
                <w:lang w:eastAsia="zh-CN"/>
              </w:rPr>
              <w:t>。</w:t>
            </w:r>
          </w:p>
          <w:p>
            <w:pPr>
              <w:rPr>
                <w:rFonts w:ascii="宋体" w:hAnsi="宋体" w:cs="宋体"/>
                <w:color w:val="000000" w:themeColor="text1"/>
                <w:kern w:val="0"/>
                <w:szCs w:val="21"/>
                <w14:textFill>
                  <w14:solidFill>
                    <w14:schemeClr w14:val="tx1"/>
                  </w14:solidFill>
                </w14:textFill>
              </w:rPr>
            </w:pPr>
            <w:r>
              <w:rPr>
                <w:rFonts w:hint="eastAsia" w:ascii="宋体" w:hAnsi="宋体" w:cs="宋体"/>
                <w:b/>
                <w:bCs/>
              </w:rPr>
              <w:t>2.本项目中的同类业绩是指：投标人所销售的智能化设备需在产品价值、技术指标参数、设备功能用途等方面与响应设备相近，并由磋商小组认定业绩是否有效。</w:t>
            </w:r>
          </w:p>
        </w:tc>
        <w:tc>
          <w:tcPr>
            <w:tcW w:w="722"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23"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0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实施方案</w:t>
            </w:r>
          </w:p>
        </w:tc>
        <w:tc>
          <w:tcPr>
            <w:tcW w:w="7250" w:type="dxa"/>
            <w:vAlign w:val="center"/>
          </w:tcPr>
          <w:p>
            <w:pPr>
              <w:widowControl/>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根据投标人针对本项目的供货方案进行评价：</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针对本项目的产品供货方案描述合理、可行、有可靠的保证措施，且能够提供更快的供货期，得13.1-15分；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针对本项目的产品供货方案描述简略，仅能满足项目基础使用要求的，得11.1-13分；</w:t>
            </w:r>
          </w:p>
          <w:p>
            <w:pPr>
              <w:widowControl/>
              <w:ind w:left="-53" w:leftChars="-202" w:hanging="371" w:hangingChars="177"/>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     对本项目的产品供货方案描述差，不能满足项目基础使用要求的，得9.1-11分；未提供方案的不得分。</w:t>
            </w:r>
          </w:p>
        </w:tc>
        <w:tc>
          <w:tcPr>
            <w:tcW w:w="72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3"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0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szCs w:val="21"/>
              </w:rPr>
              <w:t>培训方案</w:t>
            </w:r>
          </w:p>
        </w:tc>
        <w:tc>
          <w:tcPr>
            <w:tcW w:w="7250" w:type="dxa"/>
            <w:vAlign w:val="center"/>
          </w:tcPr>
          <w:p>
            <w:pPr>
              <w:widowControl/>
              <w:ind w:firstLine="422" w:firstLineChars="200"/>
              <w:jc w:val="left"/>
              <w:rPr>
                <w:rFonts w:ascii="宋体" w:hAnsi="宋体" w:cs="宋体"/>
                <w:color w:val="auto"/>
                <w:szCs w:val="21"/>
              </w:rPr>
            </w:pPr>
            <w:r>
              <w:rPr>
                <w:rFonts w:hint="eastAsia" w:ascii="宋体" w:hAnsi="宋体" w:cs="宋体"/>
                <w:b/>
                <w:bCs/>
                <w:color w:val="auto"/>
                <w:kern w:val="0"/>
                <w:szCs w:val="21"/>
              </w:rPr>
              <w:t>根据投标人针对本项目的培训方案进行评价：</w:t>
            </w:r>
          </w:p>
          <w:p>
            <w:pPr>
              <w:widowControl/>
              <w:ind w:firstLine="420" w:firstLineChars="200"/>
              <w:jc w:val="left"/>
              <w:rPr>
                <w:rFonts w:ascii="宋体" w:hAnsi="宋体" w:cs="宋体"/>
                <w:color w:val="auto"/>
                <w:szCs w:val="21"/>
              </w:rPr>
            </w:pPr>
            <w:r>
              <w:rPr>
                <w:rFonts w:hint="eastAsia" w:ascii="宋体" w:hAnsi="宋体" w:cs="宋体"/>
                <w:color w:val="auto"/>
                <w:szCs w:val="21"/>
              </w:rPr>
              <w:t xml:space="preserve">投标人的培训方案科学合理，可行性强得4.1-6分； </w:t>
            </w:r>
          </w:p>
          <w:p>
            <w:pPr>
              <w:widowControl/>
              <w:ind w:firstLine="420" w:firstLineChars="200"/>
              <w:jc w:val="left"/>
              <w:rPr>
                <w:rFonts w:ascii="宋体" w:hAnsi="宋体" w:cs="宋体"/>
                <w:color w:val="auto"/>
                <w:szCs w:val="21"/>
              </w:rPr>
            </w:pPr>
            <w:r>
              <w:rPr>
                <w:rFonts w:hint="eastAsia" w:ascii="宋体" w:hAnsi="宋体" w:cs="宋体"/>
                <w:color w:val="auto"/>
                <w:szCs w:val="21"/>
              </w:rPr>
              <w:t>培训方案较合理，可行性</w:t>
            </w:r>
            <w:r>
              <w:rPr>
                <w:rFonts w:hint="eastAsia"/>
                <w:color w:val="auto"/>
              </w:rPr>
              <w:t>欠缺</w:t>
            </w:r>
            <w:r>
              <w:rPr>
                <w:rFonts w:hint="eastAsia" w:ascii="宋体" w:hAnsi="宋体" w:cs="宋体"/>
                <w:color w:val="auto"/>
                <w:szCs w:val="21"/>
              </w:rPr>
              <w:t xml:space="preserve">得 2.1-4分； </w:t>
            </w:r>
          </w:p>
          <w:p>
            <w:pPr>
              <w:widowControl/>
              <w:ind w:firstLine="420" w:firstLineChars="200"/>
              <w:jc w:val="left"/>
              <w:rPr>
                <w:rFonts w:ascii="宋体" w:hAnsi="宋体" w:cs="宋体"/>
                <w:color w:val="auto"/>
                <w:kern w:val="0"/>
                <w:szCs w:val="21"/>
              </w:rPr>
            </w:pPr>
            <w:r>
              <w:rPr>
                <w:rFonts w:hint="eastAsia" w:ascii="宋体" w:hAnsi="宋体" w:cs="宋体"/>
                <w:color w:val="auto"/>
                <w:szCs w:val="21"/>
              </w:rPr>
              <w:t>培训方案</w:t>
            </w:r>
            <w:r>
              <w:rPr>
                <w:color w:val="auto"/>
              </w:rPr>
              <w:t>存</w:t>
            </w:r>
            <w:r>
              <w:rPr>
                <w:rFonts w:hint="eastAsia"/>
                <w:color w:val="auto"/>
              </w:rPr>
              <w:t>在</w:t>
            </w:r>
            <w:r>
              <w:rPr>
                <w:color w:val="auto"/>
              </w:rPr>
              <w:t>缺陷</w:t>
            </w:r>
            <w:r>
              <w:rPr>
                <w:rFonts w:hint="eastAsia" w:ascii="宋体" w:hAnsi="宋体" w:cs="宋体"/>
                <w:color w:val="auto"/>
                <w:szCs w:val="21"/>
              </w:rPr>
              <w:t xml:space="preserve">，可行性差得0.1-2分； </w:t>
            </w:r>
            <w:r>
              <w:rPr>
                <w:rFonts w:hint="eastAsia" w:ascii="宋体" w:hAnsi="宋体" w:cs="宋体"/>
                <w:color w:val="auto"/>
                <w:kern w:val="0"/>
                <w:szCs w:val="21"/>
              </w:rPr>
              <w:t>未提供方案的不得分</w:t>
            </w:r>
            <w:r>
              <w:rPr>
                <w:rFonts w:hint="eastAsia" w:ascii="宋体" w:hAnsi="宋体" w:cs="宋体"/>
                <w:color w:val="auto"/>
                <w:szCs w:val="21"/>
              </w:rPr>
              <w:t>。</w:t>
            </w:r>
          </w:p>
        </w:tc>
        <w:tc>
          <w:tcPr>
            <w:tcW w:w="72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3"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02" w:type="dxa"/>
            <w:vAlign w:val="center"/>
          </w:tcPr>
          <w:p>
            <w:pPr>
              <w:widowControl/>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验收方案</w:t>
            </w:r>
          </w:p>
        </w:tc>
        <w:tc>
          <w:tcPr>
            <w:tcW w:w="7250" w:type="dxa"/>
            <w:vAlign w:val="center"/>
          </w:tcPr>
          <w:p>
            <w:pPr>
              <w:widowControl/>
              <w:ind w:firstLine="420" w:firstLineChars="200"/>
              <w:jc w:val="left"/>
              <w:rPr>
                <w:rFonts w:ascii="宋体" w:hAnsi="宋体" w:cs="宋体"/>
                <w:color w:val="auto"/>
                <w:kern w:val="0"/>
                <w:szCs w:val="21"/>
              </w:rPr>
            </w:pPr>
            <w:r>
              <w:rPr>
                <w:rFonts w:hint="eastAsia" w:ascii="宋体" w:hAnsi="宋体" w:cs="宋体"/>
                <w:color w:val="auto"/>
                <w:szCs w:val="21"/>
              </w:rPr>
              <w:t>投标人</w:t>
            </w:r>
            <w:r>
              <w:rPr>
                <w:rFonts w:hint="eastAsia" w:ascii="宋体" w:hAnsi="宋体" w:cs="宋体"/>
                <w:color w:val="auto"/>
                <w:kern w:val="0"/>
                <w:szCs w:val="21"/>
              </w:rPr>
              <w:t>的验收方案科学合理的、可操作强的、完整的得</w:t>
            </w:r>
            <w:r>
              <w:rPr>
                <w:rFonts w:hint="eastAsia" w:ascii="宋体" w:hAnsi="宋体" w:cs="宋体"/>
                <w:color w:val="auto"/>
                <w:szCs w:val="21"/>
              </w:rPr>
              <w:t>4.1-6</w:t>
            </w:r>
            <w:r>
              <w:rPr>
                <w:rFonts w:hint="eastAsia" w:ascii="宋体" w:hAnsi="宋体" w:cs="宋体"/>
                <w:color w:val="auto"/>
                <w:kern w:val="0"/>
                <w:szCs w:val="21"/>
              </w:rPr>
              <w:t>分；</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验收方案较合理的、可操作性</w:t>
            </w:r>
            <w:r>
              <w:rPr>
                <w:rFonts w:hint="eastAsia"/>
                <w:color w:val="auto"/>
              </w:rPr>
              <w:t>欠缺</w:t>
            </w:r>
            <w:r>
              <w:rPr>
                <w:rFonts w:hint="eastAsia" w:ascii="宋体" w:hAnsi="宋体" w:cs="宋体"/>
                <w:color w:val="auto"/>
                <w:kern w:val="0"/>
                <w:szCs w:val="21"/>
              </w:rPr>
              <w:t>的、较完整的得</w:t>
            </w:r>
            <w:r>
              <w:rPr>
                <w:rFonts w:hint="eastAsia" w:ascii="宋体" w:hAnsi="宋体" w:cs="宋体"/>
                <w:color w:val="auto"/>
                <w:szCs w:val="21"/>
              </w:rPr>
              <w:t>2.1-4</w:t>
            </w:r>
            <w:r>
              <w:rPr>
                <w:rFonts w:hint="eastAsia" w:ascii="宋体" w:hAnsi="宋体" w:cs="宋体"/>
                <w:color w:val="auto"/>
                <w:kern w:val="0"/>
                <w:szCs w:val="21"/>
              </w:rPr>
              <w:t>分；</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验收方案</w:t>
            </w:r>
            <w:r>
              <w:rPr>
                <w:color w:val="auto"/>
              </w:rPr>
              <w:t>存</w:t>
            </w:r>
            <w:r>
              <w:rPr>
                <w:rFonts w:hint="eastAsia"/>
                <w:color w:val="auto"/>
              </w:rPr>
              <w:t>在</w:t>
            </w:r>
            <w:r>
              <w:rPr>
                <w:color w:val="auto"/>
              </w:rPr>
              <w:t>缺陷</w:t>
            </w:r>
            <w:r>
              <w:rPr>
                <w:rFonts w:hint="eastAsia" w:ascii="宋体" w:hAnsi="宋体" w:cs="宋体"/>
                <w:color w:val="auto"/>
                <w:kern w:val="0"/>
                <w:szCs w:val="21"/>
              </w:rPr>
              <w:t>的、可操作性差的、不完整的得</w:t>
            </w:r>
            <w:r>
              <w:rPr>
                <w:rFonts w:hint="eastAsia" w:ascii="宋体" w:hAnsi="宋体" w:cs="宋体"/>
                <w:color w:val="auto"/>
                <w:szCs w:val="21"/>
              </w:rPr>
              <w:t>0.1-2</w:t>
            </w:r>
            <w:r>
              <w:rPr>
                <w:rFonts w:hint="eastAsia" w:ascii="宋体" w:hAnsi="宋体" w:cs="宋体"/>
                <w:color w:val="auto"/>
                <w:kern w:val="0"/>
                <w:szCs w:val="21"/>
              </w:rPr>
              <w:t>分；</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未提供方案的不得分。</w:t>
            </w:r>
          </w:p>
        </w:tc>
        <w:tc>
          <w:tcPr>
            <w:tcW w:w="72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23"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0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售后服务</w:t>
            </w:r>
          </w:p>
        </w:tc>
        <w:tc>
          <w:tcPr>
            <w:tcW w:w="7250" w:type="dxa"/>
            <w:vAlign w:val="center"/>
          </w:tcPr>
          <w:p>
            <w:pPr>
              <w:widowControl/>
              <w:ind w:firstLine="422" w:firstLineChars="200"/>
              <w:jc w:val="left"/>
              <w:rPr>
                <w:rFonts w:ascii="宋体" w:hAnsi="宋体"/>
                <w:b/>
                <w:bCs/>
                <w:color w:val="auto"/>
                <w:szCs w:val="21"/>
              </w:rPr>
            </w:pPr>
            <w:r>
              <w:rPr>
                <w:rFonts w:hint="eastAsia" w:ascii="宋体" w:hAnsi="宋体"/>
                <w:b/>
                <w:bCs/>
                <w:color w:val="auto"/>
                <w:szCs w:val="21"/>
              </w:rPr>
              <w:t xml:space="preserve">根据投标供应商的售后服务安排的合理性、维修的反应速度及服务措施等情况进行评审： </w:t>
            </w:r>
          </w:p>
          <w:p>
            <w:pPr>
              <w:widowControl/>
              <w:ind w:firstLine="420" w:firstLineChars="200"/>
              <w:jc w:val="left"/>
              <w:rPr>
                <w:rFonts w:ascii="宋体" w:hAnsi="宋体"/>
                <w:color w:val="auto"/>
                <w:szCs w:val="21"/>
              </w:rPr>
            </w:pPr>
            <w:r>
              <w:rPr>
                <w:rFonts w:hint="eastAsia" w:ascii="宋体" w:hAnsi="宋体"/>
                <w:color w:val="auto"/>
                <w:szCs w:val="21"/>
              </w:rPr>
              <w:t xml:space="preserve">售后服务安排合理，维修反应速度及时，服务措施针对性强得6.1-8分； </w:t>
            </w:r>
          </w:p>
          <w:p>
            <w:pPr>
              <w:widowControl/>
              <w:ind w:firstLine="420" w:firstLineChars="200"/>
              <w:jc w:val="left"/>
              <w:rPr>
                <w:rFonts w:ascii="宋体" w:hAnsi="宋体"/>
                <w:color w:val="auto"/>
                <w:szCs w:val="21"/>
              </w:rPr>
            </w:pPr>
            <w:r>
              <w:rPr>
                <w:rFonts w:hint="eastAsia" w:ascii="宋体" w:hAnsi="宋体"/>
                <w:color w:val="auto"/>
                <w:szCs w:val="21"/>
              </w:rPr>
              <w:t>售后服务安排合理，维修反应速度对比</w:t>
            </w:r>
            <w:r>
              <w:rPr>
                <w:rFonts w:hint="eastAsia"/>
                <w:color w:val="auto"/>
              </w:rPr>
              <w:t>延时</w:t>
            </w:r>
            <w:r>
              <w:rPr>
                <w:rFonts w:hint="eastAsia" w:ascii="宋体" w:hAnsi="宋体"/>
                <w:color w:val="auto"/>
                <w:szCs w:val="21"/>
              </w:rPr>
              <w:t>，服务措施针对性</w:t>
            </w:r>
            <w:r>
              <w:rPr>
                <w:rFonts w:hint="eastAsia"/>
                <w:color w:val="auto"/>
              </w:rPr>
              <w:t>较强</w:t>
            </w:r>
            <w:r>
              <w:rPr>
                <w:rFonts w:hint="eastAsia" w:ascii="宋体" w:hAnsi="宋体"/>
                <w:color w:val="auto"/>
                <w:szCs w:val="21"/>
              </w:rPr>
              <w:t xml:space="preserve">得 4.1-6分； </w:t>
            </w:r>
          </w:p>
          <w:p>
            <w:pPr>
              <w:widowControl/>
              <w:ind w:firstLine="420" w:firstLineChars="200"/>
              <w:jc w:val="left"/>
              <w:rPr>
                <w:rFonts w:ascii="宋体" w:hAnsi="宋体"/>
                <w:color w:val="auto"/>
                <w:szCs w:val="21"/>
              </w:rPr>
            </w:pPr>
            <w:r>
              <w:rPr>
                <w:rFonts w:hint="eastAsia" w:ascii="宋体" w:hAnsi="宋体"/>
                <w:color w:val="auto"/>
                <w:szCs w:val="21"/>
              </w:rPr>
              <w:t xml:space="preserve">售后服务安排差，维修反应速度慢，服务措施没有针对性得2.1-4分； </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未提供方案的不得分。</w:t>
            </w:r>
          </w:p>
        </w:tc>
        <w:tc>
          <w:tcPr>
            <w:tcW w:w="722"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02" w:type="dxa"/>
            <w:vAlign w:val="center"/>
          </w:tcPr>
          <w:p>
            <w:pPr>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szCs w:val="21"/>
              </w:rPr>
              <w:t>质保承诺</w:t>
            </w:r>
          </w:p>
        </w:tc>
        <w:tc>
          <w:tcPr>
            <w:tcW w:w="7250" w:type="dxa"/>
            <w:vAlign w:val="center"/>
          </w:tcPr>
          <w:p>
            <w:pPr>
              <w:snapToGrid w:val="0"/>
              <w:spacing w:line="300" w:lineRule="exact"/>
              <w:ind w:firstLine="420" w:firstLineChars="200"/>
              <w:rPr>
                <w:rFonts w:ascii="宋体" w:hAnsi="宋体"/>
                <w:szCs w:val="21"/>
                <w:highlight w:val="none"/>
              </w:rPr>
            </w:pPr>
            <w:r>
              <w:rPr>
                <w:rFonts w:hint="eastAsia" w:ascii="宋体" w:hAnsi="宋体"/>
                <w:szCs w:val="21"/>
              </w:rPr>
              <w:t>投标人提供的整机（含第三方设备或配件）质量保证期（保修期）在招标文件</w:t>
            </w:r>
            <w:r>
              <w:rPr>
                <w:rFonts w:hint="eastAsia" w:ascii="宋体" w:hAnsi="宋体"/>
                <w:szCs w:val="21"/>
                <w:highlight w:val="none"/>
              </w:rPr>
              <w:t>要求的基础上每多一年加0.5分，最多得1分。</w:t>
            </w:r>
          </w:p>
          <w:p>
            <w:pPr>
              <w:snapToGrid w:val="0"/>
              <w:spacing w:line="3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b/>
                <w:bCs/>
                <w:szCs w:val="21"/>
                <w:highlight w:val="none"/>
              </w:rPr>
              <w:t>投标时提供相关承诺函并加盖投标人公章，格式自拟。</w:t>
            </w:r>
          </w:p>
        </w:tc>
        <w:tc>
          <w:tcPr>
            <w:tcW w:w="72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szCs w:val="21"/>
              </w:rPr>
              <w:t>1</w:t>
            </w:r>
          </w:p>
        </w:tc>
      </w:tr>
    </w:tbl>
    <w:p>
      <w:pPr>
        <w:pStyle w:val="17"/>
      </w:pPr>
    </w:p>
    <w:p>
      <w:pPr>
        <w:spacing w:line="480" w:lineRule="auto"/>
        <w:jc w:val="center"/>
        <w:rPr>
          <w:rFonts w:ascii="宋体" w:hAnsi="宋体" w:cs="宋体"/>
          <w:b/>
          <w:color w:val="000000"/>
          <w:sz w:val="28"/>
          <w:szCs w:val="28"/>
        </w:rPr>
      </w:pPr>
    </w:p>
    <w:p>
      <w:pPr>
        <w:spacing w:line="360" w:lineRule="auto"/>
        <w:jc w:val="center"/>
        <w:outlineLvl w:val="0"/>
        <w:rPr>
          <w:rFonts w:ascii="宋体" w:hAnsi="宋体" w:cs="宋体"/>
          <w:b/>
          <w:color w:val="000000"/>
          <w:sz w:val="28"/>
          <w:szCs w:val="28"/>
        </w:rPr>
      </w:pPr>
      <w:bookmarkStart w:id="220" w:name="_Toc13969"/>
      <w:r>
        <w:rPr>
          <w:rFonts w:hint="eastAsia" w:ascii="宋体" w:hAnsi="宋体" w:cs="宋体"/>
          <w:b/>
          <w:color w:val="000000"/>
          <w:sz w:val="28"/>
          <w:szCs w:val="28"/>
        </w:rPr>
        <w:t>第五章  投标（响应）文件格式</w:t>
      </w:r>
      <w:bookmarkEnd w:id="220"/>
    </w:p>
    <w:p>
      <w:pPr>
        <w:pStyle w:val="11"/>
        <w:spacing w:line="480" w:lineRule="auto"/>
        <w:rPr>
          <w:rFonts w:ascii="宋体" w:hAnsi="宋体" w:eastAsia="宋体"/>
          <w:color w:val="000000"/>
        </w:rPr>
      </w:pPr>
    </w:p>
    <w:p>
      <w:pPr>
        <w:pStyle w:val="12"/>
        <w:spacing w:line="480" w:lineRule="auto"/>
        <w:outlineLvl w:val="9"/>
        <w:rPr>
          <w:rFonts w:ascii="宋体" w:eastAsia="宋体"/>
          <w:color w:val="000000"/>
        </w:rPr>
      </w:pPr>
    </w:p>
    <w:p>
      <w:pPr>
        <w:spacing w:line="1200" w:lineRule="exact"/>
        <w:jc w:val="center"/>
        <w:rPr>
          <w:rFonts w:ascii="宋体" w:hAnsi="宋体" w:cs="宋体"/>
          <w:b/>
          <w:color w:val="000000"/>
          <w:sz w:val="44"/>
          <w:szCs w:val="44"/>
        </w:rPr>
      </w:pPr>
      <w:r>
        <w:rPr>
          <w:rFonts w:hint="eastAsia" w:ascii="宋体" w:hAnsi="宋体" w:cs="宋体"/>
          <w:b/>
          <w:color w:val="000000"/>
          <w:sz w:val="72"/>
          <w:szCs w:val="72"/>
        </w:rPr>
        <w:t>响 应 文 件</w:t>
      </w:r>
      <w:r>
        <w:rPr>
          <w:rFonts w:hint="eastAsia" w:ascii="宋体" w:hAnsi="宋体" w:cs="宋体"/>
          <w:b/>
          <w:color w:val="000000"/>
          <w:sz w:val="44"/>
          <w:szCs w:val="44"/>
        </w:rPr>
        <w:t>（竞争性磋商）</w:t>
      </w:r>
    </w:p>
    <w:p>
      <w:pPr>
        <w:pStyle w:val="12"/>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4"/>
        <w:spacing w:line="480" w:lineRule="auto"/>
      </w:pPr>
    </w:p>
    <w:p>
      <w:pPr>
        <w:pStyle w:val="11"/>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12"/>
        <w:outlineLvl w:val="9"/>
        <w:rPr>
          <w:rFonts w:ascii="宋体" w:eastAsia="宋体"/>
          <w:color w:val="000000"/>
        </w:rPr>
      </w:pPr>
    </w:p>
    <w:p>
      <w:pPr>
        <w:pStyle w:val="14"/>
      </w:pPr>
    </w:p>
    <w:p>
      <w:pPr>
        <w:pStyle w:val="11"/>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bookmarkStart w:id="221" w:name="_Toc25822"/>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221"/>
    </w:p>
    <w:p>
      <w:pPr>
        <w:pStyle w:val="11"/>
        <w:spacing w:line="240" w:lineRule="exact"/>
        <w:rPr>
          <w:rFonts w:ascii="宋体" w:hAnsi="宋体" w:cs="宋体"/>
          <w:b/>
          <w:bCs/>
          <w:color w:val="000000"/>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4"/>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p>
    <w:p>
      <w:pPr>
        <w:spacing w:line="552" w:lineRule="auto"/>
        <w:jc w:val="center"/>
        <w:outlineLvl w:val="1"/>
        <w:rPr>
          <w:rFonts w:ascii="宋体" w:hAnsi="宋体" w:cs="宋体"/>
          <w:b/>
          <w:bCs/>
          <w:color w:val="000000"/>
          <w:sz w:val="28"/>
          <w:szCs w:val="28"/>
        </w:rPr>
      </w:pPr>
      <w:bookmarkStart w:id="222" w:name="_Toc18458"/>
      <w:r>
        <w:rPr>
          <w:rFonts w:hint="eastAsia" w:ascii="宋体" w:hAnsi="宋体" w:cs="宋体"/>
          <w:b/>
          <w:bCs/>
          <w:color w:val="000000"/>
          <w:sz w:val="28"/>
          <w:szCs w:val="28"/>
        </w:rPr>
        <w:t>一、报价一览表(报价表)（格式）</w:t>
      </w:r>
      <w:bookmarkEnd w:id="22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7"/>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11"/>
        <w:rPr>
          <w:color w:val="000000"/>
        </w:rPr>
      </w:pPr>
    </w:p>
    <w:p>
      <w:pPr>
        <w:pStyle w:val="12"/>
        <w:outlineLvl w:val="9"/>
        <w:rPr>
          <w:color w:val="000000"/>
        </w:rPr>
      </w:pPr>
    </w:p>
    <w:p>
      <w:pPr>
        <w:pStyle w:val="14"/>
      </w:pPr>
    </w:p>
    <w:p>
      <w:pPr>
        <w:rPr>
          <w:color w:val="000000"/>
        </w:rPr>
      </w:pPr>
    </w:p>
    <w:p>
      <w:pPr>
        <w:pStyle w:val="11"/>
        <w:rPr>
          <w:color w:val="000000"/>
        </w:rPr>
      </w:pPr>
    </w:p>
    <w:p>
      <w:pPr>
        <w:rPr>
          <w:rFonts w:ascii="宋体" w:hAnsi="宋体"/>
          <w:b/>
          <w:color w:val="000000"/>
          <w:sz w:val="28"/>
          <w:szCs w:val="28"/>
        </w:rPr>
      </w:pPr>
    </w:p>
    <w:p>
      <w:pPr>
        <w:jc w:val="both"/>
        <w:outlineLvl w:val="1"/>
        <w:rPr>
          <w:rFonts w:ascii="宋体" w:hAnsi="宋体"/>
          <w:b/>
          <w:color w:val="000000"/>
          <w:sz w:val="28"/>
          <w:szCs w:val="28"/>
        </w:rPr>
      </w:pPr>
      <w:bookmarkStart w:id="223" w:name="_Toc30897"/>
    </w:p>
    <w:p>
      <w:pPr>
        <w:jc w:val="center"/>
        <w:outlineLvl w:val="1"/>
        <w:rPr>
          <w:rFonts w:hint="eastAsia" w:ascii="宋体" w:hAnsi="宋体"/>
          <w:b/>
          <w:color w:val="000000"/>
          <w:sz w:val="28"/>
          <w:szCs w:val="28"/>
        </w:rPr>
      </w:pPr>
    </w:p>
    <w:p>
      <w:pPr>
        <w:jc w:val="center"/>
        <w:outlineLvl w:val="1"/>
        <w:rPr>
          <w:rFonts w:hint="eastAsia" w:ascii="宋体" w:hAnsi="宋体"/>
          <w:b/>
          <w:color w:val="000000"/>
          <w:sz w:val="28"/>
          <w:szCs w:val="28"/>
        </w:rPr>
      </w:pPr>
    </w:p>
    <w:p>
      <w:pPr>
        <w:jc w:val="center"/>
        <w:outlineLvl w:val="1"/>
        <w:rPr>
          <w:rFonts w:hint="eastAsia" w:ascii="宋体" w:hAnsi="宋体"/>
          <w:b/>
          <w:color w:val="000000"/>
          <w:sz w:val="28"/>
          <w:szCs w:val="28"/>
        </w:rPr>
      </w:pPr>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22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11"/>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11"/>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Pr>
        <w:spacing w:line="400" w:lineRule="exact"/>
        <w:ind w:firstLine="420" w:firstLineChars="200"/>
      </w:pPr>
      <w:r>
        <w:rPr>
          <w:rFonts w:hint="eastAsia" w:ascii="宋体" w:hAnsi="宋体" w:cs="宋体"/>
          <w:szCs w:val="21"/>
        </w:rPr>
        <w:t>2.落实政府采购政策需满足的资格要求：</w:t>
      </w:r>
    </w:p>
    <w:p>
      <w:pPr>
        <w:pStyle w:val="12"/>
        <w:outlineLvl w:val="9"/>
      </w:pPr>
    </w:p>
    <w:p>
      <w:pPr>
        <w:spacing w:line="400" w:lineRule="exact"/>
        <w:ind w:firstLine="420" w:firstLineChars="200"/>
        <w:jc w:val="left"/>
        <w:rPr>
          <w:rFonts w:ascii="宋体" w:hAnsi="宋体"/>
          <w:b/>
          <w:szCs w:val="21"/>
        </w:rPr>
      </w:pPr>
      <w:r>
        <w:rPr>
          <w:rFonts w:hint="eastAsia" w:ascii="宋体" w:hAnsi="宋体"/>
          <w:szCs w:val="21"/>
        </w:rPr>
        <w:t>3.本项目的特定资格要求：</w:t>
      </w:r>
    </w:p>
    <w:p>
      <w:pPr>
        <w:pStyle w:val="12"/>
        <w:ind w:left="0" w:leftChars="0" w:firstLine="0" w:firstLineChars="0"/>
        <w:outlineLvl w:val="9"/>
      </w:pPr>
    </w:p>
    <w:p>
      <w:pPr>
        <w:spacing w:line="400" w:lineRule="exact"/>
        <w:ind w:firstLine="420" w:firstLineChars="200"/>
        <w:jc w:val="left"/>
        <w:rPr>
          <w:rFonts w:ascii="宋体" w:hAnsi="宋体"/>
          <w:szCs w:val="21"/>
        </w:rPr>
      </w:pPr>
      <w:r>
        <w:rPr>
          <w:rFonts w:hint="eastAsia" w:ascii="宋体" w:hAnsi="宋体"/>
          <w:szCs w:val="21"/>
        </w:rPr>
        <w:t>4.供应商被“信用中国”网站(www.creditchina.gov.cn)、“中国政府采购网”(www.ccgp.gov.cn)列入失信被执行人、重大税收违法案件当事人名单、政府采购严重违法失信行为记录名单。</w:t>
      </w:r>
    </w:p>
    <w:p>
      <w:pPr>
        <w:pStyle w:val="17"/>
        <w:tabs>
          <w:tab w:val="left" w:pos="5580"/>
        </w:tabs>
        <w:spacing w:line="600" w:lineRule="exact"/>
        <w:jc w:val="center"/>
        <w:outlineLvl w:val="1"/>
        <w:rPr>
          <w:rFonts w:hAnsi="宋体" w:cs="宋体"/>
          <w:b/>
          <w:color w:val="000000"/>
          <w:sz w:val="21"/>
          <w:szCs w:val="21"/>
        </w:rPr>
      </w:pPr>
      <w:bookmarkStart w:id="224" w:name="_Toc10745"/>
      <w:r>
        <w:rPr>
          <w:rFonts w:hint="eastAsia" w:hAnsi="宋体" w:cs="宋体"/>
          <w:b/>
          <w:color w:val="000000"/>
          <w:sz w:val="28"/>
          <w:szCs w:val="28"/>
        </w:rPr>
        <w:t>三、法定代表人授权委托书(格式）</w:t>
      </w:r>
      <w:r>
        <w:rPr>
          <w:rFonts w:hint="eastAsia" w:hAnsi="宋体" w:cs="宋体"/>
          <w:b/>
          <w:color w:val="000000"/>
          <w:sz w:val="21"/>
          <w:szCs w:val="21"/>
        </w:rPr>
        <w:t>（自然人投标的无需提供）</w:t>
      </w:r>
      <w:bookmarkEnd w:id="224"/>
    </w:p>
    <w:p>
      <w:pPr>
        <w:pStyle w:val="7"/>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7"/>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11"/>
        <w:spacing w:line="240" w:lineRule="exact"/>
        <w:rPr>
          <w:color w:val="000000"/>
        </w:rPr>
      </w:pPr>
    </w:p>
    <w:p>
      <w:pPr>
        <w:spacing w:line="360" w:lineRule="auto"/>
        <w:jc w:val="both"/>
        <w:outlineLvl w:val="1"/>
        <w:rPr>
          <w:rFonts w:ascii="宋体" w:hAnsi="宋体" w:cs="宋体"/>
          <w:b/>
          <w:color w:val="000000"/>
          <w:sz w:val="28"/>
          <w:szCs w:val="28"/>
        </w:rPr>
      </w:pPr>
      <w:bookmarkStart w:id="225" w:name="_Toc5930"/>
    </w:p>
    <w:p>
      <w:pPr>
        <w:spacing w:line="360" w:lineRule="auto"/>
        <w:jc w:val="center"/>
        <w:outlineLvl w:val="1"/>
        <w:rPr>
          <w:rFonts w:hint="eastAsia" w:ascii="宋体" w:hAnsi="宋体" w:cs="宋体"/>
          <w:b/>
          <w:color w:val="000000"/>
          <w:sz w:val="28"/>
          <w:szCs w:val="28"/>
        </w:rPr>
      </w:pPr>
    </w:p>
    <w:p>
      <w:pPr>
        <w:spacing w:line="360" w:lineRule="auto"/>
        <w:jc w:val="both"/>
        <w:outlineLvl w:val="1"/>
        <w:rPr>
          <w:rFonts w:hint="eastAsia" w:ascii="宋体" w:hAnsi="宋体" w:cs="宋体"/>
          <w:b/>
          <w:color w:val="000000"/>
          <w:sz w:val="28"/>
          <w:szCs w:val="28"/>
        </w:rPr>
      </w:pPr>
    </w:p>
    <w:p>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四、投标（响应）书（格式）</w:t>
      </w:r>
      <w:bookmarkEnd w:id="225"/>
    </w:p>
    <w:p>
      <w:pPr>
        <w:pStyle w:val="11"/>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226" w:name="_Toc11754"/>
      <w:r>
        <w:rPr>
          <w:rFonts w:hint="eastAsia" w:ascii="宋体" w:hAnsi="宋体"/>
          <w:b/>
          <w:color w:val="000000"/>
          <w:sz w:val="28"/>
          <w:szCs w:val="28"/>
        </w:rPr>
        <w:t>五、盐城市政府采购事前信用承诺书（格式）</w:t>
      </w:r>
      <w:bookmarkEnd w:id="226"/>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   （三）严格依照国家和省、市关于政府采购的法律、法规、规章、规范性文件，参加政府采购投标活动；积极履行社会责任，促进廉政建设；    （四）严格遵守即时信息公示规定，及时维护和更新盐城市政府采购网中与本单位相关的信息；   （五）自我约束、自我管理，守合同、重信用，自觉维护政府采购交易的良好秩序，与参与本次政府采购活动的其他供应商不存在直接控股或管理关系，不参与围标串标、弄虚作假、骗取中标（成交）、干扰评审、违约毁约等行为；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pStyle w:val="11"/>
        <w:rPr>
          <w:rFonts w:ascii="宋体" w:hAnsi="宋体"/>
          <w:b/>
          <w:color w:val="000000"/>
          <w:szCs w:val="28"/>
        </w:rPr>
      </w:pPr>
    </w:p>
    <w:p>
      <w:pPr>
        <w:spacing w:line="540" w:lineRule="atLeast"/>
        <w:jc w:val="center"/>
        <w:rPr>
          <w:rFonts w:ascii="宋体" w:hAnsi="宋体"/>
          <w:b/>
          <w:color w:val="000000"/>
          <w:sz w:val="28"/>
          <w:szCs w:val="28"/>
        </w:rPr>
      </w:pPr>
    </w:p>
    <w:p>
      <w:pPr>
        <w:pStyle w:val="2"/>
        <w:ind w:firstLine="640"/>
      </w:pPr>
    </w:p>
    <w:tbl>
      <w:tblPr>
        <w:tblStyle w:val="29"/>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本次报价包括了与项目有关的保险费用。</w:t>
            </w:r>
            <w:r>
              <w:rPr>
                <w:rFonts w:hint="eastAsia" w:ascii="宋体" w:hAnsi="宋体"/>
                <w:iCs/>
                <w:color w:val="000000" w:themeColor="text1"/>
                <w14:textFill>
                  <w14:solidFill>
                    <w14:schemeClr w14:val="tx1"/>
                  </w14:solidFill>
                </w14:textFill>
              </w:rPr>
              <w:t>其它承诺：</w:t>
            </w: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具体的售后服务等其它要求</w:t>
            </w:r>
            <w:r>
              <w:rPr>
                <w:rFonts w:hint="eastAsia" w:ascii="宋体" w:hAnsi="宋体"/>
                <w:b/>
                <w:i/>
                <w:color w:val="000000" w:themeColor="text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招标文件中的商务要求</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投标人可根据其投标内容进一步细化上述表格，并可增添其它表格或说明以便进一步明确投标内容。</w:t>
            </w:r>
          </w:p>
        </w:tc>
      </w:tr>
    </w:tbl>
    <w:p>
      <w:pPr>
        <w:spacing w:line="540" w:lineRule="atLeast"/>
        <w:jc w:val="center"/>
        <w:outlineLvl w:val="1"/>
        <w:rPr>
          <w:rFonts w:ascii="宋体" w:hAnsi="宋体"/>
          <w:b/>
          <w:color w:val="000000"/>
          <w:sz w:val="28"/>
          <w:szCs w:val="28"/>
        </w:rPr>
      </w:pPr>
      <w:bookmarkStart w:id="227" w:name="_Toc27234"/>
      <w:r>
        <w:rPr>
          <w:rFonts w:hint="eastAsia" w:ascii="宋体" w:hAnsi="宋体"/>
          <w:b/>
          <w:color w:val="000000"/>
          <w:sz w:val="28"/>
          <w:szCs w:val="28"/>
        </w:rPr>
        <w:t>六、商务条款偏离表（格式）</w:t>
      </w:r>
      <w:bookmarkEnd w:id="227"/>
    </w:p>
    <w:p>
      <w:pPr>
        <w:spacing w:line="360" w:lineRule="auto"/>
        <w:rPr>
          <w:rFonts w:ascii="宋体" w:hAnsi="宋体"/>
          <w:b/>
          <w:color w:val="000000"/>
          <w:sz w:val="24"/>
        </w:rPr>
      </w:pPr>
    </w:p>
    <w:p>
      <w:pPr>
        <w:spacing w:line="540" w:lineRule="atLeast"/>
        <w:jc w:val="center"/>
        <w:outlineLvl w:val="1"/>
        <w:rPr>
          <w:rFonts w:ascii="宋体" w:hAnsi="宋体"/>
          <w:b/>
          <w:color w:val="000000"/>
          <w:sz w:val="28"/>
          <w:szCs w:val="28"/>
        </w:rPr>
      </w:pPr>
      <w:bookmarkStart w:id="228" w:name="_Toc8133"/>
    </w:p>
    <w:p>
      <w:pPr>
        <w:spacing w:line="540" w:lineRule="atLeast"/>
        <w:jc w:val="center"/>
        <w:outlineLvl w:val="1"/>
        <w:rPr>
          <w:rFonts w:ascii="宋体" w:hAnsi="宋体" w:cs="宋体"/>
          <w:b/>
          <w:color w:val="000000"/>
          <w:sz w:val="28"/>
          <w:szCs w:val="28"/>
        </w:rPr>
      </w:pPr>
      <w:r>
        <w:rPr>
          <w:rFonts w:hint="eastAsia" w:ascii="宋体" w:hAnsi="宋体"/>
          <w:b/>
          <w:color w:val="000000"/>
          <w:sz w:val="28"/>
          <w:szCs w:val="28"/>
        </w:rPr>
        <w:t>七、投标（响应）分项报价表（格式）</w:t>
      </w:r>
      <w:bookmarkEnd w:id="228"/>
    </w:p>
    <w:tbl>
      <w:tblPr>
        <w:tblStyle w:val="29"/>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44"/>
        <w:gridCol w:w="962"/>
        <w:gridCol w:w="1214"/>
        <w:gridCol w:w="838"/>
        <w:gridCol w:w="804"/>
        <w:gridCol w:w="840"/>
        <w:gridCol w:w="95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项目编号</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项目名称</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74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采购货物名称（进口设备须标明英文名）</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w:t>
            </w:r>
          </w:p>
        </w:tc>
        <w:tc>
          <w:tcPr>
            <w:tcW w:w="121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型号/规格</w:t>
            </w:r>
          </w:p>
        </w:tc>
        <w:tc>
          <w:tcPr>
            <w:tcW w:w="83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80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84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5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单价（元）</w:t>
            </w:r>
          </w:p>
        </w:tc>
        <w:tc>
          <w:tcPr>
            <w:tcW w:w="87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74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0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lang w:val="zh-CN"/>
              </w:rPr>
            </w:pPr>
          </w:p>
        </w:tc>
        <w:tc>
          <w:tcPr>
            <w:tcW w:w="873" w:type="dxa"/>
            <w:vAlign w:val="center"/>
          </w:tcPr>
          <w:p>
            <w:pPr>
              <w:spacing w:line="360" w:lineRule="auto"/>
              <w:jc w:val="center"/>
              <w:rPr>
                <w:rFonts w:asciiTheme="minorEastAsia" w:hAnsiTheme="minorEastAsia" w:eastAsiaTheme="minorEastAsia" w:cstheme="minor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9"/>
            <w:vAlign w:val="center"/>
          </w:tcPr>
          <w:p>
            <w:pPr>
              <w:spacing w:line="360" w:lineRule="auto"/>
              <w:jc w:val="center"/>
              <w:rPr>
                <w:b/>
                <w:i/>
                <w:u w:val="single"/>
              </w:rPr>
            </w:pPr>
            <w:r>
              <w:rPr>
                <w:rFonts w:hint="eastAsia"/>
                <w:b/>
                <w:i/>
                <w:u w:val="single"/>
              </w:rPr>
              <w:t>行数不够，可按本表格式自行添加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pStyle w:val="2"/>
        <w:ind w:firstLine="640"/>
        <w:sectPr>
          <w:headerReference r:id="rId4" w:type="default"/>
          <w:footerReference r:id="rId5" w:type="default"/>
          <w:pgSz w:w="11906" w:h="16838"/>
          <w:pgMar w:top="1134" w:right="1077" w:bottom="1418" w:left="1191" w:header="851" w:footer="992" w:gutter="0"/>
          <w:cols w:space="720" w:num="1"/>
          <w:docGrid w:type="lines" w:linePitch="312" w:charSpace="0"/>
        </w:sectPr>
      </w:pPr>
    </w:p>
    <w:tbl>
      <w:tblPr>
        <w:tblStyle w:val="29"/>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例：“显示屏”（注：仅示例如何填写，与投标内容无关）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例1：</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r>
              <w:rPr>
                <w:rFonts w:hint="eastAsia" w:ascii="宋体" w:hAnsi="宋体" w:cs="Courier New"/>
                <w:i/>
                <w:color w:val="000000" w:themeColor="text1"/>
                <w:szCs w:val="21"/>
                <w:u w:val="single"/>
                <w14:textFill>
                  <w14:solidFill>
                    <w14:schemeClr w14:val="tx1"/>
                  </w14:solidFill>
                </w14:textFill>
              </w:rPr>
              <w:t>例2：</w:t>
            </w:r>
            <w:r>
              <w:rPr>
                <w:rFonts w:hint="eastAsia" w:ascii="宋体" w:hAnsi="宋体" w:cs="宋体"/>
                <w:i/>
                <w:color w:val="000000" w:themeColor="text1"/>
                <w:szCs w:val="21"/>
                <w:u w:val="single"/>
                <w14:textFill>
                  <w14:solidFill>
                    <w14:schemeClr w14:val="tx1"/>
                  </w14:solidFill>
                </w14:textFill>
              </w:rPr>
              <w:t>“详见投标文件第55页”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ascii="宋体" w:hAnsi="宋体"/>
                <w:i/>
                <w:color w:val="000000" w:themeColor="text1"/>
                <w:u w:val="single"/>
                <w14:textFill>
                  <w14:solidFill>
                    <w14:schemeClr w14:val="tx1"/>
                  </w14:solidFill>
                </w14:textFill>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szCs w:val="21"/>
                <w:u w:val="single"/>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我公司确认，除以上“偏离说明”栏中列明的偏差外，我公司无条件接受招标文件规定的所有</w:t>
            </w:r>
            <w:r>
              <w:rPr>
                <w:rFonts w:hint="eastAsia" w:ascii="宋体" w:hAnsi="宋体"/>
                <w:color w:val="000000" w:themeColor="text1"/>
                <w14:textFill>
                  <w14:solidFill>
                    <w14:schemeClr w14:val="tx1"/>
                  </w14:solidFill>
                </w14:textFill>
              </w:rPr>
              <w:t>技术要求（技术规格</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w:t>
            </w:r>
            <w:r>
              <w:rPr>
                <w:rFonts w:ascii="宋体" w:hAnsi="宋体"/>
                <w:color w:val="000000" w:themeColor="text1"/>
                <w14:textFill>
                  <w14:solidFill>
                    <w14:schemeClr w14:val="tx1"/>
                  </w14:solidFill>
                </w14:textFill>
              </w:rPr>
              <w:t>文件对</w:t>
            </w:r>
            <w:r>
              <w:rPr>
                <w:rFonts w:hint="eastAsia" w:ascii="宋体" w:hAnsi="宋体"/>
                <w:color w:val="000000" w:themeColor="text1"/>
                <w14:textFill>
                  <w14:solidFill>
                    <w14:schemeClr w14:val="tx1"/>
                  </w14:solidFill>
                </w14:textFill>
              </w:rPr>
              <w:t>技术要求（技术规格）</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不得直接复制粘贴采购要求，否则将视同为未实质性响应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（标注具体内容的所在页码）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用“满足/不满足/部分满足”响应来表明该需求是否被满足，不得使用“明白”、“理解”等词语。</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需求之间有偏差时必须用“部分满足”响应来表明该需求未被完全满足的情况，并用确切的描述解释如何规避该偏差。</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不能实现</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需求时必须用“不满足”来响应。</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投标人可根据其投标内容进一步细化上述表格，并可增添其它表格或说明以便进一步明确投标内容。</w:t>
            </w:r>
          </w:p>
        </w:tc>
      </w:tr>
    </w:tbl>
    <w:p>
      <w:pPr>
        <w:pStyle w:val="14"/>
        <w:ind w:firstLine="0"/>
        <w:jc w:val="center"/>
        <w:outlineLvl w:val="1"/>
        <w:sectPr>
          <w:pgSz w:w="11906" w:h="16838"/>
          <w:pgMar w:top="1440" w:right="1080" w:bottom="1440" w:left="1080" w:header="851" w:footer="992" w:gutter="0"/>
          <w:cols w:space="720" w:num="1"/>
          <w:docGrid w:type="lines" w:linePitch="312" w:charSpace="0"/>
        </w:sectPr>
      </w:pPr>
      <w:bookmarkStart w:id="229" w:name="_Toc14437"/>
      <w:r>
        <w:rPr>
          <w:rFonts w:hint="eastAsia"/>
          <w:b/>
          <w:sz w:val="28"/>
          <w:szCs w:val="28"/>
        </w:rPr>
        <w:t>八、技术规格（采购需求）偏离表</w:t>
      </w:r>
      <w:bookmarkEnd w:id="229"/>
    </w:p>
    <w:p>
      <w:pPr>
        <w:jc w:val="center"/>
        <w:rPr>
          <w:rFonts w:ascii="宋体" w:hAnsi="宋体" w:cs="宋体"/>
          <w:b/>
          <w:color w:val="000000"/>
          <w:kern w:val="0"/>
          <w:sz w:val="28"/>
          <w:szCs w:val="28"/>
        </w:rPr>
      </w:pPr>
      <w:r>
        <w:rPr>
          <w:rFonts w:hint="eastAsia" w:ascii="宋体" w:hAnsi="宋体" w:cs="宋体"/>
          <w:b/>
          <w:color w:val="000000"/>
          <w:kern w:val="0"/>
          <w:sz w:val="28"/>
          <w:szCs w:val="28"/>
        </w:rPr>
        <w:t>九、投标文件的其它内容</w:t>
      </w:r>
    </w:p>
    <w:p>
      <w:pPr>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szCs w:val="21"/>
        </w:rPr>
        <w:t>证明投标标的的合格性和符合招标文件规定的技术文件等（包括但不限于:招标文件要求及投标人认为应当提供相关文件等）</w:t>
      </w: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auto"/>
        <w:ind w:firstLine="4305" w:firstLineChars="20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11"/>
        <w:spacing w:line="360" w:lineRule="auto"/>
        <w:rPr>
          <w:rFonts w:asciiTheme="minorEastAsia" w:hAnsiTheme="minorEastAsia" w:eastAsiaTheme="minorEastAsia" w:cstheme="minorEastAsia"/>
          <w:sz w:val="21"/>
          <w:szCs w:val="21"/>
        </w:rPr>
      </w:pPr>
    </w:p>
    <w:p>
      <w:pPr>
        <w:keepNext/>
        <w:keepLines/>
        <w:spacing w:line="360" w:lineRule="auto"/>
        <w:jc w:val="center"/>
        <w:outlineLvl w:val="2"/>
        <w:rPr>
          <w:rFonts w:asciiTheme="minorEastAsia" w:hAnsiTheme="minorEastAsia" w:eastAsiaTheme="minorEastAsia" w:cstheme="minorEastAsia"/>
          <w:b/>
          <w:szCs w:val="21"/>
        </w:rPr>
      </w:pPr>
      <w:bookmarkStart w:id="230" w:name="_Toc6295"/>
      <w:r>
        <w:rPr>
          <w:rFonts w:hint="eastAsia" w:asciiTheme="minorEastAsia" w:hAnsiTheme="minorEastAsia" w:eastAsiaTheme="minorEastAsia" w:cstheme="minorEastAsia"/>
          <w:b/>
          <w:szCs w:val="21"/>
        </w:rPr>
        <w:t>2.《残疾人福利性单位声明函》</w:t>
      </w:r>
      <w:bookmarkEnd w:id="230"/>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r>
        <w:rPr>
          <w:rFonts w:hint="eastAsia" w:asciiTheme="minorEastAsia" w:hAnsiTheme="minorEastAsia" w:eastAsiaTheme="minorEastAsia" w:cstheme="minorEastAsia"/>
          <w:szCs w:val="21"/>
          <w:u w:val="single"/>
        </w:rPr>
        <w:t xml:space="preserve">                </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75C10C-7907-4065-87A1-60B79AAA41BD}"/>
  </w:font>
  <w:font w:name="黑体">
    <w:panose1 w:val="02010609060101010101"/>
    <w:charset w:val="86"/>
    <w:family w:val="auto"/>
    <w:pitch w:val="default"/>
    <w:sig w:usb0="800002BF" w:usb1="38CF7CFA" w:usb2="00000016" w:usb3="00000000" w:csb0="00040001" w:csb1="00000000"/>
    <w:embedRegular r:id="rId2" w:fontKey="{BAB068BA-FDFB-46A2-B3A6-C340E20D8138}"/>
  </w:font>
  <w:font w:name="Courier New">
    <w:panose1 w:val="02070309020205020404"/>
    <w:charset w:val="01"/>
    <w:family w:val="modern"/>
    <w:pitch w:val="default"/>
    <w:sig w:usb0="E0002EFF" w:usb1="C0007843" w:usb2="00000009" w:usb3="00000000" w:csb0="400001FF" w:csb1="FFFF0000"/>
    <w:embedRegular r:id="rId3" w:fontKey="{37675B8B-0460-4E1A-A528-344D8579A38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38A0550A-F43A-4264-8ACB-49BC3420C91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embedRegular r:id="rId5" w:fontKey="{EAB7D3E7-1422-4009-BAEC-931BCB532912}"/>
  </w:font>
  <w:font w:name="汉仪粗黑简">
    <w:altName w:val="宋体"/>
    <w:panose1 w:val="00000000000000000000"/>
    <w:charset w:val="86"/>
    <w:family w:val="auto"/>
    <w:pitch w:val="default"/>
    <w:sig w:usb0="00000000" w:usb1="00000000" w:usb2="00000000" w:usb3="00000000" w:csb0="00040001" w:csb1="00000000"/>
    <w:embedRegular r:id="rId6" w:fontKey="{62FABDF6-A747-4592-84A9-8822E6249A19}"/>
  </w:font>
  <w:font w:name="方正小标宋简体">
    <w:altName w:val="黑体"/>
    <w:panose1 w:val="00000000000000000000"/>
    <w:charset w:val="86"/>
    <w:family w:val="auto"/>
    <w:pitch w:val="default"/>
    <w:sig w:usb0="00000000" w:usb1="00000000" w:usb2="00000000" w:usb3="00000000" w:csb0="00040000" w:csb1="00000000"/>
    <w:embedRegular r:id="rId7" w:fontKey="{3640D4B9-8B85-47EA-B906-713C47DC2DA4}"/>
  </w:font>
  <w:font w:name="Arial Unicode MS">
    <w:altName w:val="宋体"/>
    <w:panose1 w:val="020B0604020202020204"/>
    <w:charset w:val="86"/>
    <w:family w:val="swiss"/>
    <w:pitch w:val="default"/>
    <w:sig w:usb0="00000000" w:usb1="00000000" w:usb2="0000003F" w:usb3="00000000" w:csb0="003F01FF" w:csb1="00000000"/>
    <w:embedRegular r:id="rId8" w:fontKey="{C70459EB-564C-4DD0-99D6-5E855EB65C2C}"/>
  </w:font>
  <w:font w:name="仿宋">
    <w:panose1 w:val="02010609060101010101"/>
    <w:charset w:val="86"/>
    <w:family w:val="modern"/>
    <w:pitch w:val="default"/>
    <w:sig w:usb0="800002BF" w:usb1="38CF7CFA" w:usb2="00000016" w:usb3="00000000" w:csb0="00040001" w:csb1="00000000"/>
    <w:embedRegular r:id="rId9" w:fontKey="{ADF4F025-A8F2-4E7C-9AA1-0837010D302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29</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D6BA2"/>
    <w:multiLevelType w:val="singleLevel"/>
    <w:tmpl w:val="A0CD6BA2"/>
    <w:lvl w:ilvl="0" w:tentative="0">
      <w:start w:val="2"/>
      <w:numFmt w:val="decimal"/>
      <w:suff w:val="nothing"/>
      <w:lvlText w:val="%1．"/>
      <w:lvlJc w:val="left"/>
    </w:lvl>
  </w:abstractNum>
  <w:abstractNum w:abstractNumId="1">
    <w:nsid w:val="511D3B58"/>
    <w:multiLevelType w:val="singleLevel"/>
    <w:tmpl w:val="511D3B58"/>
    <w:lvl w:ilvl="0" w:tentative="0">
      <w:start w:val="2"/>
      <w:numFmt w:val="decimal"/>
      <w:suff w:val="space"/>
      <w:lvlText w:val="(%1)"/>
      <w:lvlJc w:val="left"/>
    </w:lvl>
  </w:abstractNum>
  <w:abstractNum w:abstractNumId="2">
    <w:nsid w:val="551440FA"/>
    <w:multiLevelType w:val="singleLevel"/>
    <w:tmpl w:val="551440FA"/>
    <w:lvl w:ilvl="0" w:tentative="0">
      <w:start w:val="2"/>
      <w:numFmt w:val="decimal"/>
      <w:suff w:val="nothing"/>
      <w:lvlText w:val="（%1）"/>
      <w:lvlJc w:val="left"/>
    </w:lvl>
  </w:abstractNum>
  <w:abstractNum w:abstractNumId="3">
    <w:nsid w:val="5E3DC41F"/>
    <w:multiLevelType w:val="singleLevel"/>
    <w:tmpl w:val="5E3DC41F"/>
    <w:lvl w:ilvl="0" w:tentative="0">
      <w:start w:val="14"/>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91652"/>
    <w:rsid w:val="000A2297"/>
    <w:rsid w:val="000D0124"/>
    <w:rsid w:val="000D31A9"/>
    <w:rsid w:val="000D51E0"/>
    <w:rsid w:val="000F1064"/>
    <w:rsid w:val="000F19FC"/>
    <w:rsid w:val="00116683"/>
    <w:rsid w:val="001467EC"/>
    <w:rsid w:val="00154AAC"/>
    <w:rsid w:val="001756B4"/>
    <w:rsid w:val="00184034"/>
    <w:rsid w:val="001A69B1"/>
    <w:rsid w:val="001C0E56"/>
    <w:rsid w:val="001E500B"/>
    <w:rsid w:val="001F31CE"/>
    <w:rsid w:val="001F64AD"/>
    <w:rsid w:val="001F720C"/>
    <w:rsid w:val="002053BE"/>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11CCD"/>
    <w:rsid w:val="00312AE1"/>
    <w:rsid w:val="00327376"/>
    <w:rsid w:val="00341ED6"/>
    <w:rsid w:val="0034696A"/>
    <w:rsid w:val="003535F8"/>
    <w:rsid w:val="003550AC"/>
    <w:rsid w:val="003563FD"/>
    <w:rsid w:val="00382D01"/>
    <w:rsid w:val="003833A4"/>
    <w:rsid w:val="00396429"/>
    <w:rsid w:val="00396DEE"/>
    <w:rsid w:val="003A2FD2"/>
    <w:rsid w:val="003A51C4"/>
    <w:rsid w:val="003B022D"/>
    <w:rsid w:val="003D670D"/>
    <w:rsid w:val="003D7E60"/>
    <w:rsid w:val="003E36A4"/>
    <w:rsid w:val="003F2C20"/>
    <w:rsid w:val="0040150C"/>
    <w:rsid w:val="0040274E"/>
    <w:rsid w:val="004110F2"/>
    <w:rsid w:val="00423C6D"/>
    <w:rsid w:val="004266DA"/>
    <w:rsid w:val="00427431"/>
    <w:rsid w:val="004313ED"/>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56215"/>
    <w:rsid w:val="006718B2"/>
    <w:rsid w:val="00675CC3"/>
    <w:rsid w:val="006768C1"/>
    <w:rsid w:val="00694131"/>
    <w:rsid w:val="006A1B37"/>
    <w:rsid w:val="006A4D4F"/>
    <w:rsid w:val="006A73E4"/>
    <w:rsid w:val="006A7A8F"/>
    <w:rsid w:val="006C72BC"/>
    <w:rsid w:val="006D58EC"/>
    <w:rsid w:val="006D6351"/>
    <w:rsid w:val="006E10CB"/>
    <w:rsid w:val="006E56E0"/>
    <w:rsid w:val="006F0A27"/>
    <w:rsid w:val="00701372"/>
    <w:rsid w:val="00705FF9"/>
    <w:rsid w:val="00712758"/>
    <w:rsid w:val="0072221F"/>
    <w:rsid w:val="00727DE7"/>
    <w:rsid w:val="00735312"/>
    <w:rsid w:val="00743A98"/>
    <w:rsid w:val="00752306"/>
    <w:rsid w:val="00754D1B"/>
    <w:rsid w:val="0076073D"/>
    <w:rsid w:val="00761733"/>
    <w:rsid w:val="007720C1"/>
    <w:rsid w:val="0077332A"/>
    <w:rsid w:val="00775CD2"/>
    <w:rsid w:val="00776058"/>
    <w:rsid w:val="007770DD"/>
    <w:rsid w:val="00780493"/>
    <w:rsid w:val="00784788"/>
    <w:rsid w:val="00790537"/>
    <w:rsid w:val="007959C2"/>
    <w:rsid w:val="007A07A7"/>
    <w:rsid w:val="007A2FE6"/>
    <w:rsid w:val="007B2E08"/>
    <w:rsid w:val="007D116B"/>
    <w:rsid w:val="007D3802"/>
    <w:rsid w:val="007D75C3"/>
    <w:rsid w:val="007E4B02"/>
    <w:rsid w:val="007E5501"/>
    <w:rsid w:val="007E790B"/>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B4AE1"/>
    <w:rsid w:val="008D5CB7"/>
    <w:rsid w:val="008E1482"/>
    <w:rsid w:val="008E1D7B"/>
    <w:rsid w:val="008E30FB"/>
    <w:rsid w:val="008F0B95"/>
    <w:rsid w:val="008F7CB4"/>
    <w:rsid w:val="00906222"/>
    <w:rsid w:val="009070D7"/>
    <w:rsid w:val="00914C32"/>
    <w:rsid w:val="00925CA5"/>
    <w:rsid w:val="00940AA8"/>
    <w:rsid w:val="00942D36"/>
    <w:rsid w:val="00952109"/>
    <w:rsid w:val="00957081"/>
    <w:rsid w:val="00970147"/>
    <w:rsid w:val="009777FB"/>
    <w:rsid w:val="0098087D"/>
    <w:rsid w:val="009B4907"/>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5603"/>
    <w:rsid w:val="00C579A4"/>
    <w:rsid w:val="00C613FB"/>
    <w:rsid w:val="00C6286E"/>
    <w:rsid w:val="00C64C19"/>
    <w:rsid w:val="00C66D37"/>
    <w:rsid w:val="00C71DDA"/>
    <w:rsid w:val="00C763AC"/>
    <w:rsid w:val="00C94652"/>
    <w:rsid w:val="00C9625E"/>
    <w:rsid w:val="00CA1F46"/>
    <w:rsid w:val="00CA5DEE"/>
    <w:rsid w:val="00CB7141"/>
    <w:rsid w:val="00CC57D5"/>
    <w:rsid w:val="00CD4CF7"/>
    <w:rsid w:val="00CF6C8C"/>
    <w:rsid w:val="00D02170"/>
    <w:rsid w:val="00D02320"/>
    <w:rsid w:val="00D02FD2"/>
    <w:rsid w:val="00D032A1"/>
    <w:rsid w:val="00D12B82"/>
    <w:rsid w:val="00D15007"/>
    <w:rsid w:val="00D169E3"/>
    <w:rsid w:val="00D22DDA"/>
    <w:rsid w:val="00D31AD7"/>
    <w:rsid w:val="00D415E4"/>
    <w:rsid w:val="00D46AA8"/>
    <w:rsid w:val="00D5688F"/>
    <w:rsid w:val="00D56F13"/>
    <w:rsid w:val="00D62393"/>
    <w:rsid w:val="00D71EB5"/>
    <w:rsid w:val="00D7446B"/>
    <w:rsid w:val="00D75EE6"/>
    <w:rsid w:val="00D81569"/>
    <w:rsid w:val="00D92D9F"/>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5E4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C50"/>
    <w:rsid w:val="00EE276B"/>
    <w:rsid w:val="00EE47F7"/>
    <w:rsid w:val="00EF2F34"/>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090B8D"/>
    <w:rsid w:val="01227B80"/>
    <w:rsid w:val="01255120"/>
    <w:rsid w:val="016A347B"/>
    <w:rsid w:val="01B110AA"/>
    <w:rsid w:val="01F36FCC"/>
    <w:rsid w:val="01FB40D3"/>
    <w:rsid w:val="022278B2"/>
    <w:rsid w:val="025A704C"/>
    <w:rsid w:val="027D0F8C"/>
    <w:rsid w:val="027F4D04"/>
    <w:rsid w:val="02837B03"/>
    <w:rsid w:val="02883D22"/>
    <w:rsid w:val="02CF266C"/>
    <w:rsid w:val="02EE1086"/>
    <w:rsid w:val="02FB6CDA"/>
    <w:rsid w:val="03057289"/>
    <w:rsid w:val="03231B33"/>
    <w:rsid w:val="032659DE"/>
    <w:rsid w:val="03F079D9"/>
    <w:rsid w:val="03FB660C"/>
    <w:rsid w:val="041B280B"/>
    <w:rsid w:val="044262F7"/>
    <w:rsid w:val="044E1D39"/>
    <w:rsid w:val="04610B65"/>
    <w:rsid w:val="04B8274F"/>
    <w:rsid w:val="04C335CE"/>
    <w:rsid w:val="052676B9"/>
    <w:rsid w:val="05300538"/>
    <w:rsid w:val="053E4A03"/>
    <w:rsid w:val="054933A7"/>
    <w:rsid w:val="05753047"/>
    <w:rsid w:val="059C656F"/>
    <w:rsid w:val="05A76A4C"/>
    <w:rsid w:val="05DF2F6E"/>
    <w:rsid w:val="05EC3CFE"/>
    <w:rsid w:val="066B5CCB"/>
    <w:rsid w:val="068E5516"/>
    <w:rsid w:val="06A66D03"/>
    <w:rsid w:val="06D43123"/>
    <w:rsid w:val="06D66EBD"/>
    <w:rsid w:val="070C4535"/>
    <w:rsid w:val="073E518E"/>
    <w:rsid w:val="077D2FDF"/>
    <w:rsid w:val="079B25E0"/>
    <w:rsid w:val="07BC2556"/>
    <w:rsid w:val="07C40E9D"/>
    <w:rsid w:val="07D77390"/>
    <w:rsid w:val="07E163D5"/>
    <w:rsid w:val="07F46FEF"/>
    <w:rsid w:val="08070A00"/>
    <w:rsid w:val="084B0776"/>
    <w:rsid w:val="08AD3BAB"/>
    <w:rsid w:val="08B64722"/>
    <w:rsid w:val="08CA0902"/>
    <w:rsid w:val="08CF4683"/>
    <w:rsid w:val="08D262A8"/>
    <w:rsid w:val="093D2F14"/>
    <w:rsid w:val="094D16B8"/>
    <w:rsid w:val="0962481E"/>
    <w:rsid w:val="097D7E05"/>
    <w:rsid w:val="097E3AE5"/>
    <w:rsid w:val="0994055C"/>
    <w:rsid w:val="0995137D"/>
    <w:rsid w:val="09CF2342"/>
    <w:rsid w:val="09DE4A06"/>
    <w:rsid w:val="09E6794E"/>
    <w:rsid w:val="09FE4D70"/>
    <w:rsid w:val="0A595E3B"/>
    <w:rsid w:val="0A5B632D"/>
    <w:rsid w:val="0A79472F"/>
    <w:rsid w:val="0A825C26"/>
    <w:rsid w:val="0AA03A6A"/>
    <w:rsid w:val="0AC27AB4"/>
    <w:rsid w:val="0AE03576"/>
    <w:rsid w:val="0B2428ED"/>
    <w:rsid w:val="0B6161A3"/>
    <w:rsid w:val="0B776EC0"/>
    <w:rsid w:val="0BA31874"/>
    <w:rsid w:val="0BCB720C"/>
    <w:rsid w:val="0C236700"/>
    <w:rsid w:val="0C291044"/>
    <w:rsid w:val="0C2A7A8F"/>
    <w:rsid w:val="0C2C7CAB"/>
    <w:rsid w:val="0C3C259B"/>
    <w:rsid w:val="0C403DDB"/>
    <w:rsid w:val="0C41302A"/>
    <w:rsid w:val="0C4F1BEB"/>
    <w:rsid w:val="0C782EF0"/>
    <w:rsid w:val="0D1129FD"/>
    <w:rsid w:val="0D183D8B"/>
    <w:rsid w:val="0D3F57BC"/>
    <w:rsid w:val="0D4C1C87"/>
    <w:rsid w:val="0D5D44B5"/>
    <w:rsid w:val="0D774142"/>
    <w:rsid w:val="0D774F56"/>
    <w:rsid w:val="0D9A669A"/>
    <w:rsid w:val="0D9D0734"/>
    <w:rsid w:val="0DC95E8B"/>
    <w:rsid w:val="0DE66142"/>
    <w:rsid w:val="0DE7680D"/>
    <w:rsid w:val="0DEB5944"/>
    <w:rsid w:val="0E010E09"/>
    <w:rsid w:val="0E39045D"/>
    <w:rsid w:val="0E5D0FE9"/>
    <w:rsid w:val="0E62296F"/>
    <w:rsid w:val="0E71409B"/>
    <w:rsid w:val="0ED20405"/>
    <w:rsid w:val="0EDA2FEF"/>
    <w:rsid w:val="0F15222C"/>
    <w:rsid w:val="0F18046C"/>
    <w:rsid w:val="0F475A3E"/>
    <w:rsid w:val="0F5B4403"/>
    <w:rsid w:val="0F7D306C"/>
    <w:rsid w:val="0F882BE7"/>
    <w:rsid w:val="0F8B1A2C"/>
    <w:rsid w:val="0FAE09D7"/>
    <w:rsid w:val="0FB57FB7"/>
    <w:rsid w:val="0FC65D20"/>
    <w:rsid w:val="0FD04DF1"/>
    <w:rsid w:val="100C5971"/>
    <w:rsid w:val="104A6951"/>
    <w:rsid w:val="10AF4A06"/>
    <w:rsid w:val="10C167E4"/>
    <w:rsid w:val="10C763EA"/>
    <w:rsid w:val="10FD1C16"/>
    <w:rsid w:val="11164A85"/>
    <w:rsid w:val="111D5E14"/>
    <w:rsid w:val="11271AB8"/>
    <w:rsid w:val="11984976"/>
    <w:rsid w:val="11A46535"/>
    <w:rsid w:val="11AC0F46"/>
    <w:rsid w:val="11CA48D8"/>
    <w:rsid w:val="11D706B9"/>
    <w:rsid w:val="11F33019"/>
    <w:rsid w:val="12107727"/>
    <w:rsid w:val="12117DB8"/>
    <w:rsid w:val="121C02BE"/>
    <w:rsid w:val="121C431D"/>
    <w:rsid w:val="12687563"/>
    <w:rsid w:val="12754004"/>
    <w:rsid w:val="128B2877"/>
    <w:rsid w:val="12975631"/>
    <w:rsid w:val="1299771C"/>
    <w:rsid w:val="12AE5163"/>
    <w:rsid w:val="12BE1716"/>
    <w:rsid w:val="12C16C73"/>
    <w:rsid w:val="12D06EB6"/>
    <w:rsid w:val="1347361C"/>
    <w:rsid w:val="13710699"/>
    <w:rsid w:val="137B5074"/>
    <w:rsid w:val="13901E58"/>
    <w:rsid w:val="13A445CA"/>
    <w:rsid w:val="13F3192F"/>
    <w:rsid w:val="140F5871"/>
    <w:rsid w:val="144A5C2E"/>
    <w:rsid w:val="144B713C"/>
    <w:rsid w:val="1466786F"/>
    <w:rsid w:val="14724AB6"/>
    <w:rsid w:val="14810A3E"/>
    <w:rsid w:val="149F41D0"/>
    <w:rsid w:val="14C55CE2"/>
    <w:rsid w:val="14CA0061"/>
    <w:rsid w:val="14FD06B7"/>
    <w:rsid w:val="151F68ED"/>
    <w:rsid w:val="15211C4B"/>
    <w:rsid w:val="15291F0A"/>
    <w:rsid w:val="15324B8E"/>
    <w:rsid w:val="157D650A"/>
    <w:rsid w:val="15866F2A"/>
    <w:rsid w:val="15A9411A"/>
    <w:rsid w:val="15B5567D"/>
    <w:rsid w:val="15EA6C7B"/>
    <w:rsid w:val="160A4F1B"/>
    <w:rsid w:val="16341CFD"/>
    <w:rsid w:val="16393D39"/>
    <w:rsid w:val="167744DB"/>
    <w:rsid w:val="1683496B"/>
    <w:rsid w:val="16886814"/>
    <w:rsid w:val="16C84A74"/>
    <w:rsid w:val="16D27BE2"/>
    <w:rsid w:val="16E01DBD"/>
    <w:rsid w:val="1700420E"/>
    <w:rsid w:val="171B0984"/>
    <w:rsid w:val="17261D73"/>
    <w:rsid w:val="174F7450"/>
    <w:rsid w:val="175F3493"/>
    <w:rsid w:val="17AF1790"/>
    <w:rsid w:val="17F35B20"/>
    <w:rsid w:val="181B72DB"/>
    <w:rsid w:val="184019AC"/>
    <w:rsid w:val="186662F2"/>
    <w:rsid w:val="18C106AC"/>
    <w:rsid w:val="18CE20EA"/>
    <w:rsid w:val="18CE7660"/>
    <w:rsid w:val="18F712F7"/>
    <w:rsid w:val="190E0811"/>
    <w:rsid w:val="1926420A"/>
    <w:rsid w:val="19287A4C"/>
    <w:rsid w:val="19422C35"/>
    <w:rsid w:val="19486114"/>
    <w:rsid w:val="196A2073"/>
    <w:rsid w:val="197A603E"/>
    <w:rsid w:val="19AC7DD1"/>
    <w:rsid w:val="19B25567"/>
    <w:rsid w:val="19FD67E3"/>
    <w:rsid w:val="1A02204B"/>
    <w:rsid w:val="1A07140F"/>
    <w:rsid w:val="1A154DA1"/>
    <w:rsid w:val="1A2056A9"/>
    <w:rsid w:val="1A4C59BC"/>
    <w:rsid w:val="1A9A04D5"/>
    <w:rsid w:val="1AAB623F"/>
    <w:rsid w:val="1B157B5C"/>
    <w:rsid w:val="1B2349D2"/>
    <w:rsid w:val="1B326960"/>
    <w:rsid w:val="1B373F76"/>
    <w:rsid w:val="1B7C2C5F"/>
    <w:rsid w:val="1BA55384"/>
    <w:rsid w:val="1C0E117B"/>
    <w:rsid w:val="1C784846"/>
    <w:rsid w:val="1C7C14FF"/>
    <w:rsid w:val="1C821221"/>
    <w:rsid w:val="1C881132"/>
    <w:rsid w:val="1CAB4C1C"/>
    <w:rsid w:val="1CB11952"/>
    <w:rsid w:val="1D2F75FB"/>
    <w:rsid w:val="1D506B65"/>
    <w:rsid w:val="1D550375"/>
    <w:rsid w:val="1D570900"/>
    <w:rsid w:val="1D61352C"/>
    <w:rsid w:val="1D666D95"/>
    <w:rsid w:val="1D6A233A"/>
    <w:rsid w:val="1D8D4321"/>
    <w:rsid w:val="1D976F4E"/>
    <w:rsid w:val="1DCA1E79"/>
    <w:rsid w:val="1DCB2DDC"/>
    <w:rsid w:val="1DE33CD0"/>
    <w:rsid w:val="1DFE701D"/>
    <w:rsid w:val="1E14059F"/>
    <w:rsid w:val="1E1B192D"/>
    <w:rsid w:val="1E205195"/>
    <w:rsid w:val="1E313FB3"/>
    <w:rsid w:val="1E5B7F7C"/>
    <w:rsid w:val="1E6F6EC6"/>
    <w:rsid w:val="1E8066E5"/>
    <w:rsid w:val="1E94348E"/>
    <w:rsid w:val="1EDE6ADB"/>
    <w:rsid w:val="1EF64B18"/>
    <w:rsid w:val="1F1162C7"/>
    <w:rsid w:val="1F157FEC"/>
    <w:rsid w:val="1F244811"/>
    <w:rsid w:val="1F3543D1"/>
    <w:rsid w:val="1F386FFD"/>
    <w:rsid w:val="1F552C1D"/>
    <w:rsid w:val="1F58358F"/>
    <w:rsid w:val="1F852AAF"/>
    <w:rsid w:val="1FE521F3"/>
    <w:rsid w:val="2000702C"/>
    <w:rsid w:val="20317AB3"/>
    <w:rsid w:val="20362A4E"/>
    <w:rsid w:val="206A094A"/>
    <w:rsid w:val="20BF0710"/>
    <w:rsid w:val="20CE2C87"/>
    <w:rsid w:val="20DD55C0"/>
    <w:rsid w:val="2149055F"/>
    <w:rsid w:val="214C004F"/>
    <w:rsid w:val="215C0EAE"/>
    <w:rsid w:val="21670C2F"/>
    <w:rsid w:val="2178128D"/>
    <w:rsid w:val="21823A71"/>
    <w:rsid w:val="21F36C22"/>
    <w:rsid w:val="21FC7CC7"/>
    <w:rsid w:val="222114DC"/>
    <w:rsid w:val="22482F0D"/>
    <w:rsid w:val="224C4B12"/>
    <w:rsid w:val="224D3AFB"/>
    <w:rsid w:val="227B299A"/>
    <w:rsid w:val="22921111"/>
    <w:rsid w:val="22934188"/>
    <w:rsid w:val="22A46395"/>
    <w:rsid w:val="22B32A8D"/>
    <w:rsid w:val="22B8599C"/>
    <w:rsid w:val="22C6199A"/>
    <w:rsid w:val="22C92FCC"/>
    <w:rsid w:val="22CC31F6"/>
    <w:rsid w:val="22D30A28"/>
    <w:rsid w:val="22F97D63"/>
    <w:rsid w:val="234C277D"/>
    <w:rsid w:val="238E2BA1"/>
    <w:rsid w:val="2393640A"/>
    <w:rsid w:val="23A71402"/>
    <w:rsid w:val="23AE66CF"/>
    <w:rsid w:val="23C10881"/>
    <w:rsid w:val="23DE34BF"/>
    <w:rsid w:val="23F80A26"/>
    <w:rsid w:val="23FA0237"/>
    <w:rsid w:val="24084702"/>
    <w:rsid w:val="24305BD0"/>
    <w:rsid w:val="244F6D49"/>
    <w:rsid w:val="246456B0"/>
    <w:rsid w:val="2466617A"/>
    <w:rsid w:val="247022A7"/>
    <w:rsid w:val="249C309C"/>
    <w:rsid w:val="24A95308"/>
    <w:rsid w:val="24B672B1"/>
    <w:rsid w:val="24E862E1"/>
    <w:rsid w:val="252A7D7C"/>
    <w:rsid w:val="253C1F85"/>
    <w:rsid w:val="254479BB"/>
    <w:rsid w:val="2556149D"/>
    <w:rsid w:val="25735D92"/>
    <w:rsid w:val="25764776"/>
    <w:rsid w:val="257A620F"/>
    <w:rsid w:val="257E4652"/>
    <w:rsid w:val="25D564AB"/>
    <w:rsid w:val="25E20F82"/>
    <w:rsid w:val="25E47AF0"/>
    <w:rsid w:val="25E71733"/>
    <w:rsid w:val="26040EF9"/>
    <w:rsid w:val="262449BF"/>
    <w:rsid w:val="2634595C"/>
    <w:rsid w:val="26346C43"/>
    <w:rsid w:val="2669103C"/>
    <w:rsid w:val="26763BCF"/>
    <w:rsid w:val="269F0C21"/>
    <w:rsid w:val="26CB02AF"/>
    <w:rsid w:val="27007912"/>
    <w:rsid w:val="270A69E3"/>
    <w:rsid w:val="27165388"/>
    <w:rsid w:val="271F3D3B"/>
    <w:rsid w:val="2723736A"/>
    <w:rsid w:val="272730F1"/>
    <w:rsid w:val="27DD5EA5"/>
    <w:rsid w:val="2828082C"/>
    <w:rsid w:val="282A7965"/>
    <w:rsid w:val="28727A72"/>
    <w:rsid w:val="28901037"/>
    <w:rsid w:val="289651BD"/>
    <w:rsid w:val="28AA5A71"/>
    <w:rsid w:val="28B577B6"/>
    <w:rsid w:val="28D81409"/>
    <w:rsid w:val="28E051EA"/>
    <w:rsid w:val="28F107FE"/>
    <w:rsid w:val="2907142C"/>
    <w:rsid w:val="295959FF"/>
    <w:rsid w:val="297F5EFD"/>
    <w:rsid w:val="29802F8C"/>
    <w:rsid w:val="29A13729"/>
    <w:rsid w:val="29A50C45"/>
    <w:rsid w:val="29BD1AEA"/>
    <w:rsid w:val="2A043BBD"/>
    <w:rsid w:val="2A047719"/>
    <w:rsid w:val="2A0E0598"/>
    <w:rsid w:val="2A44045E"/>
    <w:rsid w:val="2A486993"/>
    <w:rsid w:val="2A5F4D16"/>
    <w:rsid w:val="2A9071FF"/>
    <w:rsid w:val="2A9133E6"/>
    <w:rsid w:val="2AAB5086"/>
    <w:rsid w:val="2AC80521"/>
    <w:rsid w:val="2AC8468D"/>
    <w:rsid w:val="2AD215C5"/>
    <w:rsid w:val="2AD43590"/>
    <w:rsid w:val="2AEE7399"/>
    <w:rsid w:val="2AF21C68"/>
    <w:rsid w:val="2B00796F"/>
    <w:rsid w:val="2B031B1F"/>
    <w:rsid w:val="2B03342D"/>
    <w:rsid w:val="2B585F6F"/>
    <w:rsid w:val="2B591CE7"/>
    <w:rsid w:val="2B772B27"/>
    <w:rsid w:val="2B8723B0"/>
    <w:rsid w:val="2B8C5BD2"/>
    <w:rsid w:val="2BB72C49"/>
    <w:rsid w:val="2BC2163A"/>
    <w:rsid w:val="2BE041B6"/>
    <w:rsid w:val="2BEE68D3"/>
    <w:rsid w:val="2C22032B"/>
    <w:rsid w:val="2C5B55EB"/>
    <w:rsid w:val="2C773DF0"/>
    <w:rsid w:val="2C7C3EDF"/>
    <w:rsid w:val="2C86549C"/>
    <w:rsid w:val="2C8C5C50"/>
    <w:rsid w:val="2CA647B0"/>
    <w:rsid w:val="2CAD6FBD"/>
    <w:rsid w:val="2CAE4D81"/>
    <w:rsid w:val="2CEA52EC"/>
    <w:rsid w:val="2D12214D"/>
    <w:rsid w:val="2D2D342B"/>
    <w:rsid w:val="2D4C1B03"/>
    <w:rsid w:val="2D68635B"/>
    <w:rsid w:val="2D7E3C87"/>
    <w:rsid w:val="2D9D235F"/>
    <w:rsid w:val="2E0F48DF"/>
    <w:rsid w:val="2E2465DC"/>
    <w:rsid w:val="2E355A57"/>
    <w:rsid w:val="2E3F3416"/>
    <w:rsid w:val="2E6C3ADF"/>
    <w:rsid w:val="2E7A61FC"/>
    <w:rsid w:val="2E7C01C6"/>
    <w:rsid w:val="2E890E4A"/>
    <w:rsid w:val="2E9C43C4"/>
    <w:rsid w:val="2ED246EE"/>
    <w:rsid w:val="2EDA313F"/>
    <w:rsid w:val="2F300FB0"/>
    <w:rsid w:val="2F3C7955"/>
    <w:rsid w:val="2F634EE2"/>
    <w:rsid w:val="2F8B61E7"/>
    <w:rsid w:val="2FDE4077"/>
    <w:rsid w:val="2FED0C50"/>
    <w:rsid w:val="2FF81ACE"/>
    <w:rsid w:val="30032221"/>
    <w:rsid w:val="300466C5"/>
    <w:rsid w:val="300E150D"/>
    <w:rsid w:val="300E30A0"/>
    <w:rsid w:val="30110DE2"/>
    <w:rsid w:val="30180806"/>
    <w:rsid w:val="3034062C"/>
    <w:rsid w:val="306F163B"/>
    <w:rsid w:val="30E107B4"/>
    <w:rsid w:val="31175F84"/>
    <w:rsid w:val="312E1C28"/>
    <w:rsid w:val="31556AAC"/>
    <w:rsid w:val="315A2315"/>
    <w:rsid w:val="31790FDA"/>
    <w:rsid w:val="31807FCD"/>
    <w:rsid w:val="319D3AE7"/>
    <w:rsid w:val="31AF440F"/>
    <w:rsid w:val="31B400AF"/>
    <w:rsid w:val="31B8508B"/>
    <w:rsid w:val="31BA4166"/>
    <w:rsid w:val="31CD0D39"/>
    <w:rsid w:val="31D67BED"/>
    <w:rsid w:val="31E130B4"/>
    <w:rsid w:val="31FE0EF2"/>
    <w:rsid w:val="32425283"/>
    <w:rsid w:val="32666042"/>
    <w:rsid w:val="326E42CA"/>
    <w:rsid w:val="32773D06"/>
    <w:rsid w:val="327D275F"/>
    <w:rsid w:val="32B10AC5"/>
    <w:rsid w:val="32E14A9C"/>
    <w:rsid w:val="32E225C2"/>
    <w:rsid w:val="330C5891"/>
    <w:rsid w:val="33311883"/>
    <w:rsid w:val="334119DE"/>
    <w:rsid w:val="33712D71"/>
    <w:rsid w:val="33801D40"/>
    <w:rsid w:val="338F3C47"/>
    <w:rsid w:val="33A71511"/>
    <w:rsid w:val="33F829BD"/>
    <w:rsid w:val="34480949"/>
    <w:rsid w:val="344A041F"/>
    <w:rsid w:val="34884182"/>
    <w:rsid w:val="34930017"/>
    <w:rsid w:val="34E24A8D"/>
    <w:rsid w:val="35026026"/>
    <w:rsid w:val="350667E1"/>
    <w:rsid w:val="35241A74"/>
    <w:rsid w:val="35335357"/>
    <w:rsid w:val="353C06AF"/>
    <w:rsid w:val="355F7EFA"/>
    <w:rsid w:val="35753BC1"/>
    <w:rsid w:val="35971C6B"/>
    <w:rsid w:val="35B20971"/>
    <w:rsid w:val="35E1035F"/>
    <w:rsid w:val="35EA3F85"/>
    <w:rsid w:val="35F7332A"/>
    <w:rsid w:val="35F965A0"/>
    <w:rsid w:val="361E7DB5"/>
    <w:rsid w:val="362A1B67"/>
    <w:rsid w:val="364C4922"/>
    <w:rsid w:val="36A90C81"/>
    <w:rsid w:val="36B6623F"/>
    <w:rsid w:val="36C175C6"/>
    <w:rsid w:val="371600E9"/>
    <w:rsid w:val="372B50A7"/>
    <w:rsid w:val="3736112E"/>
    <w:rsid w:val="37A10C9D"/>
    <w:rsid w:val="37F039D3"/>
    <w:rsid w:val="380B55F3"/>
    <w:rsid w:val="38251764"/>
    <w:rsid w:val="382A45EF"/>
    <w:rsid w:val="388F4F9A"/>
    <w:rsid w:val="38991974"/>
    <w:rsid w:val="38A65E3F"/>
    <w:rsid w:val="38BE22E2"/>
    <w:rsid w:val="38D15CEB"/>
    <w:rsid w:val="3914724D"/>
    <w:rsid w:val="39251DC5"/>
    <w:rsid w:val="39424D13"/>
    <w:rsid w:val="395B4E7C"/>
    <w:rsid w:val="397F6DBC"/>
    <w:rsid w:val="39D4668B"/>
    <w:rsid w:val="39D52E79"/>
    <w:rsid w:val="3A485400"/>
    <w:rsid w:val="3A4A561C"/>
    <w:rsid w:val="3A5913BB"/>
    <w:rsid w:val="3A601248"/>
    <w:rsid w:val="3A762824"/>
    <w:rsid w:val="3A95616C"/>
    <w:rsid w:val="3AF31810"/>
    <w:rsid w:val="3AF923D7"/>
    <w:rsid w:val="3AFD55BB"/>
    <w:rsid w:val="3B023801"/>
    <w:rsid w:val="3B084C2D"/>
    <w:rsid w:val="3B20012B"/>
    <w:rsid w:val="3B4F1D9F"/>
    <w:rsid w:val="3B6348DA"/>
    <w:rsid w:val="3BBA7C64"/>
    <w:rsid w:val="3BC13445"/>
    <w:rsid w:val="3BD72EE0"/>
    <w:rsid w:val="3BDC6748"/>
    <w:rsid w:val="3C3F2833"/>
    <w:rsid w:val="3C7076A7"/>
    <w:rsid w:val="3C942B7F"/>
    <w:rsid w:val="3CD76F0F"/>
    <w:rsid w:val="3D000214"/>
    <w:rsid w:val="3D485717"/>
    <w:rsid w:val="3D624A2B"/>
    <w:rsid w:val="3D7117EB"/>
    <w:rsid w:val="3D750231"/>
    <w:rsid w:val="3DF00DF6"/>
    <w:rsid w:val="3E032ABD"/>
    <w:rsid w:val="3E1A6821"/>
    <w:rsid w:val="3E2B7513"/>
    <w:rsid w:val="3E3D2DA2"/>
    <w:rsid w:val="3E5F0F6A"/>
    <w:rsid w:val="3E642A25"/>
    <w:rsid w:val="3E6A0E6E"/>
    <w:rsid w:val="3EEB275F"/>
    <w:rsid w:val="3EFC2A5E"/>
    <w:rsid w:val="3F125FDD"/>
    <w:rsid w:val="3F3C78B5"/>
    <w:rsid w:val="3F582DB4"/>
    <w:rsid w:val="3F5C79A7"/>
    <w:rsid w:val="3F7D5B4C"/>
    <w:rsid w:val="3FC574F3"/>
    <w:rsid w:val="3FFE510E"/>
    <w:rsid w:val="4010515C"/>
    <w:rsid w:val="401907F3"/>
    <w:rsid w:val="401E25EE"/>
    <w:rsid w:val="40416B7A"/>
    <w:rsid w:val="40503261"/>
    <w:rsid w:val="408D1DBF"/>
    <w:rsid w:val="4093153B"/>
    <w:rsid w:val="40970E8F"/>
    <w:rsid w:val="410B7187"/>
    <w:rsid w:val="414A5F02"/>
    <w:rsid w:val="41931657"/>
    <w:rsid w:val="4197500C"/>
    <w:rsid w:val="41DD3D70"/>
    <w:rsid w:val="41EF4A6B"/>
    <w:rsid w:val="420460B1"/>
    <w:rsid w:val="421B4715"/>
    <w:rsid w:val="42201E72"/>
    <w:rsid w:val="42332E3A"/>
    <w:rsid w:val="42435B2C"/>
    <w:rsid w:val="42925DB2"/>
    <w:rsid w:val="42980EEF"/>
    <w:rsid w:val="42985594"/>
    <w:rsid w:val="42AD6748"/>
    <w:rsid w:val="42D27F5D"/>
    <w:rsid w:val="42F02AD9"/>
    <w:rsid w:val="42FA5706"/>
    <w:rsid w:val="436C6603"/>
    <w:rsid w:val="43B4601F"/>
    <w:rsid w:val="43C755E8"/>
    <w:rsid w:val="43E97E7C"/>
    <w:rsid w:val="44242A3A"/>
    <w:rsid w:val="443133A9"/>
    <w:rsid w:val="44406DAA"/>
    <w:rsid w:val="44DB21F3"/>
    <w:rsid w:val="450A60D4"/>
    <w:rsid w:val="450F36EA"/>
    <w:rsid w:val="45123BD8"/>
    <w:rsid w:val="45207905"/>
    <w:rsid w:val="453E5BDD"/>
    <w:rsid w:val="453F2418"/>
    <w:rsid w:val="4581664C"/>
    <w:rsid w:val="45837C34"/>
    <w:rsid w:val="458C7E36"/>
    <w:rsid w:val="459D4C65"/>
    <w:rsid w:val="45AA2AAB"/>
    <w:rsid w:val="45C344D5"/>
    <w:rsid w:val="460D0F18"/>
    <w:rsid w:val="46284338"/>
    <w:rsid w:val="462F0DEF"/>
    <w:rsid w:val="467852BF"/>
    <w:rsid w:val="469F0A9E"/>
    <w:rsid w:val="46A56BA1"/>
    <w:rsid w:val="47002980"/>
    <w:rsid w:val="47262F6D"/>
    <w:rsid w:val="476D1B91"/>
    <w:rsid w:val="478F28C0"/>
    <w:rsid w:val="47941C85"/>
    <w:rsid w:val="47B40579"/>
    <w:rsid w:val="47DB3D58"/>
    <w:rsid w:val="48020765"/>
    <w:rsid w:val="488D44AE"/>
    <w:rsid w:val="48914416"/>
    <w:rsid w:val="48AA5526"/>
    <w:rsid w:val="48E36096"/>
    <w:rsid w:val="490177EE"/>
    <w:rsid w:val="49170DBF"/>
    <w:rsid w:val="493642ED"/>
    <w:rsid w:val="49463453"/>
    <w:rsid w:val="494E2307"/>
    <w:rsid w:val="49564E45"/>
    <w:rsid w:val="49746212"/>
    <w:rsid w:val="49940662"/>
    <w:rsid w:val="49BE123B"/>
    <w:rsid w:val="49EC540C"/>
    <w:rsid w:val="49F654D9"/>
    <w:rsid w:val="4A1B1292"/>
    <w:rsid w:val="4A5A33C8"/>
    <w:rsid w:val="4AA5064D"/>
    <w:rsid w:val="4AAA5C63"/>
    <w:rsid w:val="4AB417BD"/>
    <w:rsid w:val="4ADD4937"/>
    <w:rsid w:val="4AEC627C"/>
    <w:rsid w:val="4B045373"/>
    <w:rsid w:val="4B1E616B"/>
    <w:rsid w:val="4B241572"/>
    <w:rsid w:val="4B38501D"/>
    <w:rsid w:val="4B3E2818"/>
    <w:rsid w:val="4B5D7EA8"/>
    <w:rsid w:val="4B7A193D"/>
    <w:rsid w:val="4B7C23F1"/>
    <w:rsid w:val="4B976928"/>
    <w:rsid w:val="4BAF2DEC"/>
    <w:rsid w:val="4BB050FB"/>
    <w:rsid w:val="4BB70638"/>
    <w:rsid w:val="4BF278C5"/>
    <w:rsid w:val="4C1D4C9C"/>
    <w:rsid w:val="4C2E4820"/>
    <w:rsid w:val="4C371778"/>
    <w:rsid w:val="4C72455F"/>
    <w:rsid w:val="4C7F267A"/>
    <w:rsid w:val="4C894D6F"/>
    <w:rsid w:val="4C96179F"/>
    <w:rsid w:val="4C9B3AB5"/>
    <w:rsid w:val="4C9E7102"/>
    <w:rsid w:val="4CBD4F68"/>
    <w:rsid w:val="4CD34FFD"/>
    <w:rsid w:val="4D0F5E59"/>
    <w:rsid w:val="4D340184"/>
    <w:rsid w:val="4D3C6078"/>
    <w:rsid w:val="4D60180E"/>
    <w:rsid w:val="4D6F79FF"/>
    <w:rsid w:val="4DA129EE"/>
    <w:rsid w:val="4DD0587C"/>
    <w:rsid w:val="4DE65204"/>
    <w:rsid w:val="4DF80E20"/>
    <w:rsid w:val="4E0256F8"/>
    <w:rsid w:val="4E044182"/>
    <w:rsid w:val="4E6846F8"/>
    <w:rsid w:val="4EA215B1"/>
    <w:rsid w:val="4EAA6232"/>
    <w:rsid w:val="4EE11CA2"/>
    <w:rsid w:val="4F126A45"/>
    <w:rsid w:val="4F165675"/>
    <w:rsid w:val="4F22402A"/>
    <w:rsid w:val="4F5902F9"/>
    <w:rsid w:val="4F9C2DEA"/>
    <w:rsid w:val="4FB31116"/>
    <w:rsid w:val="4FC450D1"/>
    <w:rsid w:val="4FCA2490"/>
    <w:rsid w:val="4FF20B5F"/>
    <w:rsid w:val="50081462"/>
    <w:rsid w:val="50396D0A"/>
    <w:rsid w:val="507A08A8"/>
    <w:rsid w:val="509E4901"/>
    <w:rsid w:val="50A15412"/>
    <w:rsid w:val="50B12FCF"/>
    <w:rsid w:val="50C07DA5"/>
    <w:rsid w:val="50C730CB"/>
    <w:rsid w:val="50D26A4E"/>
    <w:rsid w:val="51022355"/>
    <w:rsid w:val="51361FFF"/>
    <w:rsid w:val="5156194F"/>
    <w:rsid w:val="51630116"/>
    <w:rsid w:val="517B5C63"/>
    <w:rsid w:val="51DC2BA6"/>
    <w:rsid w:val="520378E4"/>
    <w:rsid w:val="521C0134"/>
    <w:rsid w:val="5253273C"/>
    <w:rsid w:val="52844092"/>
    <w:rsid w:val="52C10884"/>
    <w:rsid w:val="52D15A59"/>
    <w:rsid w:val="52E31D12"/>
    <w:rsid w:val="531A3230"/>
    <w:rsid w:val="5334431C"/>
    <w:rsid w:val="53373E0C"/>
    <w:rsid w:val="53446C55"/>
    <w:rsid w:val="53680F3C"/>
    <w:rsid w:val="536C1D08"/>
    <w:rsid w:val="5399227B"/>
    <w:rsid w:val="539F032F"/>
    <w:rsid w:val="53B11E10"/>
    <w:rsid w:val="53BF62DB"/>
    <w:rsid w:val="53CB7B14"/>
    <w:rsid w:val="53CE29C2"/>
    <w:rsid w:val="53D8114B"/>
    <w:rsid w:val="53F9144F"/>
    <w:rsid w:val="53FF492A"/>
    <w:rsid w:val="540957A8"/>
    <w:rsid w:val="54113C3E"/>
    <w:rsid w:val="54183C3E"/>
    <w:rsid w:val="541B5F0D"/>
    <w:rsid w:val="543F741C"/>
    <w:rsid w:val="54452097"/>
    <w:rsid w:val="54762769"/>
    <w:rsid w:val="5486504B"/>
    <w:rsid w:val="54A56C35"/>
    <w:rsid w:val="54BB2F47"/>
    <w:rsid w:val="54C8174B"/>
    <w:rsid w:val="54F14BBA"/>
    <w:rsid w:val="55050666"/>
    <w:rsid w:val="550D3076"/>
    <w:rsid w:val="55174A1E"/>
    <w:rsid w:val="552D346E"/>
    <w:rsid w:val="554051FA"/>
    <w:rsid w:val="5553717F"/>
    <w:rsid w:val="5567079D"/>
    <w:rsid w:val="556B6251"/>
    <w:rsid w:val="55741FDF"/>
    <w:rsid w:val="5583536A"/>
    <w:rsid w:val="55915A56"/>
    <w:rsid w:val="55A01340"/>
    <w:rsid w:val="55DF418D"/>
    <w:rsid w:val="56083D5B"/>
    <w:rsid w:val="562E599A"/>
    <w:rsid w:val="56356D29"/>
    <w:rsid w:val="56B27079"/>
    <w:rsid w:val="56CB571F"/>
    <w:rsid w:val="56E60023"/>
    <w:rsid w:val="571B777D"/>
    <w:rsid w:val="57560D05"/>
    <w:rsid w:val="57640FA0"/>
    <w:rsid w:val="57664CC0"/>
    <w:rsid w:val="57921934"/>
    <w:rsid w:val="57A66520"/>
    <w:rsid w:val="57BE68AA"/>
    <w:rsid w:val="583E357E"/>
    <w:rsid w:val="58A65CBC"/>
    <w:rsid w:val="58C24114"/>
    <w:rsid w:val="58C24893"/>
    <w:rsid w:val="59376914"/>
    <w:rsid w:val="593C100D"/>
    <w:rsid w:val="593F3A1A"/>
    <w:rsid w:val="594B0611"/>
    <w:rsid w:val="5952374E"/>
    <w:rsid w:val="595E20F3"/>
    <w:rsid w:val="59B9557B"/>
    <w:rsid w:val="5A074538"/>
    <w:rsid w:val="5A1B5605"/>
    <w:rsid w:val="5AA719E3"/>
    <w:rsid w:val="5AA955EF"/>
    <w:rsid w:val="5ADA7E9F"/>
    <w:rsid w:val="5B0B44FC"/>
    <w:rsid w:val="5B2347E5"/>
    <w:rsid w:val="5B3E042E"/>
    <w:rsid w:val="5B5F72E5"/>
    <w:rsid w:val="5B871DD5"/>
    <w:rsid w:val="5B922527"/>
    <w:rsid w:val="5BD70E12"/>
    <w:rsid w:val="5BF008A0"/>
    <w:rsid w:val="5C204225"/>
    <w:rsid w:val="5C3655A9"/>
    <w:rsid w:val="5C3929A3"/>
    <w:rsid w:val="5C6304E0"/>
    <w:rsid w:val="5C910A31"/>
    <w:rsid w:val="5CA73351"/>
    <w:rsid w:val="5CBF48D8"/>
    <w:rsid w:val="5CC26737"/>
    <w:rsid w:val="5D1551BE"/>
    <w:rsid w:val="5D1A7C60"/>
    <w:rsid w:val="5D600B2F"/>
    <w:rsid w:val="5D6F0D72"/>
    <w:rsid w:val="5D787D8E"/>
    <w:rsid w:val="5D8D5264"/>
    <w:rsid w:val="5E03770C"/>
    <w:rsid w:val="5E7303EE"/>
    <w:rsid w:val="5E9228D4"/>
    <w:rsid w:val="5EB839EA"/>
    <w:rsid w:val="5ED115B9"/>
    <w:rsid w:val="5F0279C4"/>
    <w:rsid w:val="5F1A4D0E"/>
    <w:rsid w:val="5F313E05"/>
    <w:rsid w:val="5F367B26"/>
    <w:rsid w:val="5F4D6E91"/>
    <w:rsid w:val="5F6661A5"/>
    <w:rsid w:val="5FA64E91"/>
    <w:rsid w:val="5FB62BC7"/>
    <w:rsid w:val="5FBF1411"/>
    <w:rsid w:val="5FC66C44"/>
    <w:rsid w:val="5FD17AC2"/>
    <w:rsid w:val="5FF217E7"/>
    <w:rsid w:val="602C46E8"/>
    <w:rsid w:val="60367925"/>
    <w:rsid w:val="603E2C7E"/>
    <w:rsid w:val="604324C2"/>
    <w:rsid w:val="605F7014"/>
    <w:rsid w:val="60681B1C"/>
    <w:rsid w:val="60934D78"/>
    <w:rsid w:val="60AC10A4"/>
    <w:rsid w:val="60D45F50"/>
    <w:rsid w:val="60FB3360"/>
    <w:rsid w:val="610E1DA1"/>
    <w:rsid w:val="612861BC"/>
    <w:rsid w:val="614A3380"/>
    <w:rsid w:val="61683FF2"/>
    <w:rsid w:val="616C52DB"/>
    <w:rsid w:val="618943CD"/>
    <w:rsid w:val="619E1C26"/>
    <w:rsid w:val="61B82265"/>
    <w:rsid w:val="61CB6793"/>
    <w:rsid w:val="61E23389"/>
    <w:rsid w:val="61EF2482"/>
    <w:rsid w:val="61EF4117"/>
    <w:rsid w:val="61EF54AA"/>
    <w:rsid w:val="61FE4473"/>
    <w:rsid w:val="620677CB"/>
    <w:rsid w:val="621D6D4D"/>
    <w:rsid w:val="622639C9"/>
    <w:rsid w:val="62353789"/>
    <w:rsid w:val="62562501"/>
    <w:rsid w:val="62602AAB"/>
    <w:rsid w:val="628E2720"/>
    <w:rsid w:val="62CE02E9"/>
    <w:rsid w:val="62D058DC"/>
    <w:rsid w:val="62DB2A06"/>
    <w:rsid w:val="62ED70EE"/>
    <w:rsid w:val="62F95F66"/>
    <w:rsid w:val="63133F4E"/>
    <w:rsid w:val="631D301E"/>
    <w:rsid w:val="633B5253"/>
    <w:rsid w:val="63650337"/>
    <w:rsid w:val="636D46E3"/>
    <w:rsid w:val="638C4074"/>
    <w:rsid w:val="63A728E8"/>
    <w:rsid w:val="640502D6"/>
    <w:rsid w:val="640B731B"/>
    <w:rsid w:val="642F3009"/>
    <w:rsid w:val="644840CB"/>
    <w:rsid w:val="64813139"/>
    <w:rsid w:val="649015CE"/>
    <w:rsid w:val="64C5571C"/>
    <w:rsid w:val="64FE29DC"/>
    <w:rsid w:val="650325A3"/>
    <w:rsid w:val="65066F2E"/>
    <w:rsid w:val="656B2FE5"/>
    <w:rsid w:val="659C2113"/>
    <w:rsid w:val="65A215B9"/>
    <w:rsid w:val="65C81A4F"/>
    <w:rsid w:val="65DF45BB"/>
    <w:rsid w:val="661A3845"/>
    <w:rsid w:val="662621EA"/>
    <w:rsid w:val="66575D7D"/>
    <w:rsid w:val="665A00E6"/>
    <w:rsid w:val="669F0930"/>
    <w:rsid w:val="66AB50FE"/>
    <w:rsid w:val="6732696D"/>
    <w:rsid w:val="67633AB0"/>
    <w:rsid w:val="6787315C"/>
    <w:rsid w:val="678C2521"/>
    <w:rsid w:val="679933E7"/>
    <w:rsid w:val="67AB0BF9"/>
    <w:rsid w:val="67F7371C"/>
    <w:rsid w:val="680D3662"/>
    <w:rsid w:val="685E5CDD"/>
    <w:rsid w:val="6870599E"/>
    <w:rsid w:val="68706417"/>
    <w:rsid w:val="689005C2"/>
    <w:rsid w:val="68A11FFC"/>
    <w:rsid w:val="68AC6398"/>
    <w:rsid w:val="68B61D88"/>
    <w:rsid w:val="68B65AF9"/>
    <w:rsid w:val="68EF55BF"/>
    <w:rsid w:val="68F23CD8"/>
    <w:rsid w:val="68FC0779"/>
    <w:rsid w:val="68FD6917"/>
    <w:rsid w:val="690D143F"/>
    <w:rsid w:val="691A5495"/>
    <w:rsid w:val="69246AA9"/>
    <w:rsid w:val="69261E17"/>
    <w:rsid w:val="6954706E"/>
    <w:rsid w:val="69643755"/>
    <w:rsid w:val="698E560F"/>
    <w:rsid w:val="69922853"/>
    <w:rsid w:val="69DC05B3"/>
    <w:rsid w:val="6A0E546F"/>
    <w:rsid w:val="6A244992"/>
    <w:rsid w:val="6A3D1BFD"/>
    <w:rsid w:val="6A5070DE"/>
    <w:rsid w:val="6A6B0B13"/>
    <w:rsid w:val="6AB97AD1"/>
    <w:rsid w:val="6ADC77CB"/>
    <w:rsid w:val="6AF162E4"/>
    <w:rsid w:val="6B21687C"/>
    <w:rsid w:val="6B700A62"/>
    <w:rsid w:val="6B87197D"/>
    <w:rsid w:val="6BB40298"/>
    <w:rsid w:val="6BCB1861"/>
    <w:rsid w:val="6BD46244"/>
    <w:rsid w:val="6C0C3C30"/>
    <w:rsid w:val="6C1A00FB"/>
    <w:rsid w:val="6C1E0459"/>
    <w:rsid w:val="6C4A6222"/>
    <w:rsid w:val="6C5B1825"/>
    <w:rsid w:val="6C9C4FB4"/>
    <w:rsid w:val="6CC25503"/>
    <w:rsid w:val="6CCD33BF"/>
    <w:rsid w:val="6CE60925"/>
    <w:rsid w:val="6CFA617E"/>
    <w:rsid w:val="6D1014FE"/>
    <w:rsid w:val="6D1A60D0"/>
    <w:rsid w:val="6D3A657B"/>
    <w:rsid w:val="6D3A78E6"/>
    <w:rsid w:val="6D3E250F"/>
    <w:rsid w:val="6D505D9E"/>
    <w:rsid w:val="6D593487"/>
    <w:rsid w:val="6D9D5488"/>
    <w:rsid w:val="6D9E55C4"/>
    <w:rsid w:val="6DC36570"/>
    <w:rsid w:val="6DE54739"/>
    <w:rsid w:val="6DE85BCB"/>
    <w:rsid w:val="6DFA6436"/>
    <w:rsid w:val="6DFB21AE"/>
    <w:rsid w:val="6E1D791F"/>
    <w:rsid w:val="6E2E74DD"/>
    <w:rsid w:val="6E4A0A40"/>
    <w:rsid w:val="6E6876E0"/>
    <w:rsid w:val="6E6B2E90"/>
    <w:rsid w:val="6E6D458A"/>
    <w:rsid w:val="6E71421E"/>
    <w:rsid w:val="6E937F29"/>
    <w:rsid w:val="6EC407F2"/>
    <w:rsid w:val="6EF679C6"/>
    <w:rsid w:val="6F003164"/>
    <w:rsid w:val="6F03131A"/>
    <w:rsid w:val="6F046E40"/>
    <w:rsid w:val="6F165703"/>
    <w:rsid w:val="6F173018"/>
    <w:rsid w:val="6F255735"/>
    <w:rsid w:val="6F525B32"/>
    <w:rsid w:val="6F63625D"/>
    <w:rsid w:val="6F683873"/>
    <w:rsid w:val="6FCA12D5"/>
    <w:rsid w:val="6FCA71E0"/>
    <w:rsid w:val="6FFA10C7"/>
    <w:rsid w:val="6FFB6495"/>
    <w:rsid w:val="70117A67"/>
    <w:rsid w:val="704C075F"/>
    <w:rsid w:val="706933FF"/>
    <w:rsid w:val="70765B1C"/>
    <w:rsid w:val="708E1B55"/>
    <w:rsid w:val="70C73094"/>
    <w:rsid w:val="70D016D0"/>
    <w:rsid w:val="71031AA6"/>
    <w:rsid w:val="71043F7C"/>
    <w:rsid w:val="711B176D"/>
    <w:rsid w:val="71566079"/>
    <w:rsid w:val="717D3CD5"/>
    <w:rsid w:val="71926986"/>
    <w:rsid w:val="71931673"/>
    <w:rsid w:val="71931C0B"/>
    <w:rsid w:val="719E532A"/>
    <w:rsid w:val="71A6519E"/>
    <w:rsid w:val="71C17073"/>
    <w:rsid w:val="71C70D7B"/>
    <w:rsid w:val="72013BF9"/>
    <w:rsid w:val="720A0BFF"/>
    <w:rsid w:val="723B701D"/>
    <w:rsid w:val="72452668"/>
    <w:rsid w:val="724F0D1A"/>
    <w:rsid w:val="72A52CC7"/>
    <w:rsid w:val="72AB7BB5"/>
    <w:rsid w:val="72E06587"/>
    <w:rsid w:val="72EC6569"/>
    <w:rsid w:val="73281C56"/>
    <w:rsid w:val="7350457E"/>
    <w:rsid w:val="73695125"/>
    <w:rsid w:val="736D1458"/>
    <w:rsid w:val="73791D2E"/>
    <w:rsid w:val="7384715C"/>
    <w:rsid w:val="73867F6D"/>
    <w:rsid w:val="73B01345"/>
    <w:rsid w:val="73FB6A64"/>
    <w:rsid w:val="74171171"/>
    <w:rsid w:val="74192A57"/>
    <w:rsid w:val="74515D0F"/>
    <w:rsid w:val="74983962"/>
    <w:rsid w:val="74A50BEC"/>
    <w:rsid w:val="74AA1CA9"/>
    <w:rsid w:val="74B65081"/>
    <w:rsid w:val="74D774D1"/>
    <w:rsid w:val="74E8308A"/>
    <w:rsid w:val="74ED4817"/>
    <w:rsid w:val="7544443B"/>
    <w:rsid w:val="75472470"/>
    <w:rsid w:val="755723C0"/>
    <w:rsid w:val="759622C6"/>
    <w:rsid w:val="75A44ED9"/>
    <w:rsid w:val="75E66D42"/>
    <w:rsid w:val="75E672A0"/>
    <w:rsid w:val="766C59F7"/>
    <w:rsid w:val="7675235D"/>
    <w:rsid w:val="76760624"/>
    <w:rsid w:val="767A40FC"/>
    <w:rsid w:val="769B54C8"/>
    <w:rsid w:val="76C70E7F"/>
    <w:rsid w:val="76D313AC"/>
    <w:rsid w:val="76DA66C0"/>
    <w:rsid w:val="76F105F2"/>
    <w:rsid w:val="776F54FE"/>
    <w:rsid w:val="777F5BFE"/>
    <w:rsid w:val="77B37656"/>
    <w:rsid w:val="77B51620"/>
    <w:rsid w:val="77C23F98"/>
    <w:rsid w:val="78585CB2"/>
    <w:rsid w:val="786170B2"/>
    <w:rsid w:val="78886D34"/>
    <w:rsid w:val="789711D5"/>
    <w:rsid w:val="78B22DD4"/>
    <w:rsid w:val="78D45AD6"/>
    <w:rsid w:val="78F9378E"/>
    <w:rsid w:val="79053EE1"/>
    <w:rsid w:val="790A7749"/>
    <w:rsid w:val="79152036"/>
    <w:rsid w:val="796F0971"/>
    <w:rsid w:val="79975481"/>
    <w:rsid w:val="799A528E"/>
    <w:rsid w:val="79AC7312"/>
    <w:rsid w:val="79CA35C3"/>
    <w:rsid w:val="79CC239E"/>
    <w:rsid w:val="79F67C69"/>
    <w:rsid w:val="7A0B5527"/>
    <w:rsid w:val="7A3B22B0"/>
    <w:rsid w:val="7A3C1B84"/>
    <w:rsid w:val="7A405098"/>
    <w:rsid w:val="7A9279F6"/>
    <w:rsid w:val="7A9D6AC7"/>
    <w:rsid w:val="7AA5597C"/>
    <w:rsid w:val="7AC83418"/>
    <w:rsid w:val="7ACB4CB6"/>
    <w:rsid w:val="7AF06A08"/>
    <w:rsid w:val="7B187EFC"/>
    <w:rsid w:val="7B191EC6"/>
    <w:rsid w:val="7B5B0730"/>
    <w:rsid w:val="7B7B66DC"/>
    <w:rsid w:val="7B876E2F"/>
    <w:rsid w:val="7BD06A28"/>
    <w:rsid w:val="7BDC34AC"/>
    <w:rsid w:val="7BFA03E0"/>
    <w:rsid w:val="7C350F81"/>
    <w:rsid w:val="7C58336E"/>
    <w:rsid w:val="7C7A3191"/>
    <w:rsid w:val="7CAB1B33"/>
    <w:rsid w:val="7CF67CAA"/>
    <w:rsid w:val="7D01709E"/>
    <w:rsid w:val="7D11248E"/>
    <w:rsid w:val="7D1B1F25"/>
    <w:rsid w:val="7D4944D0"/>
    <w:rsid w:val="7D6027A4"/>
    <w:rsid w:val="7D781125"/>
    <w:rsid w:val="7D7F0706"/>
    <w:rsid w:val="7D8C5DEA"/>
    <w:rsid w:val="7D8E7AB2"/>
    <w:rsid w:val="7DB163E5"/>
    <w:rsid w:val="7DE71E07"/>
    <w:rsid w:val="7DF86D46"/>
    <w:rsid w:val="7DFB1059"/>
    <w:rsid w:val="7DFC3B04"/>
    <w:rsid w:val="7E933D3D"/>
    <w:rsid w:val="7EA83C8C"/>
    <w:rsid w:val="7EC565EC"/>
    <w:rsid w:val="7ECA3C03"/>
    <w:rsid w:val="7EE36A72"/>
    <w:rsid w:val="7EEA1BAF"/>
    <w:rsid w:val="7F4D213E"/>
    <w:rsid w:val="7F62204B"/>
    <w:rsid w:val="7F647934"/>
    <w:rsid w:val="7F6C1FFF"/>
    <w:rsid w:val="7F767AB1"/>
    <w:rsid w:val="7FA75CF2"/>
    <w:rsid w:val="7FB1091F"/>
    <w:rsid w:val="7FB27487"/>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6">
    <w:name w:val="heading 2"/>
    <w:basedOn w:val="1"/>
    <w:next w:val="7"/>
    <w:qFormat/>
    <w:uiPriority w:val="9"/>
    <w:pPr>
      <w:keepNext/>
      <w:keepLines/>
      <w:spacing w:before="260" w:after="260" w:line="416" w:lineRule="auto"/>
      <w:jc w:val="center"/>
      <w:outlineLvl w:val="1"/>
    </w:pPr>
    <w:rPr>
      <w:rFonts w:ascii="Arial" w:hAnsi="Arial" w:eastAsia="幼圆"/>
      <w:b/>
      <w:kern w:val="0"/>
      <w:sz w:val="44"/>
      <w:szCs w:val="20"/>
    </w:rPr>
  </w:style>
  <w:style w:type="paragraph" w:styleId="8">
    <w:name w:val="heading 3"/>
    <w:basedOn w:val="1"/>
    <w:next w:val="1"/>
    <w:link w:val="47"/>
    <w:qFormat/>
    <w:uiPriority w:val="0"/>
    <w:pPr>
      <w:keepNext/>
      <w:keepLines/>
      <w:spacing w:line="416" w:lineRule="auto"/>
      <w:outlineLvl w:val="2"/>
    </w:pPr>
    <w:rPr>
      <w:b/>
      <w:kern w:val="0"/>
      <w:sz w:val="32"/>
      <w:szCs w:val="20"/>
    </w:rPr>
  </w:style>
  <w:style w:type="paragraph" w:styleId="9">
    <w:name w:val="heading 7"/>
    <w:basedOn w:val="1"/>
    <w:next w:val="1"/>
    <w:qFormat/>
    <w:uiPriority w:val="9"/>
    <w:pPr>
      <w:keepNext/>
      <w:keepLines/>
      <w:spacing w:before="240" w:after="64" w:line="320" w:lineRule="auto"/>
      <w:outlineLvl w:val="6"/>
    </w:pPr>
    <w:rPr>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宋体" w:hAnsi="宋体"/>
    </w:rPr>
  </w:style>
  <w:style w:type="paragraph" w:styleId="3">
    <w:name w:val="Body Text Indent"/>
    <w:basedOn w:val="1"/>
    <w:next w:val="4"/>
    <w:qFormat/>
    <w:uiPriority w:val="0"/>
    <w:pPr>
      <w:ind w:firstLine="645"/>
    </w:pPr>
    <w:rPr>
      <w:rFonts w:ascii="楷体_GB2312" w:eastAsia="楷体_GB2312"/>
      <w:kern w:val="0"/>
      <w:sz w:val="32"/>
      <w:szCs w:val="20"/>
    </w:rPr>
  </w:style>
  <w:style w:type="paragraph" w:styleId="4">
    <w:name w:val="envelope return"/>
    <w:basedOn w:val="1"/>
    <w:unhideWhenUsed/>
    <w:qFormat/>
    <w:uiPriority w:val="0"/>
    <w:pPr>
      <w:snapToGrid w:val="0"/>
    </w:pPr>
    <w:rPr>
      <w:rFonts w:ascii="Arial" w:hAnsi="Arial"/>
    </w:rPr>
  </w:style>
  <w:style w:type="paragraph" w:styleId="7">
    <w:name w:val="Normal Indent"/>
    <w:basedOn w:val="1"/>
    <w:qFormat/>
    <w:uiPriority w:val="99"/>
    <w:pPr>
      <w:ind w:firstLine="420"/>
    </w:pPr>
    <w:rPr>
      <w:kern w:val="0"/>
      <w:sz w:val="20"/>
      <w:szCs w:val="20"/>
    </w:rPr>
  </w:style>
  <w:style w:type="paragraph" w:styleId="10">
    <w:name w:val="annotation text"/>
    <w:basedOn w:val="1"/>
    <w:link w:val="50"/>
    <w:qFormat/>
    <w:uiPriority w:val="99"/>
    <w:pPr>
      <w:jc w:val="left"/>
    </w:pPr>
    <w:rPr>
      <w:kern w:val="0"/>
      <w:sz w:val="20"/>
    </w:rPr>
  </w:style>
  <w:style w:type="paragraph" w:styleId="11">
    <w:name w:val="Body Text"/>
    <w:basedOn w:val="1"/>
    <w:next w:val="12"/>
    <w:qFormat/>
    <w:uiPriority w:val="99"/>
    <w:rPr>
      <w:rFonts w:ascii="楷体_GB2312" w:hAnsi="Arial" w:eastAsia="楷体_GB2312"/>
      <w:kern w:val="0"/>
      <w:sz w:val="28"/>
      <w:szCs w:val="20"/>
    </w:rPr>
  </w:style>
  <w:style w:type="paragraph" w:customStyle="1" w:styleId="12">
    <w:name w:val="一级条标题"/>
    <w:basedOn w:val="13"/>
    <w:next w:val="14"/>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3">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8"/>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8"/>
    <w:qFormat/>
    <w:uiPriority w:val="0"/>
    <w:rPr>
      <w:sz w:val="18"/>
      <w:szCs w:val="18"/>
    </w:rPr>
  </w:style>
  <w:style w:type="paragraph" w:styleId="20">
    <w:name w:val="footer"/>
    <w:basedOn w:val="1"/>
    <w:link w:val="39"/>
    <w:qFormat/>
    <w:uiPriority w:val="0"/>
    <w:pPr>
      <w:tabs>
        <w:tab w:val="center" w:pos="4153"/>
        <w:tab w:val="right" w:pos="8306"/>
      </w:tabs>
      <w:snapToGrid w:val="0"/>
      <w:jc w:val="left"/>
    </w:pPr>
    <w:rPr>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1"/>
    <w:semiHidden/>
    <w:unhideWhenUsed/>
    <w:qFormat/>
    <w:uiPriority w:val="0"/>
    <w:rPr>
      <w:b/>
      <w:bCs/>
      <w:kern w:val="2"/>
      <w:sz w:val="21"/>
    </w:rPr>
  </w:style>
  <w:style w:type="paragraph" w:styleId="28">
    <w:name w:val="Body Text First Indent"/>
    <w:basedOn w:val="11"/>
    <w:unhideWhenUsed/>
    <w:qFormat/>
    <w:uiPriority w:val="99"/>
    <w:pPr>
      <w:spacing w:after="120"/>
      <w:ind w:firstLine="420" w:firstLineChars="100"/>
    </w:pPr>
    <w:rPr>
      <w:rFonts w:ascii="Times New Roman"/>
      <w:sz w:val="21"/>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Heading1"/>
    <w:basedOn w:val="1"/>
    <w:next w:val="1"/>
    <w:qFormat/>
    <w:uiPriority w:val="0"/>
    <w:pPr>
      <w:keepNext/>
      <w:textAlignment w:val="baseline"/>
    </w:pPr>
    <w:rPr>
      <w:rFonts w:ascii="等线 Light" w:eastAsia="等线 Light"/>
      <w:sz w:val="28"/>
      <w:szCs w:val="20"/>
    </w:rPr>
  </w:style>
  <w:style w:type="paragraph" w:customStyle="1" w:styleId="36">
    <w:name w:val="首行缩进"/>
    <w:basedOn w:val="1"/>
    <w:qFormat/>
    <w:uiPriority w:val="0"/>
    <w:pPr>
      <w:ind w:firstLine="480" w:firstLineChars="200"/>
    </w:pPr>
    <w:rPr>
      <w:szCs w:val="20"/>
      <w:lang w:val="zh-CN"/>
    </w:rPr>
  </w:style>
  <w:style w:type="character" w:customStyle="1" w:styleId="37">
    <w:name w:val="页眉 Char"/>
    <w:link w:val="21"/>
    <w:qFormat/>
    <w:uiPriority w:val="0"/>
    <w:rPr>
      <w:rFonts w:ascii="Times New Roman" w:hAnsi="Times New Roman" w:eastAsia="宋体" w:cs="Times New Roman"/>
      <w:kern w:val="2"/>
      <w:sz w:val="18"/>
      <w:szCs w:val="18"/>
    </w:rPr>
  </w:style>
  <w:style w:type="character" w:customStyle="1" w:styleId="38">
    <w:name w:val="批注框文本 Char"/>
    <w:link w:val="19"/>
    <w:qFormat/>
    <w:uiPriority w:val="0"/>
    <w:rPr>
      <w:rFonts w:ascii="Times New Roman" w:hAnsi="Times New Roman" w:eastAsia="宋体" w:cs="Times New Roman"/>
      <w:kern w:val="2"/>
      <w:sz w:val="18"/>
      <w:szCs w:val="18"/>
    </w:rPr>
  </w:style>
  <w:style w:type="character" w:customStyle="1" w:styleId="39">
    <w:name w:val="页脚 Char"/>
    <w:link w:val="20"/>
    <w:qFormat/>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Calibri" w:hAnsi="Calibri"/>
      <w:kern w:val="0"/>
      <w:sz w:val="20"/>
      <w:szCs w:val="20"/>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3">
    <w:name w:val="纯文本1"/>
    <w:basedOn w:val="1"/>
    <w:qFormat/>
    <w:uiPriority w:val="0"/>
    <w:pPr>
      <w:adjustRightInd w:val="0"/>
    </w:pPr>
    <w:rPr>
      <w:rFonts w:ascii="宋体" w:hAnsi="Courier New" w:eastAsia="楷体_GB2312"/>
      <w:sz w:val="28"/>
      <w:szCs w:val="20"/>
    </w:rPr>
  </w:style>
  <w:style w:type="table" w:customStyle="1" w:styleId="4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7">
    <w:name w:val="标题 3 Char"/>
    <w:link w:val="8"/>
    <w:qFormat/>
    <w:uiPriority w:val="0"/>
    <w:rPr>
      <w:b/>
      <w:sz w:val="32"/>
    </w:rPr>
  </w:style>
  <w:style w:type="character" w:customStyle="1" w:styleId="48">
    <w:name w:val="纯文本 Char"/>
    <w:link w:val="17"/>
    <w:qFormat/>
    <w:locked/>
    <w:uiPriority w:val="0"/>
    <w:rPr>
      <w:rFonts w:ascii="宋体" w:hAnsi="Courier New"/>
    </w:rPr>
  </w:style>
  <w:style w:type="character" w:customStyle="1" w:styleId="49">
    <w:name w:val="标题 Char"/>
    <w:basedOn w:val="31"/>
    <w:link w:val="26"/>
    <w:qFormat/>
    <w:uiPriority w:val="0"/>
    <w:rPr>
      <w:rFonts w:asciiTheme="majorHAnsi" w:hAnsiTheme="majorHAnsi" w:eastAsiaTheme="majorEastAsia" w:cstheme="majorBidi"/>
      <w:b/>
      <w:bCs/>
      <w:kern w:val="2"/>
      <w:sz w:val="32"/>
      <w:szCs w:val="32"/>
    </w:rPr>
  </w:style>
  <w:style w:type="character" w:customStyle="1" w:styleId="50">
    <w:name w:val="批注文字 Char"/>
    <w:basedOn w:val="31"/>
    <w:link w:val="10"/>
    <w:qFormat/>
    <w:uiPriority w:val="99"/>
    <w:rPr>
      <w:szCs w:val="24"/>
    </w:rPr>
  </w:style>
  <w:style w:type="character" w:customStyle="1" w:styleId="51">
    <w:name w:val="批注主题 Char"/>
    <w:basedOn w:val="50"/>
    <w:link w:val="27"/>
    <w:semiHidden/>
    <w:qFormat/>
    <w:uiPriority w:val="0"/>
    <w:rPr>
      <w:b/>
      <w:bCs/>
      <w:kern w:val="2"/>
      <w:sz w:val="21"/>
      <w:szCs w:val="24"/>
    </w:rPr>
  </w:style>
  <w:style w:type="paragraph" w:customStyle="1" w:styleId="52">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4">
    <w:name w:val="（一）正文标题"/>
    <w:basedOn w:val="8"/>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5">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6">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27FEE-0A78-4CFB-90F6-D81CCAC30E8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41</Pages>
  <Words>31904</Words>
  <Characters>33716</Characters>
  <Lines>269</Lines>
  <Paragraphs>75</Paragraphs>
  <TotalTime>10</TotalTime>
  <ScaleCrop>false</ScaleCrop>
  <LinksUpToDate>false</LinksUpToDate>
  <CharactersWithSpaces>35216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WPS_1665191703</cp:lastModifiedBy>
  <cp:lastPrinted>2023-03-01T00:52:00Z</cp:lastPrinted>
  <dcterms:modified xsi:type="dcterms:W3CDTF">2023-08-14T01:54:20Z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EAC9A746163843ABA618AF5885D55658_13</vt:lpwstr>
  </property>
</Properties>
</file>