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0D5540">
      <w:pPr>
        <w:numPr>
          <w:ilvl w:val="0"/>
          <w:numId w:val="0"/>
        </w:numPr>
        <w:bidi w:val="0"/>
        <w:jc w:val="center"/>
        <w:outlineLvl w:val="0"/>
        <w:rPr>
          <w:rFonts w:hint="eastAsia" w:asciiTheme="minorEastAsia" w:hAnsiTheme="minorEastAsia" w:eastAsiaTheme="minorEastAsia" w:cstheme="minorEastAsia"/>
          <w:b/>
          <w:bCs/>
          <w:color w:val="auto"/>
          <w:kern w:val="2"/>
          <w:sz w:val="32"/>
          <w:szCs w:val="32"/>
          <w:highlight w:val="none"/>
          <w:lang w:val="en-US" w:eastAsia="zh-CN" w:bidi="ar-SA"/>
        </w:rPr>
      </w:pPr>
      <w:r>
        <w:rPr>
          <w:rFonts w:hint="eastAsia" w:asciiTheme="minorEastAsia" w:hAnsiTheme="minorEastAsia" w:eastAsiaTheme="minorEastAsia" w:cstheme="minorEastAsia"/>
          <w:b/>
          <w:bCs/>
          <w:color w:val="auto"/>
          <w:kern w:val="2"/>
          <w:sz w:val="32"/>
          <w:szCs w:val="32"/>
          <w:highlight w:val="none"/>
          <w:lang w:val="en-US" w:eastAsia="zh-CN" w:bidi="ar-SA"/>
        </w:rPr>
        <w:t>项目需求</w:t>
      </w:r>
    </w:p>
    <w:p w14:paraId="5F9AD5BE">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一、项目概况</w:t>
      </w:r>
      <w:bookmarkStart w:id="0" w:name="_GoBack"/>
      <w:bookmarkEnd w:id="0"/>
    </w:p>
    <w:p w14:paraId="092D6D9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2026-2028学年食堂大宗食品原料的代采购、供应、运输、装车、卸货至采购人指定地点、验收交付、售前售后等伴随服务，招标人保留对上述招标范围进行适当调整的权利。</w:t>
      </w:r>
    </w:p>
    <w:p w14:paraId="55FF1B5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kern w:val="2"/>
          <w:sz w:val="21"/>
          <w:szCs w:val="21"/>
          <w:lang w:val="en-US" w:eastAsia="zh-CN" w:bidi="ar-SA"/>
        </w:rPr>
        <w:t>二、</w:t>
      </w:r>
      <w:r>
        <w:rPr>
          <w:rFonts w:hint="eastAsia" w:ascii="宋体" w:hAnsi="宋体" w:eastAsia="宋体" w:cs="宋体"/>
          <w:b/>
          <w:bCs/>
          <w:sz w:val="21"/>
          <w:szCs w:val="21"/>
          <w:lang w:val="en-US" w:eastAsia="zh-CN"/>
        </w:rPr>
        <w:t>标段划分</w:t>
      </w:r>
    </w:p>
    <w:tbl>
      <w:tblPr>
        <w:tblStyle w:val="3"/>
        <w:tblpPr w:leftFromText="180" w:rightFromText="180" w:vertAnchor="text" w:horzAnchor="page" w:tblpX="2296" w:tblpY="56"/>
        <w:tblOverlap w:val="never"/>
        <w:tblW w:w="78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4211"/>
        <w:gridCol w:w="2054"/>
      </w:tblGrid>
      <w:tr w14:paraId="614DC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trPr>
        <w:tc>
          <w:tcPr>
            <w:tcW w:w="1588" w:type="dxa"/>
            <w:shd w:val="clear" w:color="auto" w:fill="DBE3F4" w:themeFill="accent1" w:themeFillTint="32"/>
            <w:vAlign w:val="center"/>
          </w:tcPr>
          <w:p w14:paraId="5E2E872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b/>
                <w:bCs/>
                <w:sz w:val="21"/>
                <w:szCs w:val="21"/>
                <w:lang w:val="zh-CN"/>
              </w:rPr>
            </w:pPr>
            <w:r>
              <w:rPr>
                <w:rFonts w:hint="eastAsia" w:ascii="宋体" w:hAnsi="宋体" w:eastAsia="宋体" w:cs="宋体"/>
                <w:b/>
                <w:bCs/>
                <w:sz w:val="21"/>
                <w:szCs w:val="21"/>
                <w:lang w:val="en-US" w:eastAsia="zh-CN"/>
              </w:rPr>
              <w:t>标段</w:t>
            </w:r>
            <w:r>
              <w:rPr>
                <w:rFonts w:hint="eastAsia" w:ascii="宋体" w:hAnsi="宋体" w:eastAsia="宋体" w:cs="宋体"/>
                <w:b/>
                <w:bCs/>
                <w:sz w:val="21"/>
                <w:szCs w:val="21"/>
                <w:lang w:val="zh-CN"/>
              </w:rPr>
              <w:t>号</w:t>
            </w:r>
          </w:p>
        </w:tc>
        <w:tc>
          <w:tcPr>
            <w:tcW w:w="4211" w:type="dxa"/>
            <w:shd w:val="clear" w:color="auto" w:fill="DBE3F4" w:themeFill="accent1" w:themeFillTint="32"/>
            <w:vAlign w:val="center"/>
          </w:tcPr>
          <w:p w14:paraId="601EC22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b/>
                <w:bCs/>
                <w:sz w:val="21"/>
                <w:szCs w:val="21"/>
                <w:lang w:val="zh-CN"/>
              </w:rPr>
            </w:pPr>
            <w:r>
              <w:rPr>
                <w:rFonts w:hint="eastAsia" w:ascii="宋体" w:hAnsi="宋体" w:eastAsia="宋体" w:cs="宋体"/>
                <w:b/>
                <w:bCs/>
                <w:sz w:val="21"/>
                <w:szCs w:val="21"/>
                <w:lang w:val="zh-CN"/>
              </w:rPr>
              <w:t>采购货物名称</w:t>
            </w:r>
          </w:p>
        </w:tc>
        <w:tc>
          <w:tcPr>
            <w:tcW w:w="2054" w:type="dxa"/>
            <w:shd w:val="clear" w:color="auto" w:fill="DBE3F4" w:themeFill="accent1" w:themeFillTint="32"/>
            <w:vAlign w:val="center"/>
          </w:tcPr>
          <w:p w14:paraId="4C51E8E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lang w:val="zh-CN"/>
              </w:rPr>
              <w:t>入围供应商数量</w:t>
            </w:r>
          </w:p>
        </w:tc>
      </w:tr>
      <w:tr w14:paraId="168C3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trPr>
        <w:tc>
          <w:tcPr>
            <w:tcW w:w="1588" w:type="dxa"/>
            <w:vAlign w:val="center"/>
          </w:tcPr>
          <w:p w14:paraId="77666336">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z w:val="21"/>
                <w:szCs w:val="21"/>
                <w:lang w:val="zh-CN" w:eastAsia="zh-CN"/>
              </w:rPr>
            </w:pPr>
            <w:r>
              <w:rPr>
                <w:rFonts w:hint="eastAsia" w:ascii="宋体" w:hAnsi="宋体" w:eastAsia="宋体" w:cs="宋体"/>
                <w:sz w:val="21"/>
                <w:szCs w:val="21"/>
                <w:lang w:val="en-US" w:eastAsia="zh-CN"/>
              </w:rPr>
              <w:t>一标段</w:t>
            </w:r>
          </w:p>
        </w:tc>
        <w:tc>
          <w:tcPr>
            <w:tcW w:w="4211" w:type="dxa"/>
            <w:vAlign w:val="center"/>
          </w:tcPr>
          <w:p w14:paraId="148BE2F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z w:val="21"/>
                <w:szCs w:val="21"/>
                <w:lang w:val="zh-CN" w:eastAsia="zh-CN"/>
              </w:rPr>
            </w:pPr>
            <w:r>
              <w:rPr>
                <w:rFonts w:hint="eastAsia" w:ascii="宋体" w:hAnsi="宋体" w:eastAsia="宋体" w:cs="宋体"/>
                <w:sz w:val="21"/>
                <w:szCs w:val="21"/>
                <w:lang w:val="en-US" w:eastAsia="zh-CN"/>
              </w:rPr>
              <w:t>大米</w:t>
            </w:r>
          </w:p>
        </w:tc>
        <w:tc>
          <w:tcPr>
            <w:tcW w:w="2054" w:type="dxa"/>
            <w:vAlign w:val="center"/>
          </w:tcPr>
          <w:p w14:paraId="45E5B3E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2家</w:t>
            </w:r>
          </w:p>
        </w:tc>
      </w:tr>
      <w:tr w14:paraId="3C4FD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trPr>
        <w:tc>
          <w:tcPr>
            <w:tcW w:w="1588" w:type="dxa"/>
            <w:vAlign w:val="center"/>
          </w:tcPr>
          <w:p w14:paraId="7AB8361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二标段</w:t>
            </w:r>
          </w:p>
        </w:tc>
        <w:tc>
          <w:tcPr>
            <w:tcW w:w="4211" w:type="dxa"/>
            <w:vAlign w:val="center"/>
          </w:tcPr>
          <w:p w14:paraId="17993BE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面粉</w:t>
            </w:r>
          </w:p>
        </w:tc>
        <w:tc>
          <w:tcPr>
            <w:tcW w:w="2054" w:type="dxa"/>
            <w:vAlign w:val="center"/>
          </w:tcPr>
          <w:p w14:paraId="31F399A1">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2家</w:t>
            </w:r>
          </w:p>
        </w:tc>
      </w:tr>
      <w:tr w14:paraId="20BCC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trPr>
        <w:tc>
          <w:tcPr>
            <w:tcW w:w="1588" w:type="dxa"/>
            <w:vAlign w:val="center"/>
          </w:tcPr>
          <w:p w14:paraId="1537734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z w:val="21"/>
                <w:szCs w:val="21"/>
                <w:lang w:val="zh-CN"/>
              </w:rPr>
            </w:pPr>
            <w:r>
              <w:rPr>
                <w:rFonts w:hint="eastAsia" w:ascii="宋体" w:hAnsi="宋体" w:eastAsia="宋体" w:cs="宋体"/>
                <w:sz w:val="21"/>
                <w:szCs w:val="21"/>
                <w:lang w:val="en-US" w:eastAsia="zh-CN"/>
              </w:rPr>
              <w:t>三标段</w:t>
            </w:r>
          </w:p>
        </w:tc>
        <w:tc>
          <w:tcPr>
            <w:tcW w:w="4211" w:type="dxa"/>
            <w:vAlign w:val="center"/>
          </w:tcPr>
          <w:p w14:paraId="00ECB51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大豆油（非转基因）、菜籽油（非转基因）</w:t>
            </w:r>
          </w:p>
        </w:tc>
        <w:tc>
          <w:tcPr>
            <w:tcW w:w="2054" w:type="dxa"/>
            <w:vAlign w:val="center"/>
          </w:tcPr>
          <w:p w14:paraId="7E248DB2">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2家</w:t>
            </w:r>
          </w:p>
        </w:tc>
      </w:tr>
      <w:tr w14:paraId="6C3C4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trPr>
        <w:tc>
          <w:tcPr>
            <w:tcW w:w="1588" w:type="dxa"/>
            <w:vAlign w:val="center"/>
          </w:tcPr>
          <w:p w14:paraId="245B158B">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z w:val="21"/>
                <w:szCs w:val="21"/>
                <w:lang w:val="zh-CN"/>
              </w:rPr>
            </w:pPr>
            <w:r>
              <w:rPr>
                <w:rFonts w:hint="eastAsia" w:ascii="宋体" w:hAnsi="宋体" w:eastAsia="宋体" w:cs="宋体"/>
                <w:sz w:val="21"/>
                <w:szCs w:val="21"/>
                <w:lang w:val="en-US" w:eastAsia="zh-CN"/>
              </w:rPr>
              <w:t>四标段</w:t>
            </w:r>
          </w:p>
        </w:tc>
        <w:tc>
          <w:tcPr>
            <w:tcW w:w="4211" w:type="dxa"/>
            <w:vAlign w:val="center"/>
          </w:tcPr>
          <w:p w14:paraId="07F15BE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豆制品</w:t>
            </w:r>
          </w:p>
        </w:tc>
        <w:tc>
          <w:tcPr>
            <w:tcW w:w="2054" w:type="dxa"/>
            <w:vAlign w:val="center"/>
          </w:tcPr>
          <w:p w14:paraId="13033F89">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2家</w:t>
            </w:r>
          </w:p>
        </w:tc>
      </w:tr>
      <w:tr w14:paraId="0571D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588" w:type="dxa"/>
            <w:vAlign w:val="center"/>
          </w:tcPr>
          <w:p w14:paraId="1A8E2B5D">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五标段</w:t>
            </w:r>
          </w:p>
        </w:tc>
        <w:tc>
          <w:tcPr>
            <w:tcW w:w="4211" w:type="dxa"/>
            <w:vAlign w:val="center"/>
          </w:tcPr>
          <w:p w14:paraId="402C2F01">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猪肉</w:t>
            </w:r>
          </w:p>
        </w:tc>
        <w:tc>
          <w:tcPr>
            <w:tcW w:w="2054" w:type="dxa"/>
            <w:vAlign w:val="center"/>
          </w:tcPr>
          <w:p w14:paraId="45A7AF0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2家</w:t>
            </w:r>
          </w:p>
        </w:tc>
      </w:tr>
      <w:tr w14:paraId="618FE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trPr>
        <w:tc>
          <w:tcPr>
            <w:tcW w:w="1588" w:type="dxa"/>
            <w:vAlign w:val="center"/>
          </w:tcPr>
          <w:p w14:paraId="00B245FB">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六标段</w:t>
            </w:r>
          </w:p>
        </w:tc>
        <w:tc>
          <w:tcPr>
            <w:tcW w:w="4211" w:type="dxa"/>
            <w:vAlign w:val="center"/>
          </w:tcPr>
          <w:p w14:paraId="04BB0F7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鸡蛋</w:t>
            </w:r>
          </w:p>
        </w:tc>
        <w:tc>
          <w:tcPr>
            <w:tcW w:w="2054" w:type="dxa"/>
            <w:vAlign w:val="center"/>
          </w:tcPr>
          <w:p w14:paraId="2E0210B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2家</w:t>
            </w:r>
          </w:p>
        </w:tc>
      </w:tr>
      <w:tr w14:paraId="0D2D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trPr>
        <w:tc>
          <w:tcPr>
            <w:tcW w:w="1588" w:type="dxa"/>
            <w:vAlign w:val="center"/>
          </w:tcPr>
          <w:p w14:paraId="2C0B1FA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七标段</w:t>
            </w:r>
          </w:p>
        </w:tc>
        <w:tc>
          <w:tcPr>
            <w:tcW w:w="4211" w:type="dxa"/>
            <w:vAlign w:val="center"/>
          </w:tcPr>
          <w:p w14:paraId="166A5D7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面条、面皮（水面制品）</w:t>
            </w:r>
          </w:p>
        </w:tc>
        <w:tc>
          <w:tcPr>
            <w:tcW w:w="2054" w:type="dxa"/>
            <w:vAlign w:val="center"/>
          </w:tcPr>
          <w:p w14:paraId="533ADCF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2家</w:t>
            </w:r>
          </w:p>
        </w:tc>
      </w:tr>
      <w:tr w14:paraId="4F74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trPr>
        <w:tc>
          <w:tcPr>
            <w:tcW w:w="1588" w:type="dxa"/>
            <w:vAlign w:val="center"/>
          </w:tcPr>
          <w:p w14:paraId="772F5302">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八标段</w:t>
            </w:r>
          </w:p>
        </w:tc>
        <w:tc>
          <w:tcPr>
            <w:tcW w:w="4211" w:type="dxa"/>
            <w:vAlign w:val="center"/>
          </w:tcPr>
          <w:p w14:paraId="549D384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调味品、干货</w:t>
            </w:r>
          </w:p>
        </w:tc>
        <w:tc>
          <w:tcPr>
            <w:tcW w:w="2054" w:type="dxa"/>
            <w:vAlign w:val="center"/>
          </w:tcPr>
          <w:p w14:paraId="28E852F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2家</w:t>
            </w:r>
          </w:p>
        </w:tc>
      </w:tr>
      <w:tr w14:paraId="3E391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trPr>
        <w:tc>
          <w:tcPr>
            <w:tcW w:w="1588" w:type="dxa"/>
            <w:vAlign w:val="center"/>
          </w:tcPr>
          <w:p w14:paraId="3C2C6E19">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九标段</w:t>
            </w:r>
          </w:p>
        </w:tc>
        <w:tc>
          <w:tcPr>
            <w:tcW w:w="4211" w:type="dxa"/>
            <w:vAlign w:val="center"/>
          </w:tcPr>
          <w:p w14:paraId="7225CE5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冻品</w:t>
            </w:r>
          </w:p>
        </w:tc>
        <w:tc>
          <w:tcPr>
            <w:tcW w:w="2054" w:type="dxa"/>
            <w:vAlign w:val="center"/>
          </w:tcPr>
          <w:p w14:paraId="3272DA32">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2家</w:t>
            </w:r>
          </w:p>
        </w:tc>
      </w:tr>
      <w:tr w14:paraId="1E541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trPr>
        <w:tc>
          <w:tcPr>
            <w:tcW w:w="1588" w:type="dxa"/>
            <w:vAlign w:val="center"/>
          </w:tcPr>
          <w:p w14:paraId="636F10BB">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十标段</w:t>
            </w:r>
          </w:p>
        </w:tc>
        <w:tc>
          <w:tcPr>
            <w:tcW w:w="4211" w:type="dxa"/>
            <w:vAlign w:val="center"/>
          </w:tcPr>
          <w:p w14:paraId="4295D3B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蔬菜</w:t>
            </w:r>
          </w:p>
        </w:tc>
        <w:tc>
          <w:tcPr>
            <w:tcW w:w="2054" w:type="dxa"/>
            <w:vAlign w:val="center"/>
          </w:tcPr>
          <w:p w14:paraId="3A2B98A1">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2家</w:t>
            </w:r>
          </w:p>
        </w:tc>
      </w:tr>
    </w:tbl>
    <w:p w14:paraId="671BF6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i/>
          <w:iCs/>
          <w:sz w:val="21"/>
          <w:szCs w:val="21"/>
          <w:u w:val="single"/>
          <w:lang w:val="en-US" w:eastAsia="zh-CN"/>
        </w:rPr>
      </w:pPr>
      <w:r>
        <w:rPr>
          <w:rFonts w:hint="eastAsia" w:ascii="宋体" w:hAnsi="宋体" w:eastAsia="宋体" w:cs="宋体"/>
          <w:sz w:val="21"/>
          <w:szCs w:val="21"/>
          <w:lang w:val="en-US" w:eastAsia="zh-CN"/>
        </w:rPr>
        <w:t>本次招标共划分为10个标段，各投标人可同时参与上述10个标段的投标，</w:t>
      </w:r>
      <w:r>
        <w:rPr>
          <w:rFonts w:hint="eastAsia" w:ascii="宋体" w:hAnsi="宋体" w:eastAsia="宋体" w:cs="宋体"/>
          <w:b/>
          <w:bCs/>
          <w:i/>
          <w:iCs/>
          <w:sz w:val="21"/>
          <w:szCs w:val="21"/>
          <w:u w:val="single"/>
          <w:lang w:val="en-US" w:eastAsia="zh-CN"/>
        </w:rPr>
        <w:t>一标段、二标段、三标段可兼投兼中，其他标段可兼投不兼中。如投标人报名多个标段，必须分标段按要求制作投标文件，否则按无效标处理。</w:t>
      </w:r>
    </w:p>
    <w:p w14:paraId="509817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开标、评标、定标顺序：一标段→二标段→...→十标段。每个标段各确定2名入围中标人，即确定排名第一和第二的为中标人。先开先中，在上一标段评审中被确定为中标候选人的，可继续参与下一标段的评审，但不再被推荐为下一标段的中标候选人。</w:t>
      </w:r>
    </w:p>
    <w:p w14:paraId="3673826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三、食材质量及服务要求</w:t>
      </w:r>
    </w:p>
    <w:p w14:paraId="090AF4F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（一）食材要求</w:t>
      </w:r>
    </w:p>
    <w:tbl>
      <w:tblPr>
        <w:tblStyle w:val="3"/>
        <w:tblpPr w:leftFromText="180" w:rightFromText="180" w:vertAnchor="text" w:horzAnchor="page" w:tblpX="1548" w:tblpY="56"/>
        <w:tblOverlap w:val="never"/>
        <w:tblW w:w="93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863"/>
        <w:gridCol w:w="3923"/>
        <w:gridCol w:w="2487"/>
      </w:tblGrid>
      <w:tr w14:paraId="19371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050" w:type="dxa"/>
            <w:shd w:val="clear" w:color="auto" w:fill="DBE3F4" w:themeFill="accent1" w:themeFillTint="32"/>
            <w:vAlign w:val="center"/>
          </w:tcPr>
          <w:p w14:paraId="6165F1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lang w:val="zh-CN"/>
              </w:rPr>
            </w:pPr>
            <w:r>
              <w:rPr>
                <w:rFonts w:hint="eastAsia" w:ascii="宋体" w:hAnsi="宋体" w:eastAsia="宋体" w:cs="宋体"/>
                <w:b/>
                <w:bCs/>
                <w:sz w:val="21"/>
                <w:szCs w:val="21"/>
                <w:lang w:val="en-US" w:eastAsia="zh-CN"/>
              </w:rPr>
              <w:t>标段</w:t>
            </w:r>
            <w:r>
              <w:rPr>
                <w:rFonts w:hint="eastAsia" w:ascii="宋体" w:hAnsi="宋体" w:eastAsia="宋体" w:cs="宋体"/>
                <w:b/>
                <w:bCs/>
                <w:sz w:val="21"/>
                <w:szCs w:val="21"/>
                <w:lang w:val="zh-CN"/>
              </w:rPr>
              <w:t>号</w:t>
            </w:r>
          </w:p>
        </w:tc>
        <w:tc>
          <w:tcPr>
            <w:tcW w:w="1863" w:type="dxa"/>
            <w:shd w:val="clear" w:color="auto" w:fill="DBE3F4" w:themeFill="accent1" w:themeFillTint="32"/>
            <w:vAlign w:val="center"/>
          </w:tcPr>
          <w:p w14:paraId="7E9784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lang w:val="zh-CN"/>
              </w:rPr>
            </w:pPr>
            <w:r>
              <w:rPr>
                <w:rFonts w:hint="eastAsia" w:ascii="宋体" w:hAnsi="宋体" w:eastAsia="宋体" w:cs="宋体"/>
                <w:b/>
                <w:bCs/>
                <w:sz w:val="21"/>
                <w:szCs w:val="21"/>
                <w:lang w:val="zh-CN"/>
              </w:rPr>
              <w:t>采购货物名称</w:t>
            </w:r>
          </w:p>
        </w:tc>
        <w:tc>
          <w:tcPr>
            <w:tcW w:w="3923" w:type="dxa"/>
            <w:shd w:val="clear" w:color="auto" w:fill="DBE3F4" w:themeFill="accent1" w:themeFillTint="32"/>
            <w:vAlign w:val="center"/>
          </w:tcPr>
          <w:p w14:paraId="4B6CE9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lang w:val="en-US" w:eastAsia="zh-CN"/>
              </w:rPr>
              <w:t>执行标准</w:t>
            </w:r>
          </w:p>
        </w:tc>
        <w:tc>
          <w:tcPr>
            <w:tcW w:w="2487" w:type="dxa"/>
            <w:shd w:val="clear" w:color="auto" w:fill="DBE3F4" w:themeFill="accent1" w:themeFillTint="32"/>
            <w:vAlign w:val="center"/>
          </w:tcPr>
          <w:p w14:paraId="00E8DD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规格及要求</w:t>
            </w:r>
          </w:p>
        </w:tc>
      </w:tr>
      <w:tr w14:paraId="44341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050" w:type="dxa"/>
            <w:vAlign w:val="center"/>
          </w:tcPr>
          <w:p w14:paraId="5F49EC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val="zh-CN" w:eastAsia="zh-CN"/>
              </w:rPr>
            </w:pPr>
            <w:r>
              <w:rPr>
                <w:rFonts w:hint="eastAsia" w:ascii="宋体" w:hAnsi="宋体" w:eastAsia="宋体" w:cs="宋体"/>
                <w:sz w:val="21"/>
                <w:szCs w:val="21"/>
                <w:lang w:val="en-US" w:eastAsia="zh-CN"/>
              </w:rPr>
              <w:t>一标段</w:t>
            </w:r>
          </w:p>
        </w:tc>
        <w:tc>
          <w:tcPr>
            <w:tcW w:w="1863" w:type="dxa"/>
            <w:vAlign w:val="center"/>
          </w:tcPr>
          <w:p w14:paraId="5B4079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val="zh-CN" w:eastAsia="zh-CN"/>
              </w:rPr>
            </w:pPr>
            <w:r>
              <w:rPr>
                <w:rFonts w:hint="eastAsia" w:ascii="宋体" w:hAnsi="宋体" w:eastAsia="宋体" w:cs="宋体"/>
                <w:sz w:val="21"/>
                <w:szCs w:val="21"/>
                <w:lang w:val="en-US" w:eastAsia="zh-CN"/>
              </w:rPr>
              <w:t>大米</w:t>
            </w:r>
          </w:p>
        </w:tc>
        <w:tc>
          <w:tcPr>
            <w:tcW w:w="3923" w:type="dxa"/>
            <w:vAlign w:val="center"/>
          </w:tcPr>
          <w:p w14:paraId="47BBC75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粳米、籼米一级，执行标准：GB/T 1354-2018《大米》</w:t>
            </w:r>
          </w:p>
        </w:tc>
        <w:tc>
          <w:tcPr>
            <w:tcW w:w="2487" w:type="dxa"/>
            <w:vAlign w:val="center"/>
          </w:tcPr>
          <w:p w14:paraId="126AA810">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lang w:val="en-US" w:eastAsia="zh-CN"/>
              </w:rPr>
            </w:pPr>
            <w:r>
              <w:rPr>
                <w:rFonts w:hint="eastAsia" w:ascii="宋体" w:hAnsi="宋体" w:cs="宋体"/>
                <w:color w:val="000000" w:themeColor="text1"/>
                <w:szCs w:val="21"/>
                <w14:textFill>
                  <w14:solidFill>
                    <w14:schemeClr w14:val="tx1"/>
                  </w14:solidFill>
                </w14:textFill>
              </w:rPr>
              <w:t>国标一级</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50斤/袋</w:t>
            </w:r>
          </w:p>
        </w:tc>
      </w:tr>
      <w:tr w14:paraId="5015F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050" w:type="dxa"/>
            <w:vAlign w:val="center"/>
          </w:tcPr>
          <w:p w14:paraId="53FCB8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二标段</w:t>
            </w:r>
          </w:p>
        </w:tc>
        <w:tc>
          <w:tcPr>
            <w:tcW w:w="1863" w:type="dxa"/>
            <w:vAlign w:val="center"/>
          </w:tcPr>
          <w:p w14:paraId="566597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面粉</w:t>
            </w:r>
          </w:p>
        </w:tc>
        <w:tc>
          <w:tcPr>
            <w:tcW w:w="3923" w:type="dxa"/>
            <w:vAlign w:val="center"/>
          </w:tcPr>
          <w:p w14:paraId="431F3F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小麦粉特制一等、执行标准：GB/T 1355-2021《小麦粉》</w:t>
            </w:r>
          </w:p>
        </w:tc>
        <w:tc>
          <w:tcPr>
            <w:tcW w:w="2487" w:type="dxa"/>
            <w:vAlign w:val="center"/>
          </w:tcPr>
          <w:p w14:paraId="65B5FD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sz w:val="21"/>
                <w:szCs w:val="21"/>
                <w:lang w:val="en-US" w:eastAsia="zh-CN"/>
              </w:rPr>
            </w:pPr>
            <w:r>
              <w:rPr>
                <w:rFonts w:hint="eastAsia" w:ascii="宋体" w:hAnsi="宋体" w:cs="宋体"/>
                <w:color w:val="000000" w:themeColor="text1"/>
                <w:szCs w:val="21"/>
                <w14:textFill>
                  <w14:solidFill>
                    <w14:schemeClr w14:val="tx1"/>
                  </w14:solidFill>
                </w14:textFill>
              </w:rPr>
              <w:t>50斤/袋</w:t>
            </w:r>
          </w:p>
        </w:tc>
      </w:tr>
      <w:tr w14:paraId="483BB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050" w:type="dxa"/>
            <w:vAlign w:val="center"/>
          </w:tcPr>
          <w:p w14:paraId="26EC0F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val="zh-CN"/>
              </w:rPr>
            </w:pPr>
            <w:r>
              <w:rPr>
                <w:rFonts w:hint="eastAsia" w:ascii="宋体" w:hAnsi="宋体" w:eastAsia="宋体" w:cs="宋体"/>
                <w:sz w:val="21"/>
                <w:szCs w:val="21"/>
                <w:lang w:val="en-US" w:eastAsia="zh-CN"/>
              </w:rPr>
              <w:t>三标段</w:t>
            </w:r>
          </w:p>
        </w:tc>
        <w:tc>
          <w:tcPr>
            <w:tcW w:w="1863" w:type="dxa"/>
            <w:vAlign w:val="center"/>
          </w:tcPr>
          <w:p w14:paraId="16C901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大豆油（非转基因）、菜籽油（非转基因）</w:t>
            </w:r>
          </w:p>
        </w:tc>
        <w:tc>
          <w:tcPr>
            <w:tcW w:w="3923" w:type="dxa"/>
            <w:vAlign w:val="center"/>
          </w:tcPr>
          <w:p w14:paraId="2DEB5D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《食品安全国家标准植物油》（GB 2716-2018）</w:t>
            </w:r>
          </w:p>
        </w:tc>
        <w:tc>
          <w:tcPr>
            <w:tcW w:w="2487" w:type="dxa"/>
            <w:vAlign w:val="center"/>
          </w:tcPr>
          <w:p w14:paraId="5CABDB6D">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w:t>
            </w:r>
            <w:r>
              <w:rPr>
                <w:rFonts w:hint="eastAsia" w:ascii="宋体" w:hAnsi="宋体" w:eastAsia="宋体" w:cs="宋体"/>
                <w:color w:val="000000" w:themeColor="text1"/>
                <w:szCs w:val="21"/>
                <w:lang w:val="en-US" w:eastAsia="zh-CN"/>
                <w14:textFill>
                  <w14:solidFill>
                    <w14:schemeClr w14:val="tx1"/>
                  </w14:solidFill>
                </w14:textFill>
              </w:rPr>
              <w:t>国标一级大豆油（非转基因）、国标一级菜籽油（非转基因）</w:t>
            </w:r>
          </w:p>
          <w:p w14:paraId="3D9CD1B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2、规格：</w:t>
            </w:r>
            <w:r>
              <w:rPr>
                <w:rFonts w:hint="eastAsia" w:ascii="宋体" w:hAnsi="宋体" w:eastAsia="宋体" w:cs="宋体"/>
                <w:color w:val="000000" w:themeColor="text1"/>
                <w:szCs w:val="21"/>
                <w:lang w:val="en-US" w:eastAsia="zh-CN"/>
                <w14:textFill>
                  <w14:solidFill>
                    <w14:schemeClr w14:val="tx1"/>
                  </w14:solidFill>
                </w14:textFill>
              </w:rPr>
              <w:t>5</w:t>
            </w:r>
            <w:r>
              <w:rPr>
                <w:rFonts w:hint="eastAsia" w:ascii="宋体" w:hAnsi="宋体" w:eastAsia="宋体" w:cs="宋体"/>
                <w:color w:val="000000" w:themeColor="text1"/>
                <w:szCs w:val="21"/>
                <w14:textFill>
                  <w14:solidFill>
                    <w14:schemeClr w14:val="tx1"/>
                  </w14:solidFill>
                </w14:textFill>
              </w:rPr>
              <w:t>升/桶</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20升/桶</w:t>
            </w:r>
          </w:p>
          <w:p w14:paraId="02418D67">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3、</w:t>
            </w:r>
            <w:r>
              <w:rPr>
                <w:rFonts w:hint="eastAsia" w:ascii="宋体" w:hAnsi="宋体" w:eastAsia="宋体" w:cs="宋体"/>
                <w:color w:val="000000" w:themeColor="text1"/>
                <w:szCs w:val="21"/>
                <w:lang w:val="en-US" w:eastAsia="zh-CN"/>
                <w14:textFill>
                  <w14:solidFill>
                    <w14:schemeClr w14:val="tx1"/>
                  </w14:solidFill>
                </w14:textFill>
              </w:rPr>
              <w:t>大豆油2种规格须为同一品牌、菜籽油2种规格须为同一品牌。</w:t>
            </w:r>
          </w:p>
          <w:p w14:paraId="7D3378D3">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4、</w:t>
            </w:r>
            <w:r>
              <w:rPr>
                <w:rFonts w:hint="eastAsia" w:ascii="宋体" w:hAnsi="宋体" w:eastAsia="宋体" w:cs="宋体"/>
                <w:color w:val="000000" w:themeColor="text1"/>
                <w:szCs w:val="21"/>
                <w:lang w:val="en-US" w:eastAsia="zh-CN"/>
                <w14:textFill>
                  <w14:solidFill>
                    <w14:schemeClr w14:val="tx1"/>
                  </w14:solidFill>
                </w14:textFill>
              </w:rPr>
              <w:t>食用油全部为原厂定型一次性预包装桶装供货，严禁投标人/中标人在仓储、配送环节自行二次灌装、私自分装、周转桶倒罐换桶供货，严禁使用回收周转容器盛装油品。产品标签严格执行 GB 7718，桶身标签载明的生产（分装）主体、食品生产许可证 SC 编号应当与实际产品保持一致；若产品为生产企业合法分装成品，须在标签醒目位置标注 “分装” 字样、分装单位及分装 SC 许可证号。不接受散装食用油供货。</w:t>
            </w:r>
          </w:p>
        </w:tc>
      </w:tr>
      <w:tr w14:paraId="320ED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050" w:type="dxa"/>
            <w:vAlign w:val="center"/>
          </w:tcPr>
          <w:p w14:paraId="4607C4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val="zh-CN"/>
              </w:rPr>
            </w:pPr>
            <w:r>
              <w:rPr>
                <w:rFonts w:hint="eastAsia" w:ascii="宋体" w:hAnsi="宋体" w:eastAsia="宋体" w:cs="宋体"/>
                <w:sz w:val="21"/>
                <w:szCs w:val="21"/>
                <w:lang w:val="en-US" w:eastAsia="zh-CN"/>
              </w:rPr>
              <w:t>四标段</w:t>
            </w:r>
          </w:p>
        </w:tc>
        <w:tc>
          <w:tcPr>
            <w:tcW w:w="1863" w:type="dxa"/>
            <w:vAlign w:val="center"/>
          </w:tcPr>
          <w:p w14:paraId="53F0C6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豆制品</w:t>
            </w:r>
          </w:p>
        </w:tc>
        <w:tc>
          <w:tcPr>
            <w:tcW w:w="3923" w:type="dxa"/>
            <w:vAlign w:val="center"/>
          </w:tcPr>
          <w:p w14:paraId="3B0BC7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非发酵豆制品，执行标准：GB/T 22106-2008《非发酵豆制品》，2026年12月1日前到货的执行现行 GB/T 22106-2008，2026年12月1日起执行新版 GB/T 22106-2025 《非发酵豆制品质量通则》</w:t>
            </w:r>
          </w:p>
        </w:tc>
        <w:tc>
          <w:tcPr>
            <w:tcW w:w="2487" w:type="dxa"/>
            <w:vAlign w:val="center"/>
          </w:tcPr>
          <w:p w14:paraId="07F254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sz w:val="21"/>
                <w:szCs w:val="21"/>
                <w:lang w:val="en-US" w:eastAsia="zh-CN"/>
              </w:rPr>
            </w:pPr>
            <w:r>
              <w:rPr>
                <w:rFonts w:hint="eastAsia" w:ascii="宋体" w:hAnsi="宋体" w:cs="宋体"/>
                <w:color w:val="000000" w:themeColor="text1"/>
                <w:szCs w:val="21"/>
                <w:lang w:val="en-US" w:eastAsia="zh-CN"/>
                <w14:textFill>
                  <w14:solidFill>
                    <w14:schemeClr w14:val="tx1"/>
                  </w14:solidFill>
                </w14:textFill>
              </w:rPr>
              <w:t>按</w:t>
            </w:r>
            <w:r>
              <w:rPr>
                <w:rFonts w:hint="eastAsia" w:ascii="宋体" w:hAnsi="宋体" w:cs="宋体"/>
                <w:color w:val="000000" w:themeColor="text1"/>
                <w:szCs w:val="21"/>
                <w14:textFill>
                  <w14:solidFill>
                    <w14:schemeClr w14:val="tx1"/>
                  </w14:solidFill>
                </w14:textFill>
              </w:rPr>
              <w:t>斤</w:t>
            </w:r>
            <w:r>
              <w:rPr>
                <w:rFonts w:hint="eastAsia" w:ascii="宋体" w:hAnsi="宋体" w:cs="宋体"/>
                <w:color w:val="000000" w:themeColor="text1"/>
                <w:szCs w:val="21"/>
                <w:lang w:val="en-US" w:eastAsia="zh-CN"/>
                <w14:textFill>
                  <w14:solidFill>
                    <w14:schemeClr w14:val="tx1"/>
                  </w14:solidFill>
                </w14:textFill>
              </w:rPr>
              <w:t>供货，根据</w:t>
            </w:r>
            <w:r>
              <w:rPr>
                <w:rFonts w:hint="eastAsia" w:ascii="宋体" w:hAnsi="宋体" w:eastAsia="宋体" w:cs="宋体"/>
                <w:color w:val="000000" w:themeColor="text1"/>
                <w:szCs w:val="21"/>
                <w14:textFill>
                  <w14:solidFill>
                    <w14:schemeClr w14:val="tx1"/>
                  </w14:solidFill>
                </w14:textFill>
              </w:rPr>
              <w:t>学校要求执行</w:t>
            </w:r>
            <w:r>
              <w:rPr>
                <w:rFonts w:hint="eastAsia" w:ascii="宋体" w:hAnsi="宋体" w:eastAsia="宋体" w:cs="宋体"/>
                <w:color w:val="000000" w:themeColor="text1"/>
                <w:szCs w:val="21"/>
                <w:lang w:eastAsia="zh-CN"/>
                <w14:textFill>
                  <w14:solidFill>
                    <w14:schemeClr w14:val="tx1"/>
                  </w14:solidFill>
                </w14:textFill>
              </w:rPr>
              <w:t>。</w:t>
            </w:r>
          </w:p>
        </w:tc>
      </w:tr>
      <w:tr w14:paraId="2421A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0" w:type="dxa"/>
            <w:vAlign w:val="center"/>
          </w:tcPr>
          <w:p w14:paraId="3734E3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五标段</w:t>
            </w:r>
          </w:p>
        </w:tc>
        <w:tc>
          <w:tcPr>
            <w:tcW w:w="1863" w:type="dxa"/>
            <w:vAlign w:val="center"/>
          </w:tcPr>
          <w:p w14:paraId="267BB4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猪肉</w:t>
            </w:r>
          </w:p>
        </w:tc>
        <w:tc>
          <w:tcPr>
            <w:tcW w:w="3923" w:type="dxa"/>
            <w:vAlign w:val="center"/>
          </w:tcPr>
          <w:p w14:paraId="033B3B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猪肉分割产品(鲜、冻片猪肉，执行标准：GB 2707-2016《食品安全国家标准鲜（冻）畜、禽产品》，主要品种包括切片大排、前夹肉、五花肉（肥膘率不超过60%）、精肉（含精肉片））</w:t>
            </w:r>
          </w:p>
          <w:p w14:paraId="4308F3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color w:val="auto"/>
                <w:sz w:val="21"/>
                <w:szCs w:val="21"/>
                <w:lang w:val="en-US" w:eastAsia="zh-CN"/>
              </w:rPr>
              <w:t>供货时须提供动物检验合格证明、肉品品质检验合格证、非洲猪瘟检测报告、瘦肉精检验报告等相关证明。</w:t>
            </w:r>
          </w:p>
        </w:tc>
        <w:tc>
          <w:tcPr>
            <w:tcW w:w="2487" w:type="dxa"/>
            <w:vAlign w:val="center"/>
          </w:tcPr>
          <w:p w14:paraId="21FEB3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color w:val="auto"/>
                <w:sz w:val="21"/>
                <w:szCs w:val="21"/>
                <w:lang w:val="en-US" w:eastAsia="zh-CN"/>
              </w:rPr>
            </w:pPr>
            <w:r>
              <w:rPr>
                <w:rFonts w:hint="eastAsia" w:ascii="宋体" w:hAnsi="宋体" w:cs="宋体"/>
                <w:color w:val="000000" w:themeColor="text1"/>
                <w:szCs w:val="21"/>
                <w:lang w:val="en-US" w:eastAsia="zh-CN"/>
                <w14:textFill>
                  <w14:solidFill>
                    <w14:schemeClr w14:val="tx1"/>
                  </w14:solidFill>
                </w14:textFill>
              </w:rPr>
              <w:t>按</w:t>
            </w:r>
            <w:r>
              <w:rPr>
                <w:rFonts w:hint="eastAsia" w:ascii="宋体" w:hAnsi="宋体" w:cs="宋体"/>
                <w:color w:val="000000" w:themeColor="text1"/>
                <w:szCs w:val="21"/>
                <w14:textFill>
                  <w14:solidFill>
                    <w14:schemeClr w14:val="tx1"/>
                  </w14:solidFill>
                </w14:textFill>
              </w:rPr>
              <w:t>斤</w:t>
            </w:r>
            <w:r>
              <w:rPr>
                <w:rFonts w:hint="eastAsia" w:ascii="宋体" w:hAnsi="宋体" w:cs="宋体"/>
                <w:color w:val="000000" w:themeColor="text1"/>
                <w:szCs w:val="21"/>
                <w:lang w:val="en-US" w:eastAsia="zh-CN"/>
                <w14:textFill>
                  <w14:solidFill>
                    <w14:schemeClr w14:val="tx1"/>
                  </w14:solidFill>
                </w14:textFill>
              </w:rPr>
              <w:t>供货，根据</w:t>
            </w:r>
            <w:r>
              <w:rPr>
                <w:rFonts w:hint="eastAsia" w:ascii="宋体" w:hAnsi="宋体" w:eastAsia="宋体" w:cs="宋体"/>
                <w:color w:val="000000" w:themeColor="text1"/>
                <w:szCs w:val="21"/>
                <w14:textFill>
                  <w14:solidFill>
                    <w14:schemeClr w14:val="tx1"/>
                  </w14:solidFill>
                </w14:textFill>
              </w:rPr>
              <w:t>学校要求执行</w:t>
            </w:r>
            <w:r>
              <w:rPr>
                <w:rFonts w:hint="eastAsia" w:ascii="宋体" w:hAnsi="宋体" w:eastAsia="宋体" w:cs="宋体"/>
                <w:color w:val="000000" w:themeColor="text1"/>
                <w:szCs w:val="21"/>
                <w:lang w:eastAsia="zh-CN"/>
                <w14:textFill>
                  <w14:solidFill>
                    <w14:schemeClr w14:val="tx1"/>
                  </w14:solidFill>
                </w14:textFill>
              </w:rPr>
              <w:t>。</w:t>
            </w:r>
          </w:p>
        </w:tc>
      </w:tr>
      <w:tr w14:paraId="476A7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050" w:type="dxa"/>
            <w:vAlign w:val="center"/>
          </w:tcPr>
          <w:p w14:paraId="0C7CF4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六标段</w:t>
            </w:r>
          </w:p>
        </w:tc>
        <w:tc>
          <w:tcPr>
            <w:tcW w:w="1863" w:type="dxa"/>
            <w:vAlign w:val="center"/>
          </w:tcPr>
          <w:p w14:paraId="503B89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鸡蛋</w:t>
            </w:r>
          </w:p>
        </w:tc>
        <w:tc>
          <w:tcPr>
            <w:tcW w:w="3923" w:type="dxa"/>
            <w:vAlign w:val="center"/>
          </w:tcPr>
          <w:p w14:paraId="1B6ADD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GB 2749-2015《食品安全国家标准蛋与蛋制品》</w:t>
            </w:r>
          </w:p>
        </w:tc>
        <w:tc>
          <w:tcPr>
            <w:tcW w:w="2487" w:type="dxa"/>
            <w:vAlign w:val="center"/>
          </w:tcPr>
          <w:p w14:paraId="15B5BAE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每箱30斤</w:t>
            </w:r>
          </w:p>
          <w:p w14:paraId="611DF890">
            <w:pPr>
              <w:jc w:val="left"/>
              <w:rPr>
                <w:rFonts w:hint="eastAsia" w:ascii="宋体" w:hAnsi="宋体" w:eastAsia="宋体" w:cs="宋体"/>
                <w:sz w:val="21"/>
                <w:szCs w:val="21"/>
                <w:lang w:val="en-US" w:eastAsia="zh-CN"/>
              </w:rPr>
            </w:pPr>
            <w:r>
              <w:rPr>
                <w:rFonts w:hint="eastAsia" w:ascii="宋体" w:hAnsi="宋体" w:cs="宋体"/>
                <w:color w:val="000000" w:themeColor="text1"/>
                <w:szCs w:val="21"/>
                <w:lang w:val="en-US" w:eastAsia="zh-CN"/>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报价依据</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中国鸡蛋网江苏盐都报价</w:t>
            </w:r>
          </w:p>
        </w:tc>
      </w:tr>
      <w:tr w14:paraId="62AF6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050" w:type="dxa"/>
            <w:vAlign w:val="center"/>
          </w:tcPr>
          <w:p w14:paraId="393658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七标段</w:t>
            </w:r>
          </w:p>
        </w:tc>
        <w:tc>
          <w:tcPr>
            <w:tcW w:w="1863" w:type="dxa"/>
            <w:vAlign w:val="center"/>
          </w:tcPr>
          <w:p w14:paraId="23A2AD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面条、面皮（水面制品）</w:t>
            </w:r>
          </w:p>
        </w:tc>
        <w:tc>
          <w:tcPr>
            <w:tcW w:w="3923" w:type="dxa"/>
            <w:vAlign w:val="center"/>
          </w:tcPr>
          <w:p w14:paraId="55A094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符合国家食品质量执行标准。</w:t>
            </w:r>
          </w:p>
        </w:tc>
        <w:tc>
          <w:tcPr>
            <w:tcW w:w="2487" w:type="dxa"/>
            <w:vAlign w:val="center"/>
          </w:tcPr>
          <w:p w14:paraId="7953CB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sz w:val="21"/>
                <w:szCs w:val="21"/>
                <w:lang w:val="en-US" w:eastAsia="zh-CN"/>
              </w:rPr>
            </w:pPr>
            <w:r>
              <w:rPr>
                <w:rFonts w:hint="eastAsia" w:ascii="宋体" w:hAnsi="宋体" w:cs="宋体"/>
                <w:color w:val="000000" w:themeColor="text1"/>
                <w:szCs w:val="21"/>
                <w:lang w:val="en-US" w:eastAsia="zh-CN"/>
                <w14:textFill>
                  <w14:solidFill>
                    <w14:schemeClr w14:val="tx1"/>
                  </w14:solidFill>
                </w14:textFill>
              </w:rPr>
              <w:t>按</w:t>
            </w:r>
            <w:r>
              <w:rPr>
                <w:rFonts w:hint="eastAsia" w:ascii="宋体" w:hAnsi="宋体" w:cs="宋体"/>
                <w:color w:val="000000" w:themeColor="text1"/>
                <w:szCs w:val="21"/>
                <w14:textFill>
                  <w14:solidFill>
                    <w14:schemeClr w14:val="tx1"/>
                  </w14:solidFill>
                </w14:textFill>
              </w:rPr>
              <w:t>斤</w:t>
            </w:r>
            <w:r>
              <w:rPr>
                <w:rFonts w:hint="eastAsia" w:ascii="宋体" w:hAnsi="宋体" w:cs="宋体"/>
                <w:color w:val="000000" w:themeColor="text1"/>
                <w:szCs w:val="21"/>
                <w:lang w:val="en-US" w:eastAsia="zh-CN"/>
                <w14:textFill>
                  <w14:solidFill>
                    <w14:schemeClr w14:val="tx1"/>
                  </w14:solidFill>
                </w14:textFill>
              </w:rPr>
              <w:t>供货，根据</w:t>
            </w:r>
            <w:r>
              <w:rPr>
                <w:rFonts w:hint="eastAsia" w:ascii="宋体" w:hAnsi="宋体" w:eastAsia="宋体" w:cs="宋体"/>
                <w:color w:val="000000" w:themeColor="text1"/>
                <w:szCs w:val="21"/>
                <w14:textFill>
                  <w14:solidFill>
                    <w14:schemeClr w14:val="tx1"/>
                  </w14:solidFill>
                </w14:textFill>
              </w:rPr>
              <w:t>学校要求执行</w:t>
            </w:r>
            <w:r>
              <w:rPr>
                <w:rFonts w:hint="eastAsia" w:ascii="宋体" w:hAnsi="宋体" w:eastAsia="宋体" w:cs="宋体"/>
                <w:color w:val="000000" w:themeColor="text1"/>
                <w:szCs w:val="21"/>
                <w:lang w:eastAsia="zh-CN"/>
                <w14:textFill>
                  <w14:solidFill>
                    <w14:schemeClr w14:val="tx1"/>
                  </w14:solidFill>
                </w14:textFill>
              </w:rPr>
              <w:t>。</w:t>
            </w:r>
          </w:p>
        </w:tc>
      </w:tr>
      <w:tr w14:paraId="3DAD8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050" w:type="dxa"/>
            <w:vAlign w:val="center"/>
          </w:tcPr>
          <w:p w14:paraId="42629F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八标段</w:t>
            </w:r>
          </w:p>
        </w:tc>
        <w:tc>
          <w:tcPr>
            <w:tcW w:w="1863" w:type="dxa"/>
            <w:vAlign w:val="center"/>
          </w:tcPr>
          <w:p w14:paraId="0CA1E0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调味品、干货</w:t>
            </w:r>
          </w:p>
        </w:tc>
        <w:tc>
          <w:tcPr>
            <w:tcW w:w="3923" w:type="dxa"/>
            <w:vAlign w:val="center"/>
          </w:tcPr>
          <w:p w14:paraId="63506A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符合国家食品质量执行标准。</w:t>
            </w:r>
          </w:p>
          <w:p w14:paraId="362B25DB">
            <w:pPr>
              <w:keepNext w:val="0"/>
              <w:keepLines w:val="0"/>
              <w:pageBreakBefore w:val="0"/>
              <w:widowControl w:val="0"/>
              <w:kinsoku/>
              <w:wordWrap/>
              <w:overflowPunct/>
              <w:topLinePunct w:val="0"/>
              <w:autoSpaceDE/>
              <w:autoSpaceDN/>
              <w:bidi w:val="0"/>
              <w:spacing w:line="240" w:lineRule="auto"/>
              <w:ind w:right="107" w:rightChars="51" w:firstLine="0" w:firstLineChars="0"/>
              <w:contextualSpacing/>
              <w:jc w:val="left"/>
              <w:textAlignment w:val="auto"/>
              <w:rPr>
                <w:rFonts w:hint="eastAsia" w:ascii="宋体" w:hAnsi="宋体" w:eastAsia="宋体" w:cs="宋体"/>
                <w:sz w:val="21"/>
                <w:szCs w:val="21"/>
                <w:lang w:val="en-US" w:eastAsia="zh-CN"/>
              </w:rPr>
            </w:pPr>
            <w:r>
              <w:rPr>
                <w:rFonts w:hint="eastAsia" w:ascii="宋体" w:hAnsi="宋体" w:eastAsia="宋体" w:cs="宋体"/>
                <w:b w:val="0"/>
                <w:bCs w:val="0"/>
                <w:strike w:val="0"/>
                <w:dstrike w:val="0"/>
                <w:color w:val="auto"/>
                <w:sz w:val="21"/>
                <w:szCs w:val="21"/>
                <w:highlight w:val="none"/>
                <w:lang w:eastAsia="zh"/>
              </w:rPr>
              <w:t>标签清晰、完整，包含了准确的产品信息，并满足法律法规的要求。 外观正常，颜色、质地和气味与正常情况相符。包装完好无损，无漏气、漏液或其他损坏。包装密封良好，无破损或密封不严的情况。</w:t>
            </w:r>
          </w:p>
        </w:tc>
        <w:tc>
          <w:tcPr>
            <w:tcW w:w="2487" w:type="dxa"/>
            <w:vAlign w:val="center"/>
          </w:tcPr>
          <w:p w14:paraId="5AD0EE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1、</w:t>
            </w:r>
            <w:r>
              <w:rPr>
                <w:rFonts w:hint="eastAsia" w:ascii="宋体" w:hAnsi="宋体" w:eastAsia="宋体" w:cs="宋体"/>
                <w:sz w:val="21"/>
                <w:szCs w:val="21"/>
                <w:lang w:val="en-US" w:eastAsia="zh-CN"/>
              </w:rPr>
              <w:t>根据学校要求供货</w:t>
            </w:r>
            <w:r>
              <w:rPr>
                <w:rFonts w:hint="eastAsia" w:ascii="宋体" w:hAnsi="宋体" w:cs="宋体"/>
                <w:sz w:val="21"/>
                <w:szCs w:val="21"/>
                <w:lang w:val="en-US" w:eastAsia="zh-CN"/>
              </w:rPr>
              <w:t>。</w:t>
            </w:r>
          </w:p>
          <w:p w14:paraId="692BBE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b w:val="0"/>
                <w:bCs w:val="0"/>
                <w:strike w:val="0"/>
                <w:dstrike w:val="0"/>
                <w:color w:val="auto"/>
                <w:sz w:val="21"/>
                <w:szCs w:val="21"/>
                <w:highlight w:val="none"/>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分项报价表中推荐品牌仅作为参考，如投标人采用推荐品牌以外的其他品牌产品供货的，质量和性能等技术指标必须优于或者相当于推荐品牌。</w:t>
            </w:r>
          </w:p>
        </w:tc>
      </w:tr>
      <w:tr w14:paraId="1DF18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050" w:type="dxa"/>
            <w:vAlign w:val="center"/>
          </w:tcPr>
          <w:p w14:paraId="32C122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九标段</w:t>
            </w:r>
          </w:p>
        </w:tc>
        <w:tc>
          <w:tcPr>
            <w:tcW w:w="1863" w:type="dxa"/>
            <w:vAlign w:val="center"/>
          </w:tcPr>
          <w:p w14:paraId="0EB580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冻品</w:t>
            </w:r>
          </w:p>
        </w:tc>
        <w:tc>
          <w:tcPr>
            <w:tcW w:w="3923" w:type="dxa"/>
            <w:vAlign w:val="center"/>
          </w:tcPr>
          <w:p w14:paraId="06CB5C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1、冻禽制品：鸡鸭分割产品（鲜、冻禽产品，执行标准：GB 2707-2016《食品安全国家标准 鲜（冻）畜、禽产品》，主要品种包括鸡腿、鸡块、鸡架、鸡脯、鸭脯、6条腿、调理腿、鸭边腿、半片鸭等，具体见报价表）</w:t>
            </w:r>
          </w:p>
          <w:p w14:paraId="4D91C4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2、定型包装半成品：速冻调制食品SB/T 10379-2012</w:t>
            </w:r>
          </w:p>
          <w:p w14:paraId="35707A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3、速冻产品：执行标准：GB 19295-2021《食品安全国家标准 速冻面米与调制食品》、GB 7718-2026《预包装食品标签通则》、GB 31646-2018《速冻食品生产和经营卫生规范》</w:t>
            </w:r>
          </w:p>
        </w:tc>
        <w:tc>
          <w:tcPr>
            <w:tcW w:w="2487" w:type="dxa"/>
            <w:vAlign w:val="center"/>
          </w:tcPr>
          <w:p w14:paraId="7346E4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sz w:val="21"/>
                <w:szCs w:val="21"/>
                <w:lang w:val="en-US" w:eastAsia="zh-CN"/>
              </w:rPr>
            </w:pPr>
            <w:r>
              <w:rPr>
                <w:rFonts w:hint="eastAsia" w:ascii="宋体" w:hAnsi="宋体" w:cs="宋体"/>
                <w:color w:val="000000" w:themeColor="text1"/>
                <w:szCs w:val="21"/>
                <w:lang w:val="en-US" w:eastAsia="zh-CN"/>
                <w14:textFill>
                  <w14:solidFill>
                    <w14:schemeClr w14:val="tx1"/>
                  </w14:solidFill>
                </w14:textFill>
              </w:rPr>
              <w:t>按</w:t>
            </w:r>
            <w:r>
              <w:rPr>
                <w:rFonts w:hint="eastAsia" w:ascii="宋体" w:hAnsi="宋体" w:cs="宋体"/>
                <w:color w:val="000000" w:themeColor="text1"/>
                <w:szCs w:val="21"/>
                <w14:textFill>
                  <w14:solidFill>
                    <w14:schemeClr w14:val="tx1"/>
                  </w14:solidFill>
                </w14:textFill>
              </w:rPr>
              <w:t>斤</w:t>
            </w:r>
            <w:r>
              <w:rPr>
                <w:rFonts w:hint="eastAsia" w:ascii="宋体" w:hAnsi="宋体" w:cs="宋体"/>
                <w:color w:val="000000" w:themeColor="text1"/>
                <w:szCs w:val="21"/>
                <w:lang w:val="en-US" w:eastAsia="zh-CN"/>
                <w14:textFill>
                  <w14:solidFill>
                    <w14:schemeClr w14:val="tx1"/>
                  </w14:solidFill>
                </w14:textFill>
              </w:rPr>
              <w:t>供货，根据</w:t>
            </w:r>
            <w:r>
              <w:rPr>
                <w:rFonts w:hint="eastAsia" w:ascii="宋体" w:hAnsi="宋体" w:eastAsia="宋体" w:cs="宋体"/>
                <w:color w:val="000000" w:themeColor="text1"/>
                <w:szCs w:val="21"/>
                <w14:textFill>
                  <w14:solidFill>
                    <w14:schemeClr w14:val="tx1"/>
                  </w14:solidFill>
                </w14:textFill>
              </w:rPr>
              <w:t>学校要求执行</w:t>
            </w:r>
            <w:r>
              <w:rPr>
                <w:rFonts w:hint="eastAsia" w:ascii="宋体" w:hAnsi="宋体" w:eastAsia="宋体" w:cs="宋体"/>
                <w:color w:val="000000" w:themeColor="text1"/>
                <w:szCs w:val="21"/>
                <w:lang w:eastAsia="zh-CN"/>
                <w14:textFill>
                  <w14:solidFill>
                    <w14:schemeClr w14:val="tx1"/>
                  </w14:solidFill>
                </w14:textFill>
              </w:rPr>
              <w:t>。</w:t>
            </w:r>
          </w:p>
        </w:tc>
      </w:tr>
      <w:tr w14:paraId="06483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050" w:type="dxa"/>
            <w:vAlign w:val="center"/>
          </w:tcPr>
          <w:p w14:paraId="08C706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十标段</w:t>
            </w:r>
          </w:p>
        </w:tc>
        <w:tc>
          <w:tcPr>
            <w:tcW w:w="1863" w:type="dxa"/>
            <w:vAlign w:val="center"/>
          </w:tcPr>
          <w:p w14:paraId="6FC847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蔬菜</w:t>
            </w:r>
          </w:p>
        </w:tc>
        <w:tc>
          <w:tcPr>
            <w:tcW w:w="3923" w:type="dxa"/>
            <w:vAlign w:val="center"/>
          </w:tcPr>
          <w:p w14:paraId="6B33DF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sz w:val="21"/>
                <w:szCs w:val="21"/>
                <w:lang w:eastAsia="zh-CN"/>
              </w:rPr>
            </w:pPr>
            <w:r>
              <w:rPr>
                <w:rFonts w:hint="eastAsia" w:ascii="宋体" w:hAnsi="宋体" w:eastAsia="宋体" w:cs="宋体"/>
                <w:strike w:val="0"/>
                <w:dstrike w:val="0"/>
                <w:color w:val="000000"/>
                <w:sz w:val="21"/>
                <w:szCs w:val="21"/>
                <w:highlight w:val="none"/>
              </w:rPr>
              <w:t>外形正常</w:t>
            </w:r>
            <w:r>
              <w:rPr>
                <w:rFonts w:hint="eastAsia" w:ascii="宋体" w:hAnsi="宋体" w:eastAsia="宋体" w:cs="宋体"/>
                <w:strike w:val="0"/>
                <w:dstrike w:val="0"/>
                <w:color w:val="000000"/>
                <w:sz w:val="21"/>
                <w:szCs w:val="21"/>
                <w:highlight w:val="none"/>
                <w:lang w:eastAsia="zh-CN"/>
              </w:rPr>
              <w:t>，</w:t>
            </w:r>
            <w:r>
              <w:rPr>
                <w:rFonts w:hint="eastAsia" w:ascii="宋体" w:hAnsi="宋体" w:eastAsia="宋体" w:cs="宋体"/>
                <w:strike w:val="0"/>
                <w:dstrike w:val="0"/>
                <w:color w:val="000000"/>
                <w:sz w:val="21"/>
                <w:szCs w:val="21"/>
                <w:highlight w:val="none"/>
                <w:lang w:val="en-US" w:eastAsia="zh-CN"/>
              </w:rPr>
              <w:t>目测无虫咬发霉发黄变质现象，饱满新鲜、大小统一、色泽鲜明。</w:t>
            </w:r>
            <w:r>
              <w:rPr>
                <w:rFonts w:hint="eastAsia" w:ascii="宋体" w:hAnsi="宋体" w:eastAsia="宋体" w:cs="宋体"/>
                <w:strike w:val="0"/>
                <w:dstrike w:val="0"/>
                <w:color w:val="000000"/>
                <w:sz w:val="21"/>
                <w:szCs w:val="21"/>
                <w:highlight w:val="none"/>
              </w:rPr>
              <w:t>农药残留不超标。符合国家食用农产品生产和食品安全法所规定的质量要求。</w:t>
            </w:r>
          </w:p>
        </w:tc>
        <w:tc>
          <w:tcPr>
            <w:tcW w:w="2487" w:type="dxa"/>
            <w:vAlign w:val="center"/>
          </w:tcPr>
          <w:p w14:paraId="426BE3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strike w:val="0"/>
                <w:dstrike w:val="0"/>
                <w:color w:val="000000"/>
                <w:sz w:val="21"/>
                <w:szCs w:val="21"/>
                <w:highlight w:val="none"/>
              </w:rPr>
            </w:pPr>
            <w:r>
              <w:rPr>
                <w:rFonts w:hint="eastAsia" w:ascii="宋体" w:hAnsi="宋体" w:cs="宋体"/>
                <w:color w:val="000000" w:themeColor="text1"/>
                <w:szCs w:val="21"/>
                <w:lang w:val="en-US" w:eastAsia="zh-CN"/>
                <w14:textFill>
                  <w14:solidFill>
                    <w14:schemeClr w14:val="tx1"/>
                  </w14:solidFill>
                </w14:textFill>
              </w:rPr>
              <w:t>按</w:t>
            </w:r>
            <w:r>
              <w:rPr>
                <w:rFonts w:hint="eastAsia" w:ascii="宋体" w:hAnsi="宋体" w:cs="宋体"/>
                <w:color w:val="000000" w:themeColor="text1"/>
                <w:szCs w:val="21"/>
                <w14:textFill>
                  <w14:solidFill>
                    <w14:schemeClr w14:val="tx1"/>
                  </w14:solidFill>
                </w14:textFill>
              </w:rPr>
              <w:t>斤</w:t>
            </w:r>
            <w:r>
              <w:rPr>
                <w:rFonts w:hint="eastAsia" w:ascii="宋体" w:hAnsi="宋体" w:cs="宋体"/>
                <w:color w:val="000000" w:themeColor="text1"/>
                <w:szCs w:val="21"/>
                <w:lang w:val="en-US" w:eastAsia="zh-CN"/>
                <w14:textFill>
                  <w14:solidFill>
                    <w14:schemeClr w14:val="tx1"/>
                  </w14:solidFill>
                </w14:textFill>
              </w:rPr>
              <w:t>供货，根据</w:t>
            </w:r>
            <w:r>
              <w:rPr>
                <w:rFonts w:hint="eastAsia" w:ascii="宋体" w:hAnsi="宋体" w:eastAsia="宋体" w:cs="宋体"/>
                <w:color w:val="000000" w:themeColor="text1"/>
                <w:szCs w:val="21"/>
                <w14:textFill>
                  <w14:solidFill>
                    <w14:schemeClr w14:val="tx1"/>
                  </w14:solidFill>
                </w14:textFill>
              </w:rPr>
              <w:t>学校要求执行</w:t>
            </w:r>
            <w:r>
              <w:rPr>
                <w:rFonts w:hint="eastAsia" w:ascii="宋体" w:hAnsi="宋体" w:eastAsia="宋体" w:cs="宋体"/>
                <w:color w:val="000000" w:themeColor="text1"/>
                <w:szCs w:val="21"/>
                <w:lang w:eastAsia="zh-CN"/>
                <w14:textFill>
                  <w14:solidFill>
                    <w14:schemeClr w14:val="tx1"/>
                  </w14:solidFill>
                </w14:textFill>
              </w:rPr>
              <w:t>。</w:t>
            </w:r>
          </w:p>
        </w:tc>
      </w:tr>
    </w:tbl>
    <w:p w14:paraId="611BAF6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（二）退货依据</w:t>
      </w:r>
    </w:p>
    <w:p w14:paraId="6EE3CC1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蔬菜、豆制品类：损耗（破碎）率高于5%，农药残留超标。叶菜：味苦，鲜度嫩度明显不佳，含黄叶须根，泥土、虫害严重，萎蔫严重，浸水后仍不可恢复。根茎类（如土豆、香芋、莴笋等）：发芽严重、发霉，新鲜度不佳，形态大小与采购标准存在较大负偏差。花果类（如西兰花）：不新鲜，发霉，虫害过多。姜蒜类：表皮湿度大，蒜瓣蔫软，发芽，腐烂、泥土过多，冻伤。</w:t>
      </w:r>
    </w:p>
    <w:p w14:paraId="5672AD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2.肉禽类、冻品类、禽蛋类：肉禽类、冻品类与验收标准不符，蛋类与验收标准不符，有异味、破损率超过3%。</w:t>
      </w:r>
    </w:p>
    <w:p w14:paraId="0CCB091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大米、食用油、调味品、米、面：无品名、产地、厂名、生产日期、保质期及中文标识及原料说明的定型包装食品；超过保质期限或不符合食品标签规定的定型包装食品。腐败变质，油脂酸败、霉变、生虫、污秽不洁、混有异物或者其他感官性状异常，含有毒、有害物质污染，可能对人体健康有害的食品。</w:t>
      </w:r>
    </w:p>
    <w:p w14:paraId="12574EC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val="0"/>
          <w:bCs w:val="0"/>
          <w:sz w:val="21"/>
          <w:szCs w:val="21"/>
          <w:lang w:val="en-US" w:eastAsia="zh-CN"/>
        </w:rPr>
        <w:t>注：（1）以上质量标准如有新的国家或行业标准出台，则以最新标准执行。（2）学校收货、加工过程中任意环节（如目测验收、切片验收、加工验收）中发现质量问题，均可向投标人发起退（换）货要求。</w:t>
      </w:r>
    </w:p>
    <w:p w14:paraId="38938F5C">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（三）供货时间及供货地点要求</w:t>
      </w:r>
    </w:p>
    <w:p w14:paraId="72D9644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供货时间：招标人（食堂承包商）按实际需求进度将供货清单提供给中标方（供货方），中标人不得以单批次数量多少为由延迟供货。中标人须在接招标人通知后按规定时间送到指定位置。供货时间首期从2026年秋学期开始，具体按照学校开学和放假时间为准。期满后，采购人根据中标人履约情况及自身采购模式决定是否续签。若首次供货期考核合格且采购模式未变化，合同续签1年；若首次供货期考核不合格或采购模式变化，则合同终止。</w:t>
      </w:r>
    </w:p>
    <w:p w14:paraId="2BC43E0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供货地点：招标人指定的位置（一般为请购人实际使用现场），运输道路为普通道路，不能因为超重运输,要求学校另行安排道路。卸货时要求在招标人指定的位置堆放整齐。学校东园食堂已配备货梯，西园食堂两层无电梯。供货商在报价时应当考虑无电梯的实际情况，不得在送货时，以任何理由拖延或者要求支付运力费用。</w:t>
      </w:r>
    </w:p>
    <w:p w14:paraId="0A3803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中标人必须按招标的要求完成食品原料的供应及售后服务等工作。按后勤管理处的要求，不得影响正常的伙食保障工作。投标人中标后在履约过程中应服从招标人、请购人的统一管理，严格遵守投标承诺和合同。</w:t>
      </w:r>
    </w:p>
    <w:p w14:paraId="3C2DE5DC">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（四）供应方式及要求</w:t>
      </w:r>
    </w:p>
    <w:p w14:paraId="3490E65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1、供货方式：有计划、分批供货。</w:t>
      </w:r>
    </w:p>
    <w:p w14:paraId="0190B7C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中标人应严格按照招标人要求的供应计划按时按量进行供应，除不可抗力原因外，逾时缺量供应由中标人承担相关损失。超量供应招标人有权拒收，造成损失由中标人自行负责。</w:t>
      </w:r>
    </w:p>
    <w:p w14:paraId="492499C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2、中标人必须按照招标人要求或招标人委托单位的供应计划分次逐步供应。投标人应充分考虑供应的跨时性、分散性等因素进行报价。中标人以此为由要求提价或停止供货均视为严重违约行为。</w:t>
      </w:r>
    </w:p>
    <w:p w14:paraId="32E6B1F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3、送货及履约地点：江苏医药职业学院各食堂（按照各食堂指定摆放位置）。</w:t>
      </w:r>
    </w:p>
    <w:p w14:paraId="4E50B1BF">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（五）服务要求</w:t>
      </w:r>
    </w:p>
    <w:p w14:paraId="56407F4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1、中标人应保证所提供的产品是合格安全的产品。一旦发现伪劣假冒产品、以次充好产品或替代产品，取消该中标人的供货资格，并要承担全部经济赔偿责任和相应的法律责任。</w:t>
      </w:r>
    </w:p>
    <w:p w14:paraId="5D16449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2、中标人提供的产品须经过食堂验收人员的感官检验、外观检验和试用检验，若产品外观、包装、形式不符合要求、感官检验达不到食品卫生要求，学校必须当即拒收并要求投标人重新安排送货。</w:t>
      </w:r>
    </w:p>
    <w:p w14:paraId="177FC79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3、中标人不能满足招标人食堂食品的质量及售后服务要求时，招标人有权对中标人进行处罚或终止合同。</w:t>
      </w:r>
    </w:p>
    <w:p w14:paraId="4331194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中标人必须按照招标人食堂工作人员通知的时间、数量、品种、品质要求及协定的结算方式准时送货，所送食材经学校食堂工作人员验收合格后签字确认方可交接。中标人不能以任何理由推脱送货，一旦影响到中标人食堂的正常运转，中标人必须承担相应的经济赔偿。</w:t>
      </w:r>
    </w:p>
    <w:p w14:paraId="3758BBA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中标人不能满足供货要求时，应提前一个月书面通知招标人，经招标人同意后方可终止合同；如果未经招标人同意，中标人擅自停止供货，影响招标人食堂的正常运转，招标人有权取消中标人的本次中标供货资格，并扣除该中标人所交的履约保证金，追究其经济赔偿责任，同时取消中标人今后五年内参加招标人的各项投标资格。</w:t>
      </w:r>
    </w:p>
    <w:p w14:paraId="41D280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6、中标人投入本项目的所有带有冷藏功能的厢式货车，不得将食品与有毒有害物品混装配送，运输食品和运输有毒有害物品的车辆不得混用。</w:t>
      </w:r>
    </w:p>
    <w:p w14:paraId="0F60B83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7、中标人所投入的所有送货货车消毒记录（主要包含消毒人员、是否消毒、消毒时间等）。要求每天要对车辆进行消毒，并做好相应记录，以备核查。</w:t>
      </w:r>
    </w:p>
    <w:p w14:paraId="7A02226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8、在送货时，确保所送标注保质期产品的保质期剩余天数大于其总保质期的二分之一。</w:t>
      </w:r>
    </w:p>
    <w:p w14:paraId="2E3AC87E">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 四、验收</w:t>
      </w:r>
    </w:p>
    <w:p w14:paraId="011BCA3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食材到达现场后，中标人应在学校工作人员在场情况下当面接受检验，提供产品合格证、装箱单，共同清点、检查外观、查验标签、包装和封口，并做好进货记录（如实记录食材的名称、规格、数量、生产批号、保质期、供货者名称及联系方式、进货日期等内容），双方签字确认。</w:t>
      </w:r>
    </w:p>
    <w:p w14:paraId="16E7572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2.中标人应保证食材到达用户所在地完好无损，如有缺漏、损坏，由中标人负责调换、补齐或赔偿。</w:t>
      </w:r>
    </w:p>
    <w:p w14:paraId="3B0473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3.中标人提供食材未达到本招标文件要求的，如属不合格或劣质产品，且对招标人造成损失的，由中标人承担一切责任，并赔偿所造成的损失。</w:t>
      </w:r>
    </w:p>
    <w:p w14:paraId="7E617C16">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五、质量保证及售后服务</w:t>
      </w:r>
    </w:p>
    <w:p w14:paraId="16D0D07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1.中标人提供的食材在质量期内因食材本身的质量问题发生故障，中标人应负责免费更换。对达不到技术要求者，根据实际情况，经双方协商，可按以下办法处理：</w:t>
      </w:r>
    </w:p>
    <w:p w14:paraId="20A5C32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⑴更换：由中标人承担所发生的全部费用。</w:t>
      </w:r>
    </w:p>
    <w:p w14:paraId="52784A8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⑵贬值处理：由双方合议定价。</w:t>
      </w:r>
    </w:p>
    <w:p w14:paraId="3763633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⑶退货处理：中标人应退还招标人支付的合同款，同时应承担该食材的直接费用（储存、保管、检验、运输等）。</w:t>
      </w:r>
    </w:p>
    <w:p w14:paraId="492EBEE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2.质保期：</w:t>
      </w:r>
      <w:r>
        <w:rPr>
          <w:rFonts w:hint="eastAsia" w:ascii="宋体" w:hAnsi="宋体" w:eastAsia="宋体" w:cs="宋体"/>
          <w:b w:val="0"/>
          <w:bCs w:val="0"/>
          <w:sz w:val="21"/>
          <w:szCs w:val="21"/>
          <w:u w:val="single"/>
          <w:lang w:val="en-US" w:eastAsia="zh-CN"/>
        </w:rPr>
        <w:t xml:space="preserve"> 1 </w:t>
      </w:r>
      <w:r>
        <w:rPr>
          <w:rFonts w:hint="eastAsia" w:ascii="宋体" w:hAnsi="宋体" w:eastAsia="宋体" w:cs="宋体"/>
          <w:b w:val="0"/>
          <w:bCs w:val="0"/>
          <w:sz w:val="21"/>
          <w:szCs w:val="21"/>
          <w:lang w:val="en-US" w:eastAsia="zh-CN"/>
        </w:rPr>
        <w:t>年。质保期自验收合格之日起算。在质保期内，中标人应对食材出现的质量及安全问题负责处理解决并承担一切费用。</w:t>
      </w:r>
    </w:p>
    <w:p w14:paraId="32E94CD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中标人所送食品原料必须符合国家安全卫生及质量检测标准，招标人实行食品原料进货检查验收制度，每有一个细则不符合标准，则招标人扣除总货款的10%，如因中标人的伪劣食品造成安全事故，中标人除承担经济赔偿外，还要承担相应法律责任。招标人有权向中标人索取和查验营业执照、生产许可证、经营许可证、卫生许可证、产品标准登记注册证、商标注册证等相关证照并保存复印件。对进场的食品原料，招标人有权索取质量检验证明、出库凭证等与安全有关的证明。</w:t>
      </w:r>
    </w:p>
    <w:p w14:paraId="6BE0E46B">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五、结算支付</w:t>
      </w:r>
    </w:p>
    <w:p w14:paraId="0E75B26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1、付款方式：货款最终由食堂承包商与供应商统一结算。每自然月为一结算周期，付款日期为次月，分别跨寒暑假两月的账务，按相邻两月账期合并结账。</w:t>
      </w:r>
    </w:p>
    <w:p w14:paraId="237718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注：因乙方不能及时核对供货量造成招标人不能及时核算的，乙方自行承担责任，甲方不承担责任。</w:t>
      </w:r>
    </w:p>
    <w:p w14:paraId="3ECEEBB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2、调价机制：</w:t>
      </w:r>
    </w:p>
    <w:p w14:paraId="454486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2.1一标段、二标段、三标段、四标段、</w:t>
      </w:r>
      <w:r>
        <w:rPr>
          <w:rFonts w:hint="eastAsia" w:ascii="宋体" w:hAnsi="宋体" w:cs="宋体"/>
          <w:b w:val="0"/>
          <w:bCs w:val="0"/>
          <w:sz w:val="21"/>
          <w:szCs w:val="21"/>
          <w:lang w:val="en-US" w:eastAsia="zh-CN"/>
        </w:rPr>
        <w:t>七标段、</w:t>
      </w:r>
      <w:r>
        <w:rPr>
          <w:rFonts w:hint="eastAsia" w:ascii="宋体" w:hAnsi="宋体" w:eastAsia="宋体" w:cs="宋体"/>
          <w:b w:val="0"/>
          <w:bCs w:val="0"/>
          <w:sz w:val="21"/>
          <w:szCs w:val="21"/>
          <w:lang w:val="en-US" w:eastAsia="zh-CN"/>
        </w:rPr>
        <w:t>八标段：所有食品原料市场价格波动在±2%以上，授权后勤管理处、餐饮公司与中标单位进行议价，以议定的价格执行，若议价不成，另行招标；如价格无变动或变动在±2%以内，则按原价格执行。</w:t>
      </w:r>
    </w:p>
    <w:p w14:paraId="20F513F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2.2五标段、六标段、九标段：在协议期内，由后勤管理处定期组织相关餐厅负责人邀请协议供货单位进行议价，以议定的供货价格执行。</w:t>
      </w:r>
    </w:p>
    <w:p w14:paraId="528EDB5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2.3十标段：在协议期内，每两周由后勤管理处组织相关餐厅负责人邀请协议供货单位进行议价，以议定的供货价格执行。</w:t>
      </w:r>
    </w:p>
    <w:p w14:paraId="779EFCA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kern w:val="2"/>
          <w:sz w:val="21"/>
          <w:szCs w:val="21"/>
          <w:lang w:val="en-US" w:eastAsia="zh-CN" w:bidi="ar-SA"/>
        </w:rPr>
        <w:t>六、</w:t>
      </w:r>
      <w:r>
        <w:rPr>
          <w:rFonts w:hint="eastAsia" w:ascii="宋体" w:hAnsi="宋体" w:eastAsia="宋体" w:cs="宋体"/>
          <w:b/>
          <w:bCs/>
          <w:sz w:val="21"/>
          <w:szCs w:val="21"/>
          <w:lang w:val="en-US" w:eastAsia="zh-CN"/>
        </w:rPr>
        <w:t>履约保证金</w:t>
      </w:r>
    </w:p>
    <w:p w14:paraId="1B09D8B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在签订合同前，中标人需向招标人交纳履约保证金（请将履约保证金汇款凭证发送至QQ邮箱：532223373@qq.com），具体金额为壹万元/每标段。拟中标人应当按照招标人的要求及时、足额缴纳履约保证金，履约保证金待项目验收结束后无质量问题一次性无息退还。</w:t>
      </w:r>
    </w:p>
    <w:p w14:paraId="2193CB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如果拟中标人没有在规定的时间内交纳履约保证金，或放弃中标、或被查实存在影响中标结果的违法行为、或其他供应商对招标项目的质疑（投诉）成立、或拒绝遵守招标文件规定、响应承诺，或拒绝签订合同、或虽签署合同但不予履行等，则取消（拟）中标人资格，已经缴纳的履约保证金作为违约金不予退还。</w:t>
      </w:r>
    </w:p>
    <w:p w14:paraId="2BFDDDB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履约保证金退还：中标人缴纳的履约保证金待项目验收结束后无质量问题一次性无息退还，（凭“保证金请退函”到学校国资处办理退款手续）。如果中标人不履行合同约定的义务，未能完全履行合同规定的义务或其履行不符合合同的约定，招标人有权扣除履约保证金取得补偿。</w:t>
      </w:r>
    </w:p>
    <w:p w14:paraId="2AAFCD40">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七、采购清单</w:t>
      </w:r>
    </w:p>
    <w:p w14:paraId="4601E11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详见分项报价表</w:t>
      </w:r>
    </w:p>
    <w:p w14:paraId="51B0CC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kern w:val="2"/>
          <w:sz w:val="21"/>
          <w:szCs w:val="21"/>
          <w:lang w:val="en-US" w:eastAsia="zh-CN" w:bidi="ar-SA"/>
        </w:rPr>
        <w:t>八、</w:t>
      </w:r>
      <w:r>
        <w:rPr>
          <w:rFonts w:hint="eastAsia" w:ascii="宋体" w:hAnsi="宋体" w:eastAsia="宋体" w:cs="宋体"/>
          <w:b/>
          <w:bCs/>
          <w:sz w:val="21"/>
          <w:szCs w:val="21"/>
          <w:lang w:val="en-US" w:eastAsia="zh-CN"/>
        </w:rPr>
        <w:t>报价说明</w:t>
      </w:r>
    </w:p>
    <w:p w14:paraId="3D82743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投标人的投标报价是对本次采购及相关服务提出的各项支付金额的总和，包括（但不限于）为完成2026-2028学年食堂大宗食品原料代采购项目招标文件所确定的供货、验收交付及伴随服务等招标范围内的全部内容，以及为完成上述内容所必须的质量保证与技术支持、采购、加工制造（包括所有制造生产成本、附件、配件等）、装卸、运输、供货、检测检验、技术服务、验收、交付、售前售后服务以及材料、劳务、机械投入、利润、税金、管理费、规费、措施费、风险费用、招标文件规定的各项所需的全部费用、不可预见费及其它一切相关费用。凡漏项或少计均视为已包含在本次投标报价的范围以内，招标人不再另行增加费用，结算时不再调整单价。</w:t>
      </w:r>
    </w:p>
    <w:p w14:paraId="715F4B7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2、投标人在投标报价时，不得进行投标总价或合价的优惠（或降价、让利）或隐性提价；单价与供货数量的乘积应与合价一致。</w:t>
      </w:r>
    </w:p>
    <w:p w14:paraId="59A67D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投标人应充分考虑交货期间各类材料的市场风险和国家政策性调整风险系数，除合同约定可以调整的因素外，在合同实施期间材料价格不因市场变化或其他任何因素变化而变动，投标人在投标报价时应充分考虑本项目合同的风险。</w:t>
      </w:r>
    </w:p>
    <w:p w14:paraId="41D922E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4、除计价规范另有规定外，投标文件使用的度量衡单位，均采用中华人民共和国法定计量单位，投标文件和与投标有关的所有文件均应使用中文，投标报价统一采用人民币作为计量单位。 </w:t>
      </w:r>
    </w:p>
    <w:p w14:paraId="1F49EC01">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5、本次招标所有标段为单价报价，投标人按照各品种分别报单价、各品种合计价（单价*权重）、总合计价（各品种合计价总和），评标时以总合计价最低价作为评标基准价并计算各投标人价格分。且无论市场价格如何变化，中标报价执行一个月后，再启动议价机制进行议价。</w:t>
      </w:r>
    </w:p>
    <w:p w14:paraId="65E350D8">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val="0"/>
          <w:bCs w:val="0"/>
          <w:i w:val="0"/>
          <w:iCs w:val="0"/>
          <w:color w:val="FF0000"/>
          <w:sz w:val="21"/>
          <w:szCs w:val="21"/>
          <w:u w:val="none"/>
          <w:lang w:val="en-US" w:eastAsia="zh-CN"/>
        </w:rPr>
      </w:pPr>
      <w:r>
        <w:rPr>
          <w:rFonts w:hint="eastAsia" w:ascii="宋体" w:hAnsi="宋体" w:eastAsia="宋体" w:cs="宋体"/>
          <w:b/>
          <w:bCs/>
          <w:i w:val="0"/>
          <w:iCs w:val="0"/>
          <w:color w:val="FF0000"/>
          <w:sz w:val="21"/>
          <w:szCs w:val="21"/>
          <w:u w:val="none"/>
          <w:lang w:val="en-US" w:eastAsia="zh-CN"/>
        </w:rPr>
        <w:t>6、开标一览表中投标人仅对自己单标段标书所参与的标段打勾填写报价，投标人不得作出选择性报价，否则作无效投标。</w:t>
      </w:r>
    </w:p>
    <w:p w14:paraId="6F138605">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宋体" w:hAnsi="宋体" w:eastAsia="宋体" w:cs="宋体"/>
          <w:b/>
          <w:bCs/>
          <w:i w:val="0"/>
          <w:iCs w:val="0"/>
          <w:color w:val="FF0000"/>
          <w:sz w:val="21"/>
          <w:szCs w:val="21"/>
          <w:u w:val="none"/>
          <w:lang w:val="en-US" w:eastAsia="zh-CN"/>
        </w:rPr>
      </w:pPr>
      <w:r>
        <w:rPr>
          <w:rFonts w:hint="eastAsia" w:ascii="宋体" w:hAnsi="宋体" w:eastAsia="宋体" w:cs="宋体"/>
          <w:b/>
          <w:bCs/>
          <w:i w:val="0"/>
          <w:iCs w:val="0"/>
          <w:color w:val="FF0000"/>
          <w:sz w:val="21"/>
          <w:szCs w:val="21"/>
          <w:u w:val="none"/>
          <w:lang w:val="en-US" w:eastAsia="zh-CN"/>
        </w:rPr>
        <w:t>7、投标人</w:t>
      </w:r>
      <w:r>
        <w:rPr>
          <w:rFonts w:hint="eastAsia" w:ascii="宋体" w:hAnsi="宋体" w:cs="宋体"/>
          <w:b/>
          <w:bCs/>
          <w:i w:val="0"/>
          <w:iCs w:val="0"/>
          <w:color w:val="FF0000"/>
          <w:sz w:val="21"/>
          <w:szCs w:val="21"/>
          <w:u w:val="none"/>
          <w:lang w:val="en-US" w:eastAsia="zh-CN"/>
        </w:rPr>
        <w:t>在</w:t>
      </w:r>
      <w:r>
        <w:rPr>
          <w:rFonts w:hint="eastAsia" w:ascii="宋体" w:hAnsi="宋体" w:eastAsia="宋体" w:cs="宋体"/>
          <w:b/>
          <w:bCs/>
          <w:i w:val="0"/>
          <w:iCs w:val="0"/>
          <w:color w:val="FF0000"/>
          <w:sz w:val="21"/>
          <w:szCs w:val="21"/>
          <w:u w:val="none"/>
          <w:lang w:val="en-US" w:eastAsia="zh-CN"/>
        </w:rPr>
        <w:t>分项报价表中的报价注意规格和单价之间的换算</w:t>
      </w:r>
      <w:r>
        <w:rPr>
          <w:rFonts w:hint="eastAsia" w:ascii="宋体" w:hAnsi="宋体" w:cs="宋体"/>
          <w:b/>
          <w:bCs/>
          <w:i w:val="0"/>
          <w:iCs w:val="0"/>
          <w:color w:val="FF0000"/>
          <w:sz w:val="21"/>
          <w:szCs w:val="21"/>
          <w:u w:val="none"/>
          <w:lang w:val="en-US" w:eastAsia="zh-CN"/>
        </w:rPr>
        <w:t>（如一标段大米规格要求为</w:t>
      </w:r>
      <w:r>
        <w:rPr>
          <w:rFonts w:hint="eastAsia" w:ascii="宋体" w:hAnsi="宋体" w:eastAsia="宋体" w:cs="宋体"/>
          <w:b/>
          <w:bCs/>
          <w:i w:val="0"/>
          <w:iCs w:val="0"/>
          <w:color w:val="FF0000"/>
          <w:sz w:val="21"/>
          <w:szCs w:val="21"/>
          <w:u w:val="none"/>
          <w:lang w:val="en-US" w:eastAsia="zh-CN"/>
        </w:rPr>
        <w:t>50斤/袋，但是</w:t>
      </w:r>
      <w:r>
        <w:rPr>
          <w:rFonts w:hint="eastAsia" w:ascii="宋体" w:hAnsi="宋体" w:cs="宋体"/>
          <w:b/>
          <w:bCs/>
          <w:i w:val="0"/>
          <w:iCs w:val="0"/>
          <w:color w:val="FF0000"/>
          <w:sz w:val="21"/>
          <w:szCs w:val="21"/>
          <w:u w:val="none"/>
          <w:lang w:val="en-US" w:eastAsia="zh-CN"/>
        </w:rPr>
        <w:t>投标</w:t>
      </w:r>
      <w:r>
        <w:rPr>
          <w:rFonts w:hint="eastAsia" w:ascii="宋体" w:hAnsi="宋体" w:eastAsia="宋体" w:cs="宋体"/>
          <w:b/>
          <w:bCs/>
          <w:i w:val="0"/>
          <w:iCs w:val="0"/>
          <w:color w:val="FF0000"/>
          <w:sz w:val="21"/>
          <w:szCs w:val="21"/>
          <w:u w:val="none"/>
          <w:lang w:val="en-US" w:eastAsia="zh-CN"/>
        </w:rPr>
        <w:t>单价为：元/斤，投标人须自行换算价格</w:t>
      </w:r>
      <w:r>
        <w:rPr>
          <w:rFonts w:hint="eastAsia" w:ascii="宋体" w:hAnsi="宋体" w:cs="宋体"/>
          <w:b/>
          <w:bCs/>
          <w:i w:val="0"/>
          <w:iCs w:val="0"/>
          <w:color w:val="FF0000"/>
          <w:sz w:val="21"/>
          <w:szCs w:val="21"/>
          <w:u w:val="none"/>
          <w:lang w:val="en-US" w:eastAsia="zh-CN"/>
        </w:rPr>
        <w:t>）</w:t>
      </w:r>
      <w:r>
        <w:rPr>
          <w:rFonts w:hint="eastAsia" w:ascii="宋体" w:hAnsi="宋体" w:eastAsia="宋体" w:cs="宋体"/>
          <w:b/>
          <w:bCs/>
          <w:i w:val="0"/>
          <w:iCs w:val="0"/>
          <w:color w:val="FF0000"/>
          <w:sz w:val="21"/>
          <w:szCs w:val="21"/>
          <w:u w:val="none"/>
          <w:lang w:val="en-US" w:eastAsia="zh-CN"/>
        </w:rPr>
        <w:t>，因投标人报价</w:t>
      </w:r>
      <w:r>
        <w:rPr>
          <w:rFonts w:hint="eastAsia" w:ascii="宋体" w:hAnsi="宋体" w:cs="宋体"/>
          <w:b/>
          <w:bCs/>
          <w:i w:val="0"/>
          <w:iCs w:val="0"/>
          <w:color w:val="FF0000"/>
          <w:sz w:val="21"/>
          <w:szCs w:val="21"/>
          <w:u w:val="none"/>
          <w:lang w:val="en-US" w:eastAsia="zh-CN"/>
        </w:rPr>
        <w:t>失误</w:t>
      </w:r>
      <w:r>
        <w:rPr>
          <w:rFonts w:hint="eastAsia" w:ascii="宋体" w:hAnsi="宋体" w:eastAsia="宋体" w:cs="宋体"/>
          <w:b/>
          <w:bCs/>
          <w:i w:val="0"/>
          <w:iCs w:val="0"/>
          <w:color w:val="FF0000"/>
          <w:sz w:val="21"/>
          <w:szCs w:val="21"/>
          <w:u w:val="none"/>
          <w:lang w:val="en-US" w:eastAsia="zh-CN"/>
        </w:rPr>
        <w:t>产生的后果，投标人自行承担一切</w:t>
      </w:r>
      <w:r>
        <w:rPr>
          <w:rFonts w:hint="eastAsia" w:ascii="宋体" w:hAnsi="宋体" w:cs="宋体"/>
          <w:b/>
          <w:bCs/>
          <w:i w:val="0"/>
          <w:iCs w:val="0"/>
          <w:color w:val="FF0000"/>
          <w:sz w:val="21"/>
          <w:szCs w:val="21"/>
          <w:u w:val="none"/>
          <w:lang w:val="en-US" w:eastAsia="zh-CN"/>
        </w:rPr>
        <w:t>损失</w:t>
      </w:r>
      <w:r>
        <w:rPr>
          <w:rFonts w:hint="eastAsia" w:ascii="宋体" w:hAnsi="宋体" w:eastAsia="宋体" w:cs="宋体"/>
          <w:b/>
          <w:bCs/>
          <w:i w:val="0"/>
          <w:iCs w:val="0"/>
          <w:color w:val="FF0000"/>
          <w:sz w:val="21"/>
          <w:szCs w:val="21"/>
          <w:u w:val="none"/>
          <w:lang w:val="en-US" w:eastAsia="zh-CN"/>
        </w:rPr>
        <w:t>。</w:t>
      </w:r>
    </w:p>
    <w:p w14:paraId="2B705713">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i w:val="0"/>
          <w:iCs w:val="0"/>
          <w:color w:val="FF0000"/>
          <w:sz w:val="21"/>
          <w:szCs w:val="21"/>
          <w:u w:val="none"/>
          <w:lang w:val="en-US" w:eastAsia="zh-CN"/>
        </w:rPr>
      </w:pPr>
      <w:r>
        <w:rPr>
          <w:rFonts w:hint="eastAsia" w:ascii="宋体" w:hAnsi="宋体" w:cs="宋体"/>
          <w:b/>
          <w:bCs/>
          <w:i w:val="0"/>
          <w:iCs w:val="0"/>
          <w:color w:val="FF0000"/>
          <w:sz w:val="21"/>
          <w:szCs w:val="21"/>
          <w:u w:val="none"/>
          <w:lang w:val="en-US" w:eastAsia="zh-CN"/>
        </w:rPr>
        <w:t>8</w:t>
      </w:r>
      <w:r>
        <w:rPr>
          <w:rFonts w:hint="eastAsia" w:ascii="宋体" w:hAnsi="宋体" w:eastAsia="宋体" w:cs="宋体"/>
          <w:b/>
          <w:bCs/>
          <w:i w:val="0"/>
          <w:iCs w:val="0"/>
          <w:color w:val="FF0000"/>
          <w:sz w:val="21"/>
          <w:szCs w:val="21"/>
          <w:u w:val="none"/>
          <w:lang w:val="en-US" w:eastAsia="zh-CN"/>
        </w:rPr>
        <w:t>、经招标人成本核算，投标人的投标报价明显低于其成本价的，投标人自行承担一切后果。</w:t>
      </w:r>
    </w:p>
    <w:p w14:paraId="69180FD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9、投标人投标时无需选择某一具体品牌，分项报价表中推荐品牌仅作为参考，如投标人采用推荐品牌以外的其他品牌产品供货的，质量和性能等技术指标必须优于或者相当于推荐品牌。部分食材无推荐品牌的，投标人可自行填写。所提供单品和实际需要相匹配即可。</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64450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2026-09-07T02:16:49Z</dcterms:created>
  <dc:creator>xy152</dc:creator>
  <cp:lastModifiedBy>李想</cp:lastModifiedBy>
  <dcterms:modified xsi:type="dcterms:W3CDTF">2026-09-07T02:20:33Z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eyJoZGlkIjoiZjlmZTM0ZGMxZDQ4NTg1YTBhZDhhZGQxYWIwMmZkMGUiLCJ1c2VySWQiOiIxMTc3MDM5MTI1In0=</vt:lpwstr>
  </property>
  <property fmtid="{D5CDD505-2E9C-101B-9397-08002B2CF9AE}" pid="4" name="ICV">
    <vt:lpwstr>2016036E65F941D2B1075EE9C19AEBCA_12</vt:lpwstr>
  </property>
</Properties>
</file>