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2741E">
      <w:pPr>
        <w:spacing w:line="500" w:lineRule="exact"/>
        <w:ind w:firstLine="3080" w:firstLineChars="700"/>
        <w:outlineLvl w:val="0"/>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项目需求</w:t>
      </w:r>
    </w:p>
    <w:p w14:paraId="26AD5301"/>
    <w:p w14:paraId="6256185D">
      <w:pPr>
        <w:spacing w:line="420" w:lineRule="exact"/>
        <w:ind w:left="442"/>
        <w:rPr>
          <w:rFonts w:ascii="宋体" w:hAnsi="宋体" w:cs="宋体"/>
          <w:b/>
          <w:bCs/>
          <w:color w:val="000000"/>
        </w:rPr>
      </w:pPr>
      <w:r>
        <w:rPr>
          <w:rFonts w:ascii="宋体" w:hAnsi="宋体"/>
          <w:bCs/>
          <w:kern w:val="1"/>
          <w:sz w:val="24"/>
          <w:szCs w:val="28"/>
        </w:rPr>
        <w:t>一</w:t>
      </w:r>
      <w:r>
        <w:rPr>
          <w:rFonts w:ascii="宋体" w:hAnsi="宋体" w:cs="宋体"/>
          <w:b/>
          <w:bCs/>
          <w:color w:val="000000"/>
          <w:sz w:val="22"/>
        </w:rPr>
        <w:t>、</w:t>
      </w:r>
      <w:r>
        <w:rPr>
          <w:rFonts w:hint="eastAsia" w:ascii="宋体" w:hAnsi="宋体" w:cs="宋体"/>
          <w:b/>
          <w:bCs/>
          <w:color w:val="000000"/>
        </w:rPr>
        <w:t>项目概况</w:t>
      </w:r>
    </w:p>
    <w:p w14:paraId="1FC0D25A">
      <w:pPr>
        <w:spacing w:line="420" w:lineRule="exact"/>
        <w:ind w:left="442" w:firstLine="480" w:firstLineChars="200"/>
        <w:rPr>
          <w:rFonts w:ascii="宋体" w:hAnsi="宋体"/>
          <w:sz w:val="24"/>
          <w:szCs w:val="24"/>
        </w:rPr>
      </w:pPr>
      <w:r>
        <w:rPr>
          <w:rFonts w:ascii="宋体" w:hAnsi="宋体"/>
          <w:sz w:val="24"/>
          <w:szCs w:val="24"/>
        </w:rPr>
        <w:t>为进一步规范校园</w:t>
      </w:r>
      <w:bookmarkStart w:id="0" w:name="_GoBack"/>
      <w:bookmarkEnd w:id="0"/>
      <w:r>
        <w:rPr>
          <w:rFonts w:ascii="宋体" w:hAnsi="宋体"/>
          <w:sz w:val="24"/>
          <w:szCs w:val="24"/>
        </w:rPr>
        <w:t>非机动车安全充电管理，满足师生员工校园交通需求，通过引进社会优质非机动车充电桩运营商家，出资建设非机动车充电桩，并负责日常运行管理维护等工作。拟在江苏医药职业学院建设电动自行车充电桩终端充电插座约340个(其中东园约120个、西园约220个)，具体数量以现场为准。后续如需增加充电插座，由本项目中标方全资投入建设。</w:t>
      </w:r>
    </w:p>
    <w:tbl>
      <w:tblPr>
        <w:tblStyle w:val="2"/>
        <w:tblW w:w="7704" w:type="dxa"/>
        <w:tblInd w:w="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036"/>
        <w:gridCol w:w="2014"/>
        <w:gridCol w:w="1833"/>
      </w:tblGrid>
      <w:tr w14:paraId="5289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04" w:type="dxa"/>
            <w:gridSpan w:val="4"/>
            <w:noWrap/>
            <w:vAlign w:val="center"/>
          </w:tcPr>
          <w:p w14:paraId="43529778">
            <w:pPr>
              <w:widowControl/>
              <w:spacing w:line="560" w:lineRule="exact"/>
              <w:jc w:val="center"/>
              <w:rPr>
                <w:rFonts w:ascii="宋体" w:hAnsi="宋体"/>
                <w:color w:val="000000"/>
                <w:kern w:val="0"/>
                <w:sz w:val="24"/>
                <w:szCs w:val="28"/>
              </w:rPr>
            </w:pPr>
            <w:r>
              <w:rPr>
                <w:rFonts w:hint="eastAsia" w:ascii="宋体" w:hAnsi="宋体"/>
                <w:b/>
                <w:bCs/>
                <w:color w:val="000000"/>
                <w:kern w:val="0"/>
                <w:sz w:val="24"/>
                <w:szCs w:val="28"/>
              </w:rPr>
              <w:t>电动自行车</w:t>
            </w:r>
            <w:r>
              <w:rPr>
                <w:rFonts w:ascii="宋体" w:hAnsi="宋体"/>
                <w:b/>
                <w:bCs/>
                <w:color w:val="000000"/>
                <w:kern w:val="0"/>
                <w:sz w:val="24"/>
                <w:szCs w:val="28"/>
              </w:rPr>
              <w:t>充电桩地点</w:t>
            </w:r>
          </w:p>
        </w:tc>
      </w:tr>
      <w:tr w14:paraId="47B2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21" w:type="dxa"/>
            <w:noWrap/>
            <w:vAlign w:val="center"/>
          </w:tcPr>
          <w:p w14:paraId="0628B0AD">
            <w:pPr>
              <w:widowControl/>
              <w:spacing w:line="560" w:lineRule="exact"/>
              <w:jc w:val="center"/>
              <w:rPr>
                <w:rFonts w:ascii="宋体" w:hAnsi="宋体"/>
                <w:color w:val="000000"/>
                <w:kern w:val="0"/>
                <w:sz w:val="24"/>
                <w:szCs w:val="28"/>
              </w:rPr>
            </w:pPr>
            <w:r>
              <w:rPr>
                <w:rFonts w:ascii="宋体" w:hAnsi="宋体"/>
                <w:color w:val="000000"/>
                <w:kern w:val="0"/>
                <w:sz w:val="24"/>
                <w:szCs w:val="28"/>
              </w:rPr>
              <w:t>校区</w:t>
            </w:r>
          </w:p>
        </w:tc>
        <w:tc>
          <w:tcPr>
            <w:tcW w:w="2036" w:type="dxa"/>
            <w:noWrap/>
            <w:vAlign w:val="center"/>
          </w:tcPr>
          <w:p w14:paraId="620E7DBD">
            <w:pPr>
              <w:widowControl/>
              <w:spacing w:line="560" w:lineRule="exact"/>
              <w:jc w:val="center"/>
              <w:rPr>
                <w:rFonts w:ascii="宋体" w:hAnsi="宋体"/>
                <w:color w:val="000000"/>
                <w:kern w:val="0"/>
                <w:sz w:val="24"/>
                <w:szCs w:val="28"/>
              </w:rPr>
            </w:pPr>
            <w:r>
              <w:rPr>
                <w:rFonts w:ascii="宋体" w:hAnsi="宋体"/>
                <w:color w:val="000000"/>
                <w:kern w:val="0"/>
                <w:sz w:val="24"/>
                <w:szCs w:val="28"/>
              </w:rPr>
              <w:t>楼宇</w:t>
            </w:r>
          </w:p>
        </w:tc>
        <w:tc>
          <w:tcPr>
            <w:tcW w:w="2014" w:type="dxa"/>
            <w:noWrap/>
            <w:vAlign w:val="center"/>
          </w:tcPr>
          <w:p w14:paraId="60FAB1E5">
            <w:pPr>
              <w:widowControl/>
              <w:spacing w:line="560" w:lineRule="exact"/>
              <w:jc w:val="center"/>
              <w:rPr>
                <w:rFonts w:ascii="宋体" w:hAnsi="宋体"/>
                <w:color w:val="000000"/>
                <w:kern w:val="0"/>
                <w:sz w:val="24"/>
                <w:szCs w:val="28"/>
              </w:rPr>
            </w:pPr>
            <w:r>
              <w:rPr>
                <w:rFonts w:ascii="宋体" w:hAnsi="宋体"/>
                <w:color w:val="000000"/>
                <w:kern w:val="0"/>
                <w:sz w:val="24"/>
                <w:szCs w:val="28"/>
              </w:rPr>
              <w:t>地点</w:t>
            </w:r>
          </w:p>
        </w:tc>
        <w:tc>
          <w:tcPr>
            <w:tcW w:w="1833" w:type="dxa"/>
            <w:noWrap/>
            <w:vAlign w:val="center"/>
          </w:tcPr>
          <w:p w14:paraId="0C879029">
            <w:pPr>
              <w:widowControl/>
              <w:spacing w:line="560" w:lineRule="exact"/>
              <w:jc w:val="center"/>
              <w:rPr>
                <w:rFonts w:ascii="宋体" w:hAnsi="宋体"/>
                <w:color w:val="000000"/>
                <w:kern w:val="0"/>
                <w:sz w:val="24"/>
                <w:szCs w:val="28"/>
              </w:rPr>
            </w:pPr>
            <w:r>
              <w:rPr>
                <w:rFonts w:ascii="宋体" w:hAnsi="宋体"/>
                <w:color w:val="000000"/>
                <w:kern w:val="0"/>
                <w:sz w:val="24"/>
                <w:szCs w:val="28"/>
              </w:rPr>
              <w:t>备注</w:t>
            </w:r>
          </w:p>
        </w:tc>
      </w:tr>
      <w:tr w14:paraId="02D5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21" w:type="dxa"/>
            <w:noWrap/>
            <w:vAlign w:val="center"/>
          </w:tcPr>
          <w:p w14:paraId="1A58E3F4">
            <w:pPr>
              <w:widowControl/>
              <w:spacing w:line="560" w:lineRule="exact"/>
              <w:jc w:val="center"/>
              <w:rPr>
                <w:rFonts w:ascii="宋体" w:hAnsi="宋体"/>
                <w:color w:val="000000"/>
                <w:kern w:val="0"/>
                <w:sz w:val="24"/>
                <w:szCs w:val="28"/>
              </w:rPr>
            </w:pPr>
            <w:r>
              <w:rPr>
                <w:rFonts w:ascii="宋体" w:hAnsi="宋体"/>
                <w:color w:val="000000"/>
                <w:kern w:val="0"/>
                <w:sz w:val="24"/>
                <w:szCs w:val="28"/>
              </w:rPr>
              <w:t>东园</w:t>
            </w:r>
          </w:p>
        </w:tc>
        <w:tc>
          <w:tcPr>
            <w:tcW w:w="2036" w:type="dxa"/>
            <w:noWrap/>
            <w:vAlign w:val="center"/>
          </w:tcPr>
          <w:p w14:paraId="5F2DB50C">
            <w:pPr>
              <w:widowControl/>
              <w:spacing w:line="560" w:lineRule="exact"/>
              <w:jc w:val="center"/>
              <w:rPr>
                <w:rFonts w:ascii="宋体" w:hAnsi="宋体"/>
                <w:color w:val="000000"/>
                <w:kern w:val="0"/>
                <w:sz w:val="24"/>
                <w:szCs w:val="28"/>
              </w:rPr>
            </w:pPr>
            <w:r>
              <w:rPr>
                <w:rFonts w:ascii="宋体" w:hAnsi="宋体"/>
                <w:color w:val="000000"/>
                <w:kern w:val="0"/>
                <w:sz w:val="24"/>
                <w:szCs w:val="28"/>
              </w:rPr>
              <w:t>行政楼</w:t>
            </w:r>
          </w:p>
        </w:tc>
        <w:tc>
          <w:tcPr>
            <w:tcW w:w="2014" w:type="dxa"/>
            <w:noWrap/>
            <w:vAlign w:val="center"/>
          </w:tcPr>
          <w:p w14:paraId="77876A0B">
            <w:pPr>
              <w:widowControl/>
              <w:spacing w:line="560" w:lineRule="exact"/>
              <w:jc w:val="center"/>
              <w:rPr>
                <w:rFonts w:ascii="宋体" w:hAnsi="宋体"/>
                <w:color w:val="000000"/>
                <w:kern w:val="0"/>
                <w:sz w:val="24"/>
                <w:szCs w:val="28"/>
              </w:rPr>
            </w:pPr>
            <w:r>
              <w:rPr>
                <w:rFonts w:ascii="宋体" w:hAnsi="宋体"/>
                <w:color w:val="000000"/>
                <w:kern w:val="0"/>
                <w:sz w:val="24"/>
                <w:szCs w:val="28"/>
              </w:rPr>
              <w:t>东侧车棚</w:t>
            </w:r>
          </w:p>
        </w:tc>
        <w:tc>
          <w:tcPr>
            <w:tcW w:w="1833" w:type="dxa"/>
            <w:noWrap/>
            <w:vAlign w:val="center"/>
          </w:tcPr>
          <w:p w14:paraId="20FC1C49">
            <w:pPr>
              <w:widowControl/>
              <w:spacing w:line="560" w:lineRule="exact"/>
              <w:jc w:val="center"/>
              <w:rPr>
                <w:rFonts w:ascii="宋体" w:hAnsi="宋体"/>
                <w:color w:val="000000"/>
                <w:kern w:val="0"/>
                <w:sz w:val="24"/>
                <w:szCs w:val="28"/>
              </w:rPr>
            </w:pPr>
            <w:r>
              <w:rPr>
                <w:rFonts w:ascii="宋体" w:hAnsi="宋体"/>
                <w:color w:val="000000"/>
                <w:kern w:val="0"/>
                <w:sz w:val="24"/>
                <w:szCs w:val="28"/>
              </w:rPr>
              <w:t>约80个</w:t>
            </w:r>
          </w:p>
        </w:tc>
      </w:tr>
      <w:tr w14:paraId="182B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21" w:type="dxa"/>
            <w:noWrap/>
            <w:vAlign w:val="center"/>
          </w:tcPr>
          <w:p w14:paraId="64CEFF4D">
            <w:pPr>
              <w:widowControl/>
              <w:spacing w:line="560" w:lineRule="exact"/>
              <w:jc w:val="center"/>
              <w:rPr>
                <w:rFonts w:ascii="宋体" w:hAnsi="宋体"/>
                <w:color w:val="000000"/>
                <w:kern w:val="0"/>
                <w:sz w:val="24"/>
                <w:szCs w:val="28"/>
              </w:rPr>
            </w:pPr>
            <w:r>
              <w:rPr>
                <w:rFonts w:ascii="宋体" w:hAnsi="宋体"/>
                <w:color w:val="000000"/>
                <w:kern w:val="0"/>
                <w:sz w:val="24"/>
                <w:szCs w:val="28"/>
              </w:rPr>
              <w:t>东园</w:t>
            </w:r>
          </w:p>
        </w:tc>
        <w:tc>
          <w:tcPr>
            <w:tcW w:w="2036" w:type="dxa"/>
            <w:noWrap/>
            <w:vAlign w:val="center"/>
          </w:tcPr>
          <w:p w14:paraId="74250C5B">
            <w:pPr>
              <w:widowControl/>
              <w:spacing w:line="560" w:lineRule="exact"/>
              <w:jc w:val="center"/>
              <w:rPr>
                <w:rFonts w:ascii="宋体" w:hAnsi="宋体"/>
                <w:color w:val="000000"/>
                <w:kern w:val="0"/>
                <w:sz w:val="24"/>
                <w:szCs w:val="28"/>
              </w:rPr>
            </w:pPr>
            <w:r>
              <w:rPr>
                <w:rFonts w:ascii="宋体" w:hAnsi="宋体"/>
                <w:color w:val="000000"/>
                <w:kern w:val="0"/>
                <w:sz w:val="24"/>
                <w:szCs w:val="28"/>
              </w:rPr>
              <w:t>西门</w:t>
            </w:r>
          </w:p>
        </w:tc>
        <w:tc>
          <w:tcPr>
            <w:tcW w:w="2014" w:type="dxa"/>
            <w:noWrap/>
            <w:vAlign w:val="center"/>
          </w:tcPr>
          <w:p w14:paraId="4C57F8AB">
            <w:pPr>
              <w:widowControl/>
              <w:spacing w:line="560" w:lineRule="exact"/>
              <w:jc w:val="center"/>
              <w:rPr>
                <w:rFonts w:ascii="宋体" w:hAnsi="宋体"/>
                <w:color w:val="000000"/>
                <w:kern w:val="0"/>
                <w:sz w:val="24"/>
                <w:szCs w:val="28"/>
              </w:rPr>
            </w:pPr>
            <w:r>
              <w:rPr>
                <w:rFonts w:ascii="宋体" w:hAnsi="宋体"/>
                <w:color w:val="000000"/>
                <w:kern w:val="0"/>
                <w:sz w:val="24"/>
                <w:szCs w:val="28"/>
              </w:rPr>
              <w:t>北侧车棚</w:t>
            </w:r>
          </w:p>
        </w:tc>
        <w:tc>
          <w:tcPr>
            <w:tcW w:w="1833" w:type="dxa"/>
            <w:noWrap/>
            <w:vAlign w:val="center"/>
          </w:tcPr>
          <w:p w14:paraId="65EB8A77">
            <w:pPr>
              <w:widowControl/>
              <w:spacing w:line="560" w:lineRule="exact"/>
              <w:jc w:val="center"/>
              <w:rPr>
                <w:rFonts w:ascii="宋体" w:hAnsi="宋体"/>
                <w:color w:val="000000"/>
                <w:kern w:val="0"/>
                <w:sz w:val="24"/>
                <w:szCs w:val="28"/>
              </w:rPr>
            </w:pPr>
            <w:r>
              <w:rPr>
                <w:rFonts w:ascii="宋体" w:hAnsi="宋体"/>
                <w:color w:val="000000"/>
                <w:kern w:val="0"/>
                <w:sz w:val="24"/>
                <w:szCs w:val="28"/>
              </w:rPr>
              <w:t>约40个</w:t>
            </w:r>
          </w:p>
        </w:tc>
      </w:tr>
      <w:tr w14:paraId="4F1F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21" w:type="dxa"/>
            <w:noWrap/>
            <w:vAlign w:val="center"/>
          </w:tcPr>
          <w:p w14:paraId="679567F4">
            <w:pPr>
              <w:widowControl/>
              <w:spacing w:line="560" w:lineRule="exact"/>
              <w:jc w:val="center"/>
              <w:rPr>
                <w:rFonts w:ascii="宋体" w:hAnsi="宋体"/>
                <w:color w:val="000000"/>
                <w:kern w:val="0"/>
                <w:sz w:val="24"/>
                <w:szCs w:val="28"/>
              </w:rPr>
            </w:pPr>
            <w:r>
              <w:rPr>
                <w:rFonts w:ascii="宋体" w:hAnsi="宋体"/>
                <w:color w:val="000000"/>
                <w:kern w:val="0"/>
                <w:sz w:val="24"/>
                <w:szCs w:val="28"/>
              </w:rPr>
              <w:t>西园</w:t>
            </w:r>
          </w:p>
        </w:tc>
        <w:tc>
          <w:tcPr>
            <w:tcW w:w="2036" w:type="dxa"/>
            <w:noWrap/>
            <w:vAlign w:val="center"/>
          </w:tcPr>
          <w:p w14:paraId="69C1F120">
            <w:pPr>
              <w:widowControl/>
              <w:spacing w:line="560" w:lineRule="exact"/>
              <w:jc w:val="center"/>
              <w:rPr>
                <w:rFonts w:ascii="宋体" w:hAnsi="宋体"/>
                <w:color w:val="000000"/>
                <w:kern w:val="0"/>
                <w:sz w:val="24"/>
                <w:szCs w:val="28"/>
              </w:rPr>
            </w:pPr>
            <w:r>
              <w:rPr>
                <w:rFonts w:ascii="宋体" w:hAnsi="宋体"/>
                <w:color w:val="000000"/>
                <w:kern w:val="0"/>
                <w:sz w:val="24"/>
                <w:szCs w:val="28"/>
              </w:rPr>
              <w:t>东宿舍组楼</w:t>
            </w:r>
          </w:p>
        </w:tc>
        <w:tc>
          <w:tcPr>
            <w:tcW w:w="2014" w:type="dxa"/>
            <w:noWrap/>
            <w:vAlign w:val="center"/>
          </w:tcPr>
          <w:p w14:paraId="504C51A2">
            <w:pPr>
              <w:widowControl/>
              <w:spacing w:line="560" w:lineRule="exact"/>
              <w:jc w:val="center"/>
              <w:rPr>
                <w:rFonts w:ascii="宋体" w:hAnsi="宋体"/>
                <w:color w:val="000000"/>
                <w:kern w:val="0"/>
                <w:sz w:val="24"/>
                <w:szCs w:val="28"/>
              </w:rPr>
            </w:pPr>
            <w:r>
              <w:rPr>
                <w:rFonts w:ascii="宋体" w:hAnsi="宋体"/>
                <w:color w:val="000000"/>
                <w:kern w:val="0"/>
                <w:sz w:val="24"/>
                <w:szCs w:val="28"/>
              </w:rPr>
              <w:t>西侧车棚</w:t>
            </w:r>
          </w:p>
        </w:tc>
        <w:tc>
          <w:tcPr>
            <w:tcW w:w="1833" w:type="dxa"/>
            <w:noWrap/>
            <w:vAlign w:val="center"/>
          </w:tcPr>
          <w:p w14:paraId="1AE49B1B">
            <w:pPr>
              <w:widowControl/>
              <w:spacing w:line="560" w:lineRule="exact"/>
              <w:jc w:val="center"/>
              <w:rPr>
                <w:rFonts w:ascii="宋体" w:hAnsi="宋体"/>
                <w:color w:val="000000"/>
                <w:kern w:val="0"/>
                <w:sz w:val="24"/>
                <w:szCs w:val="28"/>
              </w:rPr>
            </w:pPr>
            <w:r>
              <w:rPr>
                <w:rFonts w:ascii="宋体" w:hAnsi="宋体"/>
                <w:color w:val="000000"/>
                <w:kern w:val="0"/>
                <w:sz w:val="24"/>
                <w:szCs w:val="28"/>
              </w:rPr>
              <w:t>约40个</w:t>
            </w:r>
          </w:p>
        </w:tc>
      </w:tr>
      <w:tr w14:paraId="2602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21" w:type="dxa"/>
            <w:noWrap/>
            <w:vAlign w:val="center"/>
          </w:tcPr>
          <w:p w14:paraId="772E8446">
            <w:pPr>
              <w:widowControl/>
              <w:spacing w:line="560" w:lineRule="exact"/>
              <w:jc w:val="center"/>
              <w:rPr>
                <w:rFonts w:ascii="宋体" w:hAnsi="宋体"/>
                <w:color w:val="000000"/>
                <w:kern w:val="0"/>
                <w:sz w:val="24"/>
                <w:szCs w:val="28"/>
              </w:rPr>
            </w:pPr>
            <w:r>
              <w:rPr>
                <w:rFonts w:ascii="宋体" w:hAnsi="宋体"/>
                <w:color w:val="000000"/>
                <w:kern w:val="0"/>
                <w:sz w:val="24"/>
                <w:szCs w:val="28"/>
              </w:rPr>
              <w:t>西园</w:t>
            </w:r>
          </w:p>
        </w:tc>
        <w:tc>
          <w:tcPr>
            <w:tcW w:w="2036" w:type="dxa"/>
            <w:noWrap/>
            <w:vAlign w:val="center"/>
          </w:tcPr>
          <w:p w14:paraId="4E955C5A">
            <w:pPr>
              <w:widowControl/>
              <w:spacing w:line="560" w:lineRule="exact"/>
              <w:jc w:val="center"/>
              <w:rPr>
                <w:rFonts w:ascii="宋体" w:hAnsi="宋体"/>
                <w:color w:val="000000"/>
                <w:kern w:val="0"/>
                <w:sz w:val="24"/>
                <w:szCs w:val="28"/>
              </w:rPr>
            </w:pPr>
            <w:r>
              <w:rPr>
                <w:rFonts w:ascii="宋体" w:hAnsi="宋体"/>
                <w:color w:val="000000"/>
                <w:kern w:val="0"/>
                <w:sz w:val="24"/>
                <w:szCs w:val="28"/>
              </w:rPr>
              <w:t>西宿舍组楼</w:t>
            </w:r>
          </w:p>
        </w:tc>
        <w:tc>
          <w:tcPr>
            <w:tcW w:w="2014" w:type="dxa"/>
            <w:noWrap/>
            <w:vAlign w:val="center"/>
          </w:tcPr>
          <w:p w14:paraId="5304CA53">
            <w:pPr>
              <w:widowControl/>
              <w:spacing w:line="560" w:lineRule="exact"/>
              <w:jc w:val="center"/>
              <w:rPr>
                <w:rFonts w:ascii="宋体" w:hAnsi="宋体"/>
                <w:color w:val="000000"/>
                <w:kern w:val="0"/>
                <w:sz w:val="24"/>
                <w:szCs w:val="28"/>
              </w:rPr>
            </w:pPr>
            <w:r>
              <w:rPr>
                <w:rFonts w:ascii="宋体" w:hAnsi="宋体"/>
                <w:color w:val="000000"/>
                <w:kern w:val="0"/>
                <w:sz w:val="24"/>
                <w:szCs w:val="28"/>
              </w:rPr>
              <w:t>东侧车棚</w:t>
            </w:r>
          </w:p>
        </w:tc>
        <w:tc>
          <w:tcPr>
            <w:tcW w:w="1833" w:type="dxa"/>
            <w:noWrap/>
            <w:vAlign w:val="center"/>
          </w:tcPr>
          <w:p w14:paraId="79D2C5FD">
            <w:pPr>
              <w:widowControl/>
              <w:spacing w:line="560" w:lineRule="exact"/>
              <w:jc w:val="center"/>
              <w:rPr>
                <w:rFonts w:ascii="宋体" w:hAnsi="宋体"/>
                <w:color w:val="000000"/>
                <w:kern w:val="0"/>
                <w:sz w:val="24"/>
                <w:szCs w:val="28"/>
              </w:rPr>
            </w:pPr>
            <w:r>
              <w:rPr>
                <w:rFonts w:ascii="宋体" w:hAnsi="宋体"/>
                <w:color w:val="000000"/>
                <w:kern w:val="0"/>
                <w:sz w:val="24"/>
                <w:szCs w:val="28"/>
              </w:rPr>
              <w:t>约80个</w:t>
            </w:r>
          </w:p>
        </w:tc>
      </w:tr>
      <w:tr w14:paraId="5BDE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21" w:type="dxa"/>
            <w:noWrap/>
            <w:vAlign w:val="center"/>
          </w:tcPr>
          <w:p w14:paraId="472BA570">
            <w:pPr>
              <w:widowControl/>
              <w:spacing w:line="560" w:lineRule="exact"/>
              <w:jc w:val="center"/>
              <w:rPr>
                <w:rFonts w:ascii="宋体" w:hAnsi="宋体"/>
                <w:color w:val="000000"/>
                <w:kern w:val="0"/>
                <w:sz w:val="24"/>
                <w:szCs w:val="28"/>
              </w:rPr>
            </w:pPr>
            <w:r>
              <w:rPr>
                <w:rFonts w:ascii="宋体" w:hAnsi="宋体"/>
                <w:color w:val="000000"/>
                <w:kern w:val="0"/>
                <w:sz w:val="24"/>
                <w:szCs w:val="28"/>
              </w:rPr>
              <w:t>西园</w:t>
            </w:r>
          </w:p>
        </w:tc>
        <w:tc>
          <w:tcPr>
            <w:tcW w:w="2036" w:type="dxa"/>
            <w:noWrap/>
            <w:vAlign w:val="center"/>
          </w:tcPr>
          <w:p w14:paraId="70769DCA">
            <w:pPr>
              <w:widowControl/>
              <w:spacing w:line="560" w:lineRule="exact"/>
              <w:jc w:val="center"/>
              <w:rPr>
                <w:rFonts w:ascii="宋体" w:hAnsi="宋体"/>
                <w:color w:val="000000"/>
                <w:kern w:val="0"/>
                <w:sz w:val="24"/>
                <w:szCs w:val="28"/>
              </w:rPr>
            </w:pPr>
            <w:r>
              <w:rPr>
                <w:rFonts w:ascii="宋体" w:hAnsi="宋体"/>
                <w:color w:val="000000"/>
                <w:kern w:val="0"/>
                <w:sz w:val="24"/>
                <w:szCs w:val="28"/>
              </w:rPr>
              <w:t>康复楼</w:t>
            </w:r>
          </w:p>
        </w:tc>
        <w:tc>
          <w:tcPr>
            <w:tcW w:w="2014" w:type="dxa"/>
            <w:noWrap/>
            <w:vAlign w:val="center"/>
          </w:tcPr>
          <w:p w14:paraId="11904200">
            <w:pPr>
              <w:widowControl/>
              <w:spacing w:line="560" w:lineRule="exact"/>
              <w:jc w:val="center"/>
              <w:rPr>
                <w:rFonts w:ascii="宋体" w:hAnsi="宋体"/>
                <w:color w:val="000000"/>
                <w:kern w:val="0"/>
                <w:sz w:val="24"/>
                <w:szCs w:val="28"/>
              </w:rPr>
            </w:pPr>
            <w:r>
              <w:rPr>
                <w:rFonts w:ascii="宋体" w:hAnsi="宋体"/>
                <w:color w:val="000000"/>
                <w:kern w:val="0"/>
                <w:sz w:val="24"/>
                <w:szCs w:val="28"/>
              </w:rPr>
              <w:t>南侧车棚</w:t>
            </w:r>
          </w:p>
        </w:tc>
        <w:tc>
          <w:tcPr>
            <w:tcW w:w="1833" w:type="dxa"/>
            <w:noWrap/>
            <w:vAlign w:val="center"/>
          </w:tcPr>
          <w:p w14:paraId="6640B7F7">
            <w:pPr>
              <w:widowControl/>
              <w:spacing w:line="560" w:lineRule="exact"/>
              <w:jc w:val="center"/>
              <w:rPr>
                <w:rFonts w:ascii="宋体" w:hAnsi="宋体"/>
                <w:color w:val="000000"/>
                <w:kern w:val="0"/>
                <w:sz w:val="24"/>
                <w:szCs w:val="28"/>
              </w:rPr>
            </w:pPr>
            <w:r>
              <w:rPr>
                <w:rFonts w:ascii="宋体" w:hAnsi="宋体"/>
                <w:color w:val="000000"/>
                <w:kern w:val="0"/>
                <w:sz w:val="24"/>
                <w:szCs w:val="28"/>
              </w:rPr>
              <w:t>约100个</w:t>
            </w:r>
          </w:p>
        </w:tc>
      </w:tr>
    </w:tbl>
    <w:p w14:paraId="7D37BC5A">
      <w:pPr>
        <w:spacing w:line="420" w:lineRule="exact"/>
        <w:ind w:left="442"/>
        <w:rPr>
          <w:rFonts w:ascii="宋体" w:hAnsi="宋体" w:cs="宋体"/>
          <w:b/>
          <w:bCs/>
          <w:color w:val="000000"/>
          <w:sz w:val="22"/>
        </w:rPr>
      </w:pPr>
      <w:r>
        <w:rPr>
          <w:rFonts w:ascii="宋体" w:hAnsi="宋体" w:cs="宋体"/>
          <w:b/>
          <w:bCs/>
          <w:color w:val="000000"/>
          <w:sz w:val="22"/>
        </w:rPr>
        <w:t>二、收费要求</w:t>
      </w:r>
    </w:p>
    <w:p w14:paraId="5E41CB5E">
      <w:pPr>
        <w:snapToGrid w:val="0"/>
        <w:spacing w:line="420" w:lineRule="exact"/>
        <w:ind w:firstLine="480" w:firstLineChars="200"/>
        <w:rPr>
          <w:rFonts w:ascii="宋体" w:hAnsi="宋体"/>
          <w:sz w:val="24"/>
          <w:szCs w:val="24"/>
        </w:rPr>
      </w:pPr>
      <w:r>
        <w:rPr>
          <w:rFonts w:ascii="宋体" w:hAnsi="宋体"/>
          <w:sz w:val="24"/>
          <w:szCs w:val="24"/>
        </w:rPr>
        <w:t>1.中标供应商按照</w:t>
      </w:r>
      <w:r>
        <w:rPr>
          <w:rFonts w:hint="eastAsia" w:ascii="宋体" w:hAnsi="宋体"/>
          <w:sz w:val="24"/>
          <w:szCs w:val="24"/>
        </w:rPr>
        <w:t>不高于</w:t>
      </w:r>
      <w:r>
        <w:rPr>
          <w:rFonts w:ascii="宋体" w:hAnsi="宋体"/>
          <w:sz w:val="24"/>
          <w:szCs w:val="24"/>
        </w:rPr>
        <w:t>1元</w:t>
      </w:r>
      <w:r>
        <w:rPr>
          <w:rFonts w:hint="eastAsia" w:ascii="宋体" w:hAnsi="宋体"/>
          <w:sz w:val="24"/>
          <w:szCs w:val="24"/>
        </w:rPr>
        <w:t>3</w:t>
      </w:r>
      <w:r>
        <w:rPr>
          <w:rFonts w:ascii="宋体" w:hAnsi="宋体"/>
          <w:sz w:val="24"/>
          <w:szCs w:val="24"/>
        </w:rPr>
        <w:t>小时收取充电费用，按分钟计费充满自动断电并退还剩余金额。</w:t>
      </w:r>
    </w:p>
    <w:p w14:paraId="1D23CCF6">
      <w:pPr>
        <w:autoSpaceDE w:val="0"/>
        <w:autoSpaceDN w:val="0"/>
        <w:adjustRightInd w:val="0"/>
        <w:spacing w:line="420" w:lineRule="exact"/>
        <w:ind w:firstLine="480" w:firstLineChars="200"/>
        <w:jc w:val="left"/>
        <w:rPr>
          <w:rFonts w:ascii="宋体" w:hAnsi="宋体"/>
          <w:sz w:val="24"/>
          <w:szCs w:val="24"/>
        </w:rPr>
      </w:pPr>
      <w:r>
        <w:rPr>
          <w:rFonts w:ascii="宋体" w:hAnsi="宋体"/>
          <w:sz w:val="24"/>
          <w:szCs w:val="24"/>
        </w:rPr>
        <w:t>2.本项目充电桩收费标准功率为300W（当用户充电功率≤300W，充电时间无任何缩减，当充电功率大于300W，用户无法充电）。投标人须提供充电标准功率承诺函。</w:t>
      </w:r>
    </w:p>
    <w:p w14:paraId="017ABDDB">
      <w:pPr>
        <w:snapToGrid w:val="0"/>
        <w:spacing w:line="420" w:lineRule="exact"/>
        <w:ind w:firstLine="480" w:firstLineChars="200"/>
        <w:rPr>
          <w:rFonts w:ascii="宋体" w:hAnsi="宋体"/>
          <w:sz w:val="24"/>
          <w:szCs w:val="24"/>
        </w:rPr>
      </w:pPr>
      <w:r>
        <w:rPr>
          <w:rFonts w:ascii="宋体" w:hAnsi="宋体"/>
          <w:sz w:val="24"/>
          <w:szCs w:val="24"/>
        </w:rPr>
        <w:t>3.中标供应商在充电桩点位安装计量电表，并按实际使用电费，向采购人缴纳电费。电费价格按盐城市居民生活用电价格执行，即0.5</w:t>
      </w:r>
      <w:r>
        <w:rPr>
          <w:rFonts w:hint="eastAsia" w:ascii="宋体" w:hAnsi="宋体"/>
          <w:sz w:val="24"/>
          <w:szCs w:val="24"/>
        </w:rPr>
        <w:t>4</w:t>
      </w:r>
      <w:r>
        <w:rPr>
          <w:rFonts w:ascii="宋体" w:hAnsi="宋体"/>
          <w:sz w:val="24"/>
          <w:szCs w:val="24"/>
        </w:rPr>
        <w:t>元/KWH。</w:t>
      </w:r>
    </w:p>
    <w:p w14:paraId="5CD22EC8">
      <w:pPr>
        <w:snapToGrid w:val="0"/>
        <w:spacing w:line="420" w:lineRule="exact"/>
        <w:ind w:firstLine="480" w:firstLineChars="200"/>
        <w:rPr>
          <w:rFonts w:ascii="宋体" w:hAnsi="宋体"/>
          <w:color w:val="000000"/>
          <w:sz w:val="24"/>
          <w:szCs w:val="28"/>
        </w:rPr>
      </w:pPr>
      <w:r>
        <w:rPr>
          <w:rFonts w:ascii="宋体" w:hAnsi="宋体"/>
          <w:color w:val="000000"/>
          <w:sz w:val="24"/>
          <w:szCs w:val="28"/>
        </w:rPr>
        <w:t>4.</w:t>
      </w:r>
      <w:r>
        <w:rPr>
          <w:rFonts w:ascii="宋体" w:hAnsi="宋体"/>
          <w:b/>
          <w:color w:val="000000"/>
          <w:sz w:val="24"/>
          <w:szCs w:val="28"/>
        </w:rPr>
        <w:t>除了向采购人缴纳电费外</w:t>
      </w:r>
      <w:r>
        <w:rPr>
          <w:rFonts w:ascii="宋体" w:hAnsi="宋体"/>
          <w:color w:val="000000"/>
          <w:sz w:val="24"/>
          <w:szCs w:val="28"/>
        </w:rPr>
        <w:t>，中标供应商还得向采购人上交配套管理费（主要指场地使用、损耗等），上交配套管理费金额按以下公式计算：配套管理费=电动自行车充电桩实际发生的电费金额×费率</w:t>
      </w:r>
      <w:r>
        <w:rPr>
          <w:rFonts w:hint="eastAsia" w:ascii="宋体" w:hAnsi="宋体"/>
          <w:color w:val="000000"/>
          <w:sz w:val="24"/>
          <w:szCs w:val="28"/>
        </w:rPr>
        <w:t>，费率不低于20%。</w:t>
      </w:r>
    </w:p>
    <w:p w14:paraId="06599FA7">
      <w:pPr>
        <w:snapToGrid w:val="0"/>
        <w:spacing w:line="420" w:lineRule="exact"/>
        <w:ind w:firstLine="480" w:firstLineChars="200"/>
        <w:rPr>
          <w:rFonts w:ascii="宋体" w:hAnsi="宋体"/>
          <w:b/>
          <w:color w:val="000000"/>
          <w:sz w:val="24"/>
          <w:szCs w:val="28"/>
        </w:rPr>
      </w:pPr>
      <w:r>
        <w:rPr>
          <w:rFonts w:ascii="宋体" w:hAnsi="宋体"/>
          <w:color w:val="000000"/>
          <w:sz w:val="24"/>
          <w:szCs w:val="28"/>
        </w:rPr>
        <w:t>5.本次投标报价为固定费率报价</w:t>
      </w:r>
      <w:r>
        <w:rPr>
          <w:rFonts w:ascii="宋体" w:hAnsi="宋体"/>
          <w:b/>
          <w:color w:val="000000"/>
          <w:sz w:val="24"/>
          <w:szCs w:val="28"/>
        </w:rPr>
        <w:t>。投标报价一经报出，不得更改。</w:t>
      </w:r>
    </w:p>
    <w:p w14:paraId="374E8550">
      <w:pPr>
        <w:widowControl/>
        <w:shd w:val="clear" w:color="auto" w:fill="FFFFFF"/>
        <w:spacing w:line="420" w:lineRule="exact"/>
        <w:ind w:firstLine="482" w:firstLineChars="200"/>
        <w:jc w:val="left"/>
        <w:rPr>
          <w:rFonts w:ascii="宋体" w:hAnsi="宋体" w:cs="黑体"/>
          <w:b/>
          <w:snapToGrid w:val="0"/>
          <w:color w:val="000000"/>
          <w:kern w:val="0"/>
          <w:sz w:val="24"/>
          <w:szCs w:val="28"/>
        </w:rPr>
      </w:pPr>
      <w:r>
        <w:rPr>
          <w:rFonts w:hint="eastAsia" w:ascii="宋体" w:hAnsi="宋体" w:cs="黑体"/>
          <w:b/>
          <w:snapToGrid w:val="0"/>
          <w:color w:val="000000"/>
          <w:kern w:val="0"/>
          <w:sz w:val="24"/>
          <w:szCs w:val="28"/>
        </w:rPr>
        <w:t>三、履约保证金：</w:t>
      </w:r>
    </w:p>
    <w:p w14:paraId="5A5D1804">
      <w:pPr>
        <w:autoSpaceDE w:val="0"/>
        <w:autoSpaceDN w:val="0"/>
        <w:adjustRightInd w:val="0"/>
        <w:spacing w:line="420" w:lineRule="exact"/>
        <w:ind w:firstLine="480" w:firstLineChars="200"/>
        <w:jc w:val="left"/>
        <w:rPr>
          <w:rFonts w:ascii="宋体" w:hAnsi="宋体"/>
          <w:color w:val="000000"/>
          <w:sz w:val="24"/>
          <w:szCs w:val="28"/>
        </w:rPr>
      </w:pPr>
      <w:r>
        <w:rPr>
          <w:rFonts w:ascii="宋体" w:hAnsi="宋体"/>
          <w:color w:val="000000"/>
          <w:sz w:val="24"/>
          <w:szCs w:val="28"/>
        </w:rPr>
        <w:t>中标供应商</w:t>
      </w:r>
      <w:r>
        <w:rPr>
          <w:rFonts w:hint="eastAsia" w:ascii="宋体" w:hAnsi="宋体"/>
          <w:color w:val="000000"/>
          <w:sz w:val="24"/>
          <w:szCs w:val="28"/>
        </w:rPr>
        <w:t>需向</w:t>
      </w:r>
      <w:r>
        <w:rPr>
          <w:rFonts w:ascii="宋体" w:hAnsi="宋体"/>
          <w:color w:val="000000"/>
          <w:sz w:val="24"/>
          <w:szCs w:val="28"/>
        </w:rPr>
        <w:t>采购人</w:t>
      </w:r>
      <w:r>
        <w:rPr>
          <w:rFonts w:hint="eastAsia" w:ascii="宋体" w:hAnsi="宋体"/>
          <w:color w:val="000000"/>
          <w:sz w:val="24"/>
          <w:szCs w:val="28"/>
        </w:rPr>
        <w:t>交纳履约保证金：10000元，</w:t>
      </w:r>
      <w:r>
        <w:rPr>
          <w:rFonts w:ascii="宋体" w:hAnsi="宋体"/>
          <w:color w:val="000000"/>
          <w:sz w:val="24"/>
          <w:szCs w:val="28"/>
        </w:rPr>
        <w:t>中标供应商</w:t>
      </w:r>
      <w:r>
        <w:rPr>
          <w:rFonts w:hint="eastAsia" w:ascii="宋体" w:hAnsi="宋体"/>
          <w:color w:val="000000"/>
          <w:sz w:val="24"/>
          <w:szCs w:val="28"/>
        </w:rPr>
        <w:t>应当按照</w:t>
      </w:r>
      <w:r>
        <w:rPr>
          <w:rFonts w:ascii="宋体" w:hAnsi="宋体"/>
          <w:color w:val="000000"/>
          <w:sz w:val="24"/>
          <w:szCs w:val="28"/>
        </w:rPr>
        <w:t>采购人</w:t>
      </w:r>
      <w:r>
        <w:rPr>
          <w:rFonts w:hint="eastAsia" w:ascii="宋体" w:hAnsi="宋体"/>
          <w:color w:val="000000"/>
          <w:sz w:val="24"/>
          <w:szCs w:val="28"/>
        </w:rPr>
        <w:t>的要求及时、足额缴纳履约保证金，履约保证金待项目履约结束后一次性无息退还。</w:t>
      </w:r>
    </w:p>
    <w:p w14:paraId="406F3602">
      <w:pPr>
        <w:widowControl/>
        <w:shd w:val="clear" w:color="auto" w:fill="FFFFFF"/>
        <w:spacing w:line="420" w:lineRule="exact"/>
        <w:ind w:firstLine="482" w:firstLineChars="200"/>
        <w:jc w:val="left"/>
        <w:rPr>
          <w:rFonts w:ascii="宋体" w:hAnsi="宋体" w:cs="黑体"/>
          <w:b/>
          <w:snapToGrid w:val="0"/>
          <w:color w:val="000000"/>
          <w:kern w:val="0"/>
          <w:sz w:val="24"/>
          <w:szCs w:val="28"/>
        </w:rPr>
      </w:pPr>
      <w:r>
        <w:rPr>
          <w:rFonts w:hint="eastAsia" w:ascii="宋体" w:hAnsi="宋体" w:cs="黑体"/>
          <w:b/>
          <w:snapToGrid w:val="0"/>
          <w:color w:val="000000"/>
          <w:kern w:val="0"/>
          <w:sz w:val="24"/>
          <w:szCs w:val="28"/>
        </w:rPr>
        <w:t>四</w:t>
      </w:r>
      <w:r>
        <w:rPr>
          <w:rFonts w:ascii="宋体" w:hAnsi="宋体" w:cs="黑体"/>
          <w:b/>
          <w:snapToGrid w:val="0"/>
          <w:color w:val="000000"/>
          <w:kern w:val="0"/>
          <w:sz w:val="24"/>
          <w:szCs w:val="28"/>
        </w:rPr>
        <w:t>、服务要求</w:t>
      </w:r>
    </w:p>
    <w:p w14:paraId="0577BB6E">
      <w:pPr>
        <w:widowControl/>
        <w:tabs>
          <w:tab w:val="left" w:pos="0"/>
          <w:tab w:val="left" w:pos="993"/>
          <w:tab w:val="left" w:pos="1134"/>
        </w:tabs>
        <w:spacing w:line="420" w:lineRule="exact"/>
        <w:ind w:firstLine="480" w:firstLineChars="200"/>
        <w:rPr>
          <w:rFonts w:ascii="宋体" w:hAnsi="宋体"/>
          <w:bCs/>
          <w:kern w:val="1"/>
          <w:sz w:val="24"/>
          <w:szCs w:val="28"/>
        </w:rPr>
      </w:pPr>
      <w:r>
        <w:rPr>
          <w:rFonts w:ascii="宋体" w:hAnsi="宋体"/>
          <w:bCs/>
          <w:kern w:val="1"/>
          <w:sz w:val="24"/>
          <w:szCs w:val="28"/>
        </w:rPr>
        <w:t>1.合作模式：采购人只负责提供场地及电源接口，中标人负责提供智能充电桩及相关设施设备、建设材料、充电桩安装前后的工程施工及充电桩的安装、调试与管理运营、升级维护等，相应工程施工包括但不限于铺设电线、电路、破损道路恢复等。中标人需派专人进行安装和调试，费用由中标人自行承担。</w:t>
      </w:r>
    </w:p>
    <w:p w14:paraId="5D5E1020">
      <w:pPr>
        <w:widowControl/>
        <w:tabs>
          <w:tab w:val="left" w:pos="0"/>
          <w:tab w:val="left" w:pos="993"/>
          <w:tab w:val="left" w:pos="1134"/>
        </w:tabs>
        <w:spacing w:line="420" w:lineRule="exact"/>
        <w:ind w:firstLine="480" w:firstLineChars="200"/>
        <w:rPr>
          <w:rFonts w:ascii="宋体" w:hAnsi="宋体"/>
          <w:bCs/>
          <w:kern w:val="1"/>
          <w:sz w:val="24"/>
          <w:szCs w:val="28"/>
        </w:rPr>
      </w:pPr>
      <w:r>
        <w:rPr>
          <w:rFonts w:ascii="宋体" w:hAnsi="宋体"/>
          <w:bCs/>
          <w:kern w:val="1"/>
          <w:sz w:val="24"/>
          <w:szCs w:val="28"/>
        </w:rPr>
        <w:t>2.中标人保证所提供设备符合国家安全标准且不侵犯任何第三人的合法权益，承担因设备质量问题，违反安全生产法律法规或第三人的合法权益等造成的全部损失及责任。</w:t>
      </w:r>
    </w:p>
    <w:p w14:paraId="7C9D790F">
      <w:pPr>
        <w:widowControl/>
        <w:tabs>
          <w:tab w:val="left" w:pos="0"/>
          <w:tab w:val="left" w:pos="993"/>
          <w:tab w:val="left" w:pos="1134"/>
        </w:tabs>
        <w:spacing w:line="420" w:lineRule="exact"/>
        <w:ind w:firstLine="480" w:firstLineChars="200"/>
        <w:rPr>
          <w:rFonts w:ascii="宋体" w:hAnsi="宋体"/>
          <w:b/>
          <w:bCs/>
          <w:kern w:val="1"/>
          <w:sz w:val="24"/>
          <w:szCs w:val="28"/>
        </w:rPr>
      </w:pPr>
      <w:r>
        <w:rPr>
          <w:rFonts w:ascii="宋体" w:hAnsi="宋体"/>
          <w:bCs/>
          <w:kern w:val="1"/>
          <w:sz w:val="24"/>
          <w:szCs w:val="28"/>
        </w:rPr>
        <w:t>3.中标人负责对其安装的充电桩在合同期内更新换代、维护及日常安全维护管理，保持机器外观整洁，定期做好设备的安全检查管理工作，发现问题及时整修、更换或技术更新。若设备出现故障，中标人应及时排除故障，保证设备正常安全使用；如因设施设备存在安全隐患，造成他人人身伤害及财产损失等安全责任事故，由此产生的相关责任由中标人承担。</w:t>
      </w:r>
    </w:p>
    <w:p w14:paraId="403A21B2">
      <w:pPr>
        <w:widowControl/>
        <w:tabs>
          <w:tab w:val="left" w:pos="0"/>
          <w:tab w:val="left" w:pos="993"/>
          <w:tab w:val="left" w:pos="1134"/>
        </w:tabs>
        <w:spacing w:line="420" w:lineRule="exact"/>
        <w:ind w:firstLine="480" w:firstLineChars="200"/>
        <w:rPr>
          <w:rFonts w:ascii="宋体" w:hAnsi="宋体"/>
          <w:bCs/>
          <w:kern w:val="1"/>
          <w:sz w:val="24"/>
          <w:szCs w:val="28"/>
        </w:rPr>
      </w:pPr>
      <w:r>
        <w:rPr>
          <w:rFonts w:ascii="宋体" w:hAnsi="宋体"/>
          <w:bCs/>
          <w:kern w:val="1"/>
          <w:sz w:val="24"/>
          <w:szCs w:val="28"/>
        </w:rPr>
        <w:t>4.中标人应无条件服从采购人的调整和管理，在合同期内采购人如因工作需要需终止该项目，提前一个月通知，中标人应无条件如期撤出，采购人将履约保证金无息退还。</w:t>
      </w:r>
    </w:p>
    <w:p w14:paraId="112B7D36">
      <w:pPr>
        <w:spacing w:line="420" w:lineRule="exact"/>
        <w:ind w:firstLine="480" w:firstLineChars="200"/>
        <w:rPr>
          <w:rFonts w:ascii="宋体" w:hAnsi="宋体"/>
          <w:b/>
          <w:kern w:val="0"/>
          <w:sz w:val="24"/>
          <w:szCs w:val="28"/>
        </w:rPr>
      </w:pPr>
      <w:r>
        <w:rPr>
          <w:rFonts w:ascii="宋体" w:hAnsi="宋体"/>
          <w:bCs/>
          <w:kern w:val="1"/>
          <w:sz w:val="24"/>
          <w:szCs w:val="28"/>
        </w:rPr>
        <w:t>5.</w:t>
      </w:r>
      <w:r>
        <w:rPr>
          <w:rFonts w:ascii="宋体" w:hAnsi="宋体"/>
          <w:b/>
          <w:kern w:val="1"/>
          <w:sz w:val="24"/>
          <w:szCs w:val="28"/>
        </w:rPr>
        <w:t>合同期：</w:t>
      </w:r>
      <w:r>
        <w:rPr>
          <w:rFonts w:ascii="宋体" w:hAnsi="宋体"/>
          <w:b/>
          <w:kern w:val="0"/>
          <w:sz w:val="24"/>
          <w:szCs w:val="28"/>
        </w:rPr>
        <w:t>5年</w:t>
      </w:r>
      <w:r>
        <w:rPr>
          <w:rFonts w:hint="eastAsia" w:ascii="宋体" w:hAnsi="宋体"/>
          <w:b/>
          <w:kern w:val="0"/>
          <w:sz w:val="24"/>
          <w:szCs w:val="28"/>
        </w:rPr>
        <w:t>，</w:t>
      </w:r>
      <w:r>
        <w:rPr>
          <w:rFonts w:ascii="宋体" w:hAnsi="宋体"/>
          <w:b/>
          <w:kern w:val="0"/>
          <w:sz w:val="24"/>
          <w:szCs w:val="28"/>
        </w:rPr>
        <w:t>合同期满后，合同自行终止。采购人将再次就本项目公开招标后，如果中标供应商未能继续中标，中标供应商自行拆除其地面上投入的装置，不得破坏基础设施等。</w:t>
      </w:r>
    </w:p>
    <w:p w14:paraId="4C6F4866">
      <w:pPr>
        <w:widowControl/>
        <w:tabs>
          <w:tab w:val="left" w:pos="0"/>
          <w:tab w:val="left" w:pos="993"/>
          <w:tab w:val="left" w:pos="1134"/>
        </w:tabs>
        <w:spacing w:line="420" w:lineRule="exact"/>
        <w:ind w:firstLine="480" w:firstLineChars="200"/>
        <w:rPr>
          <w:rFonts w:ascii="宋体" w:hAnsi="宋体"/>
          <w:bCs/>
          <w:kern w:val="1"/>
          <w:sz w:val="24"/>
          <w:szCs w:val="28"/>
        </w:rPr>
      </w:pPr>
      <w:r>
        <w:rPr>
          <w:rFonts w:ascii="宋体" w:hAnsi="宋体"/>
          <w:bCs/>
          <w:kern w:val="1"/>
          <w:sz w:val="24"/>
          <w:szCs w:val="28"/>
        </w:rPr>
        <w:t>6.质量验收标准：质量达到国家规定合格标准；调试试运行后，甲方组织竣工验收，验收要求一次通过，如初验不合格，中标人采购人无条件返工，费用自理。</w:t>
      </w:r>
    </w:p>
    <w:p w14:paraId="64394B57">
      <w:pPr>
        <w:widowControl/>
        <w:tabs>
          <w:tab w:val="left" w:pos="0"/>
          <w:tab w:val="left" w:pos="993"/>
          <w:tab w:val="left" w:pos="1134"/>
        </w:tabs>
        <w:spacing w:line="420" w:lineRule="exact"/>
        <w:ind w:firstLine="480" w:firstLineChars="200"/>
        <w:rPr>
          <w:rFonts w:ascii="宋体" w:hAnsi="宋体"/>
          <w:bCs/>
          <w:kern w:val="1"/>
          <w:sz w:val="24"/>
          <w:szCs w:val="28"/>
        </w:rPr>
      </w:pPr>
      <w:r>
        <w:rPr>
          <w:rFonts w:ascii="宋体" w:hAnsi="宋体"/>
          <w:bCs/>
          <w:kern w:val="1"/>
          <w:sz w:val="24"/>
          <w:szCs w:val="28"/>
        </w:rPr>
        <w:t>7.投标人须自行勘察项目现场，并仔细了解项目的有关参考资料，充分考虑项目开发和交付的时间要求，合理评估本项目的投资范围及其他要求，包括但不限于收费管理、运营保障、现场实施、设计及深化、工程配合、验收交付等事项的合理要求，稳妥可靠的选择相应的方案、材料设备等，在项目要求的合同期限内，合理评估相应的费用投入和产出后，做出本项目相应合理的投资方案。</w:t>
      </w:r>
    </w:p>
    <w:p w14:paraId="050C4417">
      <w:pPr>
        <w:widowControl/>
        <w:tabs>
          <w:tab w:val="left" w:pos="0"/>
          <w:tab w:val="left" w:pos="993"/>
          <w:tab w:val="left" w:pos="1134"/>
        </w:tabs>
        <w:spacing w:line="420" w:lineRule="exact"/>
        <w:ind w:firstLine="480" w:firstLineChars="200"/>
        <w:rPr>
          <w:rFonts w:ascii="宋体" w:hAnsi="宋体"/>
          <w:bCs/>
          <w:kern w:val="1"/>
          <w:sz w:val="24"/>
          <w:szCs w:val="28"/>
        </w:rPr>
      </w:pPr>
      <w:r>
        <w:rPr>
          <w:rFonts w:ascii="宋体" w:hAnsi="宋体"/>
          <w:bCs/>
          <w:kern w:val="1"/>
          <w:sz w:val="24"/>
          <w:szCs w:val="28"/>
        </w:rPr>
        <w:t>8.中标人对拟投入采购人使用的充电桩进行投保，险种须包含产品责任险和公共责任险。</w:t>
      </w:r>
    </w:p>
    <w:p w14:paraId="429CE705">
      <w:pPr>
        <w:widowControl/>
        <w:shd w:val="clear" w:color="auto" w:fill="FFFFFF"/>
        <w:spacing w:line="420" w:lineRule="exact"/>
        <w:ind w:firstLine="482" w:firstLineChars="200"/>
        <w:jc w:val="left"/>
        <w:rPr>
          <w:rFonts w:ascii="宋体" w:hAnsi="宋体" w:cs="黑体"/>
          <w:b/>
          <w:snapToGrid w:val="0"/>
          <w:color w:val="000000"/>
          <w:kern w:val="0"/>
          <w:sz w:val="24"/>
          <w:szCs w:val="28"/>
        </w:rPr>
      </w:pPr>
      <w:r>
        <w:rPr>
          <w:rFonts w:hint="eastAsia" w:ascii="宋体" w:hAnsi="宋体" w:cs="黑体"/>
          <w:b/>
          <w:snapToGrid w:val="0"/>
          <w:color w:val="000000"/>
          <w:kern w:val="0"/>
          <w:sz w:val="24"/>
          <w:szCs w:val="28"/>
        </w:rPr>
        <w:t>五</w:t>
      </w:r>
      <w:r>
        <w:rPr>
          <w:rFonts w:ascii="宋体" w:hAnsi="宋体" w:cs="黑体"/>
          <w:b/>
          <w:snapToGrid w:val="0"/>
          <w:color w:val="000000"/>
          <w:kern w:val="0"/>
          <w:sz w:val="24"/>
          <w:szCs w:val="28"/>
        </w:rPr>
        <w:t>、技术要求</w:t>
      </w:r>
    </w:p>
    <w:p w14:paraId="18577B4B">
      <w:pPr>
        <w:spacing w:line="420" w:lineRule="exact"/>
        <w:ind w:firstLine="480" w:firstLineChars="200"/>
        <w:rPr>
          <w:rFonts w:ascii="宋体" w:hAnsi="宋体"/>
          <w:b/>
          <w:bCs/>
          <w:sz w:val="24"/>
          <w:szCs w:val="28"/>
        </w:rPr>
      </w:pPr>
      <w:r>
        <w:rPr>
          <w:rFonts w:ascii="宋体" w:hAnsi="宋体"/>
          <w:bCs/>
          <w:kern w:val="1"/>
          <w:sz w:val="24"/>
          <w:szCs w:val="28"/>
        </w:rPr>
        <w:t>1.</w:t>
      </w:r>
      <w:r>
        <w:rPr>
          <w:rFonts w:ascii="宋体" w:hAnsi="宋体"/>
          <w:b/>
          <w:bCs/>
          <w:sz w:val="24"/>
          <w:szCs w:val="28"/>
        </w:rPr>
        <w:t>电动自行车充电桩要求：</w:t>
      </w:r>
    </w:p>
    <w:p w14:paraId="6F21A2DE">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（1）电动自行车充电设施安装须符合GB/T 42236.1-2022 电动自行车集中充电设施</w:t>
      </w:r>
      <w:r>
        <w:rPr>
          <w:rFonts w:hint="eastAsia" w:ascii="宋体" w:hAnsi="宋体"/>
          <w:bCs/>
          <w:kern w:val="1"/>
          <w:sz w:val="24"/>
          <w:szCs w:val="28"/>
        </w:rPr>
        <w:t>。</w:t>
      </w:r>
    </w:p>
    <w:p w14:paraId="78720872">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（2）室外安装建筑要求:</w:t>
      </w:r>
    </w:p>
    <w:p w14:paraId="49BAE989">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1）不应占用防火间距、消防车道和消防车登高操作场地，不应妨碍消防车操作和影响室外消防设施的正常使用;</w:t>
      </w:r>
    </w:p>
    <w:p w14:paraId="229E0ACF">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2）应具备防雨水的措施；</w:t>
      </w:r>
    </w:p>
    <w:p w14:paraId="2411591A">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（3）电气回路要求</w:t>
      </w:r>
    </w:p>
    <w:p w14:paraId="4894133C">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交流充电控制器输人、输出电气回路要求如下:</w:t>
      </w:r>
    </w:p>
    <w:p w14:paraId="73B2C800">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1）系统为三级负荷;</w:t>
      </w:r>
    </w:p>
    <w:p w14:paraId="2CAF94B9">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2）充电电源应从安装现场建筑物配电室直接引来，此回路应为专用回路,并设置专用电表进行计量;</w:t>
      </w:r>
    </w:p>
    <w:p w14:paraId="66E94643">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3）设置专用配电箱，配电箱及输出线应安装在不燃烧材料上，配电箱应设置在充电区外的主出入口附近。配电箱及输出线要求如下:</w:t>
      </w:r>
    </w:p>
    <w:p w14:paraId="1E395601">
      <w:pPr>
        <w:tabs>
          <w:tab w:val="left" w:pos="900"/>
        </w:tabs>
        <w:spacing w:line="420" w:lineRule="exact"/>
        <w:ind w:firstLine="480" w:firstLineChars="200"/>
        <w:jc w:val="left"/>
        <w:rPr>
          <w:rFonts w:ascii="宋体" w:hAnsi="宋体"/>
          <w:bCs/>
          <w:kern w:val="1"/>
          <w:sz w:val="24"/>
          <w:szCs w:val="28"/>
        </w:rPr>
      </w:pPr>
      <w:r>
        <w:rPr>
          <w:rFonts w:hint="eastAsia" w:ascii="宋体" w:hAnsi="宋体" w:cs="宋体"/>
          <w:bCs/>
          <w:kern w:val="1"/>
          <w:sz w:val="24"/>
          <w:szCs w:val="28"/>
        </w:rPr>
        <w:t>①</w:t>
      </w:r>
      <w:r>
        <w:rPr>
          <w:rFonts w:ascii="宋体" w:hAnsi="宋体"/>
          <w:bCs/>
          <w:kern w:val="1"/>
          <w:sz w:val="24"/>
          <w:szCs w:val="28"/>
        </w:rPr>
        <w:t>每个回路应具备过载、短路、过电压、欠电压及漏电保护。室外安装的配电箱应安装浪涌保护器;</w:t>
      </w:r>
    </w:p>
    <w:p w14:paraId="18A519CA">
      <w:pPr>
        <w:tabs>
          <w:tab w:val="left" w:pos="900"/>
        </w:tabs>
        <w:spacing w:line="420" w:lineRule="exact"/>
        <w:ind w:firstLine="480" w:firstLineChars="200"/>
        <w:jc w:val="left"/>
        <w:rPr>
          <w:rFonts w:ascii="宋体" w:hAnsi="宋体"/>
          <w:bCs/>
          <w:kern w:val="1"/>
          <w:sz w:val="24"/>
          <w:szCs w:val="28"/>
        </w:rPr>
      </w:pPr>
      <w:r>
        <w:rPr>
          <w:rFonts w:hint="eastAsia" w:ascii="宋体" w:hAnsi="宋体" w:cs="宋体"/>
          <w:bCs/>
          <w:kern w:val="1"/>
          <w:sz w:val="24"/>
          <w:szCs w:val="28"/>
        </w:rPr>
        <w:t>②</w:t>
      </w:r>
      <w:r>
        <w:rPr>
          <w:rFonts w:ascii="宋体" w:hAnsi="宋体"/>
          <w:bCs/>
          <w:kern w:val="1"/>
          <w:sz w:val="24"/>
          <w:szCs w:val="28"/>
        </w:rPr>
        <w:t>配电回路制式应为TN-S或TT制式;</w:t>
      </w:r>
    </w:p>
    <w:p w14:paraId="10DB216B">
      <w:pPr>
        <w:tabs>
          <w:tab w:val="left" w:pos="900"/>
        </w:tabs>
        <w:spacing w:line="420" w:lineRule="exact"/>
        <w:ind w:firstLine="480" w:firstLineChars="200"/>
        <w:jc w:val="left"/>
        <w:rPr>
          <w:rFonts w:ascii="宋体" w:hAnsi="宋体"/>
          <w:bCs/>
          <w:kern w:val="1"/>
          <w:sz w:val="24"/>
          <w:szCs w:val="28"/>
        </w:rPr>
      </w:pPr>
      <w:r>
        <w:rPr>
          <w:rFonts w:hint="eastAsia" w:ascii="宋体" w:hAnsi="宋体" w:cs="宋体"/>
          <w:bCs/>
          <w:kern w:val="1"/>
          <w:sz w:val="24"/>
          <w:szCs w:val="28"/>
        </w:rPr>
        <w:t>③</w:t>
      </w:r>
      <w:r>
        <w:rPr>
          <w:rFonts w:ascii="宋体" w:hAnsi="宋体"/>
          <w:bCs/>
          <w:kern w:val="1"/>
          <w:sz w:val="24"/>
          <w:szCs w:val="28"/>
        </w:rPr>
        <w:t>配电容量按照每个充电插座负荷 500 w需用系数 10和充电插座数量进行计算</w:t>
      </w:r>
      <w:r>
        <w:rPr>
          <w:rFonts w:hint="eastAsia" w:ascii="宋体" w:hAnsi="宋体"/>
          <w:bCs/>
          <w:kern w:val="1"/>
          <w:sz w:val="24"/>
          <w:szCs w:val="28"/>
        </w:rPr>
        <w:t>。</w:t>
      </w:r>
    </w:p>
    <w:p w14:paraId="419DC0D7">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4）线缆可采用桥架、线槽、线管直埋等方式进行铺设;</w:t>
      </w:r>
    </w:p>
    <w:p w14:paraId="5BFBD012">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5）可落地安装或贴墙或依靠车棚支撑而建的横向支撑物上进行安装,安装高度不小于1 m,安装，垂直倾斜度不大于 5%;</w:t>
      </w:r>
    </w:p>
    <w:p w14:paraId="666A25D1">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6）输出线线槽安装和插座的安装距地高度0.8 m~1m;</w:t>
      </w:r>
    </w:p>
    <w:p w14:paraId="1139B69E">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7）每个充电插座的间距应满足充电要求,其间距宜 0.8 m;</w:t>
      </w:r>
    </w:p>
    <w:p w14:paraId="6E1F9041">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8）应采用两孔加三孔10 A 插座,插座应符合 GB/T 2099.1的要求室外安装还需有防水罩，安装防水罩后，插座的防水等级应符合IPX4 要求。</w:t>
      </w:r>
    </w:p>
    <w:p w14:paraId="4BEE0B0B">
      <w:pPr>
        <w:tabs>
          <w:tab w:val="left" w:pos="900"/>
        </w:tabs>
        <w:spacing w:line="420" w:lineRule="exact"/>
        <w:ind w:firstLine="240" w:firstLineChars="100"/>
        <w:jc w:val="left"/>
        <w:rPr>
          <w:rFonts w:ascii="宋体" w:hAnsi="宋体"/>
          <w:bCs/>
          <w:kern w:val="1"/>
          <w:sz w:val="24"/>
          <w:szCs w:val="28"/>
        </w:rPr>
      </w:pPr>
      <w:r>
        <w:rPr>
          <w:rFonts w:ascii="宋体" w:hAnsi="宋体"/>
          <w:bCs/>
          <w:kern w:val="1"/>
          <w:sz w:val="24"/>
          <w:szCs w:val="28"/>
        </w:rPr>
        <w:t>（3）硬件要求：</w:t>
      </w:r>
    </w:p>
    <w:p w14:paraId="062A8189">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1）电压：输入/输出：单相 AC220V 50HZ；单个充电口最大承载电流：4.5A（可调整）；</w:t>
      </w:r>
    </w:p>
    <w:p w14:paraId="27B824C3">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2）充电设施应具备充满自动断电、定时断电、过载保护、短路保护、漏电保护、充电故障自动断电、充电故障报警、高温报警等功能;</w:t>
      </w:r>
    </w:p>
    <w:p w14:paraId="5E6704F6">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3）远程设置：支持远程充电，远程续充；</w:t>
      </w:r>
    </w:p>
    <w:p w14:paraId="31362D15">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4）智能充电站在平时不充电及待机情况下，插座处于断电绝缘状态；</w:t>
      </w:r>
    </w:p>
    <w:p w14:paraId="066C3EB2">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5）充满自停：电动车充满电后系统识别出电池已属于饱和状态时自动断电，确保电池防止过充，达到保护电池使用的效果；</w:t>
      </w:r>
    </w:p>
    <w:p w14:paraId="01ADF1C2">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6）自动断电：充电过程中用户拔掉插头，设备识别到无荷载即自动断电，确保全程安全供电；</w:t>
      </w:r>
    </w:p>
    <w:p w14:paraId="092050B5">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7）设备需支持主流的微信或支付宝等支付方式；</w:t>
      </w:r>
    </w:p>
    <w:p w14:paraId="37C4F032">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8）充满自动断电：自动断电，停止供电，停止计费。有效避免过充带来电池爆炸，元器件发热起火等故障，无需依赖充电器自身配置；</w:t>
      </w:r>
    </w:p>
    <w:p w14:paraId="193F80BA">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9）防止超负荷电器用电：系统自动识别负载功率，如果用电功率超过电动车 充电功率，则系统自动停止供电。（如果用电功率低于最小功率时系统识别不供电）;</w:t>
      </w:r>
    </w:p>
    <w:p w14:paraId="343A3092">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10）自身安全性：随时对输入和输出电压进行检测控制；</w:t>
      </w:r>
    </w:p>
    <w:p w14:paraId="37661214">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11）充电对电池的影响：设备使用正常供电方式，对电池没有影响；</w:t>
      </w:r>
    </w:p>
    <w:p w14:paraId="61D05637">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12）设备可靠性：电子器件全部采用标准器件，具有防偷电功能，工作可靠；电路板进行三防处理，设备密封良好；</w:t>
      </w:r>
    </w:p>
    <w:p w14:paraId="10886ABA">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13）充电费用按分钟计费，设备断电后停止计费。</w:t>
      </w:r>
    </w:p>
    <w:p w14:paraId="5C7326E1">
      <w:pPr>
        <w:spacing w:line="420" w:lineRule="exact"/>
        <w:ind w:firstLine="482" w:firstLineChars="200"/>
        <w:rPr>
          <w:rFonts w:ascii="宋体" w:hAnsi="宋体"/>
          <w:b/>
          <w:bCs/>
          <w:sz w:val="24"/>
          <w:szCs w:val="28"/>
        </w:rPr>
      </w:pPr>
      <w:r>
        <w:rPr>
          <w:rFonts w:ascii="宋体" w:hAnsi="宋体"/>
          <w:b/>
          <w:bCs/>
          <w:sz w:val="24"/>
          <w:szCs w:val="28"/>
        </w:rPr>
        <w:t>2.软件要求</w:t>
      </w:r>
    </w:p>
    <w:p w14:paraId="48A76040">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（1）智能充电桩必须是以平台化管理的大数据架构系统，支持电动自行车充电桩和电动汽车充电桩同平台运营，同账户支付。</w:t>
      </w:r>
    </w:p>
    <w:p w14:paraId="58246146">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（2）电动自行车充电桩平台要求：平台可查看站点信息、设备信息、用户信息、设备在线状态、用电量、充电起止时间、消费情况、充电状态、结束类型等。</w:t>
      </w:r>
    </w:p>
    <w:p w14:paraId="06B49519">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（3）支付方式：支持移动端支付或者刷卡支付。</w:t>
      </w:r>
    </w:p>
    <w:p w14:paraId="58C88B51">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（4）电动自行车充电桩平台识别要求：平台需具备智能识别功能，根据不同车型的充电功率、充电时长、结束状态等具备智能识别功能。</w:t>
      </w:r>
    </w:p>
    <w:p w14:paraId="209574D9">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（5）计费要求：电动自行车充电桩按分钟计费断电后自动退费</w:t>
      </w:r>
      <w:r>
        <w:rPr>
          <w:rFonts w:hint="eastAsia" w:ascii="宋体" w:hAnsi="宋体"/>
          <w:bCs/>
          <w:kern w:val="1"/>
          <w:sz w:val="24"/>
          <w:szCs w:val="28"/>
        </w:rPr>
        <w:t>。</w:t>
      </w:r>
    </w:p>
    <w:p w14:paraId="20B07B2E">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（6）电动自行车充电桩平台远程控制要求：远程控制，对充电、断电智能功能实现远程平台端及客户端控制。</w:t>
      </w:r>
    </w:p>
    <w:p w14:paraId="2D725F17">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（7）电动自行车充电桩断电要求：当用户开始充电出现过载、过压、高温、漏电，充电桩具备检测功能，启动充电保护并执行自动断电程序，系统并推送账单信息至客户端。</w:t>
      </w:r>
    </w:p>
    <w:p w14:paraId="17B6C4DB">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8）电动自行车充电桩异常断电要求：当用户开始充电出现插座误拔、充电器异常情况，系统启动充电保护并执行自动断电程序。对充电过程中如果遇到异常断电，需保存充电状态，来电后恢复之前的充电状态。</w:t>
      </w:r>
    </w:p>
    <w:p w14:paraId="59AAD4AE">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（9）功率要求:电动自行车充电桩单路支持0-990W，平台可自行设置极限功率；本项目极限功率300W，300W以上禁止充电。</w:t>
      </w:r>
    </w:p>
    <w:p w14:paraId="09AE1039">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（10）电动自行车充电桩平台统计要求：平台对充电桩的使用情况（插座数量、用电量、使用次数、平均时长、使用天数）进行监管、统计、并生成报表，并且可以开放权限供学校查看。</w:t>
      </w:r>
    </w:p>
    <w:p w14:paraId="75B11B98">
      <w:pPr>
        <w:spacing w:line="420" w:lineRule="exact"/>
        <w:ind w:firstLine="482" w:firstLineChars="200"/>
        <w:rPr>
          <w:rFonts w:ascii="宋体" w:hAnsi="宋体"/>
          <w:b/>
          <w:bCs/>
          <w:sz w:val="24"/>
          <w:szCs w:val="28"/>
        </w:rPr>
      </w:pPr>
      <w:r>
        <w:rPr>
          <w:rFonts w:ascii="宋体" w:hAnsi="宋体"/>
          <w:b/>
          <w:bCs/>
          <w:sz w:val="24"/>
          <w:szCs w:val="28"/>
        </w:rPr>
        <w:t>3.用户终端</w:t>
      </w:r>
    </w:p>
    <w:p w14:paraId="267C7B99">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（1）支付方式：支持移动端扫码或者刷卡支付等</w:t>
      </w:r>
      <w:r>
        <w:rPr>
          <w:rFonts w:hint="eastAsia" w:ascii="宋体" w:hAnsi="宋体"/>
          <w:bCs/>
          <w:kern w:val="1"/>
          <w:sz w:val="24"/>
          <w:szCs w:val="28"/>
        </w:rPr>
        <w:t>。</w:t>
      </w:r>
    </w:p>
    <w:p w14:paraId="109E6D48">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（2）显示功能要求：电动自行车充电用户端应在用户端能够查询到运行状态、空闲插座、充电功率、充电时间、计费信息、故障提示信息等信息。</w:t>
      </w:r>
    </w:p>
    <w:p w14:paraId="28D32EB0">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（3）显示信息要求：显示信息包括不限于充电用时、充电状态、订单总价等内容。</w:t>
      </w:r>
    </w:p>
    <w:p w14:paraId="48B2CD02">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（4）充电计费要求：电动自行车充电桩充电计费精确到分钟，自动退费；</w:t>
      </w:r>
    </w:p>
    <w:p w14:paraId="0E6FB2FA">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（5）远程控制要求：支持远程断电,当手机软件内点击停止充电按钮，充电桩应停止供电。</w:t>
      </w:r>
    </w:p>
    <w:p w14:paraId="6E31CDDA">
      <w:pPr>
        <w:tabs>
          <w:tab w:val="left" w:pos="900"/>
        </w:tabs>
        <w:spacing w:line="420" w:lineRule="exact"/>
        <w:ind w:firstLine="480" w:firstLineChars="200"/>
        <w:jc w:val="left"/>
        <w:rPr>
          <w:rFonts w:ascii="宋体" w:hAnsi="宋体"/>
          <w:bCs/>
          <w:kern w:val="1"/>
          <w:sz w:val="24"/>
          <w:szCs w:val="28"/>
        </w:rPr>
      </w:pPr>
      <w:r>
        <w:rPr>
          <w:rFonts w:ascii="宋体" w:hAnsi="宋体"/>
          <w:bCs/>
          <w:kern w:val="1"/>
          <w:sz w:val="24"/>
          <w:szCs w:val="28"/>
        </w:rPr>
        <w:t>（6）用户卡管理要求：可自行通过手机进行绑定和解绑，如遗失可挂失。</w:t>
      </w:r>
    </w:p>
    <w:p w14:paraId="07B30468">
      <w:pPr>
        <w:autoSpaceDE w:val="0"/>
        <w:autoSpaceDN w:val="0"/>
        <w:adjustRightInd w:val="0"/>
        <w:spacing w:line="420" w:lineRule="exact"/>
        <w:ind w:firstLine="482" w:firstLineChars="200"/>
        <w:jc w:val="left"/>
        <w:rPr>
          <w:rFonts w:ascii="宋体" w:hAnsi="宋体"/>
          <w:b/>
          <w:bCs/>
          <w:sz w:val="24"/>
          <w:szCs w:val="28"/>
        </w:rPr>
      </w:pPr>
      <w:r>
        <w:rPr>
          <w:rFonts w:hint="eastAsia" w:ascii="宋体" w:hAnsi="宋体"/>
          <w:b/>
          <w:bCs/>
          <w:sz w:val="24"/>
          <w:szCs w:val="28"/>
        </w:rPr>
        <w:t>4.消防设施</w:t>
      </w:r>
    </w:p>
    <w:p w14:paraId="79BCC5F2">
      <w:pPr>
        <w:spacing w:line="420" w:lineRule="exact"/>
        <w:ind w:firstLine="480" w:firstLineChars="200"/>
        <w:textAlignment w:val="baseline"/>
        <w:rPr>
          <w:rFonts w:ascii="宋体" w:hAnsi="宋体"/>
          <w:b/>
          <w:bCs/>
          <w:sz w:val="24"/>
          <w:szCs w:val="28"/>
        </w:rPr>
      </w:pPr>
      <w:r>
        <w:rPr>
          <w:rFonts w:ascii="宋体" w:hAnsi="宋体"/>
          <w:kern w:val="1"/>
          <w:sz w:val="24"/>
          <w:szCs w:val="28"/>
        </w:rPr>
        <w:t>每个充电桩点位须配置不少于2个</w:t>
      </w:r>
      <w:r>
        <w:rPr>
          <w:rFonts w:hint="eastAsia" w:ascii="宋体" w:hAnsi="宋体"/>
          <w:kern w:val="1"/>
          <w:sz w:val="24"/>
          <w:szCs w:val="28"/>
        </w:rPr>
        <w:t>5KG</w:t>
      </w:r>
      <w:r>
        <w:rPr>
          <w:rFonts w:ascii="宋体" w:hAnsi="宋体"/>
          <w:kern w:val="1"/>
          <w:sz w:val="24"/>
          <w:szCs w:val="28"/>
        </w:rPr>
        <w:t>干粉灭火器（须在有效期内）以满足采购人的消防要求。灭火器及消防器具的提供、安装、更换的费用由中标人自行承担。</w:t>
      </w:r>
    </w:p>
    <w:p w14:paraId="5A02CFA5">
      <w:pPr>
        <w:widowControl/>
        <w:shd w:val="clear" w:color="auto" w:fill="FFFFFF"/>
        <w:spacing w:line="420" w:lineRule="exact"/>
        <w:ind w:firstLine="482" w:firstLineChars="200"/>
        <w:jc w:val="left"/>
        <w:rPr>
          <w:rFonts w:ascii="宋体" w:hAnsi="宋体" w:cs="黑体"/>
          <w:b/>
          <w:snapToGrid w:val="0"/>
          <w:color w:val="000000"/>
          <w:kern w:val="0"/>
          <w:sz w:val="24"/>
          <w:szCs w:val="28"/>
        </w:rPr>
      </w:pPr>
      <w:r>
        <w:rPr>
          <w:rFonts w:hint="eastAsia" w:ascii="宋体" w:hAnsi="宋体" w:cs="黑体"/>
          <w:b/>
          <w:snapToGrid w:val="0"/>
          <w:color w:val="000000"/>
          <w:kern w:val="0"/>
          <w:sz w:val="24"/>
          <w:szCs w:val="28"/>
        </w:rPr>
        <w:t>六</w:t>
      </w:r>
      <w:r>
        <w:rPr>
          <w:rFonts w:ascii="宋体" w:hAnsi="宋体" w:cs="黑体"/>
          <w:b/>
          <w:snapToGrid w:val="0"/>
          <w:color w:val="000000"/>
          <w:kern w:val="0"/>
          <w:sz w:val="24"/>
          <w:szCs w:val="28"/>
        </w:rPr>
        <w:t>、施工要求</w:t>
      </w:r>
    </w:p>
    <w:p w14:paraId="38E4DB29">
      <w:pPr>
        <w:spacing w:line="420" w:lineRule="exact"/>
        <w:ind w:firstLine="480" w:firstLineChars="200"/>
        <w:textAlignment w:val="baseline"/>
        <w:rPr>
          <w:rFonts w:ascii="宋体" w:hAnsi="宋体"/>
          <w:bCs/>
          <w:kern w:val="1"/>
          <w:sz w:val="24"/>
          <w:szCs w:val="28"/>
        </w:rPr>
      </w:pPr>
      <w:r>
        <w:rPr>
          <w:rFonts w:ascii="宋体" w:hAnsi="宋体"/>
          <w:kern w:val="1"/>
          <w:sz w:val="24"/>
          <w:szCs w:val="28"/>
        </w:rPr>
        <w:t>1.中标人的施工方案要提交采购人审批同意后方可施工。中标人</w:t>
      </w:r>
      <w:r>
        <w:rPr>
          <w:rFonts w:ascii="宋体" w:hAnsi="宋体"/>
          <w:bCs/>
          <w:kern w:val="1"/>
          <w:sz w:val="24"/>
          <w:szCs w:val="28"/>
        </w:rPr>
        <w:t>编制有效的组织实施方案，以确保在合同签订并生效之日起30日内完成全部项目，因承包人责任延误工期，每延误一天工期扣款500元。</w:t>
      </w:r>
    </w:p>
    <w:p w14:paraId="3EB89527">
      <w:pPr>
        <w:spacing w:line="420" w:lineRule="exact"/>
        <w:ind w:firstLine="480" w:firstLineChars="200"/>
        <w:textAlignment w:val="baseline"/>
        <w:rPr>
          <w:rFonts w:ascii="宋体" w:hAnsi="宋体"/>
          <w:bCs/>
          <w:kern w:val="1"/>
          <w:sz w:val="24"/>
          <w:szCs w:val="28"/>
        </w:rPr>
      </w:pPr>
      <w:r>
        <w:rPr>
          <w:rFonts w:ascii="宋体" w:hAnsi="宋体"/>
          <w:bCs/>
          <w:kern w:val="1"/>
          <w:sz w:val="24"/>
          <w:szCs w:val="28"/>
        </w:rPr>
        <w:t>2.本项目的所有设备、材料须符合招标要求和国家相关安全标准并能提供产品合格证书。</w:t>
      </w:r>
    </w:p>
    <w:p w14:paraId="4A3ECA2A">
      <w:pPr>
        <w:spacing w:line="420" w:lineRule="exact"/>
        <w:ind w:firstLine="480" w:firstLineChars="200"/>
        <w:textAlignment w:val="baseline"/>
        <w:rPr>
          <w:rFonts w:ascii="宋体" w:hAnsi="宋体"/>
          <w:bCs/>
          <w:kern w:val="1"/>
          <w:sz w:val="24"/>
          <w:szCs w:val="28"/>
        </w:rPr>
      </w:pPr>
      <w:r>
        <w:rPr>
          <w:rFonts w:ascii="宋体" w:hAnsi="宋体"/>
          <w:bCs/>
          <w:kern w:val="1"/>
          <w:sz w:val="24"/>
          <w:szCs w:val="28"/>
        </w:rPr>
        <w:t>3.施工期间不得对我校路面等场所造成污损，如工程必须临时占用路面，必须在24小时内清理恢复。</w:t>
      </w:r>
    </w:p>
    <w:p w14:paraId="65DE94A8">
      <w:pPr>
        <w:spacing w:line="420" w:lineRule="exact"/>
        <w:ind w:firstLine="480" w:firstLineChars="200"/>
        <w:textAlignment w:val="baseline"/>
        <w:rPr>
          <w:rFonts w:ascii="宋体" w:hAnsi="宋体"/>
          <w:bCs/>
          <w:kern w:val="1"/>
          <w:sz w:val="24"/>
          <w:szCs w:val="28"/>
        </w:rPr>
      </w:pPr>
      <w:r>
        <w:rPr>
          <w:rFonts w:ascii="宋体" w:hAnsi="宋体"/>
          <w:bCs/>
          <w:kern w:val="1"/>
          <w:sz w:val="24"/>
          <w:szCs w:val="28"/>
        </w:rPr>
        <w:t>4.施工前施工场地内的垃圾及废弃物，以及施工过程中所产生的垃圾及废弃物由施工单位及时清运出校园，不得在校园内堆放或抛洒，否则工程不予验收。垃圾及废弃物清运及处置的相关费用由中标人自行承担。</w:t>
      </w:r>
    </w:p>
    <w:p w14:paraId="26F9E459">
      <w:pPr>
        <w:spacing w:line="420" w:lineRule="exact"/>
        <w:ind w:firstLine="480" w:firstLineChars="200"/>
        <w:textAlignment w:val="baseline"/>
        <w:rPr>
          <w:rFonts w:ascii="宋体" w:hAnsi="宋体"/>
          <w:bCs/>
          <w:kern w:val="1"/>
          <w:sz w:val="24"/>
          <w:szCs w:val="28"/>
        </w:rPr>
      </w:pPr>
      <w:r>
        <w:rPr>
          <w:rFonts w:ascii="宋体" w:hAnsi="宋体"/>
          <w:bCs/>
          <w:kern w:val="1"/>
          <w:sz w:val="24"/>
          <w:szCs w:val="28"/>
        </w:rPr>
        <w:t>5.电缆接线原则上要求暗敷，完成接线后须按要求恢复路面。若无法暗敷，须保证电缆接线整齐美观，电缆敷设符合国标要求。</w:t>
      </w:r>
    </w:p>
    <w:p w14:paraId="5BB9F2B6">
      <w:pPr>
        <w:spacing w:line="420" w:lineRule="exact"/>
        <w:ind w:firstLine="480" w:firstLineChars="200"/>
        <w:textAlignment w:val="baseline"/>
        <w:rPr>
          <w:rFonts w:ascii="宋体" w:hAnsi="宋体"/>
          <w:bCs/>
          <w:kern w:val="1"/>
          <w:sz w:val="24"/>
          <w:szCs w:val="28"/>
        </w:rPr>
      </w:pPr>
      <w:r>
        <w:rPr>
          <w:rFonts w:ascii="宋体" w:hAnsi="宋体"/>
          <w:bCs/>
          <w:kern w:val="1"/>
          <w:sz w:val="24"/>
          <w:szCs w:val="28"/>
        </w:rPr>
        <w:t>6.施工人员所需饮食、暂住地由施工方自行解决，施工过程中，施工单位负责一切安全问题。</w:t>
      </w:r>
    </w:p>
    <w:p w14:paraId="07A11BCB">
      <w:pPr>
        <w:spacing w:line="420" w:lineRule="exact"/>
        <w:ind w:firstLine="480" w:firstLineChars="200"/>
        <w:textAlignment w:val="baseline"/>
        <w:rPr>
          <w:rFonts w:ascii="宋体" w:hAnsi="宋体"/>
          <w:bCs/>
          <w:kern w:val="1"/>
          <w:sz w:val="24"/>
          <w:szCs w:val="28"/>
        </w:rPr>
      </w:pPr>
      <w:r>
        <w:rPr>
          <w:rFonts w:hint="eastAsia" w:ascii="宋体" w:hAnsi="宋体"/>
          <w:bCs/>
          <w:kern w:val="1"/>
          <w:sz w:val="24"/>
          <w:szCs w:val="28"/>
        </w:rPr>
        <w:t>7.施工时间，自合同签订之日起1个月内完成施工，投入运营使用。</w:t>
      </w:r>
    </w:p>
    <w:p w14:paraId="4AB3EEE5">
      <w:pPr>
        <w:widowControl/>
        <w:shd w:val="clear" w:color="auto" w:fill="FFFFFF"/>
        <w:spacing w:line="420" w:lineRule="exact"/>
        <w:ind w:firstLine="482" w:firstLineChars="200"/>
        <w:jc w:val="left"/>
        <w:rPr>
          <w:rFonts w:ascii="宋体" w:hAnsi="宋体" w:cs="黑体"/>
          <w:b/>
          <w:snapToGrid w:val="0"/>
          <w:color w:val="000000"/>
          <w:kern w:val="0"/>
          <w:sz w:val="24"/>
          <w:szCs w:val="28"/>
        </w:rPr>
      </w:pPr>
      <w:r>
        <w:rPr>
          <w:rFonts w:hint="eastAsia" w:ascii="宋体" w:hAnsi="宋体" w:cs="黑体"/>
          <w:b/>
          <w:snapToGrid w:val="0"/>
          <w:color w:val="000000"/>
          <w:kern w:val="0"/>
          <w:sz w:val="24"/>
          <w:szCs w:val="28"/>
        </w:rPr>
        <w:t>七</w:t>
      </w:r>
      <w:r>
        <w:rPr>
          <w:rFonts w:ascii="宋体" w:hAnsi="宋体" w:cs="黑体"/>
          <w:b/>
          <w:snapToGrid w:val="0"/>
          <w:color w:val="000000"/>
          <w:kern w:val="0"/>
          <w:sz w:val="24"/>
          <w:szCs w:val="28"/>
        </w:rPr>
        <w:t>、售后服务要求</w:t>
      </w:r>
    </w:p>
    <w:p w14:paraId="73E0B136">
      <w:pPr>
        <w:spacing w:line="420" w:lineRule="exact"/>
        <w:ind w:firstLine="480" w:firstLineChars="200"/>
        <w:textAlignment w:val="baseline"/>
        <w:rPr>
          <w:rFonts w:ascii="宋体" w:hAnsi="宋体"/>
          <w:kern w:val="1"/>
          <w:sz w:val="24"/>
          <w:szCs w:val="28"/>
        </w:rPr>
      </w:pPr>
      <w:r>
        <w:rPr>
          <w:rFonts w:ascii="宋体" w:hAnsi="宋体"/>
          <w:kern w:val="1"/>
          <w:sz w:val="24"/>
          <w:szCs w:val="28"/>
        </w:rPr>
        <w:t>1.中标人提供7</w:t>
      </w:r>
      <w:r>
        <w:rPr>
          <w:rFonts w:hint="eastAsia" w:ascii="宋体" w:hAnsi="宋体"/>
          <w:kern w:val="1"/>
          <w:sz w:val="24"/>
          <w:szCs w:val="28"/>
        </w:rPr>
        <w:t>×</w:t>
      </w:r>
      <w:r>
        <w:rPr>
          <w:rFonts w:ascii="宋体" w:hAnsi="宋体"/>
          <w:kern w:val="1"/>
          <w:sz w:val="24"/>
          <w:szCs w:val="28"/>
        </w:rPr>
        <w:t>24小时技术支持及上门服务，每个充电桩公示安全提示、报修电话、使用说明、收费标准，公示方式明显、清晰、牢固，接到报修2小时内响应，24小时内解决问题。</w:t>
      </w:r>
    </w:p>
    <w:p w14:paraId="0DFB65A6">
      <w:pPr>
        <w:spacing w:line="420" w:lineRule="exact"/>
        <w:ind w:firstLine="480" w:firstLineChars="200"/>
        <w:textAlignment w:val="baseline"/>
        <w:rPr>
          <w:rFonts w:ascii="宋体" w:hAnsi="宋体"/>
          <w:sz w:val="24"/>
          <w:szCs w:val="28"/>
        </w:rPr>
      </w:pPr>
      <w:r>
        <w:rPr>
          <w:rFonts w:hint="eastAsia" w:ascii="宋体" w:hAnsi="宋体"/>
          <w:kern w:val="1"/>
          <w:sz w:val="24"/>
          <w:szCs w:val="28"/>
        </w:rPr>
        <w:t>2</w:t>
      </w:r>
      <w:r>
        <w:rPr>
          <w:rFonts w:ascii="宋体" w:hAnsi="宋体"/>
          <w:kern w:val="1"/>
          <w:sz w:val="24"/>
          <w:szCs w:val="28"/>
        </w:rPr>
        <w:t>.</w:t>
      </w:r>
      <w:r>
        <w:rPr>
          <w:rFonts w:ascii="宋体" w:hAnsi="宋体"/>
          <w:sz w:val="24"/>
          <w:szCs w:val="28"/>
        </w:rPr>
        <w:t>中标人在运输、施工、设备运营中产生的安全生产事故、消防事故、水电安全事故、人身伤亡、行政处罚等，均由中标人承担相应的法律及经济责任，包括损失赔偿在内的事故处理的一切费用、工程的恢复费用、处罚费用等。造成采购人或第三人人身财产损失的，中标人还应承担一切法律及赔偿责任。</w:t>
      </w:r>
    </w:p>
    <w:p w14:paraId="00773CB1">
      <w:pPr>
        <w:widowControl/>
        <w:tabs>
          <w:tab w:val="left" w:pos="0"/>
          <w:tab w:val="left" w:pos="993"/>
          <w:tab w:val="left" w:pos="1134"/>
        </w:tabs>
        <w:spacing w:line="420" w:lineRule="exact"/>
        <w:ind w:firstLine="567"/>
        <w:rPr>
          <w:rFonts w:ascii="宋体" w:hAnsi="宋体"/>
          <w:kern w:val="1"/>
          <w:sz w:val="24"/>
          <w:szCs w:val="28"/>
        </w:rPr>
      </w:pPr>
      <w:r>
        <w:rPr>
          <w:rFonts w:hint="eastAsia" w:ascii="宋体" w:hAnsi="宋体"/>
          <w:kern w:val="1"/>
          <w:sz w:val="24"/>
          <w:szCs w:val="28"/>
        </w:rPr>
        <w:t>3</w:t>
      </w:r>
      <w:r>
        <w:rPr>
          <w:rFonts w:ascii="宋体" w:hAnsi="宋体"/>
          <w:kern w:val="1"/>
          <w:sz w:val="24"/>
          <w:szCs w:val="28"/>
        </w:rPr>
        <w:t>.采购人不参与中标人的运营管理，但有权对中标单位的服务质量进行抽查，评估和监督，同时向中标人提供合理化建议。若出现违约行为，采购人有权对其按违约行为处理，违约金直接从充电收入款中扣除。</w:t>
      </w:r>
    </w:p>
    <w:p w14:paraId="79600C4B">
      <w:pPr>
        <w:spacing w:line="420" w:lineRule="exact"/>
        <w:ind w:firstLine="480" w:firstLineChars="200"/>
        <w:textAlignment w:val="baseline"/>
        <w:rPr>
          <w:rFonts w:eastAsia="方正仿宋_GBK"/>
          <w:sz w:val="28"/>
          <w:szCs w:val="28"/>
        </w:rPr>
      </w:pPr>
      <w:r>
        <w:rPr>
          <w:rFonts w:hint="eastAsia" w:ascii="宋体" w:hAnsi="宋体"/>
          <w:sz w:val="24"/>
          <w:szCs w:val="28"/>
        </w:rPr>
        <w:t>4</w:t>
      </w:r>
      <w:r>
        <w:rPr>
          <w:rFonts w:ascii="宋体" w:hAnsi="宋体"/>
          <w:sz w:val="24"/>
          <w:szCs w:val="28"/>
        </w:rPr>
        <w:t>.服务期满后或被采购人终止合作协议的，中标人在接到采购人通知之日起7日内拆除全部设备，设备拆除费用由中标人全部承担，不得破坏路面等设施</w:t>
      </w:r>
      <w:r>
        <w:rPr>
          <w:rFonts w:eastAsia="方正仿宋_GBK"/>
          <w:sz w:val="28"/>
          <w:szCs w:val="28"/>
        </w:rPr>
        <w:t>。</w:t>
      </w:r>
    </w:p>
    <w:p w14:paraId="051273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445A42"/>
    <w:rsid w:val="025256A9"/>
    <w:rsid w:val="03450073"/>
    <w:rsid w:val="04046C69"/>
    <w:rsid w:val="059C45FA"/>
    <w:rsid w:val="05A72BD7"/>
    <w:rsid w:val="05BF054E"/>
    <w:rsid w:val="06B75ED8"/>
    <w:rsid w:val="077A37C7"/>
    <w:rsid w:val="08F51C6F"/>
    <w:rsid w:val="09A02F07"/>
    <w:rsid w:val="0A1B177E"/>
    <w:rsid w:val="0A2A3F94"/>
    <w:rsid w:val="0A4C329E"/>
    <w:rsid w:val="0B9B0B50"/>
    <w:rsid w:val="0BA20969"/>
    <w:rsid w:val="0BDB550F"/>
    <w:rsid w:val="0C2306DE"/>
    <w:rsid w:val="0FF50CDA"/>
    <w:rsid w:val="112B315A"/>
    <w:rsid w:val="11C4094C"/>
    <w:rsid w:val="126C4B94"/>
    <w:rsid w:val="127A692D"/>
    <w:rsid w:val="12D80EE0"/>
    <w:rsid w:val="15C63EFD"/>
    <w:rsid w:val="16F9394C"/>
    <w:rsid w:val="171017F6"/>
    <w:rsid w:val="174C5939"/>
    <w:rsid w:val="17AD1C47"/>
    <w:rsid w:val="18AE1580"/>
    <w:rsid w:val="1ACA5DAB"/>
    <w:rsid w:val="1B1172D3"/>
    <w:rsid w:val="1CBF2330"/>
    <w:rsid w:val="1EDB74BB"/>
    <w:rsid w:val="1F4F63AA"/>
    <w:rsid w:val="208572BC"/>
    <w:rsid w:val="20C51371"/>
    <w:rsid w:val="21580306"/>
    <w:rsid w:val="217534E3"/>
    <w:rsid w:val="230A6D40"/>
    <w:rsid w:val="24BA6FF6"/>
    <w:rsid w:val="24EE3A00"/>
    <w:rsid w:val="269F5436"/>
    <w:rsid w:val="26C070DF"/>
    <w:rsid w:val="26C22868"/>
    <w:rsid w:val="272410F6"/>
    <w:rsid w:val="28C9014F"/>
    <w:rsid w:val="2A3E773C"/>
    <w:rsid w:val="2B204A26"/>
    <w:rsid w:val="2BA2607E"/>
    <w:rsid w:val="2BA467A3"/>
    <w:rsid w:val="2C023617"/>
    <w:rsid w:val="2C413E10"/>
    <w:rsid w:val="2C4A15C5"/>
    <w:rsid w:val="2CE45FAF"/>
    <w:rsid w:val="2D7E7F36"/>
    <w:rsid w:val="2E0B14F1"/>
    <w:rsid w:val="2EB7711F"/>
    <w:rsid w:val="2ECA3187"/>
    <w:rsid w:val="2F32723D"/>
    <w:rsid w:val="2FB61930"/>
    <w:rsid w:val="2FD4097D"/>
    <w:rsid w:val="31923F99"/>
    <w:rsid w:val="31DB7C26"/>
    <w:rsid w:val="32F03854"/>
    <w:rsid w:val="35751081"/>
    <w:rsid w:val="371F2019"/>
    <w:rsid w:val="38374BD9"/>
    <w:rsid w:val="39B95254"/>
    <w:rsid w:val="3C257A29"/>
    <w:rsid w:val="3DB850AD"/>
    <w:rsid w:val="3EA1334D"/>
    <w:rsid w:val="4042629E"/>
    <w:rsid w:val="419032B3"/>
    <w:rsid w:val="423E2C3C"/>
    <w:rsid w:val="44C83245"/>
    <w:rsid w:val="45815028"/>
    <w:rsid w:val="45F457B6"/>
    <w:rsid w:val="47FB61CA"/>
    <w:rsid w:val="48192681"/>
    <w:rsid w:val="4A896133"/>
    <w:rsid w:val="4B807A4A"/>
    <w:rsid w:val="4C8B415B"/>
    <w:rsid w:val="4CDC0F66"/>
    <w:rsid w:val="4CFA56BA"/>
    <w:rsid w:val="4EBB1677"/>
    <w:rsid w:val="4FB74DDA"/>
    <w:rsid w:val="4FEB65B7"/>
    <w:rsid w:val="506D2F61"/>
    <w:rsid w:val="51224C99"/>
    <w:rsid w:val="518A6222"/>
    <w:rsid w:val="518E3745"/>
    <w:rsid w:val="52191E7B"/>
    <w:rsid w:val="52D612BA"/>
    <w:rsid w:val="53002936"/>
    <w:rsid w:val="549240B9"/>
    <w:rsid w:val="550A4E58"/>
    <w:rsid w:val="55DC7470"/>
    <w:rsid w:val="575C5E28"/>
    <w:rsid w:val="57881CE3"/>
    <w:rsid w:val="5796147C"/>
    <w:rsid w:val="57DB0FF9"/>
    <w:rsid w:val="583E6D60"/>
    <w:rsid w:val="58687284"/>
    <w:rsid w:val="59121EEA"/>
    <w:rsid w:val="59801CB3"/>
    <w:rsid w:val="59BA6A1C"/>
    <w:rsid w:val="59C52D7E"/>
    <w:rsid w:val="59E60742"/>
    <w:rsid w:val="5A2C7A72"/>
    <w:rsid w:val="5A7E088E"/>
    <w:rsid w:val="5AEB5DEF"/>
    <w:rsid w:val="5BFC68F7"/>
    <w:rsid w:val="5C4D76FA"/>
    <w:rsid w:val="5CF6181D"/>
    <w:rsid w:val="5D193E1C"/>
    <w:rsid w:val="5DCC16BA"/>
    <w:rsid w:val="5E59229C"/>
    <w:rsid w:val="5E707315"/>
    <w:rsid w:val="5FDE126D"/>
    <w:rsid w:val="60E751E1"/>
    <w:rsid w:val="610C2C7F"/>
    <w:rsid w:val="611D301E"/>
    <w:rsid w:val="612F4DE2"/>
    <w:rsid w:val="61B761CA"/>
    <w:rsid w:val="629E4AE7"/>
    <w:rsid w:val="62A533D5"/>
    <w:rsid w:val="645F10F0"/>
    <w:rsid w:val="648A4D97"/>
    <w:rsid w:val="65274AF0"/>
    <w:rsid w:val="65497C1A"/>
    <w:rsid w:val="65733A32"/>
    <w:rsid w:val="65CF0629"/>
    <w:rsid w:val="660C5BBE"/>
    <w:rsid w:val="66251931"/>
    <w:rsid w:val="681B3755"/>
    <w:rsid w:val="68530868"/>
    <w:rsid w:val="694801CA"/>
    <w:rsid w:val="697D344C"/>
    <w:rsid w:val="69C640CC"/>
    <w:rsid w:val="6C6359BE"/>
    <w:rsid w:val="6D7628AC"/>
    <w:rsid w:val="6FD64E04"/>
    <w:rsid w:val="72C46B86"/>
    <w:rsid w:val="731D2678"/>
    <w:rsid w:val="73311A0E"/>
    <w:rsid w:val="756952E5"/>
    <w:rsid w:val="7676352F"/>
    <w:rsid w:val="78346479"/>
    <w:rsid w:val="78C23387"/>
    <w:rsid w:val="78F44268"/>
    <w:rsid w:val="7A1C1634"/>
    <w:rsid w:val="7ACD370F"/>
    <w:rsid w:val="7B915070"/>
    <w:rsid w:val="7BBE23CD"/>
    <w:rsid w:val="7D820416"/>
    <w:rsid w:val="7DB930A8"/>
    <w:rsid w:val="7E036426"/>
    <w:rsid w:val="7FD4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2024-11-25T09:16:22Z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567C3DD905534D5CBE82ABB29CB728F4</vt:lpwstr>
  </property>
</Properties>
</file>