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2555C9">
      <w:pPr>
        <w:pStyle w:val="3"/>
        <w:spacing w:beforeAutospacing="0" w:afterAutospacing="0" w:line="0" w:lineRule="atLeast"/>
        <w:jc w:val="center"/>
        <w:rPr>
          <w:rFonts w:hint="eastAsia" w:ascii="宋体" w:hAnsi="宋体" w:eastAsia="宋体" w:cs="宋体"/>
          <w:b/>
          <w:bCs/>
          <w:color w:val="auto"/>
          <w:sz w:val="32"/>
          <w:szCs w:val="32"/>
        </w:rPr>
      </w:pPr>
      <w:r>
        <w:rPr>
          <w:rFonts w:hint="eastAsia" w:ascii="宋体" w:hAnsi="宋体" w:eastAsia="宋体" w:cs="宋体"/>
          <w:b/>
          <w:bCs/>
          <w:color w:val="auto"/>
          <w:sz w:val="32"/>
          <w:szCs w:val="32"/>
        </w:rPr>
        <w:t>采购需求</w:t>
      </w:r>
      <w:bookmarkStart w:id="0" w:name="_Toc49090575"/>
      <w:bookmarkEnd w:id="0"/>
      <w:bookmarkStart w:id="1" w:name="_Toc26554093"/>
      <w:bookmarkEnd w:id="1"/>
    </w:p>
    <w:p w14:paraId="458D8CA2">
      <w:pPr>
        <w:pStyle w:val="3"/>
        <w:keepNext w:val="0"/>
        <w:keepLines w:val="0"/>
        <w:pageBreakBefore w:val="0"/>
        <w:widowControl w:val="0"/>
        <w:kinsoku/>
        <w:wordWrap/>
        <w:overflowPunct/>
        <w:topLinePunct w:val="0"/>
        <w:autoSpaceDE/>
        <w:autoSpaceDN/>
        <w:bidi w:val="0"/>
        <w:adjustRightInd/>
        <w:snapToGrid/>
        <w:spacing w:beforeAutospacing="0" w:afterAutospacing="0" w:line="336" w:lineRule="auto"/>
        <w:jc w:val="both"/>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项目属性：服务类项目</w:t>
      </w:r>
    </w:p>
    <w:p w14:paraId="42C853B0">
      <w:pPr>
        <w:keepNext w:val="0"/>
        <w:keepLines w:val="0"/>
        <w:pageBreakBefore w:val="0"/>
        <w:widowControl w:val="0"/>
        <w:kinsoku/>
        <w:wordWrap/>
        <w:overflowPunct/>
        <w:topLinePunct w:val="0"/>
        <w:autoSpaceDE/>
        <w:autoSpaceDN/>
        <w:bidi w:val="0"/>
        <w:adjustRightInd/>
        <w:snapToGrid/>
        <w:spacing w:line="336" w:lineRule="auto"/>
        <w:ind w:firstLine="422" w:firstLineChars="200"/>
        <w:textAlignment w:val="auto"/>
        <w:rPr>
          <w:rFonts w:hint="eastAsia" w:ascii="宋体" w:hAnsi="宋体" w:eastAsia="宋体" w:cs="宋体"/>
          <w:b/>
          <w:sz w:val="21"/>
          <w:szCs w:val="21"/>
          <w:highlight w:val="none"/>
          <w:lang w:val="en-US" w:eastAsia="zh-CN"/>
        </w:rPr>
      </w:pPr>
      <w:r>
        <w:rPr>
          <w:rFonts w:hint="eastAsia" w:ascii="宋体" w:hAnsi="宋体" w:eastAsia="宋体" w:cs="宋体"/>
          <w:b/>
          <w:sz w:val="21"/>
          <w:szCs w:val="21"/>
          <w:highlight w:val="none"/>
          <w:lang w:val="en-US" w:eastAsia="zh-CN"/>
        </w:rPr>
        <w:t>一、项目概况</w:t>
      </w:r>
      <w:bookmarkStart w:id="2" w:name="_GoBack"/>
      <w:bookmarkEnd w:id="2"/>
    </w:p>
    <w:p w14:paraId="34E4F666">
      <w:pPr>
        <w:pStyle w:val="3"/>
        <w:keepNext w:val="0"/>
        <w:keepLines w:val="0"/>
        <w:pageBreakBefore w:val="0"/>
        <w:kinsoku/>
        <w:wordWrap/>
        <w:overflowPunct/>
        <w:topLinePunct w:val="0"/>
        <w:autoSpaceDE/>
        <w:autoSpaceDN/>
        <w:bidi w:val="0"/>
        <w:adjustRightInd/>
        <w:snapToGrid/>
        <w:spacing w:beforeAutospacing="0" w:afterAutospacing="0" w:line="336" w:lineRule="auto"/>
        <w:ind w:firstLine="480"/>
        <w:jc w:val="both"/>
        <w:textAlignment w:val="auto"/>
        <w:rPr>
          <w:rFonts w:hint="eastAsia" w:ascii="宋体" w:hAnsi="宋体" w:eastAsia="宋体" w:cs="宋体"/>
          <w:i w:val="0"/>
          <w:iCs w:val="0"/>
          <w:caps w:val="0"/>
          <w:color w:val="auto"/>
          <w:spacing w:val="0"/>
          <w:sz w:val="21"/>
          <w:szCs w:val="21"/>
          <w:highlight w:val="none"/>
          <w:shd w:val="clear" w:color="auto" w:fill="FFFFFF"/>
          <w:lang w:val="en-US" w:eastAsia="zh-CN"/>
        </w:rPr>
      </w:pPr>
      <w:r>
        <w:rPr>
          <w:rFonts w:hint="eastAsia" w:ascii="宋体" w:hAnsi="宋体" w:eastAsia="宋体" w:cs="宋体"/>
          <w:i w:val="0"/>
          <w:iCs w:val="0"/>
          <w:caps w:val="0"/>
          <w:color w:val="auto"/>
          <w:spacing w:val="0"/>
          <w:sz w:val="21"/>
          <w:szCs w:val="21"/>
          <w:highlight w:val="none"/>
          <w:shd w:val="clear" w:color="auto" w:fill="FFFFFF"/>
          <w:lang w:val="en-US" w:eastAsia="zh-CN"/>
        </w:rPr>
        <w:t>江苏医药职业学院基础医学部实验室搬迁服务项目采购，基础医学部东校区解剖、机能、免疫等实验室整体搬迁至新楼指定房间，涉及仪器设备、精密仪器、教学标本及耗材等共2000余台（件、箱），含显微互动教学、数字人解剖系统的拆装调试，搬迁后须恢复正常教学功能。</w:t>
      </w:r>
    </w:p>
    <w:p w14:paraId="28ADA201">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422" w:firstLineChars="200"/>
        <w:textAlignment w:val="auto"/>
        <w:rPr>
          <w:rFonts w:hint="eastAsia" w:ascii="宋体" w:hAnsi="宋体" w:eastAsia="宋体" w:cs="宋体"/>
          <w:b/>
          <w:bCs/>
          <w:i w:val="0"/>
          <w:iCs w:val="0"/>
          <w:color w:val="auto"/>
          <w:sz w:val="21"/>
          <w:szCs w:val="21"/>
          <w:u w:val="none"/>
          <w:lang w:val="en-US" w:eastAsia="zh-CN"/>
        </w:rPr>
      </w:pPr>
      <w:r>
        <w:rPr>
          <w:rFonts w:hint="eastAsia" w:ascii="宋体" w:hAnsi="宋体" w:eastAsia="宋体" w:cs="宋体"/>
          <w:b/>
          <w:bCs/>
          <w:i w:val="0"/>
          <w:iCs w:val="0"/>
          <w:color w:val="auto"/>
          <w:sz w:val="21"/>
          <w:szCs w:val="21"/>
          <w:lang w:val="en-US" w:eastAsia="zh-CN" w:bidi="ar-SA"/>
        </w:rPr>
        <w:t>二、</w:t>
      </w:r>
      <w:r>
        <w:rPr>
          <w:rFonts w:hint="eastAsia" w:ascii="宋体" w:hAnsi="宋体" w:eastAsia="宋体" w:cs="宋体"/>
          <w:b/>
          <w:bCs/>
          <w:i w:val="0"/>
          <w:iCs w:val="0"/>
          <w:color w:val="auto"/>
          <w:sz w:val="21"/>
          <w:szCs w:val="21"/>
          <w:u w:val="none"/>
          <w:lang w:val="en-US" w:eastAsia="zh-CN"/>
        </w:rPr>
        <w:t>服务技术需求</w:t>
      </w:r>
    </w:p>
    <w:tbl>
      <w:tblPr>
        <w:tblStyle w:val="4"/>
        <w:tblW w:w="100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014"/>
        <w:gridCol w:w="5245"/>
        <w:gridCol w:w="851"/>
        <w:gridCol w:w="850"/>
        <w:gridCol w:w="1234"/>
      </w:tblGrid>
      <w:tr w14:paraId="5737C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829" w:type="dxa"/>
            <w:shd w:val="clear" w:color="auto" w:fill="E3F2D9" w:themeFill="accent4" w:themeFillTint="32"/>
            <w:vAlign w:val="center"/>
          </w:tcPr>
          <w:p w14:paraId="4276A7E3">
            <w:pPr>
              <w:keepNext w:val="0"/>
              <w:keepLines w:val="0"/>
              <w:pageBreakBefore w:val="0"/>
              <w:widowControl/>
              <w:suppressLineNumbers w:val="0"/>
              <w:kinsoku/>
              <w:wordWrap/>
              <w:overflowPunct/>
              <w:topLinePunct w:val="0"/>
              <w:autoSpaceDE/>
              <w:autoSpaceDN/>
              <w:bidi w:val="0"/>
              <w:adjustRightInd/>
              <w:spacing w:line="336" w:lineRule="auto"/>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序号</w:t>
            </w:r>
          </w:p>
        </w:tc>
        <w:tc>
          <w:tcPr>
            <w:tcW w:w="1014" w:type="dxa"/>
            <w:shd w:val="clear" w:color="auto" w:fill="E3F2D9" w:themeFill="accent4" w:themeFillTint="32"/>
            <w:vAlign w:val="center"/>
          </w:tcPr>
          <w:p w14:paraId="4AEFF6EA">
            <w:pPr>
              <w:keepNext w:val="0"/>
              <w:keepLines w:val="0"/>
              <w:pageBreakBefore w:val="0"/>
              <w:widowControl/>
              <w:suppressLineNumbers w:val="0"/>
              <w:kinsoku/>
              <w:wordWrap/>
              <w:overflowPunct/>
              <w:topLinePunct w:val="0"/>
              <w:autoSpaceDE/>
              <w:autoSpaceDN/>
              <w:bidi w:val="0"/>
              <w:adjustRightInd/>
              <w:spacing w:line="336" w:lineRule="auto"/>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名称</w:t>
            </w:r>
          </w:p>
        </w:tc>
        <w:tc>
          <w:tcPr>
            <w:tcW w:w="5245" w:type="dxa"/>
            <w:tcBorders>
              <w:top w:val="single" w:color="000000" w:sz="4" w:space="0"/>
            </w:tcBorders>
            <w:shd w:val="clear" w:color="auto" w:fill="E3F2D9" w:themeFill="accent4" w:themeFillTint="32"/>
            <w:vAlign w:val="center"/>
          </w:tcPr>
          <w:p w14:paraId="7C9AAFCC">
            <w:pPr>
              <w:keepNext w:val="0"/>
              <w:keepLines w:val="0"/>
              <w:pageBreakBefore w:val="0"/>
              <w:widowControl/>
              <w:suppressLineNumbers w:val="0"/>
              <w:kinsoku/>
              <w:wordWrap/>
              <w:overflowPunct/>
              <w:topLinePunct w:val="0"/>
              <w:autoSpaceDE/>
              <w:autoSpaceDN/>
              <w:bidi w:val="0"/>
              <w:adjustRightInd/>
              <w:spacing w:line="336" w:lineRule="auto"/>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主要技术需求</w:t>
            </w:r>
          </w:p>
        </w:tc>
        <w:tc>
          <w:tcPr>
            <w:tcW w:w="851" w:type="dxa"/>
            <w:shd w:val="clear" w:color="auto" w:fill="E3F2D9" w:themeFill="accent4" w:themeFillTint="32"/>
            <w:vAlign w:val="center"/>
          </w:tcPr>
          <w:p w14:paraId="335BB088">
            <w:pPr>
              <w:keepNext w:val="0"/>
              <w:keepLines w:val="0"/>
              <w:pageBreakBefore w:val="0"/>
              <w:widowControl/>
              <w:suppressLineNumbers w:val="0"/>
              <w:kinsoku/>
              <w:wordWrap/>
              <w:overflowPunct/>
              <w:topLinePunct w:val="0"/>
              <w:autoSpaceDE/>
              <w:autoSpaceDN/>
              <w:bidi w:val="0"/>
              <w:adjustRightInd/>
              <w:spacing w:line="336" w:lineRule="auto"/>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数量</w:t>
            </w:r>
          </w:p>
        </w:tc>
        <w:tc>
          <w:tcPr>
            <w:tcW w:w="850" w:type="dxa"/>
            <w:shd w:val="clear" w:color="auto" w:fill="E3F2D9" w:themeFill="accent4" w:themeFillTint="32"/>
            <w:vAlign w:val="center"/>
          </w:tcPr>
          <w:p w14:paraId="63CD58A6">
            <w:pPr>
              <w:keepNext w:val="0"/>
              <w:keepLines w:val="0"/>
              <w:pageBreakBefore w:val="0"/>
              <w:widowControl/>
              <w:suppressLineNumbers w:val="0"/>
              <w:kinsoku/>
              <w:wordWrap/>
              <w:overflowPunct/>
              <w:topLinePunct w:val="0"/>
              <w:autoSpaceDE/>
              <w:autoSpaceDN/>
              <w:bidi w:val="0"/>
              <w:adjustRightInd/>
              <w:spacing w:line="336" w:lineRule="auto"/>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单位</w:t>
            </w:r>
          </w:p>
        </w:tc>
        <w:tc>
          <w:tcPr>
            <w:tcW w:w="1234" w:type="dxa"/>
            <w:shd w:val="clear" w:color="auto" w:fill="E3F2D9" w:themeFill="accent4" w:themeFillTint="32"/>
            <w:vAlign w:val="center"/>
          </w:tcPr>
          <w:p w14:paraId="711363D9">
            <w:pPr>
              <w:keepNext w:val="0"/>
              <w:keepLines w:val="0"/>
              <w:pageBreakBefore w:val="0"/>
              <w:widowControl/>
              <w:suppressLineNumbers w:val="0"/>
              <w:kinsoku/>
              <w:wordWrap/>
              <w:overflowPunct/>
              <w:topLinePunct w:val="0"/>
              <w:autoSpaceDE/>
              <w:autoSpaceDN/>
              <w:bidi w:val="0"/>
              <w:adjustRightInd/>
              <w:spacing w:line="336" w:lineRule="auto"/>
              <w:jc w:val="center"/>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备注</w:t>
            </w:r>
          </w:p>
        </w:tc>
      </w:tr>
      <w:tr w14:paraId="0D3F0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29" w:type="dxa"/>
            <w:vAlign w:val="center"/>
          </w:tcPr>
          <w:p w14:paraId="1EC1F2D1">
            <w:pPr>
              <w:keepNext w:val="0"/>
              <w:keepLines w:val="0"/>
              <w:pageBreakBefore w:val="0"/>
              <w:widowControl/>
              <w:kinsoku/>
              <w:wordWrap/>
              <w:overflowPunct/>
              <w:topLinePunct w:val="0"/>
              <w:autoSpaceDE/>
              <w:autoSpaceDN/>
              <w:bidi w:val="0"/>
              <w:adjustRightInd/>
              <w:snapToGrid/>
              <w:spacing w:line="336" w:lineRule="auto"/>
              <w:jc w:val="center"/>
              <w:textAlignment w:val="auto"/>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1</w:t>
            </w:r>
          </w:p>
        </w:tc>
        <w:tc>
          <w:tcPr>
            <w:tcW w:w="1014" w:type="dxa"/>
            <w:vAlign w:val="center"/>
          </w:tcPr>
          <w:p w14:paraId="558AB0E5">
            <w:pPr>
              <w:keepNext w:val="0"/>
              <w:keepLines w:val="0"/>
              <w:pageBreakBefore w:val="0"/>
              <w:widowControl/>
              <w:kinsoku/>
              <w:wordWrap/>
              <w:overflowPunct/>
              <w:topLinePunct w:val="0"/>
              <w:autoSpaceDE/>
              <w:autoSpaceDN/>
              <w:bidi w:val="0"/>
              <w:adjustRightInd/>
              <w:snapToGrid/>
              <w:spacing w:line="336" w:lineRule="auto"/>
              <w:jc w:val="both"/>
              <w:textAlignment w:val="auto"/>
              <w:rPr>
                <w:rFonts w:hint="eastAsia" w:ascii="宋体" w:hAnsi="宋体" w:eastAsia="宋体" w:cs="宋体"/>
                <w:b/>
                <w:color w:val="auto"/>
                <w:kern w:val="0"/>
                <w:sz w:val="21"/>
                <w:szCs w:val="21"/>
                <w:lang w:eastAsia="zh-CN"/>
              </w:rPr>
            </w:pPr>
            <w:r>
              <w:rPr>
                <w:rFonts w:hint="eastAsia" w:ascii="宋体" w:hAnsi="宋体" w:eastAsia="宋体" w:cs="宋体"/>
                <w:color w:val="auto"/>
                <w:kern w:val="0"/>
                <w:sz w:val="21"/>
                <w:szCs w:val="21"/>
                <w:lang w:eastAsia="zh-CN"/>
              </w:rPr>
              <w:t>普通搬运（仪器设备、教学模型及办公家具等）</w:t>
            </w:r>
          </w:p>
        </w:tc>
        <w:tc>
          <w:tcPr>
            <w:tcW w:w="5245" w:type="dxa"/>
            <w:vAlign w:val="center"/>
          </w:tcPr>
          <w:p w14:paraId="2B177A27">
            <w:pPr>
              <w:keepNext w:val="0"/>
              <w:keepLines w:val="0"/>
              <w:pageBreakBefore w:val="0"/>
              <w:kinsoku/>
              <w:wordWrap/>
              <w:overflowPunct/>
              <w:topLinePunct w:val="0"/>
              <w:autoSpaceDE/>
              <w:autoSpaceDN/>
              <w:bidi w:val="0"/>
              <w:adjustRightInd/>
              <w:snapToGrid/>
              <w:spacing w:line="336" w:lineRule="auto"/>
              <w:ind w:firstLine="422" w:firstLineChars="200"/>
              <w:jc w:val="left"/>
              <w:textAlignment w:val="auto"/>
              <w:outlineLvl w:val="7"/>
              <w:rPr>
                <w:rFonts w:hint="eastAsia" w:ascii="宋体" w:hAnsi="宋体" w:eastAsia="宋体" w:cs="宋体"/>
                <w:color w:val="auto"/>
                <w:sz w:val="21"/>
                <w:szCs w:val="21"/>
                <w:lang w:eastAsia="zh-CN"/>
              </w:rPr>
            </w:pPr>
            <w:r>
              <w:rPr>
                <w:rFonts w:hint="eastAsia" w:ascii="宋体" w:hAnsi="宋体" w:eastAsia="宋体" w:cs="宋体"/>
                <w:b/>
                <w:color w:val="auto"/>
                <w:sz w:val="21"/>
                <w:szCs w:val="21"/>
              </w:rPr>
              <w:t>1、</w:t>
            </w:r>
            <w:r>
              <w:rPr>
                <w:rFonts w:hint="eastAsia" w:ascii="宋体" w:hAnsi="宋体" w:eastAsia="宋体" w:cs="宋体"/>
                <w:b/>
                <w:color w:val="auto"/>
                <w:sz w:val="21"/>
                <w:szCs w:val="21"/>
                <w:lang w:val="en-US" w:eastAsia="zh-CN"/>
              </w:rPr>
              <w:t>搬迁</w:t>
            </w:r>
            <w:r>
              <w:rPr>
                <w:rFonts w:hint="eastAsia" w:ascii="宋体" w:hAnsi="宋体" w:eastAsia="宋体" w:cs="宋体"/>
                <w:b/>
                <w:color w:val="auto"/>
                <w:sz w:val="21"/>
                <w:szCs w:val="21"/>
                <w:lang w:eastAsia="zh-CN"/>
              </w:rPr>
              <w:t>范围：</w:t>
            </w:r>
            <w:r>
              <w:rPr>
                <w:rFonts w:hint="eastAsia" w:ascii="宋体" w:hAnsi="宋体" w:eastAsia="宋体" w:cs="宋体"/>
                <w:color w:val="auto"/>
                <w:sz w:val="21"/>
                <w:szCs w:val="21"/>
              </w:rPr>
              <w:t>东校区教学C楼、河西实训中心等各实验室的</w:t>
            </w:r>
            <w:r>
              <w:rPr>
                <w:rFonts w:hint="eastAsia" w:ascii="宋体" w:hAnsi="宋体" w:eastAsia="宋体" w:cs="宋体"/>
                <w:color w:val="auto"/>
                <w:sz w:val="21"/>
                <w:szCs w:val="21"/>
                <w:lang w:eastAsia="zh-CN"/>
              </w:rPr>
              <w:t>解剖</w:t>
            </w:r>
            <w:r>
              <w:rPr>
                <w:rFonts w:hint="eastAsia" w:ascii="宋体" w:hAnsi="宋体" w:eastAsia="宋体" w:cs="宋体"/>
                <w:color w:val="auto"/>
                <w:sz w:val="21"/>
                <w:szCs w:val="21"/>
              </w:rPr>
              <w:t>教学模型、玻璃器皿、常规仪器设备、</w:t>
            </w:r>
            <w:r>
              <w:rPr>
                <w:rFonts w:hint="eastAsia" w:ascii="宋体" w:hAnsi="宋体" w:eastAsia="宋体" w:cs="宋体"/>
                <w:color w:val="auto"/>
                <w:sz w:val="21"/>
                <w:szCs w:val="21"/>
                <w:lang w:eastAsia="zh-CN"/>
              </w:rPr>
              <w:t>触摸式一体机、冰箱</w:t>
            </w:r>
            <w:r>
              <w:rPr>
                <w:rFonts w:hint="eastAsia" w:ascii="宋体" w:hAnsi="宋体" w:eastAsia="宋体" w:cs="宋体"/>
                <w:color w:val="auto"/>
                <w:sz w:val="21"/>
                <w:szCs w:val="21"/>
                <w:lang w:val="en-US" w:eastAsia="zh-CN"/>
              </w:rPr>
              <w:t>冰柜、防爆柜（安全柜）、</w:t>
            </w:r>
            <w:r>
              <w:rPr>
                <w:rFonts w:hint="eastAsia" w:ascii="宋体" w:hAnsi="宋体" w:eastAsia="宋体" w:cs="宋体"/>
                <w:color w:val="auto"/>
                <w:sz w:val="21"/>
                <w:szCs w:val="21"/>
              </w:rPr>
              <w:t>教学家具等共</w:t>
            </w:r>
            <w:r>
              <w:rPr>
                <w:rFonts w:hint="eastAsia" w:ascii="宋体" w:hAnsi="宋体" w:eastAsia="宋体" w:cs="宋体"/>
                <w:color w:val="auto"/>
                <w:sz w:val="21"/>
                <w:szCs w:val="21"/>
                <w:lang w:val="en-US" w:eastAsia="zh-CN"/>
              </w:rPr>
              <w:t>747</w:t>
            </w:r>
            <w:r>
              <w:rPr>
                <w:rFonts w:hint="eastAsia" w:ascii="宋体" w:hAnsi="宋体" w:eastAsia="宋体" w:cs="宋体"/>
                <w:color w:val="auto"/>
                <w:sz w:val="21"/>
                <w:szCs w:val="21"/>
              </w:rPr>
              <w:t>台（件），由原存放地搬运至新</w:t>
            </w:r>
            <w:r>
              <w:rPr>
                <w:rFonts w:hint="eastAsia" w:ascii="宋体" w:hAnsi="宋体" w:eastAsia="宋体" w:cs="宋体"/>
                <w:color w:val="auto"/>
                <w:sz w:val="21"/>
                <w:szCs w:val="21"/>
                <w:lang w:eastAsia="zh-CN"/>
              </w:rPr>
              <w:t>楼</w:t>
            </w:r>
            <w:r>
              <w:rPr>
                <w:rFonts w:hint="eastAsia" w:ascii="宋体" w:hAnsi="宋体" w:eastAsia="宋体" w:cs="宋体"/>
                <w:color w:val="auto"/>
                <w:sz w:val="21"/>
                <w:szCs w:val="21"/>
              </w:rPr>
              <w:t>指定房间并摆放就位（明细及拟迁入存放地详见附件清单）。</w:t>
            </w:r>
          </w:p>
          <w:p w14:paraId="76D0C9C0">
            <w:pPr>
              <w:keepNext w:val="0"/>
              <w:keepLines w:val="0"/>
              <w:pageBreakBefore w:val="0"/>
              <w:kinsoku/>
              <w:wordWrap/>
              <w:overflowPunct/>
              <w:topLinePunct w:val="0"/>
              <w:autoSpaceDE/>
              <w:autoSpaceDN/>
              <w:bidi w:val="0"/>
              <w:adjustRightInd/>
              <w:snapToGrid/>
              <w:spacing w:line="336" w:lineRule="auto"/>
              <w:ind w:firstLine="422" w:firstLineChars="200"/>
              <w:jc w:val="left"/>
              <w:textAlignment w:val="auto"/>
              <w:outlineLvl w:val="7"/>
              <w:rPr>
                <w:rFonts w:hint="eastAsia" w:ascii="宋体" w:hAnsi="宋体" w:eastAsia="宋体" w:cs="宋体"/>
                <w:b/>
                <w:color w:val="auto"/>
                <w:sz w:val="21"/>
                <w:szCs w:val="21"/>
                <w:lang w:eastAsia="zh-CN"/>
              </w:rPr>
            </w:pPr>
            <w:r>
              <w:rPr>
                <w:rFonts w:hint="eastAsia" w:ascii="宋体" w:hAnsi="宋体" w:eastAsia="宋体" w:cs="宋体"/>
                <w:b/>
                <w:color w:val="auto"/>
                <w:sz w:val="21"/>
                <w:szCs w:val="21"/>
              </w:rPr>
              <w:t>2、</w:t>
            </w:r>
            <w:r>
              <w:rPr>
                <w:rFonts w:hint="eastAsia" w:ascii="宋体" w:hAnsi="宋体" w:eastAsia="宋体" w:cs="宋体"/>
                <w:b/>
                <w:color w:val="auto"/>
                <w:sz w:val="21"/>
                <w:szCs w:val="21"/>
                <w:lang w:eastAsia="zh-CN"/>
              </w:rPr>
              <w:t>搬迁前准备</w:t>
            </w:r>
          </w:p>
          <w:p w14:paraId="432CA2F7">
            <w:pPr>
              <w:keepNext w:val="0"/>
              <w:keepLines w:val="0"/>
              <w:pageBreakBefore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color w:val="auto"/>
                <w:sz w:val="21"/>
                <w:szCs w:val="21"/>
              </w:rPr>
            </w:pPr>
            <w:r>
              <w:rPr>
                <w:rFonts w:hint="eastAsia" w:ascii="宋体" w:hAnsi="宋体" w:eastAsia="宋体" w:cs="宋体"/>
                <w:color w:val="auto"/>
                <w:sz w:val="21"/>
                <w:szCs w:val="21"/>
              </w:rPr>
              <w:t>(1)搬迁前双方共同对物品外观及功能状态进行确认，对仪器逐台试机、记录状态并拍照存档；</w:t>
            </w:r>
          </w:p>
          <w:p w14:paraId="7A4CE89F">
            <w:pPr>
              <w:keepNext w:val="0"/>
              <w:keepLines w:val="0"/>
              <w:pageBreakBefore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(2)中标人须提前制定搬迁实施方案及安全应急预案（防雨、防盗、防火等），经采购人确认后实施</w:t>
            </w:r>
            <w:r>
              <w:rPr>
                <w:rFonts w:hint="eastAsia" w:ascii="宋体" w:hAnsi="宋体" w:eastAsia="宋体" w:cs="宋体"/>
                <w:color w:val="auto"/>
                <w:sz w:val="21"/>
                <w:szCs w:val="21"/>
                <w:lang w:eastAsia="zh-CN"/>
              </w:rPr>
              <w:t>。</w:t>
            </w:r>
          </w:p>
          <w:p w14:paraId="01B52C6D">
            <w:pPr>
              <w:keepNext w:val="0"/>
              <w:keepLines w:val="0"/>
              <w:pageBreakBefore w:val="0"/>
              <w:kinsoku/>
              <w:wordWrap/>
              <w:overflowPunct/>
              <w:topLinePunct w:val="0"/>
              <w:autoSpaceDE/>
              <w:autoSpaceDN/>
              <w:bidi w:val="0"/>
              <w:adjustRightInd/>
              <w:snapToGrid/>
              <w:spacing w:line="336" w:lineRule="auto"/>
              <w:ind w:firstLine="422" w:firstLineChars="200"/>
              <w:jc w:val="left"/>
              <w:textAlignment w:val="auto"/>
              <w:outlineLvl w:val="7"/>
              <w:rPr>
                <w:rFonts w:hint="eastAsia" w:ascii="宋体" w:hAnsi="宋体" w:eastAsia="宋体" w:cs="宋体"/>
                <w:b/>
                <w:color w:val="auto"/>
                <w:sz w:val="21"/>
                <w:szCs w:val="21"/>
                <w:lang w:eastAsia="zh-CN"/>
              </w:rPr>
            </w:pPr>
            <w:r>
              <w:rPr>
                <w:rFonts w:hint="eastAsia" w:ascii="宋体" w:hAnsi="宋体" w:eastAsia="宋体" w:cs="宋体"/>
                <w:b/>
                <w:color w:val="auto"/>
                <w:sz w:val="21"/>
                <w:szCs w:val="21"/>
              </w:rPr>
              <w:t>3、</w:t>
            </w:r>
            <w:r>
              <w:rPr>
                <w:rFonts w:hint="eastAsia" w:ascii="宋体" w:hAnsi="宋体" w:eastAsia="宋体" w:cs="宋体"/>
                <w:b/>
                <w:color w:val="auto"/>
                <w:sz w:val="21"/>
                <w:szCs w:val="21"/>
                <w:lang w:eastAsia="zh-CN"/>
              </w:rPr>
              <w:t>包装要求</w:t>
            </w:r>
          </w:p>
          <w:p w14:paraId="3432A86D">
            <w:pPr>
              <w:keepNext w:val="0"/>
              <w:keepLines w:val="0"/>
              <w:pageBreakBefore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color w:val="auto"/>
                <w:sz w:val="21"/>
                <w:szCs w:val="21"/>
              </w:rPr>
            </w:pPr>
            <w:r>
              <w:rPr>
                <w:rFonts w:hint="eastAsia" w:ascii="宋体" w:hAnsi="宋体" w:eastAsia="宋体" w:cs="宋体"/>
                <w:color w:val="auto"/>
                <w:sz w:val="21"/>
                <w:szCs w:val="21"/>
              </w:rPr>
              <w:t>(1)易碎品、玻璃器皿采用气泡膜、缠绕膜等缓冲材料包装；</w:t>
            </w:r>
          </w:p>
          <w:p w14:paraId="30F8A303">
            <w:pPr>
              <w:keepNext w:val="0"/>
              <w:keepLines w:val="0"/>
              <w:pageBreakBefore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color w:val="auto"/>
                <w:sz w:val="21"/>
                <w:szCs w:val="21"/>
              </w:rPr>
            </w:pPr>
            <w:r>
              <w:rPr>
                <w:rFonts w:hint="eastAsia" w:ascii="宋体" w:hAnsi="宋体" w:eastAsia="宋体" w:cs="宋体"/>
                <w:color w:val="auto"/>
                <w:sz w:val="21"/>
                <w:szCs w:val="21"/>
              </w:rPr>
              <w:t>(2)教学模型等不规则物品须用缠绕膜固定并加衬垫，防止碰撞、刮擦；</w:t>
            </w:r>
          </w:p>
          <w:p w14:paraId="3E942BCF">
            <w:pPr>
              <w:keepNext w:val="0"/>
              <w:keepLines w:val="0"/>
              <w:pageBreakBefore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w:t>
            </w:r>
            <w:r>
              <w:rPr>
                <w:rFonts w:hint="eastAsia" w:ascii="宋体" w:hAnsi="宋体" w:eastAsia="宋体" w:cs="宋体"/>
                <w:color w:val="auto"/>
                <w:sz w:val="21"/>
                <w:szCs w:val="21"/>
                <w:lang w:eastAsia="zh-CN"/>
              </w:rPr>
              <w:t>移液器等小型精密仪器须妥善固定包装，防止丢失、损坏；</w:t>
            </w:r>
          </w:p>
          <w:p w14:paraId="3E4C81B9">
            <w:pPr>
              <w:keepNext w:val="0"/>
              <w:keepLines w:val="0"/>
              <w:pageBreakBefore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包装材料须干净、无污染。</w:t>
            </w:r>
          </w:p>
          <w:p w14:paraId="09393CAC">
            <w:pPr>
              <w:pStyle w:val="2"/>
              <w:keepNext w:val="0"/>
              <w:keepLines w:val="0"/>
              <w:pageBreakBefore w:val="0"/>
              <w:kinsoku/>
              <w:wordWrap/>
              <w:overflowPunct/>
              <w:topLinePunct w:val="0"/>
              <w:autoSpaceDE/>
              <w:autoSpaceDN/>
              <w:bidi w:val="0"/>
              <w:adjustRightInd/>
              <w:snapToGrid/>
              <w:spacing w:line="336" w:lineRule="auto"/>
              <w:ind w:left="0" w:leftChars="0" w:firstLine="480" w:firstLineChars="0"/>
              <w:textAlignment w:val="auto"/>
              <w:rPr>
                <w:rFonts w:hint="eastAsia" w:ascii="宋体" w:hAnsi="宋体" w:eastAsia="宋体" w:cs="宋体"/>
                <w:b/>
                <w:color w:val="auto"/>
                <w:sz w:val="21"/>
                <w:szCs w:val="21"/>
                <w:lang w:eastAsia="zh-CN"/>
              </w:rPr>
            </w:pPr>
            <w:r>
              <w:rPr>
                <w:rFonts w:hint="eastAsia" w:ascii="宋体" w:hAnsi="宋体" w:eastAsia="宋体" w:cs="宋体"/>
                <w:b/>
                <w:color w:val="auto"/>
                <w:sz w:val="21"/>
                <w:szCs w:val="21"/>
                <w:lang w:val="en-US" w:eastAsia="zh-CN"/>
              </w:rPr>
              <w:t>4</w:t>
            </w:r>
            <w:r>
              <w:rPr>
                <w:rFonts w:hint="eastAsia" w:ascii="宋体" w:hAnsi="宋体" w:eastAsia="宋体" w:cs="宋体"/>
                <w:b/>
                <w:color w:val="auto"/>
                <w:sz w:val="21"/>
                <w:szCs w:val="21"/>
              </w:rPr>
              <w:t>、</w:t>
            </w:r>
            <w:r>
              <w:rPr>
                <w:rFonts w:hint="eastAsia" w:ascii="宋体" w:hAnsi="宋体" w:eastAsia="宋体" w:cs="宋体"/>
                <w:b/>
                <w:color w:val="auto"/>
                <w:sz w:val="21"/>
                <w:szCs w:val="21"/>
                <w:lang w:eastAsia="zh-CN"/>
              </w:rPr>
              <w:t>运输要求</w:t>
            </w:r>
          </w:p>
          <w:p w14:paraId="57361E96">
            <w:pPr>
              <w:keepNext w:val="0"/>
              <w:keepLines w:val="0"/>
              <w:pageBreakBefore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color w:val="auto"/>
                <w:sz w:val="21"/>
                <w:szCs w:val="21"/>
              </w:rPr>
            </w:pPr>
            <w:r>
              <w:rPr>
                <w:rFonts w:hint="eastAsia" w:ascii="宋体" w:hAnsi="宋体" w:eastAsia="宋体" w:cs="宋体"/>
                <w:color w:val="auto"/>
                <w:sz w:val="21"/>
                <w:szCs w:val="21"/>
              </w:rPr>
              <w:t>（1）运输车辆须为年检合格、保险有效且具备防雨遮盖的封闭车辆，车厢清洁、平整，配备减震、防潮措施；</w:t>
            </w:r>
          </w:p>
          <w:p w14:paraId="49766D49">
            <w:pPr>
              <w:keepNext w:val="0"/>
              <w:keepLines w:val="0"/>
              <w:pageBreakBefore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color w:val="auto"/>
                <w:sz w:val="21"/>
                <w:szCs w:val="21"/>
              </w:rPr>
            </w:pPr>
            <w:r>
              <w:rPr>
                <w:rFonts w:hint="eastAsia" w:ascii="宋体" w:hAnsi="宋体" w:eastAsia="宋体" w:cs="宋体"/>
                <w:color w:val="auto"/>
                <w:sz w:val="21"/>
                <w:szCs w:val="21"/>
              </w:rPr>
              <w:t>（2）装卸、运输过程中轻拿轻放，不得倒置、抛掷、挤压；</w:t>
            </w:r>
          </w:p>
          <w:p w14:paraId="152E5696">
            <w:pPr>
              <w:keepNext w:val="0"/>
              <w:keepLines w:val="0"/>
              <w:pageBreakBefore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color w:val="auto"/>
                <w:sz w:val="21"/>
                <w:szCs w:val="21"/>
              </w:rPr>
            </w:pPr>
            <w:r>
              <w:rPr>
                <w:rFonts w:hint="eastAsia" w:ascii="宋体" w:hAnsi="宋体" w:eastAsia="宋体" w:cs="宋体"/>
                <w:color w:val="auto"/>
                <w:sz w:val="21"/>
                <w:szCs w:val="21"/>
              </w:rPr>
              <w:t>（3）数字人解剖系统大屏</w:t>
            </w:r>
            <w:r>
              <w:rPr>
                <w:rFonts w:hint="eastAsia" w:ascii="宋体" w:hAnsi="宋体" w:eastAsia="宋体" w:cs="宋体"/>
                <w:color w:val="auto"/>
                <w:sz w:val="21"/>
                <w:szCs w:val="21"/>
                <w:lang w:eastAsia="zh-CN"/>
              </w:rPr>
              <w:t>、触摸式一体机</w:t>
            </w:r>
            <w:r>
              <w:rPr>
                <w:rFonts w:hint="eastAsia" w:ascii="宋体" w:hAnsi="宋体" w:eastAsia="宋体" w:cs="宋体"/>
                <w:color w:val="auto"/>
                <w:sz w:val="21"/>
                <w:szCs w:val="21"/>
              </w:rPr>
              <w:t>等电子设备须防震包装，运输后就位并通电确认显示正常</w:t>
            </w:r>
            <w:r>
              <w:rPr>
                <w:rFonts w:hint="eastAsia" w:ascii="宋体" w:hAnsi="宋体" w:eastAsia="宋体" w:cs="宋体"/>
                <w:color w:val="auto"/>
                <w:sz w:val="21"/>
                <w:szCs w:val="21"/>
                <w:lang w:eastAsia="zh-CN"/>
              </w:rPr>
              <w:t>，且数字人软件可以正常使用</w:t>
            </w:r>
            <w:r>
              <w:rPr>
                <w:rFonts w:hint="eastAsia" w:ascii="宋体" w:hAnsi="宋体" w:eastAsia="宋体" w:cs="宋体"/>
                <w:color w:val="auto"/>
                <w:sz w:val="21"/>
                <w:szCs w:val="21"/>
              </w:rPr>
              <w:t>；</w:t>
            </w:r>
          </w:p>
          <w:p w14:paraId="1A49A148">
            <w:pPr>
              <w:keepNext w:val="0"/>
              <w:keepLines w:val="0"/>
              <w:pageBreakBefore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color w:val="auto"/>
                <w:sz w:val="21"/>
                <w:szCs w:val="21"/>
              </w:rPr>
            </w:pPr>
            <w:r>
              <w:rPr>
                <w:rFonts w:hint="eastAsia" w:ascii="宋体" w:hAnsi="宋体" w:eastAsia="宋体" w:cs="宋体"/>
                <w:color w:val="auto"/>
                <w:sz w:val="21"/>
                <w:szCs w:val="21"/>
              </w:rPr>
              <w:t>（4）冰箱、立式冷柜等含制冷压缩机设备须保持直立搬运，运输中严禁倾斜、倒置，就位后须静置不少于24小时方可通电；</w:t>
            </w:r>
          </w:p>
          <w:p w14:paraId="42551E75">
            <w:pPr>
              <w:keepNext w:val="0"/>
              <w:keepLines w:val="0"/>
              <w:pageBreakBefore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lang w:eastAsia="zh-CN"/>
              </w:rPr>
              <w:t>）防爆柜、安全柜等须清空柜内物品、固定柜门及隔板，搬运中防止倾倒、磕碰；</w:t>
            </w:r>
          </w:p>
          <w:p w14:paraId="1E444ED7">
            <w:pPr>
              <w:keepNext w:val="0"/>
              <w:keepLines w:val="0"/>
              <w:pageBreakBefore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color w:val="auto"/>
                <w:sz w:val="21"/>
                <w:szCs w:val="21"/>
              </w:rPr>
            </w:pP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使用叉车、吊装等特种设备作业的人员须持有效操作证件。</w:t>
            </w:r>
          </w:p>
          <w:p w14:paraId="1B4D853D">
            <w:pPr>
              <w:pStyle w:val="2"/>
              <w:keepNext w:val="0"/>
              <w:keepLines w:val="0"/>
              <w:pageBreakBefore w:val="0"/>
              <w:kinsoku/>
              <w:wordWrap/>
              <w:overflowPunct/>
              <w:topLinePunct w:val="0"/>
              <w:autoSpaceDE/>
              <w:autoSpaceDN/>
              <w:bidi w:val="0"/>
              <w:adjustRightInd/>
              <w:snapToGrid/>
              <w:spacing w:line="336" w:lineRule="auto"/>
              <w:ind w:left="0" w:leftChars="0" w:firstLine="480" w:firstLineChars="0"/>
              <w:textAlignment w:val="auto"/>
              <w:rPr>
                <w:rFonts w:hint="eastAsia" w:ascii="宋体" w:hAnsi="宋体" w:eastAsia="宋体" w:cs="宋体"/>
                <w:b/>
                <w:color w:val="auto"/>
                <w:sz w:val="21"/>
                <w:szCs w:val="21"/>
                <w:lang w:eastAsia="zh-CN"/>
              </w:rPr>
            </w:pPr>
            <w:r>
              <w:rPr>
                <w:rFonts w:hint="eastAsia" w:ascii="宋体" w:hAnsi="宋体" w:eastAsia="宋体" w:cs="宋体"/>
                <w:b/>
                <w:color w:val="auto"/>
                <w:sz w:val="21"/>
                <w:szCs w:val="21"/>
                <w:lang w:val="en-US" w:eastAsia="zh-CN"/>
              </w:rPr>
              <w:t>5</w:t>
            </w:r>
            <w:r>
              <w:rPr>
                <w:rFonts w:hint="eastAsia" w:ascii="宋体" w:hAnsi="宋体" w:eastAsia="宋体" w:cs="宋体"/>
                <w:b/>
                <w:color w:val="auto"/>
                <w:sz w:val="21"/>
                <w:szCs w:val="21"/>
              </w:rPr>
              <w:t>、</w:t>
            </w:r>
            <w:r>
              <w:rPr>
                <w:rFonts w:hint="eastAsia" w:ascii="宋体" w:hAnsi="宋体" w:eastAsia="宋体" w:cs="宋体"/>
                <w:b/>
                <w:color w:val="auto"/>
                <w:sz w:val="21"/>
                <w:szCs w:val="21"/>
                <w:lang w:eastAsia="zh-CN"/>
              </w:rPr>
              <w:t>就位要求</w:t>
            </w:r>
          </w:p>
          <w:p w14:paraId="4CC62893">
            <w:pPr>
              <w:keepNext w:val="0"/>
              <w:keepLines w:val="0"/>
              <w:pageBreakBefore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（1）按附件清单将物品搬运至指定房间并按要求摆放到位；</w:t>
            </w:r>
          </w:p>
          <w:p w14:paraId="5697EEC3">
            <w:pPr>
              <w:keepNext w:val="0"/>
              <w:keepLines w:val="0"/>
              <w:pageBreakBefore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（2）可拆装家具按原样组装；</w:t>
            </w:r>
          </w:p>
          <w:p w14:paraId="7FD74F74">
            <w:pPr>
              <w:keepNext w:val="0"/>
              <w:keepLines w:val="0"/>
              <w:pageBreakBefore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（3）搬迁完成后清理现场，包装废弃物清运出校。</w:t>
            </w:r>
          </w:p>
          <w:p w14:paraId="7F53CCF9">
            <w:pPr>
              <w:keepNext w:val="0"/>
              <w:keepLines w:val="0"/>
              <w:pageBreakBefore w:val="0"/>
              <w:widowControl w:val="0"/>
              <w:kinsoku/>
              <w:wordWrap/>
              <w:overflowPunct/>
              <w:topLinePunct w:val="0"/>
              <w:autoSpaceDE/>
              <w:autoSpaceDN/>
              <w:bidi w:val="0"/>
              <w:adjustRightInd/>
              <w:snapToGrid/>
              <w:spacing w:before="0" w:after="0" w:line="336" w:lineRule="auto"/>
              <w:ind w:firstLine="422" w:firstLineChars="200"/>
              <w:jc w:val="both"/>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lang w:val="en-US" w:eastAsia="zh-CN"/>
              </w:rPr>
              <w:t>6</w:t>
            </w:r>
            <w:r>
              <w:rPr>
                <w:rFonts w:hint="eastAsia" w:ascii="宋体" w:hAnsi="宋体" w:eastAsia="宋体" w:cs="宋体"/>
                <w:b/>
                <w:color w:val="auto"/>
                <w:sz w:val="21"/>
                <w:szCs w:val="21"/>
              </w:rPr>
              <w:t>、</w:t>
            </w:r>
            <w:r>
              <w:rPr>
                <w:rFonts w:hint="eastAsia" w:ascii="宋体" w:hAnsi="宋体" w:eastAsia="宋体" w:cs="宋体"/>
                <w:b/>
                <w:color w:val="auto"/>
                <w:sz w:val="21"/>
                <w:szCs w:val="21"/>
                <w:lang w:eastAsia="zh-CN"/>
              </w:rPr>
              <w:t>分阶段搬迁：</w:t>
            </w:r>
            <w:r>
              <w:rPr>
                <w:rFonts w:hint="eastAsia" w:ascii="宋体" w:hAnsi="宋体" w:eastAsia="宋体" w:cs="宋体"/>
                <w:color w:val="auto"/>
                <w:sz w:val="21"/>
                <w:szCs w:val="21"/>
              </w:rPr>
              <w:t>清单中标注“局解实验室建成后搬迁”的物品，按采购人通知的时间分阶段完成搬迁，中标人不得因此另行加收费用。</w:t>
            </w:r>
          </w:p>
          <w:p w14:paraId="58BDBE11">
            <w:pPr>
              <w:keepNext w:val="0"/>
              <w:keepLines w:val="0"/>
              <w:pageBreakBefore w:val="0"/>
              <w:widowControl w:val="0"/>
              <w:kinsoku/>
              <w:wordWrap/>
              <w:overflowPunct/>
              <w:topLinePunct w:val="0"/>
              <w:autoSpaceDE/>
              <w:autoSpaceDN/>
              <w:bidi w:val="0"/>
              <w:adjustRightInd/>
              <w:snapToGrid/>
              <w:spacing w:before="0" w:after="0" w:line="336" w:lineRule="auto"/>
              <w:ind w:firstLine="420" w:firstLineChars="200"/>
              <w:jc w:val="both"/>
              <w:textAlignment w:val="auto"/>
              <w:rPr>
                <w:rFonts w:hint="eastAsia" w:ascii="宋体" w:hAnsi="宋体" w:eastAsia="宋体" w:cs="宋体"/>
                <w:color w:val="auto"/>
                <w:sz w:val="21"/>
                <w:szCs w:val="21"/>
                <w:lang w:val="en-US" w:eastAsia="zh-CN"/>
              </w:rPr>
            </w:pPr>
            <w:r>
              <w:rPr>
                <w:rFonts w:hint="eastAsia" w:ascii="宋体" w:hAnsi="宋体" w:eastAsia="宋体" w:cs="宋体"/>
                <w:b w:val="0"/>
                <w:i/>
                <w:iCs/>
                <w:color w:val="auto"/>
                <w:sz w:val="21"/>
                <w:szCs w:val="21"/>
                <w:u w:val="single"/>
              </w:rPr>
              <w:t>★</w:t>
            </w:r>
            <w:r>
              <w:rPr>
                <w:rFonts w:hint="eastAsia" w:ascii="宋体" w:hAnsi="宋体" w:eastAsia="宋体" w:cs="宋体"/>
                <w:b/>
                <w:i/>
                <w:iCs/>
                <w:color w:val="auto"/>
                <w:sz w:val="21"/>
                <w:szCs w:val="21"/>
                <w:u w:val="single"/>
                <w:lang w:val="en-US" w:eastAsia="zh-CN"/>
              </w:rPr>
              <w:t>7</w:t>
            </w:r>
            <w:r>
              <w:rPr>
                <w:rFonts w:hint="eastAsia" w:ascii="宋体" w:hAnsi="宋体" w:eastAsia="宋体" w:cs="宋体"/>
                <w:b/>
                <w:i/>
                <w:iCs/>
                <w:color w:val="auto"/>
                <w:sz w:val="21"/>
                <w:szCs w:val="21"/>
                <w:u w:val="single"/>
              </w:rPr>
              <w:t>、</w:t>
            </w:r>
            <w:r>
              <w:rPr>
                <w:rFonts w:hint="eastAsia" w:ascii="宋体" w:hAnsi="宋体" w:eastAsia="宋体" w:cs="宋体"/>
                <w:b/>
                <w:i/>
                <w:iCs/>
                <w:color w:val="auto"/>
                <w:sz w:val="21"/>
                <w:szCs w:val="21"/>
                <w:u w:val="single"/>
                <w:lang w:eastAsia="zh-CN"/>
              </w:rPr>
              <w:t>搬迁损坏修复与赔偿要求：</w:t>
            </w:r>
            <w:r>
              <w:rPr>
                <w:rFonts w:hint="eastAsia" w:ascii="宋体" w:hAnsi="宋体" w:eastAsia="宋体" w:cs="宋体"/>
                <w:i/>
                <w:iCs/>
                <w:color w:val="auto"/>
                <w:sz w:val="21"/>
                <w:szCs w:val="21"/>
                <w:u w:val="single"/>
              </w:rPr>
              <w:t>因中标人原因造成的设备、模型等物品损坏率须为0，发生损坏的由中标人免费修复，无法修复的按资产原值赔偿。</w:t>
            </w:r>
          </w:p>
        </w:tc>
        <w:tc>
          <w:tcPr>
            <w:tcW w:w="851" w:type="dxa"/>
            <w:vAlign w:val="center"/>
          </w:tcPr>
          <w:p w14:paraId="38360C61">
            <w:pPr>
              <w:keepNext w:val="0"/>
              <w:keepLines w:val="0"/>
              <w:pageBreakBefore w:val="0"/>
              <w:widowControl/>
              <w:kinsoku/>
              <w:wordWrap/>
              <w:overflowPunct/>
              <w:topLinePunct w:val="0"/>
              <w:autoSpaceDE/>
              <w:autoSpaceDN/>
              <w:bidi w:val="0"/>
              <w:adjustRightInd/>
              <w:snapToGrid/>
              <w:spacing w:line="336"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747</w:t>
            </w:r>
          </w:p>
        </w:tc>
        <w:tc>
          <w:tcPr>
            <w:tcW w:w="850" w:type="dxa"/>
            <w:vAlign w:val="center"/>
          </w:tcPr>
          <w:p w14:paraId="0A6CBF32">
            <w:pPr>
              <w:keepNext w:val="0"/>
              <w:keepLines w:val="0"/>
              <w:pageBreakBefore w:val="0"/>
              <w:widowControl/>
              <w:kinsoku/>
              <w:wordWrap/>
              <w:overflowPunct/>
              <w:topLinePunct w:val="0"/>
              <w:autoSpaceDE/>
              <w:autoSpaceDN/>
              <w:bidi w:val="0"/>
              <w:adjustRightInd/>
              <w:snapToGrid/>
              <w:spacing w:line="336" w:lineRule="auto"/>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台（件）</w:t>
            </w:r>
          </w:p>
        </w:tc>
        <w:tc>
          <w:tcPr>
            <w:tcW w:w="1234" w:type="dxa"/>
            <w:vAlign w:val="center"/>
          </w:tcPr>
          <w:p w14:paraId="5D3EFB54">
            <w:pPr>
              <w:keepNext w:val="0"/>
              <w:keepLines w:val="0"/>
              <w:pageBreakBefore w:val="0"/>
              <w:widowControl/>
              <w:kinsoku/>
              <w:wordWrap/>
              <w:overflowPunct/>
              <w:topLinePunct w:val="0"/>
              <w:autoSpaceDE/>
              <w:autoSpaceDN/>
              <w:bidi w:val="0"/>
              <w:adjustRightInd/>
              <w:snapToGrid/>
              <w:spacing w:line="336" w:lineRule="auto"/>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详见附件清单</w:t>
            </w:r>
          </w:p>
        </w:tc>
      </w:tr>
      <w:tr w14:paraId="151F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29" w:type="dxa"/>
            <w:vAlign w:val="center"/>
          </w:tcPr>
          <w:p w14:paraId="2F3552AF">
            <w:pPr>
              <w:keepNext w:val="0"/>
              <w:keepLines w:val="0"/>
              <w:pageBreakBefore w:val="0"/>
              <w:widowControl/>
              <w:kinsoku/>
              <w:wordWrap/>
              <w:overflowPunct/>
              <w:topLinePunct w:val="0"/>
              <w:autoSpaceDE/>
              <w:autoSpaceDN/>
              <w:bidi w:val="0"/>
              <w:adjustRightInd/>
              <w:snapToGrid/>
              <w:spacing w:line="336" w:lineRule="auto"/>
              <w:jc w:val="center"/>
              <w:textAlignment w:val="auto"/>
              <w:rPr>
                <w:rFonts w:hint="eastAsia" w:ascii="宋体" w:hAnsi="宋体" w:eastAsia="宋体" w:cs="宋体"/>
                <w:b/>
                <w:color w:val="auto"/>
                <w:kern w:val="0"/>
                <w:sz w:val="21"/>
                <w:szCs w:val="21"/>
                <w:lang w:val="en-US" w:eastAsia="zh-CN"/>
              </w:rPr>
            </w:pPr>
            <w:r>
              <w:rPr>
                <w:rFonts w:hint="eastAsia" w:ascii="宋体" w:hAnsi="宋体" w:eastAsia="宋体" w:cs="宋体"/>
                <w:b/>
                <w:color w:val="auto"/>
                <w:kern w:val="0"/>
                <w:sz w:val="21"/>
                <w:szCs w:val="21"/>
                <w:lang w:val="en-US" w:eastAsia="zh-CN"/>
              </w:rPr>
              <w:t>2</w:t>
            </w:r>
          </w:p>
        </w:tc>
        <w:tc>
          <w:tcPr>
            <w:tcW w:w="1014" w:type="dxa"/>
            <w:vAlign w:val="center"/>
          </w:tcPr>
          <w:p w14:paraId="64AE1C84">
            <w:pPr>
              <w:keepNext w:val="0"/>
              <w:keepLines w:val="0"/>
              <w:pageBreakBefore w:val="0"/>
              <w:widowControl/>
              <w:kinsoku/>
              <w:wordWrap/>
              <w:overflowPunct/>
              <w:topLinePunct w:val="0"/>
              <w:autoSpaceDE/>
              <w:autoSpaceDN/>
              <w:bidi w:val="0"/>
              <w:adjustRightInd/>
              <w:snapToGrid/>
              <w:spacing w:line="336" w:lineRule="auto"/>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特殊搬运（精密仪器、成套教学系统及教学标本等）</w:t>
            </w:r>
          </w:p>
        </w:tc>
        <w:tc>
          <w:tcPr>
            <w:tcW w:w="5245" w:type="dxa"/>
            <w:vAlign w:val="center"/>
          </w:tcPr>
          <w:p w14:paraId="130EF584">
            <w:pPr>
              <w:keepNext w:val="0"/>
              <w:keepLines w:val="0"/>
              <w:pageBreakBefore w:val="0"/>
              <w:widowControl w:val="0"/>
              <w:kinsoku/>
              <w:wordWrap/>
              <w:overflowPunct/>
              <w:topLinePunct w:val="0"/>
              <w:autoSpaceDE/>
              <w:autoSpaceDN/>
              <w:bidi w:val="0"/>
              <w:adjustRightInd/>
              <w:snapToGrid/>
              <w:spacing w:before="0" w:after="0" w:line="336" w:lineRule="auto"/>
              <w:ind w:firstLine="422" w:firstLineChars="200"/>
              <w:jc w:val="both"/>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lang w:val="en-US" w:eastAsia="zh-CN"/>
              </w:rPr>
              <w:t>1、搬迁范围：</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lang w:val="en-US" w:eastAsia="zh-CN"/>
              </w:rPr>
              <w:t>1</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精密仪器</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精密天平、酸度计、电泳仪、酶标仪、PCR仪、超微量紫外可见分光光度计、离心机、培养箱、高压蒸汽灭菌器等；</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lang w:val="en-US" w:eastAsia="zh-CN"/>
              </w:rPr>
              <w:t>2</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成套信息化设备</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生物显微镜及显微成像一体工作站、光学显微镜、倒置显微镜及USB成像系统、数字人解剖系统（含服务器、学生计算机、电脑升降系统、交换机、机柜）、数码显微互动教学系统（含教师端电脑、教师端生物显微镜、教师桌椅、无线AP、智慧黑板）等；</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lang w:val="en-US" w:eastAsia="zh-CN"/>
              </w:rPr>
              <w:t>3</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教学标本</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人体塑化标本、人体全身连续矢状/水平断层切片塑化标本、血管灌塑标本、病理大体解剖标本、人体真尸骨、大体等；</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lang w:val="en-US" w:eastAsia="zh-CN"/>
              </w:rPr>
              <w:t>4</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特殊及大型设备</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生物安全柜、超低温冰箱、制冰机、超纯水机、超净工作台、加湿器、净水器、不锈钢尸体槽、局解升降支架、防火净气型试剂柜等，共1267台（件、套）（明细详见附件清单）。</w:t>
            </w:r>
          </w:p>
          <w:p w14:paraId="1CAB6837">
            <w:pPr>
              <w:keepNext w:val="0"/>
              <w:keepLines w:val="0"/>
              <w:pageBreakBefore w:val="0"/>
              <w:widowControl w:val="0"/>
              <w:kinsoku/>
              <w:wordWrap/>
              <w:overflowPunct/>
              <w:topLinePunct w:val="0"/>
              <w:autoSpaceDE/>
              <w:autoSpaceDN/>
              <w:bidi w:val="0"/>
              <w:adjustRightInd/>
              <w:snapToGrid/>
              <w:spacing w:before="0" w:after="0" w:line="336" w:lineRule="auto"/>
              <w:ind w:firstLine="422" w:firstLineChars="200"/>
              <w:jc w:val="both"/>
              <w:textAlignment w:val="auto"/>
              <w:rPr>
                <w:rFonts w:hint="eastAsia" w:ascii="宋体" w:hAnsi="宋体" w:eastAsia="宋体" w:cs="宋体"/>
                <w:b/>
                <w:color w:val="auto"/>
                <w:sz w:val="21"/>
                <w:szCs w:val="21"/>
                <w:lang w:val="en-US" w:eastAsia="zh-CN"/>
              </w:rPr>
            </w:pPr>
            <w:r>
              <w:rPr>
                <w:rFonts w:hint="eastAsia" w:ascii="宋体" w:hAnsi="宋体" w:eastAsia="宋体" w:cs="宋体"/>
                <w:b/>
                <w:color w:val="auto"/>
                <w:sz w:val="21"/>
                <w:szCs w:val="21"/>
                <w:lang w:val="en-US" w:eastAsia="zh-CN"/>
              </w:rPr>
              <w:t>2、精密仪器搬迁要求</w:t>
            </w:r>
          </w:p>
          <w:p w14:paraId="6212D317">
            <w:pPr>
              <w:keepNext w:val="0"/>
              <w:keepLines w:val="0"/>
              <w:pageBreakBefore w:val="0"/>
              <w:widowControl w:val="0"/>
              <w:kinsoku/>
              <w:wordWrap/>
              <w:overflowPunct/>
              <w:topLinePunct w:val="0"/>
              <w:autoSpaceDE/>
              <w:autoSpaceDN/>
              <w:bidi w:val="0"/>
              <w:adjustRightInd/>
              <w:snapToGrid/>
              <w:spacing w:before="0" w:after="0" w:line="336" w:lineRule="auto"/>
              <w:ind w:firstLine="420" w:firstLineChars="200"/>
              <w:jc w:val="both"/>
              <w:textAlignment w:val="auto"/>
              <w:rPr>
                <w:rFonts w:hint="eastAsia" w:ascii="宋体" w:hAnsi="宋体" w:eastAsia="宋体" w:cs="宋体"/>
                <w:b w:val="0"/>
                <w:color w:val="auto"/>
                <w:sz w:val="21"/>
                <w:szCs w:val="21"/>
              </w:rPr>
            </w:pPr>
            <w:r>
              <w:rPr>
                <w:rFonts w:hint="eastAsia" w:ascii="宋体" w:hAnsi="宋体" w:eastAsia="宋体" w:cs="宋体"/>
                <w:b w:val="0"/>
                <w:color w:val="auto"/>
                <w:sz w:val="21"/>
                <w:szCs w:val="21"/>
              </w:rPr>
              <w:t>（1）显微镜、精密天平、酸度计、离心机等精密仪器搬迁前须逐台试机、记录性能状态并经双方签字确认，作为搬迁后验收依据；</w:t>
            </w:r>
          </w:p>
          <w:p w14:paraId="738C62D5">
            <w:pPr>
              <w:keepNext w:val="0"/>
              <w:keepLines w:val="0"/>
              <w:pageBreakBefore w:val="0"/>
              <w:widowControl w:val="0"/>
              <w:kinsoku/>
              <w:wordWrap/>
              <w:overflowPunct/>
              <w:topLinePunct w:val="0"/>
              <w:autoSpaceDE/>
              <w:autoSpaceDN/>
              <w:bidi w:val="0"/>
              <w:adjustRightInd/>
              <w:snapToGrid/>
              <w:spacing w:before="0" w:after="0" w:line="336" w:lineRule="auto"/>
              <w:ind w:firstLine="420" w:firstLineChars="200"/>
              <w:jc w:val="both"/>
              <w:textAlignment w:val="auto"/>
              <w:rPr>
                <w:rFonts w:hint="eastAsia" w:ascii="宋体" w:hAnsi="宋体" w:eastAsia="宋体" w:cs="宋体"/>
                <w:b w:val="0"/>
                <w:color w:val="auto"/>
                <w:sz w:val="21"/>
                <w:szCs w:val="21"/>
              </w:rPr>
            </w:pPr>
            <w:r>
              <w:rPr>
                <w:rFonts w:hint="eastAsia" w:ascii="宋体" w:hAnsi="宋体" w:eastAsia="宋体" w:cs="宋体"/>
                <w:b w:val="0"/>
                <w:color w:val="auto"/>
                <w:sz w:val="21"/>
                <w:szCs w:val="21"/>
              </w:rPr>
              <w:t>（2）搬迁时须采用专用防震包装，运输车辆须有减震措施，运输中严禁倒置和剧烈颠簸；</w:t>
            </w:r>
          </w:p>
          <w:p w14:paraId="0E8D616C">
            <w:pPr>
              <w:keepNext w:val="0"/>
              <w:keepLines w:val="0"/>
              <w:pageBreakBefore w:val="0"/>
              <w:widowControl w:val="0"/>
              <w:kinsoku/>
              <w:wordWrap/>
              <w:overflowPunct/>
              <w:topLinePunct w:val="0"/>
              <w:autoSpaceDE/>
              <w:autoSpaceDN/>
              <w:bidi w:val="0"/>
              <w:adjustRightInd/>
              <w:snapToGrid/>
              <w:spacing w:before="0" w:after="0" w:line="336"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（3）拆装、运输、安装人员须具备相应技术能力。</w:t>
            </w:r>
          </w:p>
          <w:p w14:paraId="3E6FEA7C">
            <w:pPr>
              <w:keepNext w:val="0"/>
              <w:keepLines w:val="0"/>
              <w:pageBreakBefore w:val="0"/>
              <w:widowControl w:val="0"/>
              <w:kinsoku/>
              <w:wordWrap/>
              <w:overflowPunct/>
              <w:topLinePunct w:val="0"/>
              <w:autoSpaceDE/>
              <w:autoSpaceDN/>
              <w:bidi w:val="0"/>
              <w:adjustRightInd/>
              <w:snapToGrid/>
              <w:spacing w:before="0" w:after="0" w:line="336" w:lineRule="auto"/>
              <w:ind w:firstLine="422" w:firstLineChars="200"/>
              <w:jc w:val="both"/>
              <w:textAlignment w:val="auto"/>
              <w:rPr>
                <w:rFonts w:hint="eastAsia" w:ascii="宋体" w:hAnsi="宋体" w:eastAsia="宋体" w:cs="宋体"/>
                <w:b/>
                <w:color w:val="auto"/>
                <w:sz w:val="21"/>
                <w:szCs w:val="21"/>
                <w:lang w:val="en-US" w:eastAsia="zh-CN"/>
              </w:rPr>
            </w:pPr>
            <w:r>
              <w:rPr>
                <w:rFonts w:hint="eastAsia" w:ascii="宋体" w:hAnsi="宋体" w:eastAsia="宋体" w:cs="宋体"/>
                <w:b/>
                <w:color w:val="auto"/>
                <w:sz w:val="21"/>
                <w:szCs w:val="21"/>
                <w:lang w:val="en-US" w:eastAsia="zh-CN"/>
              </w:rPr>
              <w:t>3、成套信息化设备搬迁要求</w:t>
            </w:r>
          </w:p>
          <w:p w14:paraId="25022B1D">
            <w:pPr>
              <w:keepNext w:val="0"/>
              <w:keepLines w:val="0"/>
              <w:pageBreakBefore w:val="0"/>
              <w:widowControl w:val="0"/>
              <w:kinsoku/>
              <w:wordWrap/>
              <w:overflowPunct/>
              <w:topLinePunct w:val="0"/>
              <w:autoSpaceDE/>
              <w:autoSpaceDN/>
              <w:bidi w:val="0"/>
              <w:adjustRightInd/>
              <w:snapToGrid/>
              <w:spacing w:before="0" w:after="0" w:line="336" w:lineRule="auto"/>
              <w:ind w:firstLine="420" w:firstLineChars="200"/>
              <w:jc w:val="both"/>
              <w:textAlignment w:val="auto"/>
              <w:rPr>
                <w:rFonts w:hint="eastAsia" w:ascii="宋体" w:hAnsi="宋体" w:eastAsia="宋体" w:cs="宋体"/>
                <w:b w:val="0"/>
                <w:color w:val="auto"/>
                <w:sz w:val="21"/>
                <w:szCs w:val="21"/>
              </w:rPr>
            </w:pPr>
            <w:r>
              <w:rPr>
                <w:rFonts w:hint="eastAsia" w:ascii="宋体" w:hAnsi="宋体" w:eastAsia="宋体" w:cs="宋体"/>
                <w:b w:val="0"/>
                <w:color w:val="auto"/>
                <w:sz w:val="21"/>
                <w:szCs w:val="21"/>
              </w:rPr>
              <w:t>（1）</w:t>
            </w:r>
            <w:r>
              <w:rPr>
                <w:rFonts w:hint="eastAsia" w:ascii="宋体" w:hAnsi="宋体" w:eastAsia="宋体" w:cs="宋体"/>
                <w:b w:val="0"/>
                <w:color w:val="auto"/>
                <w:sz w:val="21"/>
                <w:szCs w:val="21"/>
                <w:lang w:eastAsia="zh-CN"/>
              </w:rPr>
              <w:t>学生端内含</w:t>
            </w:r>
            <w:r>
              <w:rPr>
                <w:rFonts w:hint="eastAsia" w:ascii="宋体" w:hAnsi="宋体" w:eastAsia="宋体" w:cs="宋体"/>
                <w:b w:val="0"/>
                <w:color w:val="auto"/>
                <w:sz w:val="21"/>
                <w:szCs w:val="21"/>
              </w:rPr>
              <w:t>显微互动教学系统、数字人解剖系统须按编号拆装、编号包装、按编号安装，搬迁安装完成后逐套调试，确保系统及软件功能恢复正常使用；</w:t>
            </w:r>
          </w:p>
          <w:p w14:paraId="14924196">
            <w:pPr>
              <w:keepNext w:val="0"/>
              <w:keepLines w:val="0"/>
              <w:pageBreakBefore w:val="0"/>
              <w:widowControl w:val="0"/>
              <w:kinsoku/>
              <w:wordWrap/>
              <w:overflowPunct/>
              <w:topLinePunct w:val="0"/>
              <w:autoSpaceDE/>
              <w:autoSpaceDN/>
              <w:bidi w:val="0"/>
              <w:adjustRightInd/>
              <w:snapToGrid/>
              <w:spacing w:before="0" w:after="0" w:line="336" w:lineRule="auto"/>
              <w:ind w:firstLine="420" w:firstLineChars="200"/>
              <w:jc w:val="both"/>
              <w:textAlignment w:val="auto"/>
              <w:rPr>
                <w:rFonts w:hint="eastAsia" w:ascii="宋体" w:hAnsi="宋体" w:eastAsia="宋体" w:cs="宋体"/>
                <w:b w:val="0"/>
                <w:color w:val="auto"/>
                <w:sz w:val="21"/>
                <w:szCs w:val="21"/>
              </w:rPr>
            </w:pPr>
            <w:r>
              <w:rPr>
                <w:rFonts w:hint="eastAsia" w:ascii="宋体" w:hAnsi="宋体" w:eastAsia="宋体" w:cs="宋体"/>
                <w:b w:val="0"/>
                <w:color w:val="auto"/>
                <w:sz w:val="21"/>
                <w:szCs w:val="21"/>
              </w:rPr>
              <w:t>（2）计算机、交换机等电子设备须防静电包装；</w:t>
            </w:r>
          </w:p>
          <w:p w14:paraId="41342C58">
            <w:pPr>
              <w:keepNext w:val="0"/>
              <w:keepLines w:val="0"/>
              <w:pageBreakBefore w:val="0"/>
              <w:widowControl w:val="0"/>
              <w:kinsoku/>
              <w:wordWrap/>
              <w:overflowPunct/>
              <w:topLinePunct w:val="0"/>
              <w:autoSpaceDE/>
              <w:autoSpaceDN/>
              <w:bidi w:val="0"/>
              <w:adjustRightInd/>
              <w:snapToGrid/>
              <w:spacing w:before="0" w:after="0" w:line="336"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（3）电脑升降系统</w:t>
            </w:r>
            <w:r>
              <w:rPr>
                <w:rFonts w:hint="eastAsia" w:ascii="宋体" w:hAnsi="宋体" w:eastAsia="宋体" w:cs="宋体"/>
                <w:b w:val="0"/>
                <w:color w:val="auto"/>
                <w:sz w:val="21"/>
                <w:szCs w:val="21"/>
                <w:lang w:eastAsia="zh-CN"/>
              </w:rPr>
              <w:t>、智慧黑板</w:t>
            </w:r>
            <w:r>
              <w:rPr>
                <w:rFonts w:hint="eastAsia" w:ascii="宋体" w:hAnsi="宋体" w:eastAsia="宋体" w:cs="宋体"/>
                <w:b w:val="0"/>
                <w:color w:val="auto"/>
                <w:sz w:val="21"/>
                <w:szCs w:val="21"/>
              </w:rPr>
              <w:t>等机电一体化设备须由专业人员拆卸、运输、安装</w:t>
            </w:r>
            <w:r>
              <w:rPr>
                <w:rFonts w:hint="eastAsia" w:ascii="宋体" w:hAnsi="宋体" w:eastAsia="宋体" w:cs="宋体"/>
                <w:b w:val="0"/>
                <w:color w:val="auto"/>
                <w:sz w:val="21"/>
                <w:szCs w:val="21"/>
                <w:lang w:eastAsia="zh-CN"/>
              </w:rPr>
              <w:t>，智慧黑板搬迁安装完成后须调试，确保正常使用</w:t>
            </w:r>
            <w:r>
              <w:rPr>
                <w:rFonts w:hint="eastAsia" w:ascii="宋体" w:hAnsi="宋体" w:eastAsia="宋体" w:cs="宋体"/>
                <w:b w:val="0"/>
                <w:color w:val="auto"/>
                <w:sz w:val="21"/>
                <w:szCs w:val="21"/>
              </w:rPr>
              <w:t>。</w:t>
            </w:r>
          </w:p>
          <w:p w14:paraId="2AA7A38E">
            <w:pPr>
              <w:keepNext w:val="0"/>
              <w:keepLines w:val="0"/>
              <w:pageBreakBefore w:val="0"/>
              <w:widowControl w:val="0"/>
              <w:kinsoku/>
              <w:wordWrap/>
              <w:overflowPunct/>
              <w:topLinePunct w:val="0"/>
              <w:autoSpaceDE/>
              <w:autoSpaceDN/>
              <w:bidi w:val="0"/>
              <w:adjustRightInd/>
              <w:snapToGrid/>
              <w:spacing w:before="0" w:after="0" w:line="336" w:lineRule="auto"/>
              <w:ind w:firstLine="422" w:firstLineChars="200"/>
              <w:jc w:val="both"/>
              <w:textAlignment w:val="auto"/>
              <w:rPr>
                <w:rFonts w:hint="eastAsia" w:ascii="宋体" w:hAnsi="宋体" w:eastAsia="宋体" w:cs="宋体"/>
                <w:b/>
                <w:color w:val="auto"/>
                <w:sz w:val="21"/>
                <w:szCs w:val="21"/>
                <w:lang w:val="en-US" w:eastAsia="zh-CN"/>
              </w:rPr>
            </w:pPr>
            <w:r>
              <w:rPr>
                <w:rFonts w:hint="eastAsia" w:ascii="宋体" w:hAnsi="宋体" w:eastAsia="宋体" w:cs="宋体"/>
                <w:b/>
                <w:color w:val="auto"/>
                <w:sz w:val="21"/>
                <w:szCs w:val="21"/>
                <w:lang w:val="en-US" w:eastAsia="zh-CN"/>
              </w:rPr>
              <w:t>4、教学标本搬迁要求</w:t>
            </w:r>
          </w:p>
          <w:p w14:paraId="505327A3">
            <w:pPr>
              <w:keepNext w:val="0"/>
              <w:keepLines w:val="0"/>
              <w:pageBreakBefore w:val="0"/>
              <w:widowControl w:val="0"/>
              <w:kinsoku/>
              <w:wordWrap/>
              <w:overflowPunct/>
              <w:topLinePunct w:val="0"/>
              <w:autoSpaceDE/>
              <w:autoSpaceDN/>
              <w:bidi w:val="0"/>
              <w:adjustRightInd/>
              <w:snapToGrid/>
              <w:spacing w:before="0" w:after="0" w:line="336" w:lineRule="auto"/>
              <w:ind w:firstLine="420" w:firstLineChars="200"/>
              <w:jc w:val="both"/>
              <w:textAlignment w:val="auto"/>
              <w:rPr>
                <w:rFonts w:hint="eastAsia" w:ascii="宋体" w:hAnsi="宋体" w:eastAsia="宋体" w:cs="宋体"/>
                <w:b w:val="0"/>
                <w:color w:val="auto"/>
                <w:sz w:val="21"/>
                <w:szCs w:val="21"/>
              </w:rPr>
            </w:pPr>
            <w:r>
              <w:rPr>
                <w:rFonts w:hint="eastAsia" w:ascii="宋体" w:hAnsi="宋体" w:eastAsia="宋体" w:cs="宋体"/>
                <w:b w:val="0"/>
                <w:color w:val="auto"/>
                <w:sz w:val="21"/>
                <w:szCs w:val="21"/>
              </w:rPr>
              <w:t>（1）血管灌塑标本</w:t>
            </w:r>
            <w:r>
              <w:rPr>
                <w:rFonts w:hint="eastAsia" w:ascii="宋体" w:hAnsi="宋体" w:eastAsia="宋体" w:cs="宋体"/>
                <w:b w:val="0"/>
                <w:color w:val="auto"/>
                <w:sz w:val="21"/>
                <w:szCs w:val="21"/>
                <w:lang w:eastAsia="zh-CN"/>
              </w:rPr>
              <w:t>、塑化标本、断层切片塑化标本、病理解剖标本</w:t>
            </w:r>
            <w:r>
              <w:rPr>
                <w:rFonts w:hint="eastAsia" w:ascii="宋体" w:hAnsi="宋体" w:eastAsia="宋体" w:cs="宋体"/>
                <w:b w:val="0"/>
                <w:color w:val="auto"/>
                <w:sz w:val="21"/>
                <w:szCs w:val="21"/>
              </w:rPr>
              <w:t>等须轻拿轻放、防震防潮，按编号与标本盒对应装箱，不得丢失、错位、损坏；</w:t>
            </w:r>
          </w:p>
          <w:p w14:paraId="5C11FE05">
            <w:pPr>
              <w:keepNext w:val="0"/>
              <w:keepLines w:val="0"/>
              <w:pageBreakBefore w:val="0"/>
              <w:widowControl w:val="0"/>
              <w:kinsoku/>
              <w:wordWrap/>
              <w:overflowPunct/>
              <w:topLinePunct w:val="0"/>
              <w:autoSpaceDE/>
              <w:autoSpaceDN/>
              <w:bidi w:val="0"/>
              <w:adjustRightInd/>
              <w:snapToGrid/>
              <w:spacing w:before="0" w:after="0" w:line="336"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（2）</w:t>
            </w:r>
            <w:r>
              <w:rPr>
                <w:rFonts w:hint="eastAsia" w:ascii="宋体" w:hAnsi="宋体" w:eastAsia="宋体" w:cs="宋体"/>
                <w:b w:val="0"/>
                <w:color w:val="auto"/>
                <w:sz w:val="21"/>
                <w:szCs w:val="21"/>
                <w:lang w:eastAsia="zh-CN"/>
              </w:rPr>
              <w:t>大体、</w:t>
            </w:r>
            <w:r>
              <w:rPr>
                <w:rFonts w:hint="eastAsia" w:ascii="宋体" w:hAnsi="宋体" w:eastAsia="宋体" w:cs="宋体"/>
                <w:b w:val="0"/>
                <w:color w:val="auto"/>
                <w:sz w:val="21"/>
                <w:szCs w:val="21"/>
              </w:rPr>
              <w:t>人体真尸骨等特殊标本须妥善包装防护，运输过程中不得外露、不得拍照传播</w:t>
            </w:r>
            <w:r>
              <w:rPr>
                <w:rFonts w:hint="eastAsia" w:ascii="宋体" w:hAnsi="宋体" w:eastAsia="宋体" w:cs="宋体"/>
                <w:b w:val="0"/>
                <w:color w:val="auto"/>
                <w:sz w:val="21"/>
                <w:szCs w:val="21"/>
                <w:lang w:eastAsia="zh-CN"/>
              </w:rPr>
              <w:t>，搬运过程中须服从采购人现场管理</w:t>
            </w:r>
            <w:r>
              <w:rPr>
                <w:rFonts w:hint="eastAsia" w:ascii="宋体" w:hAnsi="宋体" w:eastAsia="宋体" w:cs="宋体"/>
                <w:b w:val="0"/>
                <w:color w:val="auto"/>
                <w:sz w:val="21"/>
                <w:szCs w:val="21"/>
              </w:rPr>
              <w:t>。</w:t>
            </w:r>
          </w:p>
          <w:p w14:paraId="52786057">
            <w:pPr>
              <w:keepNext w:val="0"/>
              <w:keepLines w:val="0"/>
              <w:pageBreakBefore w:val="0"/>
              <w:widowControl w:val="0"/>
              <w:kinsoku/>
              <w:wordWrap/>
              <w:overflowPunct/>
              <w:topLinePunct w:val="0"/>
              <w:autoSpaceDE/>
              <w:autoSpaceDN/>
              <w:bidi w:val="0"/>
              <w:adjustRightInd/>
              <w:snapToGrid/>
              <w:spacing w:before="0" w:after="0" w:line="336" w:lineRule="auto"/>
              <w:ind w:firstLine="422" w:firstLineChars="200"/>
              <w:jc w:val="both"/>
              <w:textAlignment w:val="auto"/>
              <w:rPr>
                <w:rFonts w:hint="eastAsia" w:ascii="宋体" w:hAnsi="宋体" w:eastAsia="宋体" w:cs="宋体"/>
                <w:b/>
                <w:color w:val="auto"/>
                <w:sz w:val="21"/>
                <w:szCs w:val="21"/>
                <w:lang w:val="en-US" w:eastAsia="zh-CN"/>
              </w:rPr>
            </w:pPr>
            <w:r>
              <w:rPr>
                <w:rFonts w:hint="eastAsia" w:ascii="宋体" w:hAnsi="宋体" w:eastAsia="宋体" w:cs="宋体"/>
                <w:b/>
                <w:color w:val="auto"/>
                <w:sz w:val="21"/>
                <w:szCs w:val="21"/>
                <w:lang w:val="en-US" w:eastAsia="zh-CN"/>
              </w:rPr>
              <w:t>5、制冷及防护设备搬迁要求</w:t>
            </w:r>
          </w:p>
          <w:p w14:paraId="1174DCD1">
            <w:pPr>
              <w:keepNext w:val="0"/>
              <w:keepLines w:val="0"/>
              <w:pageBreakBefore w:val="0"/>
              <w:widowControl w:val="0"/>
              <w:kinsoku/>
              <w:wordWrap/>
              <w:overflowPunct/>
              <w:topLinePunct w:val="0"/>
              <w:autoSpaceDE/>
              <w:autoSpaceDN/>
              <w:bidi w:val="0"/>
              <w:adjustRightInd/>
              <w:snapToGrid/>
              <w:spacing w:before="0" w:after="0" w:line="336" w:lineRule="auto"/>
              <w:ind w:firstLine="420" w:firstLineChars="200"/>
              <w:jc w:val="both"/>
              <w:textAlignment w:val="auto"/>
              <w:rPr>
                <w:rFonts w:hint="eastAsia" w:ascii="宋体" w:hAnsi="宋体" w:eastAsia="宋体" w:cs="宋体"/>
                <w:b w:val="0"/>
                <w:color w:val="auto"/>
                <w:sz w:val="21"/>
                <w:szCs w:val="21"/>
              </w:rPr>
            </w:pPr>
            <w:r>
              <w:rPr>
                <w:rFonts w:hint="eastAsia" w:ascii="宋体" w:hAnsi="宋体" w:eastAsia="宋体" w:cs="宋体"/>
                <w:b w:val="0"/>
                <w:color w:val="auto"/>
                <w:sz w:val="21"/>
                <w:szCs w:val="21"/>
              </w:rPr>
              <w:t>（1）超低温冰箱、普通冰箱、制冰机等含制冷压缩机的设备须保持直立搬运，运输中严禁倾斜、倒置，就位后须静置不少于24小时方可通电试机；</w:t>
            </w:r>
          </w:p>
          <w:p w14:paraId="27C901F9">
            <w:pPr>
              <w:keepNext w:val="0"/>
              <w:keepLines w:val="0"/>
              <w:pageBreakBefore w:val="0"/>
              <w:widowControl w:val="0"/>
              <w:kinsoku/>
              <w:wordWrap/>
              <w:overflowPunct/>
              <w:topLinePunct w:val="0"/>
              <w:autoSpaceDE/>
              <w:autoSpaceDN/>
              <w:bidi w:val="0"/>
              <w:adjustRightInd/>
              <w:snapToGrid/>
              <w:spacing w:before="0" w:after="0" w:line="336" w:lineRule="auto"/>
              <w:ind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rPr>
              <w:t>（2）生物安全柜等实验防护设备须由专业人员拆卸、安装，搬迁后就位并确认运行正常。</w:t>
            </w:r>
          </w:p>
          <w:p w14:paraId="2B5071C2">
            <w:pPr>
              <w:keepNext w:val="0"/>
              <w:keepLines w:val="0"/>
              <w:pageBreakBefore w:val="0"/>
              <w:widowControl w:val="0"/>
              <w:kinsoku/>
              <w:wordWrap/>
              <w:overflowPunct/>
              <w:topLinePunct w:val="0"/>
              <w:autoSpaceDE/>
              <w:autoSpaceDN/>
              <w:bidi w:val="0"/>
              <w:adjustRightInd/>
              <w:snapToGrid/>
              <w:spacing w:before="0" w:after="0" w:line="336" w:lineRule="auto"/>
              <w:ind w:firstLine="422" w:firstLineChars="200"/>
              <w:jc w:val="both"/>
              <w:textAlignment w:val="auto"/>
              <w:rPr>
                <w:rFonts w:hint="eastAsia" w:ascii="宋体" w:hAnsi="宋体" w:eastAsia="宋体" w:cs="宋体"/>
                <w:b/>
                <w:color w:val="auto"/>
                <w:sz w:val="21"/>
                <w:szCs w:val="21"/>
                <w:lang w:val="en-US" w:eastAsia="zh-CN"/>
              </w:rPr>
            </w:pPr>
            <w:r>
              <w:rPr>
                <w:rFonts w:hint="eastAsia" w:ascii="宋体" w:hAnsi="宋体" w:eastAsia="宋体" w:cs="宋体"/>
                <w:b/>
                <w:color w:val="auto"/>
                <w:sz w:val="21"/>
                <w:szCs w:val="21"/>
                <w:lang w:val="en-US" w:eastAsia="zh-CN"/>
              </w:rPr>
              <w:t>6、大型设备搬迁要求</w:t>
            </w:r>
          </w:p>
          <w:p w14:paraId="38D27FF1">
            <w:pPr>
              <w:keepNext w:val="0"/>
              <w:keepLines w:val="0"/>
              <w:pageBreakBefore w:val="0"/>
              <w:widowControl w:val="0"/>
              <w:kinsoku/>
              <w:wordWrap/>
              <w:overflowPunct/>
              <w:topLinePunct w:val="0"/>
              <w:autoSpaceDE/>
              <w:autoSpaceDN/>
              <w:bidi w:val="0"/>
              <w:adjustRightInd/>
              <w:snapToGrid/>
              <w:spacing w:before="0" w:after="0" w:line="336" w:lineRule="auto"/>
              <w:ind w:firstLine="420" w:firstLineChars="200"/>
              <w:jc w:val="both"/>
              <w:textAlignment w:val="auto"/>
              <w:rPr>
                <w:rFonts w:hint="eastAsia" w:ascii="宋体" w:hAnsi="宋体" w:eastAsia="宋体" w:cs="宋体"/>
                <w:b w:val="0"/>
                <w:color w:val="auto"/>
                <w:sz w:val="21"/>
                <w:szCs w:val="21"/>
              </w:rPr>
            </w:pPr>
            <w:r>
              <w:rPr>
                <w:rFonts w:hint="eastAsia" w:ascii="宋体" w:hAnsi="宋体" w:eastAsia="宋体" w:cs="宋体"/>
                <w:b w:val="0"/>
                <w:color w:val="auto"/>
                <w:sz w:val="21"/>
                <w:szCs w:val="21"/>
              </w:rPr>
              <w:t>不锈钢尸体槽、</w:t>
            </w:r>
            <w:r>
              <w:rPr>
                <w:rFonts w:hint="eastAsia" w:ascii="宋体" w:hAnsi="宋体" w:eastAsia="宋体" w:cs="宋体"/>
                <w:b w:val="0"/>
                <w:color w:val="auto"/>
                <w:sz w:val="21"/>
                <w:szCs w:val="21"/>
                <w:lang w:eastAsia="zh-CN"/>
              </w:rPr>
              <w:t>局解升降支架、</w:t>
            </w:r>
            <w:r>
              <w:rPr>
                <w:rFonts w:hint="eastAsia" w:ascii="宋体" w:hAnsi="宋体" w:eastAsia="宋体" w:cs="宋体"/>
                <w:b w:val="0"/>
                <w:color w:val="auto"/>
                <w:sz w:val="21"/>
                <w:szCs w:val="21"/>
              </w:rPr>
              <w:t>机柜等大型、重型设备搬运时须采取可靠防护措施，不得损坏设备结构、表面及沿途建筑设施；使用叉车、吊装等特种设备作业的人员须持有效操作证件。</w:t>
            </w:r>
          </w:p>
          <w:p w14:paraId="6C1CADC2">
            <w:pPr>
              <w:pStyle w:val="2"/>
              <w:keepNext w:val="0"/>
              <w:keepLines w:val="0"/>
              <w:pageBreakBefore w:val="0"/>
              <w:kinsoku/>
              <w:wordWrap/>
              <w:overflowPunct/>
              <w:topLinePunct w:val="0"/>
              <w:autoSpaceDE/>
              <w:autoSpaceDN/>
              <w:bidi w:val="0"/>
              <w:adjustRightInd/>
              <w:snapToGrid/>
              <w:spacing w:line="336" w:lineRule="auto"/>
              <w:ind w:left="0" w:leftChars="0" w:firstLine="480" w:firstLineChars="0"/>
              <w:textAlignment w:val="auto"/>
              <w:rPr>
                <w:rFonts w:hint="eastAsia" w:ascii="宋体" w:hAnsi="宋体" w:eastAsia="宋体" w:cs="宋体"/>
                <w:b/>
                <w:color w:val="auto"/>
                <w:sz w:val="21"/>
                <w:szCs w:val="21"/>
                <w:lang w:eastAsia="zh-CN"/>
              </w:rPr>
            </w:pPr>
            <w:r>
              <w:rPr>
                <w:rFonts w:hint="eastAsia" w:ascii="宋体" w:hAnsi="宋体" w:eastAsia="宋体" w:cs="宋体"/>
                <w:b/>
                <w:color w:val="auto"/>
                <w:sz w:val="21"/>
                <w:szCs w:val="21"/>
                <w:lang w:val="en-US" w:eastAsia="zh-CN"/>
              </w:rPr>
              <w:t>7</w:t>
            </w:r>
            <w:r>
              <w:rPr>
                <w:rFonts w:hint="eastAsia" w:ascii="宋体" w:hAnsi="宋体" w:eastAsia="宋体" w:cs="宋体"/>
                <w:b/>
                <w:color w:val="auto"/>
                <w:sz w:val="21"/>
                <w:szCs w:val="21"/>
              </w:rPr>
              <w:t>、</w:t>
            </w:r>
            <w:r>
              <w:rPr>
                <w:rFonts w:hint="eastAsia" w:ascii="宋体" w:hAnsi="宋体" w:eastAsia="宋体" w:cs="宋体"/>
                <w:b/>
                <w:color w:val="auto"/>
                <w:sz w:val="21"/>
                <w:szCs w:val="21"/>
                <w:lang w:eastAsia="zh-CN"/>
              </w:rPr>
              <w:t>就位要求</w:t>
            </w:r>
          </w:p>
          <w:p w14:paraId="7572A8F0">
            <w:pPr>
              <w:keepNext w:val="0"/>
              <w:keepLines w:val="0"/>
              <w:pageBreakBefore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（1）按附件清单将物品搬运至指定房间并按要求摆放到位；</w:t>
            </w:r>
          </w:p>
          <w:p w14:paraId="4E180A57">
            <w:pPr>
              <w:keepNext w:val="0"/>
              <w:keepLines w:val="0"/>
              <w:pageBreakBefore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（2）可拆装家具按原样组装；</w:t>
            </w:r>
          </w:p>
          <w:p w14:paraId="12738BAD">
            <w:pPr>
              <w:keepNext w:val="0"/>
              <w:keepLines w:val="0"/>
              <w:pageBreakBefore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b w:val="0"/>
                <w:color w:val="auto"/>
                <w:sz w:val="21"/>
                <w:szCs w:val="21"/>
              </w:rPr>
            </w:pPr>
            <w:r>
              <w:rPr>
                <w:rFonts w:hint="eastAsia" w:ascii="宋体" w:hAnsi="宋体" w:eastAsia="宋体" w:cs="宋体"/>
                <w:color w:val="auto"/>
                <w:sz w:val="21"/>
                <w:szCs w:val="21"/>
                <w:lang w:val="en-US" w:eastAsia="zh-CN"/>
              </w:rPr>
              <w:t>（3）搬迁完成后清理现场，包装废弃物清运出校。</w:t>
            </w:r>
          </w:p>
          <w:p w14:paraId="024CC6A4">
            <w:pPr>
              <w:keepNext w:val="0"/>
              <w:keepLines w:val="0"/>
              <w:pageBreakBefore w:val="0"/>
              <w:widowControl w:val="0"/>
              <w:kinsoku/>
              <w:wordWrap/>
              <w:overflowPunct/>
              <w:topLinePunct w:val="0"/>
              <w:autoSpaceDE/>
              <w:autoSpaceDN/>
              <w:bidi w:val="0"/>
              <w:adjustRightInd/>
              <w:snapToGrid/>
              <w:spacing w:before="0" w:after="0" w:line="336" w:lineRule="auto"/>
              <w:ind w:firstLine="422" w:firstLineChars="200"/>
              <w:jc w:val="both"/>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lang w:val="en-US" w:eastAsia="zh-CN"/>
              </w:rPr>
              <w:t>8、分阶段搬迁：</w:t>
            </w:r>
            <w:r>
              <w:rPr>
                <w:rFonts w:hint="eastAsia" w:ascii="宋体" w:hAnsi="宋体" w:eastAsia="宋体" w:cs="宋体"/>
                <w:b w:val="0"/>
                <w:color w:val="auto"/>
                <w:sz w:val="21"/>
                <w:szCs w:val="21"/>
              </w:rPr>
              <w:t>清单中标注“局解实验室建成后搬迁”“待尸库建设完成后搬迁”的物品，按采购人通知的时间分阶段完成搬迁，中标人不得因此另行加收费用</w:t>
            </w:r>
            <w:r>
              <w:rPr>
                <w:rFonts w:hint="eastAsia" w:ascii="宋体" w:hAnsi="宋体" w:eastAsia="宋体" w:cs="宋体"/>
                <w:b w:val="0"/>
                <w:color w:val="auto"/>
                <w:sz w:val="21"/>
                <w:szCs w:val="21"/>
                <w:lang w:eastAsia="zh-CN"/>
              </w:rPr>
              <w:t>；清单中标注“待厂家检测后确认去向”的生物安全柜，按采购人通知的时间执行</w:t>
            </w:r>
            <w:r>
              <w:rPr>
                <w:rFonts w:hint="eastAsia" w:ascii="宋体" w:hAnsi="宋体" w:eastAsia="宋体" w:cs="宋体"/>
                <w:b w:val="0"/>
                <w:color w:val="auto"/>
                <w:sz w:val="21"/>
                <w:szCs w:val="21"/>
              </w:rPr>
              <w:t>。</w:t>
            </w:r>
          </w:p>
          <w:p w14:paraId="51E4BA97">
            <w:pPr>
              <w:keepNext w:val="0"/>
              <w:keepLines w:val="0"/>
              <w:pageBreakBefore w:val="0"/>
              <w:widowControl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b w:val="0"/>
                <w:i/>
                <w:iCs/>
                <w:color w:val="auto"/>
                <w:sz w:val="21"/>
                <w:szCs w:val="21"/>
                <w:u w:val="single"/>
              </w:rPr>
            </w:pPr>
            <w:r>
              <w:rPr>
                <w:rFonts w:hint="eastAsia" w:ascii="宋体" w:hAnsi="宋体" w:eastAsia="宋体" w:cs="宋体"/>
                <w:b w:val="0"/>
                <w:i/>
                <w:iCs/>
                <w:color w:val="auto"/>
                <w:sz w:val="21"/>
                <w:szCs w:val="21"/>
                <w:u w:val="single"/>
              </w:rPr>
              <w:t>★</w:t>
            </w:r>
            <w:r>
              <w:rPr>
                <w:rFonts w:hint="eastAsia" w:ascii="宋体" w:hAnsi="宋体" w:eastAsia="宋体" w:cs="宋体"/>
                <w:b/>
                <w:i/>
                <w:iCs/>
                <w:color w:val="auto"/>
                <w:sz w:val="21"/>
                <w:szCs w:val="21"/>
                <w:u w:val="single"/>
                <w:lang w:val="en-US" w:eastAsia="zh-CN"/>
              </w:rPr>
              <w:t>9、安装调试：</w:t>
            </w:r>
            <w:r>
              <w:rPr>
                <w:rFonts w:hint="eastAsia" w:ascii="宋体" w:hAnsi="宋体" w:eastAsia="宋体" w:cs="宋体"/>
                <w:b w:val="0"/>
                <w:i/>
                <w:iCs/>
                <w:color w:val="auto"/>
                <w:sz w:val="21"/>
                <w:szCs w:val="21"/>
                <w:u w:val="single"/>
              </w:rPr>
              <w:t>全部搬迁完成后，中标人须对精密仪器、</w:t>
            </w:r>
            <w:r>
              <w:rPr>
                <w:rFonts w:hint="eastAsia" w:ascii="宋体" w:hAnsi="宋体" w:eastAsia="宋体" w:cs="宋体"/>
                <w:b w:val="0"/>
                <w:i/>
                <w:iCs/>
                <w:color w:val="auto"/>
                <w:sz w:val="21"/>
                <w:szCs w:val="21"/>
                <w:u w:val="single"/>
                <w:lang w:eastAsia="zh-CN"/>
              </w:rPr>
              <w:t>学生端电脑（含</w:t>
            </w:r>
            <w:r>
              <w:rPr>
                <w:rFonts w:hint="eastAsia" w:ascii="宋体" w:hAnsi="宋体" w:eastAsia="宋体" w:cs="宋体"/>
                <w:b w:val="0"/>
                <w:i/>
                <w:iCs/>
                <w:color w:val="auto"/>
                <w:sz w:val="21"/>
                <w:szCs w:val="21"/>
                <w:u w:val="single"/>
              </w:rPr>
              <w:t>显微互动教学系统</w:t>
            </w:r>
            <w:r>
              <w:rPr>
                <w:rFonts w:hint="eastAsia" w:ascii="宋体" w:hAnsi="宋体" w:eastAsia="宋体" w:cs="宋体"/>
                <w:b w:val="0"/>
                <w:i/>
                <w:iCs/>
                <w:color w:val="auto"/>
                <w:sz w:val="21"/>
                <w:szCs w:val="21"/>
                <w:u w:val="single"/>
                <w:lang w:eastAsia="zh-CN"/>
              </w:rPr>
              <w:t>和</w:t>
            </w:r>
            <w:r>
              <w:rPr>
                <w:rFonts w:hint="eastAsia" w:ascii="宋体" w:hAnsi="宋体" w:eastAsia="宋体" w:cs="宋体"/>
                <w:b w:val="0"/>
                <w:i/>
                <w:iCs/>
                <w:color w:val="auto"/>
                <w:sz w:val="21"/>
                <w:szCs w:val="21"/>
                <w:u w:val="single"/>
              </w:rPr>
              <w:t>数字人解剖系统</w:t>
            </w:r>
            <w:r>
              <w:rPr>
                <w:rFonts w:hint="eastAsia" w:ascii="宋体" w:hAnsi="宋体" w:eastAsia="宋体" w:cs="宋体"/>
                <w:b w:val="0"/>
                <w:i/>
                <w:iCs/>
                <w:color w:val="auto"/>
                <w:sz w:val="21"/>
                <w:szCs w:val="21"/>
                <w:u w:val="single"/>
                <w:lang w:eastAsia="zh-CN"/>
              </w:rPr>
              <w:t>等软件）</w:t>
            </w:r>
            <w:r>
              <w:rPr>
                <w:rFonts w:hint="eastAsia" w:ascii="宋体" w:hAnsi="宋体" w:eastAsia="宋体" w:cs="宋体"/>
                <w:b w:val="0"/>
                <w:i/>
                <w:iCs/>
                <w:color w:val="auto"/>
                <w:sz w:val="21"/>
                <w:szCs w:val="21"/>
                <w:u w:val="single"/>
              </w:rPr>
              <w:t>、超低温冰箱等逐台（套）通电试机、安装调试，经采购人验收确认功能恢复至搬迁前状态。</w:t>
            </w:r>
          </w:p>
          <w:p w14:paraId="46F91D6E">
            <w:pPr>
              <w:keepNext w:val="0"/>
              <w:keepLines w:val="0"/>
              <w:pageBreakBefore w:val="0"/>
              <w:widowControl w:val="0"/>
              <w:kinsoku/>
              <w:wordWrap/>
              <w:overflowPunct/>
              <w:topLinePunct w:val="0"/>
              <w:autoSpaceDE/>
              <w:autoSpaceDN/>
              <w:bidi w:val="0"/>
              <w:adjustRightInd/>
              <w:snapToGrid/>
              <w:spacing w:line="336" w:lineRule="auto"/>
              <w:ind w:firstLine="420" w:firstLineChars="200"/>
              <w:jc w:val="left"/>
              <w:textAlignment w:val="auto"/>
              <w:outlineLvl w:val="7"/>
              <w:rPr>
                <w:rFonts w:hint="eastAsia" w:ascii="宋体" w:hAnsi="宋体" w:eastAsia="宋体" w:cs="宋体"/>
                <w:b w:val="0"/>
                <w:color w:val="auto"/>
                <w:sz w:val="21"/>
                <w:szCs w:val="21"/>
              </w:rPr>
            </w:pPr>
            <w:r>
              <w:rPr>
                <w:rFonts w:hint="eastAsia" w:ascii="宋体" w:hAnsi="宋体" w:eastAsia="宋体" w:cs="宋体"/>
                <w:b w:val="0"/>
                <w:i/>
                <w:iCs/>
                <w:color w:val="auto"/>
                <w:sz w:val="21"/>
                <w:szCs w:val="21"/>
                <w:u w:val="single"/>
              </w:rPr>
              <w:t>★</w:t>
            </w:r>
            <w:r>
              <w:rPr>
                <w:rFonts w:hint="eastAsia" w:ascii="宋体" w:hAnsi="宋体" w:eastAsia="宋体" w:cs="宋体"/>
                <w:b/>
                <w:i/>
                <w:iCs/>
                <w:color w:val="auto"/>
                <w:sz w:val="21"/>
                <w:szCs w:val="21"/>
                <w:u w:val="single"/>
                <w:lang w:val="en-US" w:eastAsia="zh-CN"/>
              </w:rPr>
              <w:t>10</w:t>
            </w:r>
            <w:r>
              <w:rPr>
                <w:rFonts w:hint="eastAsia" w:ascii="宋体" w:hAnsi="宋体" w:eastAsia="宋体" w:cs="宋体"/>
                <w:b/>
                <w:i/>
                <w:iCs/>
                <w:color w:val="auto"/>
                <w:sz w:val="21"/>
                <w:szCs w:val="21"/>
                <w:u w:val="single"/>
              </w:rPr>
              <w:t>、</w:t>
            </w:r>
            <w:r>
              <w:rPr>
                <w:rFonts w:hint="eastAsia" w:ascii="宋体" w:hAnsi="宋体" w:eastAsia="宋体" w:cs="宋体"/>
                <w:b/>
                <w:i/>
                <w:iCs/>
                <w:color w:val="auto"/>
                <w:sz w:val="21"/>
                <w:szCs w:val="21"/>
                <w:u w:val="single"/>
                <w:lang w:eastAsia="zh-CN"/>
              </w:rPr>
              <w:t>搬迁损坏修复与赔偿要求：</w:t>
            </w:r>
            <w:r>
              <w:rPr>
                <w:rFonts w:hint="eastAsia" w:ascii="宋体" w:hAnsi="宋体" w:eastAsia="宋体" w:cs="宋体"/>
                <w:i/>
                <w:iCs/>
                <w:color w:val="auto"/>
                <w:sz w:val="21"/>
                <w:szCs w:val="21"/>
                <w:u w:val="single"/>
              </w:rPr>
              <w:t>因中标人原因造成的设备等物品损坏率须为0，发生损坏的由中标人免费修复，无法修复的按资产原值赔偿。</w:t>
            </w:r>
          </w:p>
        </w:tc>
        <w:tc>
          <w:tcPr>
            <w:tcW w:w="851" w:type="dxa"/>
            <w:vAlign w:val="center"/>
          </w:tcPr>
          <w:p w14:paraId="2B0C29FA">
            <w:pPr>
              <w:keepNext w:val="0"/>
              <w:keepLines w:val="0"/>
              <w:pageBreakBefore w:val="0"/>
              <w:widowControl/>
              <w:kinsoku/>
              <w:wordWrap/>
              <w:overflowPunct/>
              <w:topLinePunct w:val="0"/>
              <w:autoSpaceDE/>
              <w:autoSpaceDN/>
              <w:bidi w:val="0"/>
              <w:adjustRightInd/>
              <w:snapToGrid/>
              <w:spacing w:line="336"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1267</w:t>
            </w:r>
          </w:p>
        </w:tc>
        <w:tc>
          <w:tcPr>
            <w:tcW w:w="850" w:type="dxa"/>
            <w:vAlign w:val="center"/>
          </w:tcPr>
          <w:p w14:paraId="65B9FB6A">
            <w:pPr>
              <w:keepNext w:val="0"/>
              <w:keepLines w:val="0"/>
              <w:pageBreakBefore w:val="0"/>
              <w:widowControl/>
              <w:kinsoku/>
              <w:wordWrap/>
              <w:overflowPunct/>
              <w:topLinePunct w:val="0"/>
              <w:autoSpaceDE/>
              <w:autoSpaceDN/>
              <w:bidi w:val="0"/>
              <w:adjustRightInd/>
              <w:snapToGrid/>
              <w:spacing w:line="336" w:lineRule="auto"/>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台（件、套）</w:t>
            </w:r>
          </w:p>
        </w:tc>
        <w:tc>
          <w:tcPr>
            <w:tcW w:w="1234" w:type="dxa"/>
            <w:vAlign w:val="center"/>
          </w:tcPr>
          <w:p w14:paraId="5287DF9D">
            <w:pPr>
              <w:keepNext w:val="0"/>
              <w:keepLines w:val="0"/>
              <w:pageBreakBefore w:val="0"/>
              <w:widowControl/>
              <w:kinsoku/>
              <w:wordWrap/>
              <w:overflowPunct/>
              <w:topLinePunct w:val="0"/>
              <w:autoSpaceDE/>
              <w:autoSpaceDN/>
              <w:bidi w:val="0"/>
              <w:adjustRightInd/>
              <w:snapToGrid/>
              <w:spacing w:line="336" w:lineRule="auto"/>
              <w:jc w:val="center"/>
              <w:textAlignment w:val="auto"/>
              <w:rPr>
                <w:rFonts w:hint="eastAsia" w:ascii="宋体" w:hAnsi="宋体" w:eastAsia="宋体" w:cs="宋体"/>
                <w:color w:val="auto"/>
                <w:kern w:val="0"/>
                <w:sz w:val="21"/>
                <w:szCs w:val="21"/>
              </w:rPr>
            </w:pPr>
            <w:r>
              <w:rPr>
                <w:rFonts w:hint="eastAsia" w:ascii="宋体" w:hAnsi="宋体" w:eastAsia="宋体" w:cs="宋体"/>
                <w:color w:val="auto"/>
                <w:kern w:val="0"/>
                <w:sz w:val="21"/>
                <w:szCs w:val="21"/>
                <w:lang w:eastAsia="zh-CN"/>
              </w:rPr>
              <w:t>详见附件清单</w:t>
            </w:r>
          </w:p>
        </w:tc>
      </w:tr>
      <w:tr w14:paraId="44D27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829" w:type="dxa"/>
            <w:vAlign w:val="center"/>
          </w:tcPr>
          <w:p w14:paraId="1BD36644">
            <w:pPr>
              <w:keepNext w:val="0"/>
              <w:keepLines w:val="0"/>
              <w:pageBreakBefore w:val="0"/>
              <w:widowControl/>
              <w:kinsoku/>
              <w:wordWrap/>
              <w:overflowPunct/>
              <w:topLinePunct w:val="0"/>
              <w:autoSpaceDE/>
              <w:autoSpaceDN/>
              <w:bidi w:val="0"/>
              <w:adjustRightInd/>
              <w:snapToGrid/>
              <w:spacing w:line="336" w:lineRule="auto"/>
              <w:jc w:val="center"/>
              <w:textAlignment w:val="auto"/>
              <w:rPr>
                <w:rFonts w:hint="eastAsia" w:ascii="宋体" w:hAnsi="宋体" w:eastAsia="宋体" w:cs="宋体"/>
                <w:b/>
                <w:color w:val="auto"/>
                <w:kern w:val="0"/>
                <w:sz w:val="21"/>
                <w:szCs w:val="21"/>
                <w:lang w:val="en-US" w:eastAsia="zh-CN"/>
              </w:rPr>
            </w:pPr>
            <w:r>
              <w:rPr>
                <w:rFonts w:hint="eastAsia" w:ascii="宋体" w:hAnsi="宋体" w:eastAsia="宋体" w:cs="宋体"/>
                <w:b/>
                <w:color w:val="auto"/>
                <w:kern w:val="0"/>
                <w:sz w:val="21"/>
                <w:szCs w:val="21"/>
                <w:lang w:val="en-US" w:eastAsia="zh-CN"/>
              </w:rPr>
              <w:t>3</w:t>
            </w:r>
          </w:p>
        </w:tc>
        <w:tc>
          <w:tcPr>
            <w:tcW w:w="1014" w:type="dxa"/>
            <w:vAlign w:val="center"/>
          </w:tcPr>
          <w:p w14:paraId="30C36F5C">
            <w:pPr>
              <w:keepNext w:val="0"/>
              <w:keepLines w:val="0"/>
              <w:pageBreakBefore w:val="0"/>
              <w:widowControl/>
              <w:kinsoku/>
              <w:wordWrap/>
              <w:overflowPunct/>
              <w:topLinePunct w:val="0"/>
              <w:autoSpaceDE/>
              <w:autoSpaceDN/>
              <w:bidi w:val="0"/>
              <w:adjustRightInd/>
              <w:snapToGrid/>
              <w:spacing w:line="336" w:lineRule="auto"/>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耗材搬运（含打包）</w:t>
            </w:r>
          </w:p>
        </w:tc>
        <w:tc>
          <w:tcPr>
            <w:tcW w:w="5245" w:type="dxa"/>
            <w:vAlign w:val="center"/>
          </w:tcPr>
          <w:p w14:paraId="0542FC67">
            <w:pPr>
              <w:keepNext w:val="0"/>
              <w:keepLines w:val="0"/>
              <w:pageBreakBefore w:val="0"/>
              <w:widowControl w:val="0"/>
              <w:numPr>
                <w:ilvl w:val="0"/>
                <w:numId w:val="1"/>
              </w:numPr>
              <w:kinsoku/>
              <w:wordWrap/>
              <w:overflowPunct/>
              <w:topLinePunct w:val="0"/>
              <w:autoSpaceDE/>
              <w:autoSpaceDN/>
              <w:bidi w:val="0"/>
              <w:adjustRightInd/>
              <w:snapToGrid/>
              <w:spacing w:before="0" w:after="0" w:line="336" w:lineRule="auto"/>
              <w:ind w:firstLine="422" w:firstLineChars="200"/>
              <w:jc w:val="both"/>
              <w:textAlignment w:val="auto"/>
              <w:rPr>
                <w:rFonts w:hint="eastAsia" w:ascii="宋体" w:hAnsi="宋体" w:eastAsia="宋体" w:cs="宋体"/>
                <w:b/>
                <w:color w:val="auto"/>
                <w:sz w:val="21"/>
                <w:szCs w:val="21"/>
                <w:lang w:val="en-US" w:eastAsia="zh-CN"/>
              </w:rPr>
            </w:pPr>
            <w:r>
              <w:rPr>
                <w:rFonts w:hint="eastAsia" w:ascii="宋体" w:hAnsi="宋体" w:eastAsia="宋体" w:cs="宋体"/>
                <w:b/>
                <w:color w:val="auto"/>
                <w:sz w:val="21"/>
                <w:szCs w:val="21"/>
                <w:lang w:val="en-US" w:eastAsia="zh-CN"/>
              </w:rPr>
              <w:t>打包要求</w:t>
            </w:r>
          </w:p>
          <w:p w14:paraId="22CE3796">
            <w:pPr>
              <w:keepNext w:val="0"/>
              <w:keepLines w:val="0"/>
              <w:pageBreakBefore w:val="0"/>
              <w:widowControl w:val="0"/>
              <w:numPr>
                <w:ilvl w:val="0"/>
                <w:numId w:val="0"/>
              </w:numPr>
              <w:kinsoku/>
              <w:wordWrap/>
              <w:overflowPunct/>
              <w:topLinePunct w:val="0"/>
              <w:autoSpaceDE/>
              <w:autoSpaceDN/>
              <w:bidi w:val="0"/>
              <w:adjustRightInd/>
              <w:snapToGrid/>
              <w:spacing w:before="0" w:after="0" w:line="336" w:lineRule="auto"/>
              <w:ind w:firstLine="420" w:firstLineChars="200"/>
              <w:jc w:val="both"/>
              <w:textAlignment w:val="auto"/>
              <w:rPr>
                <w:rFonts w:hint="eastAsia" w:ascii="宋体" w:hAnsi="宋体" w:eastAsia="宋体" w:cs="宋体"/>
                <w:b w:val="0"/>
                <w:color w:val="auto"/>
                <w:sz w:val="21"/>
                <w:szCs w:val="21"/>
              </w:rPr>
            </w:pPr>
            <w:r>
              <w:rPr>
                <w:rFonts w:hint="eastAsia" w:ascii="宋体" w:hAnsi="宋体" w:eastAsia="宋体" w:cs="宋体"/>
                <w:b w:val="0"/>
                <w:color w:val="auto"/>
                <w:kern w:val="2"/>
                <w:sz w:val="21"/>
                <w:szCs w:val="21"/>
                <w:lang w:val="en-US" w:eastAsia="zh-CN" w:bidi="ar-SA"/>
              </w:rPr>
              <w:t>（1）</w:t>
            </w:r>
            <w:r>
              <w:rPr>
                <w:rFonts w:hint="eastAsia" w:ascii="宋体" w:hAnsi="宋体" w:eastAsia="宋体" w:cs="宋体"/>
                <w:b w:val="0"/>
                <w:color w:val="auto"/>
                <w:sz w:val="21"/>
                <w:szCs w:val="21"/>
              </w:rPr>
              <w:t>中标人须提供打包所需的纸箱、气泡膜等包装材料，材料须干净、牢固；</w:t>
            </w:r>
          </w:p>
          <w:p w14:paraId="4CC06406">
            <w:pPr>
              <w:keepNext w:val="0"/>
              <w:keepLines w:val="0"/>
              <w:pageBreakBefore w:val="0"/>
              <w:widowControl w:val="0"/>
              <w:numPr>
                <w:ilvl w:val="0"/>
                <w:numId w:val="0"/>
              </w:numPr>
              <w:kinsoku/>
              <w:wordWrap/>
              <w:overflowPunct/>
              <w:topLinePunct w:val="0"/>
              <w:autoSpaceDE/>
              <w:autoSpaceDN/>
              <w:bidi w:val="0"/>
              <w:adjustRightInd/>
              <w:snapToGrid/>
              <w:spacing w:before="0" w:after="0" w:line="336" w:lineRule="auto"/>
              <w:ind w:left="0" w:leftChars="0" w:firstLine="420" w:firstLineChars="200"/>
              <w:jc w:val="both"/>
              <w:textAlignment w:val="auto"/>
              <w:rPr>
                <w:rFonts w:hint="eastAsia" w:ascii="宋体" w:hAnsi="宋体" w:eastAsia="宋体" w:cs="宋体"/>
                <w:b w:val="0"/>
                <w:color w:val="auto"/>
                <w:sz w:val="21"/>
                <w:szCs w:val="21"/>
              </w:rPr>
            </w:pPr>
            <w:r>
              <w:rPr>
                <w:rFonts w:hint="eastAsia" w:ascii="宋体" w:hAnsi="宋体" w:eastAsia="宋体" w:cs="宋体"/>
                <w:b w:val="0"/>
                <w:color w:val="auto"/>
                <w:kern w:val="2"/>
                <w:sz w:val="21"/>
                <w:szCs w:val="21"/>
                <w:lang w:val="en-US" w:eastAsia="zh-CN" w:bidi="ar-SA"/>
              </w:rPr>
              <w:t>（2）</w:t>
            </w:r>
            <w:r>
              <w:rPr>
                <w:rFonts w:hint="eastAsia" w:ascii="宋体" w:hAnsi="宋体" w:eastAsia="宋体" w:cs="宋体"/>
                <w:b w:val="0"/>
                <w:color w:val="auto"/>
                <w:sz w:val="21"/>
                <w:szCs w:val="21"/>
              </w:rPr>
              <w:t>按实验室、按类别打包，玻璃试剂瓶、切片等易碎品须用气泡膜等缓冲材料单独包裹后装箱，箱内空隙须填实；</w:t>
            </w:r>
          </w:p>
          <w:p w14:paraId="766FDB0D">
            <w:pPr>
              <w:keepNext w:val="0"/>
              <w:keepLines w:val="0"/>
              <w:pageBreakBefore w:val="0"/>
              <w:widowControl w:val="0"/>
              <w:numPr>
                <w:ilvl w:val="0"/>
                <w:numId w:val="0"/>
              </w:numPr>
              <w:kinsoku/>
              <w:wordWrap/>
              <w:overflowPunct/>
              <w:topLinePunct w:val="0"/>
              <w:autoSpaceDE/>
              <w:autoSpaceDN/>
              <w:bidi w:val="0"/>
              <w:adjustRightInd/>
              <w:snapToGrid/>
              <w:spacing w:before="0" w:after="0" w:line="336" w:lineRule="auto"/>
              <w:ind w:left="0" w:leftChars="0" w:firstLine="420" w:firstLineChars="200"/>
              <w:jc w:val="both"/>
              <w:textAlignment w:val="auto"/>
              <w:rPr>
                <w:rFonts w:hint="eastAsia" w:ascii="宋体" w:hAnsi="宋体" w:eastAsia="宋体" w:cs="宋体"/>
                <w:b w:val="0"/>
                <w:color w:val="auto"/>
                <w:sz w:val="21"/>
                <w:szCs w:val="21"/>
              </w:rPr>
            </w:pPr>
            <w:r>
              <w:rPr>
                <w:rFonts w:hint="eastAsia" w:ascii="宋体" w:hAnsi="宋体" w:eastAsia="宋体" w:cs="宋体"/>
                <w:b w:val="0"/>
                <w:color w:val="auto"/>
                <w:kern w:val="2"/>
                <w:sz w:val="21"/>
                <w:szCs w:val="21"/>
                <w:lang w:val="en-US" w:eastAsia="zh-CN" w:bidi="ar-SA"/>
              </w:rPr>
              <w:t>（3）</w:t>
            </w:r>
            <w:r>
              <w:rPr>
                <w:rFonts w:hint="eastAsia" w:ascii="宋体" w:hAnsi="宋体" w:eastAsia="宋体" w:cs="宋体"/>
                <w:b w:val="0"/>
                <w:color w:val="auto"/>
                <w:sz w:val="21"/>
                <w:szCs w:val="21"/>
              </w:rPr>
              <w:t>纸箱封箱严密，箱外标注实验室名称、内容物类别及易碎、朝向标识；</w:t>
            </w:r>
          </w:p>
          <w:p w14:paraId="2126EDE9">
            <w:pPr>
              <w:keepNext w:val="0"/>
              <w:keepLines w:val="0"/>
              <w:pageBreakBefore w:val="0"/>
              <w:widowControl w:val="0"/>
              <w:numPr>
                <w:ilvl w:val="0"/>
                <w:numId w:val="0"/>
              </w:numPr>
              <w:kinsoku/>
              <w:wordWrap/>
              <w:overflowPunct/>
              <w:topLinePunct w:val="0"/>
              <w:autoSpaceDE/>
              <w:autoSpaceDN/>
              <w:bidi w:val="0"/>
              <w:adjustRightInd/>
              <w:snapToGrid/>
              <w:spacing w:before="0" w:after="0" w:line="336" w:lineRule="auto"/>
              <w:ind w:left="0" w:leftChars="0" w:firstLine="420" w:firstLineChars="200"/>
              <w:jc w:val="both"/>
              <w:textAlignment w:val="auto"/>
              <w:rPr>
                <w:rFonts w:hint="eastAsia" w:ascii="宋体" w:hAnsi="宋体" w:eastAsia="宋体" w:cs="宋体"/>
                <w:b w:val="0"/>
                <w:color w:val="auto"/>
                <w:sz w:val="21"/>
                <w:szCs w:val="21"/>
              </w:rPr>
            </w:pPr>
            <w:r>
              <w:rPr>
                <w:rFonts w:hint="eastAsia" w:ascii="宋体" w:hAnsi="宋体" w:eastAsia="宋体" w:cs="宋体"/>
                <w:b w:val="0"/>
                <w:color w:val="auto"/>
                <w:kern w:val="2"/>
                <w:sz w:val="21"/>
                <w:szCs w:val="21"/>
                <w:lang w:val="en-US" w:eastAsia="zh-CN" w:bidi="ar-SA"/>
              </w:rPr>
              <w:t>（4）</w:t>
            </w:r>
            <w:r>
              <w:rPr>
                <w:rFonts w:hint="eastAsia" w:ascii="宋体" w:hAnsi="宋体" w:eastAsia="宋体" w:cs="宋体"/>
                <w:b w:val="0"/>
                <w:color w:val="auto"/>
                <w:sz w:val="21"/>
                <w:szCs w:val="21"/>
              </w:rPr>
              <w:t>无水乙醇等易燃液体须单独装箱、单独放置，远离火源，并按国家危险化学品运输、储存相关规定执行；</w:t>
            </w:r>
          </w:p>
          <w:p w14:paraId="6BD79D01">
            <w:pPr>
              <w:keepNext w:val="0"/>
              <w:keepLines w:val="0"/>
              <w:pageBreakBefore w:val="0"/>
              <w:widowControl w:val="0"/>
              <w:numPr>
                <w:ilvl w:val="0"/>
                <w:numId w:val="0"/>
              </w:numPr>
              <w:kinsoku/>
              <w:wordWrap/>
              <w:overflowPunct/>
              <w:topLinePunct w:val="0"/>
              <w:autoSpaceDE/>
              <w:autoSpaceDN/>
              <w:bidi w:val="0"/>
              <w:adjustRightInd/>
              <w:snapToGrid/>
              <w:spacing w:before="0" w:after="0" w:line="336" w:lineRule="auto"/>
              <w:ind w:leftChars="0" w:firstLine="420" w:firstLineChars="200"/>
              <w:jc w:val="both"/>
              <w:textAlignment w:val="auto"/>
              <w:rPr>
                <w:rFonts w:hint="eastAsia" w:ascii="宋体" w:hAnsi="宋体" w:eastAsia="宋体" w:cs="宋体"/>
                <w:b w:val="0"/>
                <w:color w:val="auto"/>
                <w:sz w:val="21"/>
                <w:szCs w:val="21"/>
                <w:lang w:val="en-US" w:eastAsia="zh-CN"/>
              </w:rPr>
            </w:pPr>
            <w:r>
              <w:rPr>
                <w:rFonts w:hint="eastAsia" w:ascii="宋体" w:hAnsi="宋体" w:eastAsia="宋体" w:cs="宋体"/>
                <w:b w:val="0"/>
                <w:color w:val="auto"/>
                <w:sz w:val="21"/>
                <w:szCs w:val="21"/>
              </w:rPr>
              <w:t>（5）</w:t>
            </w:r>
            <w:r>
              <w:rPr>
                <w:rFonts w:hint="eastAsia" w:ascii="宋体" w:hAnsi="宋体" w:eastAsia="宋体" w:cs="宋体"/>
                <w:b w:val="0"/>
                <w:color w:val="auto"/>
                <w:sz w:val="21"/>
                <w:szCs w:val="21"/>
                <w:lang w:val="en-US" w:eastAsia="zh-CN"/>
              </w:rPr>
              <w:t>CO</w:t>
            </w:r>
            <w:r>
              <w:rPr>
                <w:rFonts w:hint="eastAsia" w:ascii="宋体" w:hAnsi="宋体" w:eastAsia="宋体" w:cs="宋体"/>
                <w:b w:val="0"/>
                <w:color w:val="auto"/>
                <w:sz w:val="21"/>
                <w:szCs w:val="21"/>
                <w:vertAlign w:val="subscript"/>
                <w:lang w:val="en-US" w:eastAsia="zh-CN"/>
              </w:rPr>
              <w:t>2</w:t>
            </w:r>
            <w:r>
              <w:rPr>
                <w:rFonts w:hint="eastAsia" w:ascii="宋体" w:hAnsi="宋体" w:eastAsia="宋体" w:cs="宋体"/>
                <w:b w:val="0"/>
                <w:color w:val="auto"/>
                <w:sz w:val="21"/>
                <w:szCs w:val="21"/>
                <w:lang w:val="en-US" w:eastAsia="zh-CN"/>
              </w:rPr>
              <w:t>钢瓶1个须直立固定、防碰撞、防暴晒，按国家气瓶运输相关规定执行；</w:t>
            </w:r>
          </w:p>
          <w:p w14:paraId="37703954">
            <w:pPr>
              <w:keepNext w:val="0"/>
              <w:keepLines w:val="0"/>
              <w:pageBreakBefore w:val="0"/>
              <w:widowControl w:val="0"/>
              <w:numPr>
                <w:ilvl w:val="0"/>
                <w:numId w:val="0"/>
              </w:numPr>
              <w:kinsoku/>
              <w:wordWrap/>
              <w:overflowPunct/>
              <w:topLinePunct w:val="0"/>
              <w:autoSpaceDE/>
              <w:autoSpaceDN/>
              <w:bidi w:val="0"/>
              <w:adjustRightInd/>
              <w:snapToGrid/>
              <w:spacing w:before="0" w:after="0" w:line="336" w:lineRule="auto"/>
              <w:ind w:leftChars="0" w:firstLine="420" w:firstLineChars="200"/>
              <w:jc w:val="both"/>
              <w:textAlignment w:val="auto"/>
              <w:rPr>
                <w:rFonts w:hint="eastAsia" w:ascii="宋体" w:hAnsi="宋体" w:eastAsia="宋体" w:cs="宋体"/>
                <w:b w:val="0"/>
                <w:color w:val="auto"/>
                <w:sz w:val="21"/>
                <w:szCs w:val="21"/>
                <w:lang w:eastAsia="zh-CN"/>
              </w:rPr>
            </w:pP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lang w:val="en-US" w:eastAsia="zh-CN"/>
              </w:rPr>
              <w:t>6</w:t>
            </w:r>
            <w:r>
              <w:rPr>
                <w:rFonts w:hint="eastAsia" w:ascii="宋体" w:hAnsi="宋体" w:eastAsia="宋体" w:cs="宋体"/>
                <w:b w:val="0"/>
                <w:color w:val="auto"/>
                <w:sz w:val="21"/>
                <w:szCs w:val="21"/>
                <w:lang w:eastAsia="zh-CN"/>
              </w:rPr>
              <w:t>）挂图、画框等较沉重的大幅面物品可利用其原有储存纸箱搬运，须防潮、防折压</w:t>
            </w:r>
          </w:p>
          <w:p w14:paraId="4DFFD6A6">
            <w:pPr>
              <w:keepNext w:val="0"/>
              <w:keepLines w:val="0"/>
              <w:pageBreakBefore w:val="0"/>
              <w:widowControl w:val="0"/>
              <w:numPr>
                <w:ilvl w:val="0"/>
                <w:numId w:val="0"/>
              </w:numPr>
              <w:kinsoku/>
              <w:wordWrap/>
              <w:overflowPunct/>
              <w:topLinePunct w:val="0"/>
              <w:autoSpaceDE/>
              <w:autoSpaceDN/>
              <w:bidi w:val="0"/>
              <w:adjustRightInd/>
              <w:snapToGrid/>
              <w:spacing w:before="0" w:after="0" w:line="336" w:lineRule="auto"/>
              <w:ind w:leftChars="0" w:firstLine="420" w:firstLineChars="200"/>
              <w:jc w:val="both"/>
              <w:textAlignment w:val="auto"/>
              <w:rPr>
                <w:rFonts w:hint="eastAsia" w:ascii="宋体" w:hAnsi="宋体" w:eastAsia="宋体" w:cs="宋体"/>
                <w:color w:val="auto"/>
                <w:sz w:val="21"/>
                <w:szCs w:val="21"/>
              </w:rPr>
            </w:pP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lang w:val="en-US" w:eastAsia="zh-CN"/>
              </w:rPr>
              <w:t>7</w:t>
            </w:r>
            <w:r>
              <w:rPr>
                <w:rFonts w:hint="eastAsia" w:ascii="宋体" w:hAnsi="宋体" w:eastAsia="宋体" w:cs="宋体"/>
                <w:b w:val="0"/>
                <w:color w:val="auto"/>
                <w:sz w:val="21"/>
                <w:szCs w:val="21"/>
                <w:lang w:eastAsia="zh-CN"/>
              </w:rPr>
              <w:t>）</w:t>
            </w:r>
            <w:r>
              <w:rPr>
                <w:rFonts w:hint="eastAsia" w:ascii="宋体" w:hAnsi="宋体" w:eastAsia="宋体" w:cs="宋体"/>
                <w:b w:val="0"/>
                <w:color w:val="auto"/>
                <w:sz w:val="21"/>
                <w:szCs w:val="21"/>
              </w:rPr>
              <w:t>切片等须轻拿轻放。</w:t>
            </w:r>
          </w:p>
          <w:p w14:paraId="23F1679C">
            <w:pPr>
              <w:keepNext w:val="0"/>
              <w:keepLines w:val="0"/>
              <w:pageBreakBefore w:val="0"/>
              <w:widowControl w:val="0"/>
              <w:kinsoku/>
              <w:wordWrap/>
              <w:overflowPunct/>
              <w:topLinePunct w:val="0"/>
              <w:autoSpaceDE/>
              <w:autoSpaceDN/>
              <w:bidi w:val="0"/>
              <w:adjustRightInd/>
              <w:snapToGrid/>
              <w:spacing w:before="0" w:after="0" w:line="336" w:lineRule="auto"/>
              <w:ind w:firstLine="422" w:firstLineChars="200"/>
              <w:jc w:val="both"/>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lang w:val="en-US" w:eastAsia="zh-CN"/>
              </w:rPr>
              <w:t>2、运输要求：</w:t>
            </w:r>
            <w:r>
              <w:rPr>
                <w:rFonts w:hint="eastAsia" w:ascii="宋体" w:hAnsi="宋体" w:eastAsia="宋体" w:cs="宋体"/>
                <w:b w:val="0"/>
                <w:color w:val="auto"/>
                <w:sz w:val="21"/>
                <w:szCs w:val="21"/>
              </w:rPr>
              <w:t>纸箱装卸须轻拿轻放，不得倒置、抛掷、挤压；运输过程中须防雨、防潮。</w:t>
            </w:r>
          </w:p>
          <w:p w14:paraId="6880AB4E">
            <w:pPr>
              <w:keepNext w:val="0"/>
              <w:keepLines w:val="0"/>
              <w:pageBreakBefore w:val="0"/>
              <w:widowControl w:val="0"/>
              <w:kinsoku/>
              <w:wordWrap/>
              <w:overflowPunct/>
              <w:topLinePunct w:val="0"/>
              <w:autoSpaceDE/>
              <w:autoSpaceDN/>
              <w:bidi w:val="0"/>
              <w:adjustRightInd/>
              <w:snapToGrid/>
              <w:spacing w:before="0" w:after="0" w:line="336" w:lineRule="auto"/>
              <w:ind w:firstLine="422" w:firstLineChars="200"/>
              <w:jc w:val="both"/>
              <w:textAlignment w:val="auto"/>
              <w:rPr>
                <w:rFonts w:hint="eastAsia" w:ascii="宋体" w:hAnsi="宋体" w:eastAsia="宋体" w:cs="宋体"/>
                <w:color w:val="auto"/>
                <w:sz w:val="21"/>
                <w:szCs w:val="21"/>
              </w:rPr>
            </w:pPr>
            <w:r>
              <w:rPr>
                <w:rFonts w:hint="eastAsia" w:ascii="宋体" w:hAnsi="宋体" w:eastAsia="宋体" w:cs="宋体"/>
                <w:b/>
                <w:color w:val="auto"/>
                <w:sz w:val="21"/>
                <w:szCs w:val="21"/>
                <w:lang w:val="en-US" w:eastAsia="zh-CN"/>
              </w:rPr>
              <w:t>3、就位要求：</w:t>
            </w:r>
            <w:r>
              <w:rPr>
                <w:rFonts w:hint="eastAsia" w:ascii="宋体" w:hAnsi="宋体" w:eastAsia="宋体" w:cs="宋体"/>
                <w:b w:val="0"/>
                <w:color w:val="auto"/>
                <w:sz w:val="21"/>
                <w:szCs w:val="21"/>
              </w:rPr>
              <w:t>按箱外标注将纸箱搬运至指定实验室并码放整齐。</w:t>
            </w:r>
          </w:p>
          <w:p w14:paraId="33EB6EC1">
            <w:pPr>
              <w:keepNext w:val="0"/>
              <w:keepLines w:val="0"/>
              <w:pageBreakBefore w:val="0"/>
              <w:widowControl w:val="0"/>
              <w:kinsoku/>
              <w:wordWrap/>
              <w:overflowPunct/>
              <w:topLinePunct w:val="0"/>
              <w:autoSpaceDE/>
              <w:autoSpaceDN/>
              <w:bidi w:val="0"/>
              <w:adjustRightInd/>
              <w:snapToGrid/>
              <w:spacing w:line="336" w:lineRule="auto"/>
              <w:ind w:firstLine="422" w:firstLineChars="200"/>
              <w:jc w:val="left"/>
              <w:textAlignment w:val="auto"/>
              <w:outlineLvl w:val="7"/>
              <w:rPr>
                <w:rFonts w:hint="eastAsia" w:ascii="宋体" w:hAnsi="宋体" w:eastAsia="宋体" w:cs="宋体"/>
                <w:b w:val="0"/>
                <w:color w:val="auto"/>
                <w:sz w:val="21"/>
                <w:szCs w:val="21"/>
              </w:rPr>
            </w:pPr>
            <w:r>
              <w:rPr>
                <w:rFonts w:hint="eastAsia" w:ascii="宋体" w:hAnsi="宋体" w:eastAsia="宋体" w:cs="宋体"/>
                <w:b/>
                <w:color w:val="auto"/>
                <w:sz w:val="21"/>
                <w:szCs w:val="21"/>
                <w:lang w:val="en-US" w:eastAsia="zh-CN"/>
              </w:rPr>
              <w:t>4、分阶段搬迁：</w:t>
            </w:r>
            <w:r>
              <w:rPr>
                <w:rFonts w:hint="eastAsia" w:ascii="宋体" w:hAnsi="宋体" w:eastAsia="宋体" w:cs="宋体"/>
                <w:b w:val="0"/>
                <w:color w:val="auto"/>
                <w:sz w:val="21"/>
                <w:szCs w:val="21"/>
              </w:rPr>
              <w:t>标注“局解实验室建成后搬迁”的，按采购人通知的时间分阶段完成搬迁。</w:t>
            </w:r>
          </w:p>
        </w:tc>
        <w:tc>
          <w:tcPr>
            <w:tcW w:w="851" w:type="dxa"/>
            <w:vAlign w:val="center"/>
          </w:tcPr>
          <w:p w14:paraId="5571B8D1">
            <w:pPr>
              <w:keepNext w:val="0"/>
              <w:keepLines w:val="0"/>
              <w:pageBreakBefore w:val="0"/>
              <w:widowControl/>
              <w:kinsoku/>
              <w:wordWrap/>
              <w:overflowPunct/>
              <w:topLinePunct w:val="0"/>
              <w:autoSpaceDE/>
              <w:autoSpaceDN/>
              <w:bidi w:val="0"/>
              <w:adjustRightInd/>
              <w:snapToGrid/>
              <w:spacing w:line="336" w:lineRule="auto"/>
              <w:jc w:val="center"/>
              <w:textAlignment w:val="auto"/>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77</w:t>
            </w:r>
          </w:p>
        </w:tc>
        <w:tc>
          <w:tcPr>
            <w:tcW w:w="850" w:type="dxa"/>
            <w:vAlign w:val="center"/>
          </w:tcPr>
          <w:p w14:paraId="71EA4A91">
            <w:pPr>
              <w:keepNext w:val="0"/>
              <w:keepLines w:val="0"/>
              <w:pageBreakBefore w:val="0"/>
              <w:widowControl/>
              <w:kinsoku/>
              <w:wordWrap/>
              <w:overflowPunct/>
              <w:topLinePunct w:val="0"/>
              <w:autoSpaceDE/>
              <w:autoSpaceDN/>
              <w:bidi w:val="0"/>
              <w:adjustRightInd/>
              <w:snapToGrid/>
              <w:spacing w:line="336" w:lineRule="auto"/>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箱</w:t>
            </w:r>
          </w:p>
        </w:tc>
        <w:tc>
          <w:tcPr>
            <w:tcW w:w="1234" w:type="dxa"/>
            <w:vAlign w:val="center"/>
          </w:tcPr>
          <w:p w14:paraId="762534E3">
            <w:pPr>
              <w:keepNext w:val="0"/>
              <w:keepLines w:val="0"/>
              <w:pageBreakBefore w:val="0"/>
              <w:widowControl/>
              <w:kinsoku/>
              <w:wordWrap/>
              <w:overflowPunct/>
              <w:topLinePunct w:val="0"/>
              <w:autoSpaceDE/>
              <w:autoSpaceDN/>
              <w:bidi w:val="0"/>
              <w:adjustRightInd/>
              <w:snapToGrid/>
              <w:spacing w:line="336" w:lineRule="auto"/>
              <w:jc w:val="center"/>
              <w:textAlignment w:val="auto"/>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详见附件清单</w:t>
            </w:r>
          </w:p>
        </w:tc>
      </w:tr>
    </w:tbl>
    <w:p w14:paraId="0E602A3D">
      <w:pPr>
        <w:keepNext w:val="0"/>
        <w:keepLines w:val="0"/>
        <w:pageBreakBefore w:val="0"/>
        <w:widowControl w:val="0"/>
        <w:numPr>
          <w:ilvl w:val="0"/>
          <w:numId w:val="0"/>
        </w:numPr>
        <w:kinsoku/>
        <w:wordWrap/>
        <w:overflowPunct/>
        <w:topLinePunct w:val="0"/>
        <w:autoSpaceDE/>
        <w:autoSpaceDN/>
        <w:bidi w:val="0"/>
        <w:adjustRightInd/>
        <w:snapToGrid w:val="0"/>
        <w:spacing w:line="336" w:lineRule="auto"/>
        <w:ind w:firstLine="422" w:firstLineChars="200"/>
        <w:jc w:val="left"/>
        <w:textAlignment w:val="auto"/>
        <w:rPr>
          <w:rFonts w:hint="eastAsia" w:ascii="宋体" w:hAnsi="宋体" w:eastAsia="宋体" w:cs="宋体"/>
          <w:b/>
          <w:sz w:val="21"/>
          <w:szCs w:val="21"/>
          <w:highlight w:val="none"/>
          <w:lang w:val="en-US" w:eastAsia="zh-CN"/>
        </w:rPr>
      </w:pPr>
      <w:r>
        <w:rPr>
          <w:rFonts w:hint="eastAsia" w:ascii="宋体" w:hAnsi="宋体" w:eastAsia="宋体" w:cs="宋体"/>
          <w:b/>
          <w:bCs/>
          <w:i/>
          <w:iCs/>
          <w:color w:val="FF0000"/>
          <w:sz w:val="21"/>
          <w:szCs w:val="21"/>
          <w:u w:val="single"/>
          <w:lang w:val="en-US" w:eastAsia="zh-CN"/>
        </w:rPr>
        <w:t>标注“★”项为实质性要求，不允许负偏离，如有负偏离则做无效投标处理。须提供承诺函并加盖供应商公章，承诺函格式自拟。</w:t>
      </w:r>
    </w:p>
    <w:p w14:paraId="2D7F356E">
      <w:pPr>
        <w:pStyle w:val="3"/>
        <w:keepNext w:val="0"/>
        <w:keepLines w:val="0"/>
        <w:pageBreakBefore w:val="0"/>
        <w:kinsoku/>
        <w:wordWrap/>
        <w:overflowPunct/>
        <w:topLinePunct w:val="0"/>
        <w:autoSpaceDE/>
        <w:autoSpaceDN/>
        <w:bidi w:val="0"/>
        <w:adjustRightInd/>
        <w:snapToGrid/>
        <w:spacing w:beforeAutospacing="0" w:afterAutospacing="0" w:line="336" w:lineRule="auto"/>
        <w:ind w:firstLine="480"/>
        <w:jc w:val="both"/>
        <w:textAlignment w:val="auto"/>
        <w:rPr>
          <w:rFonts w:hint="eastAsia" w:ascii="宋体" w:hAnsi="宋体" w:eastAsia="宋体" w:cs="宋体"/>
          <w:b/>
          <w:bCs/>
          <w:color w:val="000000"/>
          <w:sz w:val="21"/>
          <w:szCs w:val="21"/>
          <w:lang w:val="en-US" w:eastAsia="zh-CN"/>
        </w:rPr>
      </w:pPr>
      <w:r>
        <w:rPr>
          <w:rFonts w:hint="eastAsia" w:ascii="宋体" w:hAnsi="宋体" w:eastAsia="宋体" w:cs="宋体"/>
          <w:b/>
          <w:bCs/>
          <w:color w:val="000000"/>
          <w:sz w:val="21"/>
          <w:szCs w:val="21"/>
          <w:lang w:val="en-US" w:eastAsia="zh-CN"/>
        </w:rPr>
        <w:t>三、质量和服务要求</w:t>
      </w:r>
    </w:p>
    <w:p w14:paraId="2E0BDBB7">
      <w:pPr>
        <w:pStyle w:val="3"/>
        <w:keepNext w:val="0"/>
        <w:keepLines w:val="0"/>
        <w:pageBreakBefore w:val="0"/>
        <w:kinsoku/>
        <w:wordWrap/>
        <w:overflowPunct/>
        <w:topLinePunct w:val="0"/>
        <w:autoSpaceDE/>
        <w:autoSpaceDN/>
        <w:bidi w:val="0"/>
        <w:adjustRightInd/>
        <w:snapToGrid/>
        <w:spacing w:beforeAutospacing="0" w:afterAutospacing="0" w:line="336" w:lineRule="auto"/>
        <w:ind w:firstLine="48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1、所供服务须符合国家及行业相关规范；所提供包装材料须为合格产品，干净、无污染；搬运过程中须遵守学校实验室管理及安全管理规定，保持环境整洁。</w:t>
      </w:r>
    </w:p>
    <w:p w14:paraId="535FF12F">
      <w:pPr>
        <w:pStyle w:val="3"/>
        <w:keepNext w:val="0"/>
        <w:keepLines w:val="0"/>
        <w:pageBreakBefore w:val="0"/>
        <w:kinsoku/>
        <w:wordWrap/>
        <w:overflowPunct/>
        <w:topLinePunct w:val="0"/>
        <w:autoSpaceDE/>
        <w:autoSpaceDN/>
        <w:bidi w:val="0"/>
        <w:adjustRightInd/>
        <w:snapToGrid/>
        <w:spacing w:beforeAutospacing="0" w:afterAutospacing="0" w:line="336" w:lineRule="auto"/>
        <w:ind w:firstLine="48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2、保险要求：中标人须为所搬迁设备投保货物运输保险，保额与所搬迁设备资产价值相匹配，并为全部作业人员购买人身意外保险；搬迁实施前须向采购人提供投保凭证，保险费用包含在投标总报价中。</w:t>
      </w:r>
    </w:p>
    <w:p w14:paraId="442EA895">
      <w:pPr>
        <w:pStyle w:val="3"/>
        <w:keepNext w:val="0"/>
        <w:keepLines w:val="0"/>
        <w:pageBreakBefore w:val="0"/>
        <w:kinsoku/>
        <w:wordWrap/>
        <w:overflowPunct/>
        <w:topLinePunct w:val="0"/>
        <w:autoSpaceDE/>
        <w:autoSpaceDN/>
        <w:bidi w:val="0"/>
        <w:adjustRightInd/>
        <w:snapToGrid/>
        <w:spacing w:beforeAutospacing="0" w:afterAutospacing="0" w:line="336" w:lineRule="auto"/>
        <w:ind w:firstLine="48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3、服务方式、时间及地点要求：合同签订后 5 天内历天内完成全部拆卸、搬运、安装、调试及验收（分阶段搬迁部分按采购人通知时间执行）；搬迁地点为江苏医药职业学院东校区各实验室至新楼指定房间，详见附件设备总清单。</w:t>
      </w:r>
    </w:p>
    <w:p w14:paraId="726080F7">
      <w:pPr>
        <w:pStyle w:val="3"/>
        <w:keepNext w:val="0"/>
        <w:keepLines w:val="0"/>
        <w:pageBreakBefore w:val="0"/>
        <w:kinsoku/>
        <w:wordWrap/>
        <w:overflowPunct/>
        <w:topLinePunct w:val="0"/>
        <w:autoSpaceDE/>
        <w:autoSpaceDN/>
        <w:bidi w:val="0"/>
        <w:adjustRightInd/>
        <w:snapToGrid/>
        <w:spacing w:beforeAutospacing="0" w:afterAutospacing="0" w:line="336" w:lineRule="auto"/>
        <w:ind w:firstLine="48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4、质保期及服务要求：</w:t>
      </w:r>
    </w:p>
    <w:p w14:paraId="7E7A123A">
      <w:pPr>
        <w:pStyle w:val="3"/>
        <w:keepNext w:val="0"/>
        <w:keepLines w:val="0"/>
        <w:pageBreakBefore w:val="0"/>
        <w:kinsoku/>
        <w:wordWrap/>
        <w:overflowPunct/>
        <w:topLinePunct w:val="0"/>
        <w:autoSpaceDE/>
        <w:autoSpaceDN/>
        <w:bidi w:val="0"/>
        <w:adjustRightInd/>
        <w:snapToGrid/>
        <w:spacing w:beforeAutospacing="0" w:afterAutospacing="0" w:line="336" w:lineRule="auto"/>
        <w:ind w:firstLine="48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（1）安装调试：现场安装、调试完成后，由中标方技术人员配合采购人逐台（套）试机，确认功能恢复正常，并向采购人相关人员演示操作。</w:t>
      </w:r>
    </w:p>
    <w:p w14:paraId="6898F624">
      <w:pPr>
        <w:pStyle w:val="3"/>
        <w:keepNext w:val="0"/>
        <w:keepLines w:val="0"/>
        <w:pageBreakBefore w:val="0"/>
        <w:kinsoku/>
        <w:wordWrap/>
        <w:overflowPunct/>
        <w:topLinePunct w:val="0"/>
        <w:autoSpaceDE/>
        <w:autoSpaceDN/>
        <w:bidi w:val="0"/>
        <w:adjustRightInd/>
        <w:snapToGrid/>
        <w:spacing w:beforeAutospacing="0" w:afterAutospacing="0" w:line="336" w:lineRule="auto"/>
        <w:ind w:firstLine="48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（2）须提供项目负责人及售后服务团队人员名单清单和联系方式。</w:t>
      </w:r>
    </w:p>
    <w:p w14:paraId="04166032">
      <w:pPr>
        <w:pStyle w:val="3"/>
        <w:keepNext w:val="0"/>
        <w:keepLines w:val="0"/>
        <w:pageBreakBefore w:val="0"/>
        <w:kinsoku/>
        <w:wordWrap/>
        <w:overflowPunct/>
        <w:topLinePunct w:val="0"/>
        <w:autoSpaceDE/>
        <w:autoSpaceDN/>
        <w:bidi w:val="0"/>
        <w:adjustRightInd/>
        <w:snapToGrid/>
        <w:spacing w:beforeAutospacing="0" w:afterAutospacing="0" w:line="336" w:lineRule="auto"/>
        <w:ind w:firstLine="48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质保期：提供至少1年的免费质保期，自验收合格之日起计算。在质保期内，若因搬迁、运输、安装调试原因导致设备或系统出现故障、损坏，由中标方免费修复；无法修复的，按资产原值予以赔偿。对于采购方的服务通知，中标方必须在接到通知后4小时内予以响应，若有必要，中标方工程师必须8小时内到达现场，48小时内处理完毕。若在48小时内未能有效解决，中标方须免费提供同档次的设备予采购方临时使用。</w:t>
      </w:r>
    </w:p>
    <w:p w14:paraId="4C0C8C17">
      <w:pPr>
        <w:pStyle w:val="3"/>
        <w:keepNext w:val="0"/>
        <w:keepLines w:val="0"/>
        <w:pageBreakBefore w:val="0"/>
        <w:kinsoku/>
        <w:wordWrap/>
        <w:overflowPunct/>
        <w:topLinePunct w:val="0"/>
        <w:autoSpaceDE/>
        <w:autoSpaceDN/>
        <w:bidi w:val="0"/>
        <w:adjustRightInd/>
        <w:snapToGrid/>
        <w:spacing w:beforeAutospacing="0" w:afterAutospacing="0" w:line="336" w:lineRule="auto"/>
        <w:ind w:firstLine="48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（4）质保期外，服务响应时间与质保期内一致。</w:t>
      </w:r>
    </w:p>
    <w:p w14:paraId="33F19451">
      <w:pPr>
        <w:pStyle w:val="3"/>
        <w:keepNext w:val="0"/>
        <w:keepLines w:val="0"/>
        <w:pageBreakBefore w:val="0"/>
        <w:kinsoku/>
        <w:wordWrap/>
        <w:overflowPunct/>
        <w:topLinePunct w:val="0"/>
        <w:autoSpaceDE/>
        <w:autoSpaceDN/>
        <w:bidi w:val="0"/>
        <w:adjustRightInd/>
        <w:snapToGrid/>
        <w:spacing w:beforeAutospacing="0" w:afterAutospacing="0" w:line="336" w:lineRule="auto"/>
        <w:ind w:firstLine="48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5、验收方法及验收标准：</w:t>
      </w:r>
    </w:p>
    <w:p w14:paraId="5610C693">
      <w:pPr>
        <w:pStyle w:val="3"/>
        <w:keepNext w:val="0"/>
        <w:keepLines w:val="0"/>
        <w:pageBreakBefore w:val="0"/>
        <w:kinsoku/>
        <w:wordWrap/>
        <w:overflowPunct/>
        <w:topLinePunct w:val="0"/>
        <w:autoSpaceDE/>
        <w:autoSpaceDN/>
        <w:bidi w:val="0"/>
        <w:adjustRightInd/>
        <w:snapToGrid/>
        <w:spacing w:beforeAutospacing="0" w:afterAutospacing="0" w:line="336" w:lineRule="auto"/>
        <w:ind w:firstLine="48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搬迁完成后，采购方和中标方按设备清单逐台（件、箱）清点数量、核对就位情况，对照搬迁前双方签字确认的状态记录及照片，对精密仪器、显微互动教学系统、数字人解剖系统等逐台（套）试机验收。验收标准为采购文件、响应文件、合同中的相关技术及服务条款内容。如验收达不到规定要求，采购人有权要求整改或拒绝付款，供应商若违约，采购人将依法追究相应法律责任。</w:t>
      </w:r>
    </w:p>
    <w:p w14:paraId="7BF1970E">
      <w:pPr>
        <w:pStyle w:val="3"/>
        <w:keepNext w:val="0"/>
        <w:keepLines w:val="0"/>
        <w:pageBreakBefore w:val="0"/>
        <w:kinsoku/>
        <w:wordWrap/>
        <w:overflowPunct/>
        <w:topLinePunct w:val="0"/>
        <w:autoSpaceDE/>
        <w:autoSpaceDN/>
        <w:bidi w:val="0"/>
        <w:adjustRightInd/>
        <w:snapToGrid/>
        <w:spacing w:beforeAutospacing="0" w:afterAutospacing="0" w:line="336" w:lineRule="auto"/>
        <w:ind w:firstLine="48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6、其他需要明确的内容：</w:t>
      </w:r>
    </w:p>
    <w:p w14:paraId="4C509E23">
      <w:pPr>
        <w:pStyle w:val="3"/>
        <w:keepNext w:val="0"/>
        <w:keepLines w:val="0"/>
        <w:pageBreakBefore w:val="0"/>
        <w:kinsoku/>
        <w:wordWrap/>
        <w:overflowPunct/>
        <w:topLinePunct w:val="0"/>
        <w:autoSpaceDE/>
        <w:autoSpaceDN/>
        <w:bidi w:val="0"/>
        <w:adjustRightInd/>
        <w:snapToGrid/>
        <w:spacing w:beforeAutospacing="0" w:afterAutospacing="0" w:line="336" w:lineRule="auto"/>
        <w:ind w:firstLine="48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（1）中标人对搬迁过程中的安全生产负全部责任，因搬迁造成的人员伤亡、财产损失及建筑设施损坏，由中标人承担赔偿责任；</w:t>
      </w:r>
    </w:p>
    <w:p w14:paraId="3EDB930C">
      <w:pPr>
        <w:pStyle w:val="3"/>
        <w:keepNext w:val="0"/>
        <w:keepLines w:val="0"/>
        <w:pageBreakBefore w:val="0"/>
        <w:kinsoku/>
        <w:wordWrap/>
        <w:overflowPunct/>
        <w:topLinePunct w:val="0"/>
        <w:autoSpaceDE/>
        <w:autoSpaceDN/>
        <w:bidi w:val="0"/>
        <w:adjustRightInd/>
        <w:snapToGrid/>
        <w:spacing w:beforeAutospacing="0" w:afterAutospacing="0" w:line="336" w:lineRule="auto"/>
        <w:ind w:firstLine="48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（2）涉及教学标本、软件及数据的，中标人须履行保密义务，不得拍照、复制、外传；</w:t>
      </w:r>
    </w:p>
    <w:p w14:paraId="1C4906BD">
      <w:pPr>
        <w:pStyle w:val="3"/>
        <w:keepNext w:val="0"/>
        <w:keepLines w:val="0"/>
        <w:pageBreakBefore w:val="0"/>
        <w:kinsoku/>
        <w:wordWrap/>
        <w:overflowPunct/>
        <w:topLinePunct w:val="0"/>
        <w:autoSpaceDE/>
        <w:autoSpaceDN/>
        <w:bidi w:val="0"/>
        <w:adjustRightInd/>
        <w:snapToGrid/>
        <w:spacing w:beforeAutospacing="0" w:afterAutospacing="0" w:line="336" w:lineRule="auto"/>
        <w:ind w:firstLine="48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（3）搬迁作业如需在夜间或节假日进行的，须提前与采购人协商，不得影响学校正常教学秩序；</w:t>
      </w:r>
    </w:p>
    <w:p w14:paraId="50B25F69">
      <w:pPr>
        <w:pStyle w:val="3"/>
        <w:keepNext w:val="0"/>
        <w:keepLines w:val="0"/>
        <w:pageBreakBefore w:val="0"/>
        <w:kinsoku/>
        <w:wordWrap/>
        <w:overflowPunct/>
        <w:topLinePunct w:val="0"/>
        <w:autoSpaceDE/>
        <w:autoSpaceDN/>
        <w:bidi w:val="0"/>
        <w:adjustRightInd/>
        <w:snapToGrid/>
        <w:spacing w:beforeAutospacing="0" w:afterAutospacing="0" w:line="336" w:lineRule="auto"/>
        <w:ind w:firstLine="480"/>
        <w:jc w:val="both"/>
        <w:textAlignment w:val="auto"/>
        <w:rPr>
          <w:rFonts w:hint="eastAsia" w:ascii="宋体" w:hAnsi="宋体" w:eastAsia="宋体" w:cs="宋体"/>
          <w:color w:val="000000"/>
          <w:sz w:val="21"/>
          <w:szCs w:val="21"/>
          <w:lang w:val="en-US" w:eastAsia="zh-CN"/>
        </w:rPr>
      </w:pPr>
      <w:r>
        <w:rPr>
          <w:rFonts w:hint="eastAsia" w:ascii="宋体" w:hAnsi="宋体" w:eastAsia="宋体" w:cs="宋体"/>
          <w:color w:val="000000"/>
          <w:sz w:val="21"/>
          <w:szCs w:val="21"/>
          <w:lang w:val="en-US" w:eastAsia="zh-CN"/>
        </w:rPr>
        <w:t>（4）中标人须针对火灾、化学品泄漏、交通事故等情形制定突发事件应急处置机制方案，搬迁期间确保不发生安全事故。</w:t>
      </w:r>
    </w:p>
    <w:p w14:paraId="3F9FFA55">
      <w:pPr>
        <w:keepNext w:val="0"/>
        <w:keepLines w:val="0"/>
        <w:pageBreakBefore w:val="0"/>
        <w:widowControl w:val="0"/>
        <w:kinsoku/>
        <w:wordWrap/>
        <w:overflowPunct/>
        <w:topLinePunct w:val="0"/>
        <w:autoSpaceDE/>
        <w:autoSpaceDN/>
        <w:bidi w:val="0"/>
        <w:adjustRightInd/>
        <w:snapToGrid/>
        <w:spacing w:line="336" w:lineRule="auto"/>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四、踏勘要求</w:t>
      </w:r>
    </w:p>
    <w:p w14:paraId="1429D65D">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宋体" w:hAnsi="宋体" w:eastAsia="宋体" w:cs="宋体"/>
          <w:b/>
          <w:bCs/>
          <w:color w:val="auto"/>
          <w:sz w:val="21"/>
          <w:szCs w:val="21"/>
          <w:lang w:val="en-US" w:eastAsia="zh-CN"/>
        </w:rPr>
      </w:pPr>
      <w:r>
        <w:rPr>
          <w:rFonts w:hint="eastAsia" w:ascii="宋体" w:hAnsi="宋体" w:eastAsia="宋体" w:cs="宋体"/>
          <w:color w:val="auto"/>
          <w:sz w:val="21"/>
          <w:szCs w:val="21"/>
          <w:lang w:val="en-US" w:eastAsia="zh-CN"/>
        </w:rPr>
        <w:t>现场踏勘及技术咨询：为减少相关误差，如供应商需要进行现场踏勘的，请自行联系、组织实施。</w:t>
      </w:r>
      <w:r>
        <w:rPr>
          <w:rFonts w:hint="eastAsia" w:ascii="宋体" w:hAnsi="宋体" w:eastAsia="宋体" w:cs="宋体"/>
          <w:b w:val="0"/>
          <w:bCs w:val="0"/>
          <w:color w:val="auto"/>
          <w:sz w:val="21"/>
          <w:szCs w:val="21"/>
          <w:lang w:val="en-US" w:eastAsia="zh-CN"/>
        </w:rPr>
        <w:t>供应商</w:t>
      </w:r>
      <w:r>
        <w:rPr>
          <w:rFonts w:hint="eastAsia" w:ascii="宋体" w:hAnsi="宋体" w:eastAsia="宋体" w:cs="宋体"/>
          <w:color w:val="auto"/>
          <w:sz w:val="21"/>
          <w:szCs w:val="21"/>
          <w:lang w:val="en-US" w:eastAsia="zh-CN"/>
        </w:rPr>
        <w:t>对考察中获取的现场资料自行负责，无论是否踏勘过现场，均被认为已经对现场做过充分详实了解，并在响应文件中已充分考虑了现场和环境因素，责任和风险自行承担。踏勘现场所发生的费用由</w:t>
      </w:r>
      <w:r>
        <w:rPr>
          <w:rFonts w:hint="eastAsia" w:ascii="宋体" w:hAnsi="宋体" w:eastAsia="宋体" w:cs="宋体"/>
          <w:b w:val="0"/>
          <w:bCs w:val="0"/>
          <w:color w:val="auto"/>
          <w:sz w:val="21"/>
          <w:szCs w:val="21"/>
          <w:lang w:val="en-US" w:eastAsia="zh-CN"/>
        </w:rPr>
        <w:t>供应商</w:t>
      </w:r>
      <w:r>
        <w:rPr>
          <w:rFonts w:hint="eastAsia" w:ascii="宋体" w:hAnsi="宋体" w:eastAsia="宋体" w:cs="宋体"/>
          <w:color w:val="auto"/>
          <w:sz w:val="21"/>
          <w:szCs w:val="21"/>
          <w:lang w:val="en-US" w:eastAsia="zh-CN"/>
        </w:rPr>
        <w:t>自行承担，</w:t>
      </w:r>
      <w:r>
        <w:rPr>
          <w:rFonts w:hint="eastAsia" w:ascii="宋体" w:hAnsi="宋体" w:eastAsia="宋体" w:cs="宋体"/>
          <w:b w:val="0"/>
          <w:bCs w:val="0"/>
          <w:color w:val="auto"/>
          <w:sz w:val="21"/>
          <w:szCs w:val="21"/>
          <w:lang w:val="en-US" w:eastAsia="zh-CN"/>
        </w:rPr>
        <w:t>供应商</w:t>
      </w:r>
      <w:r>
        <w:rPr>
          <w:rFonts w:hint="eastAsia" w:ascii="宋体" w:hAnsi="宋体" w:eastAsia="宋体" w:cs="宋体"/>
          <w:color w:val="auto"/>
          <w:sz w:val="21"/>
          <w:szCs w:val="21"/>
          <w:lang w:val="en-US" w:eastAsia="zh-CN"/>
        </w:rPr>
        <w:t>自行负责在踏勘现场中所发生的人员伤亡和财产损失。技术咨询及现场踏勘联系人：陈老师，联系方式：13851061163。</w:t>
      </w:r>
    </w:p>
    <w:p w14:paraId="5A8C5A77">
      <w:pPr>
        <w:keepNext w:val="0"/>
        <w:keepLines w:val="0"/>
        <w:pageBreakBefore w:val="0"/>
        <w:widowControl w:val="0"/>
        <w:numPr>
          <w:ilvl w:val="0"/>
          <w:numId w:val="0"/>
        </w:numPr>
        <w:kinsoku/>
        <w:wordWrap/>
        <w:overflowPunct/>
        <w:topLinePunct w:val="0"/>
        <w:autoSpaceDE/>
        <w:autoSpaceDN/>
        <w:bidi w:val="0"/>
        <w:adjustRightInd/>
        <w:snapToGrid w:val="0"/>
        <w:spacing w:line="336" w:lineRule="auto"/>
        <w:ind w:firstLine="422" w:firstLineChars="200"/>
        <w:jc w:val="left"/>
        <w:textAlignment w:val="auto"/>
        <w:rPr>
          <w:rFonts w:hint="eastAsia" w:ascii="宋体" w:hAnsi="宋体" w:eastAsia="宋体" w:cs="宋体"/>
          <w:b/>
          <w:bCs/>
          <w:color w:val="000000"/>
          <w:sz w:val="21"/>
          <w:szCs w:val="21"/>
          <w:lang w:val="en-US" w:eastAsia="zh-CN"/>
        </w:rPr>
      </w:pPr>
      <w:r>
        <w:rPr>
          <w:rFonts w:hint="eastAsia" w:ascii="宋体" w:hAnsi="宋体" w:eastAsia="宋体" w:cs="宋体"/>
          <w:b/>
          <w:bCs/>
          <w:color w:val="000000"/>
          <w:sz w:val="21"/>
          <w:szCs w:val="21"/>
          <w:lang w:val="en-US" w:eastAsia="zh-CN"/>
        </w:rPr>
        <w:t>五、报价要求</w:t>
      </w:r>
    </w:p>
    <w:p w14:paraId="230B26C5">
      <w:pPr>
        <w:keepNext w:val="0"/>
        <w:keepLines w:val="0"/>
        <w:pageBreakBefore w:val="0"/>
        <w:widowControl w:val="0"/>
        <w:numPr>
          <w:ilvl w:val="0"/>
          <w:numId w:val="0"/>
        </w:numPr>
        <w:kinsoku/>
        <w:wordWrap/>
        <w:overflowPunct/>
        <w:topLinePunct w:val="0"/>
        <w:autoSpaceDE/>
        <w:autoSpaceDN/>
        <w:bidi w:val="0"/>
        <w:adjustRightInd/>
        <w:snapToGrid w:val="0"/>
        <w:spacing w:line="336" w:lineRule="auto"/>
        <w:ind w:firstLine="420" w:firstLineChars="200"/>
        <w:jc w:val="left"/>
        <w:textAlignment w:val="auto"/>
        <w:rPr>
          <w:rFonts w:hint="eastAsia" w:ascii="宋体" w:hAnsi="宋体" w:eastAsia="宋体" w:cs="宋体"/>
          <w:color w:val="000000"/>
          <w:sz w:val="21"/>
          <w:szCs w:val="21"/>
          <w:lang w:val="en-US" w:eastAsia="zh-CN"/>
        </w:rPr>
      </w:pPr>
      <w:r>
        <w:rPr>
          <w:rFonts w:hint="eastAsia" w:ascii="宋体" w:hAnsi="宋体" w:eastAsia="宋体" w:cs="宋体"/>
          <w:i/>
          <w:iCs/>
          <w:color w:val="000000"/>
          <w:sz w:val="21"/>
          <w:szCs w:val="21"/>
          <w:u w:val="single"/>
          <w:lang w:val="en-US" w:eastAsia="zh-CN"/>
        </w:rPr>
        <w:t>1、最高限价：22万元，报价超过最高限价的为无效报价，按照无效投标处理。</w:t>
      </w:r>
    </w:p>
    <w:p w14:paraId="46F7625C">
      <w:pPr>
        <w:keepNext w:val="0"/>
        <w:keepLines w:val="0"/>
        <w:pageBreakBefore w:val="0"/>
        <w:widowControl w:val="0"/>
        <w:kinsoku/>
        <w:wordWrap/>
        <w:overflowPunct/>
        <w:topLinePunct w:val="0"/>
        <w:autoSpaceDE/>
        <w:autoSpaceDN/>
        <w:bidi w:val="0"/>
        <w:adjustRightInd/>
        <w:snapToGrid/>
        <w:spacing w:line="336" w:lineRule="auto"/>
        <w:ind w:firstLine="420" w:firstLineChars="200"/>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2、供应商报价需包含</w:t>
      </w:r>
      <w:r>
        <w:rPr>
          <w:rFonts w:hint="eastAsia" w:ascii="宋体" w:hAnsi="宋体" w:eastAsia="宋体" w:cs="宋体"/>
          <w:color w:val="auto"/>
          <w:sz w:val="21"/>
          <w:szCs w:val="21"/>
          <w:lang w:val="en-US" w:eastAsia="zh-CN"/>
        </w:rPr>
        <w:t>为完成本项目采购需求中的全部内容，主要包括（但不限于）：人员搬运费用、交通运输费用、运输保险费用、包装耗材费用、现场装卸、售后服务与维保及相关劳务支出等工作中所发生的全部费用以及投标人企业利润、税金和政策性文件规定及合同包含的所有风险、责任等各项应有费用。采购人不再另行支付任何费用。</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0781BD"/>
    <w:multiLevelType w:val="singleLevel"/>
    <w:tmpl w:val="560781B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8D8068E"/>
    <w:rsid w:val="18D806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iPriority="99"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hint="default" w:asciiTheme="minorHAnsi" w:hAnsiTheme="minorHAnsi" w:eastAsiaTheme="minorEastAsia" w:cstheme="minorBidi"/>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index 9"/>
    <w:basedOn w:val="1"/>
    <w:next w:val="1"/>
    <w:unhideWhenUsed/>
    <w:qFormat/>
    <w:uiPriority w:val="99"/>
    <w:pPr>
      <w:ind w:left="1600" w:leftChars="1600"/>
    </w:pPr>
  </w:style>
  <w:style w:type="paragraph" w:styleId="3">
    <w:name w:val="Normal (Web)"/>
    <w:basedOn w:val="1"/>
    <w:qFormat/>
    <w:uiPriority w:val="0"/>
    <w:pPr>
      <w:spacing w:beforeAutospacing="1" w:afterAutospacing="1"/>
      <w:jc w:val="left"/>
    </w:pPr>
    <w:rPr>
      <w:rFonts w:cs="Times New Roman"/>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2026-10-29T02:43:00Z</dcterms:created>
  <dc:creator>李想</dc:creator>
  <cp:lastModifiedBy>李想</cp:lastModifiedBy>
  <dcterms:modified xsi:type="dcterms:W3CDTF">2026-10-29T02:48:33Z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451C732DCF1145D78BC2C76692F58D0F_11</vt:lpwstr>
  </property>
  <property fmtid="{D5CDD505-2E9C-101B-9397-08002B2CF9AE}" pid="4" name="KSOTemplateDocerSaveRecord">
    <vt:lpwstr>eyJoZGlkIjoiZjlmZTM0ZGMxZDQ4NTg1YTBhZDhhZGQxYWIwMmZkMGUiLCJ1c2VySWQiOiIxMTc3MDM5MTI1In0=</vt:lpwstr>
  </property>
</Properties>
</file>