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84CF5">
      <w:pPr>
        <w:widowControl/>
        <w:jc w:val="center"/>
        <w:rPr>
          <w:rFonts w:hint="eastAsia" w:ascii="方正小标宋_GBK" w:hAnsi="方正小标宋_GBK" w:eastAsia="方正小标宋_GBK" w:cs="方正小标宋_GBK"/>
          <w:color w:val="auto"/>
          <w:sz w:val="44"/>
          <w:szCs w:val="44"/>
        </w:rPr>
      </w:pPr>
      <w:bookmarkStart w:id="0" w:name="OLE_LINK19"/>
      <w:r>
        <w:rPr>
          <w:rFonts w:hint="eastAsia" w:ascii="方正小标宋_GBK" w:hAnsi="方正小标宋_GBK" w:eastAsia="方正小标宋_GBK" w:cs="方正小标宋_GBK"/>
          <w:color w:val="auto"/>
          <w:sz w:val="44"/>
          <w:szCs w:val="44"/>
        </w:rPr>
        <w:t>项目需求</w:t>
      </w:r>
    </w:p>
    <w:p w14:paraId="5D9D11F1">
      <w:pPr>
        <w:spacing w:line="500" w:lineRule="exact"/>
        <w:ind w:firstLine="482" w:firstLineChars="200"/>
        <w:jc w:val="left"/>
        <w:outlineLvl w:val="0"/>
        <w:rPr>
          <w:rFonts w:hint="eastAsia" w:ascii="宋体" w:hAnsi="宋体" w:cs="宋体"/>
          <w:b/>
          <w:bCs/>
          <w:color w:val="auto"/>
          <w:sz w:val="24"/>
          <w:szCs w:val="40"/>
          <w14:ligatures w14:val="standardContextual"/>
        </w:rPr>
      </w:pPr>
      <w:r>
        <w:rPr>
          <w:rFonts w:hint="eastAsia" w:ascii="宋体" w:hAnsi="宋体" w:cs="宋体"/>
          <w:b/>
          <w:bCs/>
          <w:color w:val="auto"/>
          <w:sz w:val="24"/>
          <w:szCs w:val="40"/>
          <w14:ligatures w14:val="standardContextual"/>
        </w:rPr>
        <w:t>一、本项目位于江苏医药职业学院西园东园艺术中心。</w:t>
      </w:r>
    </w:p>
    <w:p w14:paraId="6DC63A91">
      <w:pPr>
        <w:spacing w:line="500" w:lineRule="exact"/>
        <w:ind w:firstLine="480" w:firstLineChars="200"/>
        <w:jc w:val="left"/>
        <w:outlineLvl w:val="0"/>
        <w:rPr>
          <w:rFonts w:hint="eastAsia" w:ascii="宋体" w:hAnsi="宋体" w:cs="宋体"/>
          <w:color w:val="auto"/>
          <w:sz w:val="24"/>
          <w:szCs w:val="40"/>
          <w14:ligatures w14:val="standardContextual"/>
        </w:rPr>
      </w:pPr>
      <w:r>
        <w:rPr>
          <w:rFonts w:hint="eastAsia" w:ascii="宋体" w:hAnsi="宋体" w:cs="宋体"/>
          <w:color w:val="auto"/>
          <w:sz w:val="24"/>
          <w:szCs w:val="40"/>
          <w14:ligatures w14:val="standardContextual"/>
        </w:rPr>
        <w:t>本工程须严格遵守《建设工程安全生产管理条例》《中华人民共和国安全生产法》《中华人民共和国建筑法》《中华人民共和国消防法》《特种设备安全法》《安全生产许可证条例》《生产安全事故报告和调查处理条例》《工伤保险条例》《特种设备安全监察条例》等国家现行相关法律法规，规范开展安全文明施工。</w:t>
      </w:r>
    </w:p>
    <w:p w14:paraId="68C1BBB8">
      <w:pPr>
        <w:spacing w:line="500" w:lineRule="exact"/>
        <w:ind w:firstLine="480" w:firstLineChars="200"/>
        <w:jc w:val="left"/>
        <w:outlineLvl w:val="0"/>
        <w:rPr>
          <w:rFonts w:hint="eastAsia" w:ascii="宋体" w:hAnsi="宋体" w:cs="宋体"/>
          <w:color w:val="auto"/>
          <w:sz w:val="24"/>
          <w:szCs w:val="40"/>
          <w14:ligatures w14:val="standardContextual"/>
        </w:rPr>
      </w:pPr>
      <w:r>
        <w:rPr>
          <w:rFonts w:hint="eastAsia" w:ascii="宋体" w:hAnsi="宋体" w:cs="宋体"/>
          <w:color w:val="auto"/>
          <w:sz w:val="24"/>
          <w:szCs w:val="40"/>
          <w14:ligatures w14:val="standardContextual"/>
        </w:rPr>
        <w:t>二、基本改造方案：</w:t>
      </w:r>
    </w:p>
    <w:p w14:paraId="6B4B632C">
      <w:pPr>
        <w:spacing w:line="500" w:lineRule="exact"/>
        <w:ind w:firstLine="480" w:firstLineChars="200"/>
        <w:jc w:val="left"/>
        <w:outlineLvl w:val="0"/>
        <w:rPr>
          <w:rFonts w:hint="eastAsia" w:ascii="宋体" w:hAnsi="宋体" w:cs="宋体"/>
          <w:color w:val="auto"/>
          <w:sz w:val="24"/>
          <w:szCs w:val="40"/>
          <w14:ligatures w14:val="standardContextual"/>
        </w:rPr>
      </w:pPr>
      <w:r>
        <w:rPr>
          <w:rFonts w:hint="eastAsia" w:ascii="宋体" w:hAnsi="宋体" w:cs="宋体"/>
          <w:color w:val="auto"/>
          <w:sz w:val="24"/>
          <w:szCs w:val="40"/>
          <w14:ligatures w14:val="standardContextual"/>
        </w:rPr>
        <w:t>1、对天沟进行改造（304不锈钢板天沟改造），采用虹吸排水，增加溢水口，提高排水效率。</w:t>
      </w:r>
    </w:p>
    <w:p w14:paraId="46288D50">
      <w:pPr>
        <w:spacing w:line="500" w:lineRule="exact"/>
        <w:ind w:firstLine="480" w:firstLineChars="200"/>
        <w:jc w:val="left"/>
        <w:outlineLvl w:val="0"/>
        <w:rPr>
          <w:rFonts w:hint="eastAsia" w:ascii="宋体" w:hAnsi="宋体" w:cs="宋体"/>
          <w:color w:val="auto"/>
          <w:sz w:val="24"/>
          <w:szCs w:val="40"/>
          <w14:ligatures w14:val="standardContextual"/>
        </w:rPr>
      </w:pPr>
      <w:r>
        <w:rPr>
          <w:rFonts w:hint="eastAsia" w:ascii="宋体" w:hAnsi="宋体" w:cs="宋体"/>
          <w:color w:val="auto"/>
          <w:sz w:val="24"/>
          <w:szCs w:val="40"/>
          <w14:ligatures w14:val="standardContextual"/>
        </w:rPr>
        <w:t>2、原屋面彩钢板局部锈蚀严重的区域拆除更换（约160平方，最终按实结算），局部区域防腐翻新、渗漏部位铺贴防水卷材。</w:t>
      </w:r>
    </w:p>
    <w:p w14:paraId="1CC2197F">
      <w:pPr>
        <w:spacing w:line="500" w:lineRule="exact"/>
        <w:ind w:firstLine="480" w:firstLineChars="200"/>
        <w:jc w:val="left"/>
        <w:outlineLvl w:val="0"/>
        <w:rPr>
          <w:rFonts w:hint="eastAsia" w:ascii="宋体" w:hAnsi="宋体" w:cs="宋体"/>
          <w:color w:val="auto"/>
          <w:sz w:val="24"/>
          <w:szCs w:val="40"/>
          <w14:ligatures w14:val="standardContextual"/>
        </w:rPr>
      </w:pPr>
      <w:r>
        <w:rPr>
          <w:rFonts w:hint="eastAsia" w:ascii="宋体" w:hAnsi="宋体" w:cs="宋体"/>
          <w:color w:val="auto"/>
          <w:sz w:val="24"/>
          <w:szCs w:val="40"/>
          <w14:ligatures w14:val="standardContextual"/>
        </w:rPr>
        <w:t>3、舞台上方平屋面、二层与艺术中心墙面连通的平屋面（约2465平方），原屋面细石保护层表面清理干净、修补平整后加铺防水卷材。</w:t>
      </w:r>
    </w:p>
    <w:p w14:paraId="5D58D209">
      <w:pPr>
        <w:spacing w:line="500" w:lineRule="exact"/>
        <w:ind w:firstLine="480" w:firstLineChars="200"/>
        <w:jc w:val="left"/>
        <w:outlineLvl w:val="0"/>
        <w:rPr>
          <w:rFonts w:hint="eastAsia" w:ascii="宋体" w:hAnsi="宋体" w:cs="宋体"/>
          <w:color w:val="auto"/>
          <w:sz w:val="24"/>
          <w:szCs w:val="40"/>
          <w14:ligatures w14:val="standardContextual"/>
        </w:rPr>
      </w:pPr>
      <w:r>
        <w:rPr>
          <w:rFonts w:hint="eastAsia" w:ascii="宋体" w:hAnsi="宋体" w:cs="宋体"/>
          <w:color w:val="auto"/>
          <w:sz w:val="24"/>
          <w:szCs w:val="40"/>
          <w14:ligatures w14:val="standardContextual"/>
        </w:rPr>
        <w:t>4、室内吊顶损坏的修复，并涂料出新（约1300平方）。</w:t>
      </w:r>
    </w:p>
    <w:p w14:paraId="337E8640">
      <w:pPr>
        <w:spacing w:line="500" w:lineRule="exact"/>
        <w:ind w:firstLine="480" w:firstLineChars="200"/>
        <w:jc w:val="left"/>
        <w:outlineLvl w:val="0"/>
        <w:rPr>
          <w:rFonts w:hint="eastAsia" w:ascii="宋体" w:hAnsi="宋体" w:cs="宋体"/>
          <w:color w:val="auto"/>
          <w:sz w:val="24"/>
          <w:szCs w:val="40"/>
          <w14:ligatures w14:val="standardContextual"/>
        </w:rPr>
      </w:pPr>
      <w:r>
        <w:rPr>
          <w:rFonts w:hint="eastAsia" w:ascii="宋体" w:hAnsi="宋体" w:cs="宋体"/>
          <w:color w:val="auto"/>
          <w:sz w:val="24"/>
          <w:szCs w:val="40"/>
          <w14:ligatures w14:val="standardContextual"/>
        </w:rPr>
        <w:t>具体工艺要求见图纸和清单要求。</w:t>
      </w:r>
    </w:p>
    <w:p w14:paraId="17F11D12">
      <w:pPr>
        <w:spacing w:line="500" w:lineRule="exact"/>
        <w:ind w:firstLine="480" w:firstLineChars="200"/>
        <w:jc w:val="left"/>
        <w:outlineLvl w:val="0"/>
        <w:rPr>
          <w:rFonts w:hint="eastAsia" w:ascii="宋体" w:hAnsi="宋体" w:cs="宋体"/>
          <w:color w:val="auto"/>
          <w:sz w:val="24"/>
          <w:szCs w:val="40"/>
          <w14:ligatures w14:val="standardContextual"/>
        </w:rPr>
      </w:pPr>
      <w:r>
        <w:rPr>
          <w:rFonts w:hint="eastAsia" w:ascii="宋体" w:hAnsi="宋体" w:cs="宋体"/>
          <w:color w:val="auto"/>
          <w:sz w:val="24"/>
          <w:szCs w:val="40"/>
          <w14:ligatures w14:val="standardContextual"/>
        </w:rPr>
        <w:t>三、图纸中虹吸排水方案仅为参考方案，待施工单位确定后由其委托有资质的公司进行二次深化设计，深化设计图纸需经设计单位和监理单位审核通过后方可实施，且该部分费用不得超过投标文件中该部分总费用，最终按实结算，由审计公司确认。</w:t>
      </w:r>
    </w:p>
    <w:p w14:paraId="17F4EA86">
      <w:pPr>
        <w:spacing w:line="500" w:lineRule="exact"/>
        <w:ind w:firstLine="480" w:firstLineChars="200"/>
        <w:jc w:val="left"/>
        <w:outlineLvl w:val="0"/>
        <w:rPr>
          <w:rFonts w:hint="eastAsia" w:ascii="宋体" w:hAnsi="宋体" w:cs="宋体"/>
          <w:color w:val="auto"/>
          <w:sz w:val="24"/>
          <w:szCs w:val="40"/>
          <w14:ligatures w14:val="standardContextual"/>
        </w:rPr>
      </w:pPr>
      <w:r>
        <w:rPr>
          <w:rFonts w:hint="eastAsia" w:ascii="宋体" w:hAnsi="宋体" w:cs="宋体"/>
          <w:color w:val="auto"/>
          <w:sz w:val="24"/>
          <w:szCs w:val="40"/>
          <w14:ligatures w14:val="standardContextual"/>
        </w:rPr>
        <w:t>项目施工过程中的主要材料检测及竣工后环境质量检测等检测服务费用（如有）由施工单位承担（检测项目由校方核定，数量参照国家有关标准）。</w:t>
      </w:r>
    </w:p>
    <w:p w14:paraId="29D5C5E3">
      <w:pPr>
        <w:widowControl/>
        <w:spacing w:line="500" w:lineRule="exact"/>
        <w:ind w:firstLine="482"/>
        <w:outlineLvl w:val="1"/>
        <w:rPr>
          <w:rFonts w:hint="eastAsia" w:ascii="宋体" w:hAnsi="宋体" w:cs="宋体"/>
          <w:b/>
          <w:color w:val="auto"/>
          <w:kern w:val="0"/>
          <w:sz w:val="24"/>
          <w:szCs w:val="24"/>
        </w:rPr>
      </w:pPr>
      <w:r>
        <w:rPr>
          <w:rFonts w:hint="eastAsia" w:ascii="宋体" w:hAnsi="宋体" w:cs="宋体"/>
          <w:b/>
          <w:color w:val="auto"/>
          <w:kern w:val="0"/>
          <w:sz w:val="24"/>
          <w:szCs w:val="24"/>
        </w:rPr>
        <w:t>四</w:t>
      </w:r>
      <w:r>
        <w:rPr>
          <w:rFonts w:ascii="宋体" w:hAnsi="宋体" w:cs="宋体"/>
          <w:b/>
          <w:color w:val="auto"/>
          <w:kern w:val="0"/>
          <w:sz w:val="24"/>
          <w:szCs w:val="24"/>
        </w:rPr>
        <w:t>、踏勘现场</w:t>
      </w:r>
    </w:p>
    <w:p w14:paraId="09155994">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1.各</w:t>
      </w:r>
      <w:r>
        <w:rPr>
          <w:rFonts w:hint="eastAsia" w:ascii="宋体" w:hAnsi="宋体" w:cs="宋体"/>
          <w:color w:val="auto"/>
          <w:kern w:val="0"/>
          <w:sz w:val="24"/>
          <w:szCs w:val="24"/>
        </w:rPr>
        <w:t>投标人</w:t>
      </w:r>
      <w:r>
        <w:rPr>
          <w:rFonts w:ascii="宋体" w:hAnsi="宋体" w:cs="宋体"/>
          <w:color w:val="auto"/>
          <w:kern w:val="0"/>
          <w:sz w:val="24"/>
          <w:szCs w:val="24"/>
        </w:rPr>
        <w:t>应在递交响应文件截止日前至工程实施现场进行现场踏勘，如因未踏勘现场造成的一切后果自负。</w:t>
      </w:r>
    </w:p>
    <w:p w14:paraId="131A3A84">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2.投标人踏勘现场发生的费用自理，自行承担在踏勘现场中所发生的人员伤亡和财产损失。</w:t>
      </w:r>
    </w:p>
    <w:p w14:paraId="704392D2">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3.投标人到工程实施现场进行踏勘时，应当充分了解工地位置、情况、道路、储存空间、装卸限制及任何其它足以影响报价的情况，并根据现场的实际情况将本工程可预见的相关费用（包括地方矛盾）自行考虑到投标报价中，投标人中标后可预见的相关费用包干使用。任何因忽视或误解工地情况而导致的索赔或工期延长申请将不被批准。因投标人未踏勘现场所引起的一切后果由投标人自负。</w:t>
      </w:r>
    </w:p>
    <w:p w14:paraId="6B647D52">
      <w:pPr>
        <w:widowControl/>
        <w:spacing w:line="500" w:lineRule="exact"/>
        <w:ind w:firstLine="482"/>
        <w:outlineLvl w:val="1"/>
        <w:rPr>
          <w:rFonts w:hint="eastAsia" w:ascii="宋体" w:hAnsi="宋体" w:cs="宋体"/>
          <w:b/>
          <w:color w:val="auto"/>
          <w:kern w:val="0"/>
          <w:sz w:val="24"/>
          <w:szCs w:val="24"/>
        </w:rPr>
      </w:pPr>
      <w:bookmarkStart w:id="1" w:name="_Toc195778617"/>
      <w:r>
        <w:rPr>
          <w:rFonts w:hint="eastAsia" w:ascii="宋体" w:hAnsi="宋体" w:cs="宋体"/>
          <w:b/>
          <w:color w:val="auto"/>
          <w:kern w:val="0"/>
          <w:sz w:val="24"/>
          <w:szCs w:val="24"/>
        </w:rPr>
        <w:t>五</w:t>
      </w:r>
      <w:r>
        <w:rPr>
          <w:rFonts w:ascii="宋体" w:hAnsi="宋体" w:cs="宋体"/>
          <w:b/>
          <w:color w:val="auto"/>
          <w:kern w:val="0"/>
          <w:sz w:val="24"/>
          <w:szCs w:val="24"/>
        </w:rPr>
        <w:t>、投标报价要求</w:t>
      </w:r>
    </w:p>
    <w:p w14:paraId="09289686">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1. 投标人应按招标人提供的“招标工程量清单”的要求填写价格清单。</w:t>
      </w:r>
    </w:p>
    <w:p w14:paraId="75233D29">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2. 投标人应充分了解完成本工程所必须的附属工程、临时工程、直接和间接成本、利润、税金、风险费、材料损耗、劳务、垃圾清运、成品保护以及各种管线、建筑物、构筑物的加固围护、施工场地的位置、周边环境、道路、装卸、保管、安装限制以及影响投标报价的其他要素。投标人根据投标施工组织设计，结合市场情况进行投标报价。</w:t>
      </w:r>
    </w:p>
    <w:p w14:paraId="63EE4DB8">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3. 投标人需自行勘察现场，结合招标人的施工工艺要求，以及现场施工难度，进行投标报价，投标报价需包含按照招标人工艺要求进行施工的所有费用。</w:t>
      </w:r>
    </w:p>
    <w:p w14:paraId="4828878D">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4. 投标人须考虑现场情况，部分材料可能须要人工二次倒运，投标人须将此费用考虑在投标综合报价中。</w:t>
      </w:r>
    </w:p>
    <w:p w14:paraId="55E501CA">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5. 投标人应充分考虑验收前所有可能产生的费用，招标人向投标人提供的有关现场的数据和资料，是招标人现有的能够被投标人利用的资料，招标人对投标人做出的任何推论、理解和结论均不负责任。</w:t>
      </w:r>
    </w:p>
    <w:p w14:paraId="4D828CDB">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6. 成品保护按相关要求执行，工程施工不得随意破坏已完工的项目，如破坏需及时按原状修复，否则由招标人另行安排施工单位修复，费用由招标人安排的施工单位报价，在中标人结算总价中按2倍的价格扣减。</w:t>
      </w:r>
    </w:p>
    <w:p w14:paraId="24628BAC">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7.工程施工过程中须服从招标人的管理，不得对周围的各种活动造成影响，不得对环境产生污染，施工过程中产生的垃圾清理必须每天及时清运出现场，不得对周边造成污染，在施工过程中必须严格控制施工噪音，如因上述原因由此所产生的全部费用或者被行政处罚所产生的费用均由投标人承担。</w:t>
      </w:r>
    </w:p>
    <w:p w14:paraId="7394FE5A">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8.工程必须确保安全，投标人自行承担工程施工过程中的工程质量、任何状况下的安全责任。</w:t>
      </w:r>
    </w:p>
    <w:p w14:paraId="35EEBDBB">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9.本工程施工过程中遇到的地方矛盾、与其他施工单位的矛盾协调、环保，城管，环卫，附近居民等相关矛盾协调，均由投标人自行解决，并不支付任何额为费用。</w:t>
      </w:r>
    </w:p>
    <w:p w14:paraId="22F16C4D">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10.本项目施工用水、用电由投标人自行解决，投标人投标报价时应将施工用水、用电充分考虑到投标报价的综合单价中，结算时，此部分费用不再另行计取。</w:t>
      </w:r>
    </w:p>
    <w:p w14:paraId="22D496BF">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11.本项目具体开工时间以招标人通知为准，投标人不得以项目开始实施时间太迟为由要求招标人调整价格，投标人投标时应将此风险充分考虑到投标报价中。</w:t>
      </w:r>
    </w:p>
    <w:p w14:paraId="50A7EFE2">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12.工程量现场实测计量，招标人保留增加或减少工作量的权利，合同价相应调整，但投标的综合单价不变。</w:t>
      </w:r>
    </w:p>
    <w:p w14:paraId="55AA8A6A">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 xml:space="preserve">13.材料进场前投标人必须送样品给招标人确认，经招标人确认后方可实施。如施工时提供的样品不能满足招标人要求，招标人有权要求更换。 </w:t>
      </w:r>
    </w:p>
    <w:p w14:paraId="0A8CF222">
      <w:pPr>
        <w:widowControl/>
        <w:spacing w:line="500" w:lineRule="exact"/>
        <w:ind w:firstLine="482"/>
        <w:outlineLvl w:val="1"/>
        <w:rPr>
          <w:rFonts w:hint="eastAsia" w:ascii="宋体" w:hAnsi="宋体" w:cs="宋体"/>
          <w:b/>
          <w:color w:val="auto"/>
          <w:kern w:val="0"/>
          <w:sz w:val="24"/>
          <w:szCs w:val="24"/>
        </w:rPr>
      </w:pPr>
      <w:r>
        <w:rPr>
          <w:rFonts w:hint="eastAsia" w:ascii="宋体" w:hAnsi="宋体" w:cs="宋体"/>
          <w:b/>
          <w:color w:val="auto"/>
          <w:kern w:val="0"/>
          <w:sz w:val="24"/>
          <w:szCs w:val="24"/>
        </w:rPr>
        <w:t>六</w:t>
      </w:r>
      <w:r>
        <w:rPr>
          <w:rFonts w:ascii="宋体" w:hAnsi="宋体" w:cs="宋体"/>
          <w:b/>
          <w:color w:val="auto"/>
          <w:kern w:val="0"/>
          <w:sz w:val="24"/>
          <w:szCs w:val="24"/>
        </w:rPr>
        <w:t>、投标报价的方式</w:t>
      </w:r>
    </w:p>
    <w:p w14:paraId="5C31ABDC">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1、固定单价报价。本工程实行《建设工程量清单计价规范》（GB50500-2013）招标。建设工程合同采用“固定单价合同”，以体现风险共担的原则。由采购人提供招标工程量清单，投标人以招标工程量清单为基础填报相应的单价并计算合价。投标人应充分考虑施工期间各类建材的市场风险和国家政策性调整风险系数和招标人对工期、质量等的要求，并计入综合单价，中标后竣工结算时除施工合同约定允许调整外综合单价不予调整。</w:t>
      </w:r>
    </w:p>
    <w:p w14:paraId="789B08E2">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2、投标报价的计价方法</w:t>
      </w:r>
    </w:p>
    <w:p w14:paraId="6EB0D0DE">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本工程投标报价采用“工程量清单计价”法（工程量计算规则依据《建设工程量清单计价规范》（GB50500-2013）及其工程量计算规范）。投标人应根据采购人提供的招标工程量清单计算工程项目的综合单价和合价。</w:t>
      </w:r>
    </w:p>
    <w:p w14:paraId="1049BDC7">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工程量清单中每一个清单项均需计算并填写综合单价、合价。对施工中发生的所有措施费及可预见费用等，由施工单位自行考虑，计入单价和总价。</w:t>
      </w:r>
    </w:p>
    <w:p w14:paraId="780228C5">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3、投标报价文件编制的依据</w:t>
      </w:r>
    </w:p>
    <w:p w14:paraId="05E31797">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3.1 招标人提供的招标文件、招标工程量清单及其补充通知；</w:t>
      </w:r>
    </w:p>
    <w:p w14:paraId="740C9F72">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3.2 招标人设定的最高限价；</w:t>
      </w:r>
    </w:p>
    <w:p w14:paraId="234DBCF8">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 xml:space="preserve">3.3《建设工程量清单计价规范》(GB50500-2013) 及其工程量计算规范； </w:t>
      </w:r>
    </w:p>
    <w:p w14:paraId="785746F0">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3.4 有关的施工规范与工程验收规范；</w:t>
      </w:r>
    </w:p>
    <w:p w14:paraId="47496504">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3.5 施工现场情况、工程特点及投标人拟采用的施工组织设计和施工方案；</w:t>
      </w:r>
    </w:p>
    <w:p w14:paraId="65B51FCB">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3.6 投标人的企业定额；</w:t>
      </w:r>
    </w:p>
    <w:p w14:paraId="7091AAAD">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3.7 投标人可同时参考2014年《江苏省建筑与装饰工程计价定额》、2014年《江苏省安装工程计价定额》、《江苏省建设工程费用定额（2014年）》及江苏省关于营改增的计价文件等最高限价（预算）的编制依据。</w:t>
      </w:r>
    </w:p>
    <w:p w14:paraId="1F4D9953">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4、投标报价文件编制的要求</w:t>
      </w:r>
    </w:p>
    <w:p w14:paraId="7EFFBCF8">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4.1招标人提供的施工图纸、招标工程量清单应与招标文件一起参照阅读；</w:t>
      </w:r>
    </w:p>
    <w:p w14:paraId="340182A9">
      <w:pPr>
        <w:widowControl/>
        <w:spacing w:line="500" w:lineRule="exact"/>
        <w:ind w:firstLine="482"/>
        <w:outlineLvl w:val="1"/>
        <w:rPr>
          <w:rFonts w:hint="eastAsia" w:ascii="宋体" w:hAnsi="宋体" w:cs="宋体"/>
          <w:b/>
          <w:color w:val="auto"/>
          <w:kern w:val="0"/>
          <w:sz w:val="24"/>
          <w:szCs w:val="24"/>
        </w:rPr>
      </w:pPr>
      <w:r>
        <w:rPr>
          <w:rFonts w:ascii="宋体" w:hAnsi="宋体" w:cs="宋体"/>
          <w:b/>
          <w:color w:val="auto"/>
          <w:kern w:val="0"/>
          <w:sz w:val="24"/>
          <w:szCs w:val="24"/>
        </w:rPr>
        <w:t>五、最高限价（预算）的编制</w:t>
      </w:r>
    </w:p>
    <w:p w14:paraId="38FE5DF1">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1.最高限价：详见投标须知前附表，招标人拒绝高于最高限价的投标报价。</w:t>
      </w:r>
    </w:p>
    <w:p w14:paraId="1166CA82">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2.最高限价确定的依据：</w:t>
      </w:r>
    </w:p>
    <w:p w14:paraId="2F739C8B">
      <w:pPr>
        <w:spacing w:line="440" w:lineRule="exact"/>
        <w:ind w:firstLine="480"/>
        <w:rPr>
          <w:rFonts w:hint="eastAsia" w:ascii="宋体" w:hAnsi="宋体" w:cs="宋体"/>
          <w:color w:val="auto"/>
          <w:kern w:val="0"/>
          <w:sz w:val="24"/>
          <w:szCs w:val="24"/>
        </w:rPr>
      </w:pPr>
      <w:bookmarkStart w:id="2" w:name="EB8b95e4dd9e80494e85f00682aba7f2c4"/>
      <w:r>
        <w:rPr>
          <w:rFonts w:ascii="宋体" w:hAnsi="宋体" w:cs="宋体"/>
          <w:color w:val="auto"/>
          <w:kern w:val="0"/>
          <w:sz w:val="24"/>
          <w:szCs w:val="24"/>
        </w:rPr>
        <w:t>本项目按照施工图纸、招标文件（含工程量清单）、《建设工程工程量清单计价规范》（GB50500-2013）、《房屋建筑与装饰工程工程量计算规范》（GB50854-2013）、《通用安装工程工程量计算规范》（GB50856-2013）、《江苏房屋修缮工程计价表》（2009版）、《江苏省建筑与装饰工程计价定额》（2014版）、《江苏省安装工程计价定额》（2014年）、《江苏省建设工程费用定额》（2014年）（以下简称《计价定额》）及苏建价（2016）154号文《省住房城乡建设厅关于建筑业实施营改增后江苏省建设工程计价依据调整的通知》和苏建函价〔2018〕298号《省住房城乡建设厅关于建筑业增值税计价政策调整的通知》、 《省住房城乡建设厅关于建筑工人实名制费用计取方法的公告》〔2019〕第19号、《省住房和城乡建设厅关于调整建设工程计价增值税税率的通知》苏建函价〔2019〕178号、2026年第5期《盐城工程造价》及预算人工工资参照苏建函价〔2026〕27号文件执行等，计算出分部分项工程费、措施项目费、其他项目费、规费、税金等确定工程预算价，根据工程预算价确定最高限价。</w:t>
      </w:r>
    </w:p>
    <w:p w14:paraId="014946A2">
      <w:pPr>
        <w:spacing w:line="440" w:lineRule="exact"/>
        <w:ind w:firstLine="480"/>
        <w:rPr>
          <w:rFonts w:hint="eastAsia" w:ascii="宋体" w:hAnsi="宋体" w:cs="宋体"/>
          <w:color w:val="auto"/>
          <w:kern w:val="0"/>
          <w:sz w:val="24"/>
          <w:szCs w:val="24"/>
        </w:rPr>
      </w:pPr>
      <w:r>
        <w:rPr>
          <w:rFonts w:ascii="宋体" w:hAnsi="宋体" w:cs="宋体"/>
          <w:color w:val="auto"/>
          <w:kern w:val="0"/>
          <w:sz w:val="24"/>
          <w:szCs w:val="24"/>
        </w:rPr>
        <w:t>根据苏建价[2016]154号文件的规定，本项目招标文件及合同计税方法均采用增值税一般计税方法，招标文件及合同中的建材信息价及建材市场参考价均为除税价。</w:t>
      </w:r>
    </w:p>
    <w:bookmarkEnd w:id="2"/>
    <w:p w14:paraId="732768ED">
      <w:pPr>
        <w:widowControl/>
        <w:spacing w:line="500" w:lineRule="exact"/>
        <w:ind w:firstLine="482"/>
        <w:outlineLvl w:val="1"/>
        <w:rPr>
          <w:rFonts w:hint="eastAsia" w:ascii="宋体" w:hAnsi="宋体" w:cs="宋体"/>
          <w:b/>
          <w:color w:val="auto"/>
          <w:kern w:val="0"/>
          <w:sz w:val="24"/>
          <w:szCs w:val="24"/>
        </w:rPr>
      </w:pPr>
      <w:bookmarkStart w:id="3" w:name="_Toc166856200"/>
      <w:r>
        <w:rPr>
          <w:rFonts w:ascii="宋体" w:hAnsi="宋体" w:cs="宋体"/>
          <w:b/>
          <w:color w:val="auto"/>
          <w:kern w:val="0"/>
          <w:sz w:val="24"/>
          <w:szCs w:val="24"/>
        </w:rPr>
        <w:t>六、报价、计价说明</w:t>
      </w:r>
    </w:p>
    <w:p w14:paraId="49F12F27">
      <w:pPr>
        <w:spacing w:line="360" w:lineRule="auto"/>
        <w:ind w:firstLine="480"/>
        <w:rPr>
          <w:rFonts w:hint="eastAsia" w:ascii="宋体" w:hAnsi="宋体" w:cs="宋体"/>
          <w:color w:val="auto"/>
          <w:kern w:val="0"/>
          <w:sz w:val="24"/>
          <w:szCs w:val="24"/>
        </w:rPr>
      </w:pPr>
      <w:r>
        <w:rPr>
          <w:rFonts w:ascii="宋体" w:hAnsi="宋体" w:cs="宋体"/>
          <w:color w:val="auto"/>
          <w:kern w:val="0"/>
          <w:sz w:val="24"/>
          <w:szCs w:val="24"/>
        </w:rPr>
        <w:t>1.投标报价应包含完成本</w:t>
      </w:r>
      <w:r>
        <w:rPr>
          <w:rFonts w:hint="eastAsia" w:ascii="宋体" w:hAnsi="宋体" w:cs="宋体"/>
          <w:color w:val="auto"/>
          <w:kern w:val="0"/>
          <w:sz w:val="24"/>
          <w:szCs w:val="24"/>
        </w:rPr>
        <w:t>招标</w:t>
      </w:r>
      <w:r>
        <w:rPr>
          <w:rFonts w:ascii="宋体" w:hAnsi="宋体" w:cs="宋体"/>
          <w:color w:val="auto"/>
          <w:kern w:val="0"/>
          <w:sz w:val="24"/>
          <w:szCs w:val="24"/>
        </w:rPr>
        <w:t>文件中的全部内容所需的所有费用。</w:t>
      </w:r>
    </w:p>
    <w:p w14:paraId="44AAD57E">
      <w:pPr>
        <w:spacing w:line="360" w:lineRule="auto"/>
        <w:ind w:firstLine="480"/>
        <w:rPr>
          <w:rFonts w:hint="eastAsia" w:ascii="宋体" w:hAnsi="宋体" w:cs="宋体"/>
          <w:color w:val="auto"/>
          <w:kern w:val="0"/>
          <w:sz w:val="24"/>
          <w:szCs w:val="24"/>
        </w:rPr>
      </w:pPr>
      <w:r>
        <w:rPr>
          <w:rFonts w:ascii="宋体" w:hAnsi="宋体" w:cs="宋体"/>
          <w:color w:val="auto"/>
          <w:kern w:val="0"/>
          <w:sz w:val="24"/>
          <w:szCs w:val="24"/>
        </w:rPr>
        <w:t>2.投标人应充分了解施工场地的位置、周边环境、道路、装卸、保管、安装限制以及影响投标报价的其他要素，结合市场情况进行投标报价。</w:t>
      </w:r>
    </w:p>
    <w:p w14:paraId="68CD12F2">
      <w:pPr>
        <w:spacing w:line="360" w:lineRule="auto"/>
        <w:ind w:firstLine="480"/>
        <w:rPr>
          <w:rFonts w:hint="eastAsia" w:ascii="宋体" w:hAnsi="宋体" w:cs="宋体"/>
          <w:color w:val="auto"/>
          <w:kern w:val="0"/>
          <w:sz w:val="24"/>
          <w:szCs w:val="24"/>
        </w:rPr>
      </w:pPr>
      <w:r>
        <w:rPr>
          <w:rFonts w:ascii="宋体" w:hAnsi="宋体" w:cs="宋体"/>
          <w:color w:val="auto"/>
          <w:kern w:val="0"/>
          <w:sz w:val="24"/>
          <w:szCs w:val="24"/>
        </w:rPr>
        <w:t>3.投标报价方式：本项目投标报价采用“工程量清单计价法”（工程量计算规则依据《建</w:t>
      </w:r>
      <w:r>
        <w:rPr>
          <w:rFonts w:ascii="宋体" w:hAnsi="宋体" w:cs="宋体"/>
          <w:color w:val="auto"/>
          <w:kern w:val="0"/>
          <w:sz w:val="24"/>
          <w:szCs w:val="24"/>
          <w:shd w:val="clear" w:color="auto" w:fill="FFFFFF"/>
        </w:rPr>
        <w:t>设工程工程量清单计价规范》（GB50500-2013））。</w:t>
      </w:r>
      <w:r>
        <w:rPr>
          <w:rFonts w:ascii="宋体" w:hAnsi="宋体"/>
          <w:color w:val="auto"/>
          <w:kern w:val="0"/>
          <w:sz w:val="24"/>
          <w:szCs w:val="24"/>
        </w:rPr>
        <w:t>投标人</w:t>
      </w:r>
      <w:r>
        <w:rPr>
          <w:rFonts w:ascii="宋体" w:hAnsi="宋体" w:cs="宋体"/>
          <w:color w:val="auto"/>
          <w:kern w:val="0"/>
          <w:sz w:val="24"/>
          <w:szCs w:val="24"/>
          <w:shd w:val="clear" w:color="auto" w:fill="FFFFFF"/>
        </w:rPr>
        <w:t>应根据采购人提供的工程量清单和施工图纸计算工程项目的除税综合单价和合价。工程量清单中每一个子目的单项均需计算并填写除税综合单价、合价。</w:t>
      </w:r>
      <w:r>
        <w:rPr>
          <w:rFonts w:ascii="宋体" w:hAnsi="宋体"/>
          <w:color w:val="auto"/>
          <w:kern w:val="0"/>
          <w:sz w:val="24"/>
          <w:szCs w:val="24"/>
        </w:rPr>
        <w:t>投标人</w:t>
      </w:r>
      <w:r>
        <w:rPr>
          <w:rFonts w:ascii="宋体" w:hAnsi="宋体" w:cs="宋体"/>
          <w:color w:val="auto"/>
          <w:kern w:val="0"/>
          <w:sz w:val="24"/>
          <w:szCs w:val="24"/>
          <w:shd w:val="clear" w:color="auto" w:fill="FFFFFF"/>
        </w:rPr>
        <w:t>对采购人提供的工程量清单如有异议（包括对工程量清单中漏项的疑问），应在</w:t>
      </w:r>
      <w:r>
        <w:rPr>
          <w:rFonts w:ascii="宋体" w:hAnsi="宋体"/>
          <w:b/>
          <w:color w:val="auto"/>
          <w:kern w:val="0"/>
          <w:sz w:val="24"/>
          <w:szCs w:val="24"/>
        </w:rPr>
        <w:t>提交文件截止时间五日前</w:t>
      </w:r>
      <w:r>
        <w:rPr>
          <w:rFonts w:ascii="宋体" w:hAnsi="宋体" w:cs="宋体"/>
          <w:color w:val="auto"/>
          <w:kern w:val="0"/>
          <w:sz w:val="24"/>
          <w:szCs w:val="24"/>
          <w:shd w:val="clear" w:color="auto" w:fill="FFFFFF"/>
        </w:rPr>
        <w:t>向</w:t>
      </w:r>
      <w:r>
        <w:rPr>
          <w:rFonts w:ascii="宋体" w:hAnsi="宋体"/>
          <w:color w:val="auto"/>
          <w:kern w:val="0"/>
          <w:sz w:val="24"/>
          <w:szCs w:val="24"/>
        </w:rPr>
        <w:t>采购人或采购代理机构提出</w:t>
      </w:r>
      <w:r>
        <w:rPr>
          <w:rFonts w:ascii="宋体" w:hAnsi="宋体" w:cs="宋体"/>
          <w:color w:val="auto"/>
          <w:kern w:val="0"/>
          <w:sz w:val="24"/>
          <w:szCs w:val="24"/>
          <w:shd w:val="clear" w:color="auto" w:fill="FFFFFF"/>
        </w:rPr>
        <w:t>。各</w:t>
      </w:r>
      <w:r>
        <w:rPr>
          <w:rFonts w:ascii="宋体" w:hAnsi="宋体"/>
          <w:color w:val="auto"/>
          <w:kern w:val="0"/>
          <w:sz w:val="24"/>
          <w:szCs w:val="24"/>
        </w:rPr>
        <w:t>投标人</w:t>
      </w:r>
      <w:r>
        <w:rPr>
          <w:rFonts w:ascii="宋体" w:hAnsi="宋体" w:cs="宋体"/>
          <w:color w:val="auto"/>
          <w:kern w:val="0"/>
          <w:sz w:val="24"/>
          <w:szCs w:val="24"/>
          <w:shd w:val="clear" w:color="auto" w:fill="FFFFFF"/>
        </w:rPr>
        <w:t>不得对采购人答疑后的工程量清单的序号、项目编码、项目名称、项目特征、计量单位、工程数量、暂列定额、暂估价等进行调整。对施工中发生的所有措施费及可预见费用由施工单位自行考虑，计入总价。</w:t>
      </w:r>
    </w:p>
    <w:p w14:paraId="1E5CB564">
      <w:pPr>
        <w:spacing w:line="360" w:lineRule="auto"/>
        <w:ind w:firstLine="480"/>
        <w:jc w:val="left"/>
        <w:rPr>
          <w:rFonts w:hint="eastAsia" w:ascii="宋体" w:hAnsi="宋体" w:cs="宋体"/>
          <w:color w:val="auto"/>
          <w:kern w:val="0"/>
          <w:sz w:val="24"/>
          <w:szCs w:val="24"/>
          <w:shd w:val="clear" w:color="auto" w:fill="FFFFFF"/>
        </w:rPr>
      </w:pPr>
      <w:r>
        <w:rPr>
          <w:rFonts w:ascii="宋体" w:hAnsi="宋体" w:cs="宋体"/>
          <w:color w:val="auto"/>
          <w:kern w:val="0"/>
          <w:sz w:val="24"/>
          <w:szCs w:val="24"/>
          <w:shd w:val="clear" w:color="auto" w:fill="FFFFFF"/>
        </w:rPr>
        <w:t>4.合同定价方式</w:t>
      </w:r>
    </w:p>
    <w:p w14:paraId="65A7913F">
      <w:pPr>
        <w:spacing w:line="360" w:lineRule="auto"/>
        <w:ind w:firstLine="480"/>
        <w:rPr>
          <w:rFonts w:hint="eastAsia" w:ascii="宋体" w:hAnsi="宋体"/>
          <w:color w:val="auto"/>
          <w:kern w:val="0"/>
          <w:sz w:val="24"/>
          <w:szCs w:val="24"/>
        </w:rPr>
      </w:pPr>
      <w:r>
        <w:rPr>
          <w:rFonts w:ascii="宋体" w:hAnsi="宋体" w:cs="宋体"/>
          <w:color w:val="auto"/>
          <w:kern w:val="0"/>
          <w:sz w:val="24"/>
          <w:szCs w:val="24"/>
          <w:shd w:val="clear" w:color="auto" w:fill="FFFFFF"/>
        </w:rPr>
        <w:t>本工程采用单价合同。本工程实行《建设工程工程量清单计价规范》（GB50500-2013）招标，建设工程合同采用单价合同，以体现风险共担的原则。由采购人提供工程量清单，</w:t>
      </w:r>
      <w:r>
        <w:rPr>
          <w:rFonts w:ascii="宋体" w:hAnsi="宋体"/>
          <w:color w:val="auto"/>
          <w:kern w:val="0"/>
          <w:sz w:val="24"/>
          <w:szCs w:val="24"/>
        </w:rPr>
        <w:t>投标人</w:t>
      </w:r>
      <w:r>
        <w:rPr>
          <w:rFonts w:ascii="宋体" w:hAnsi="宋体" w:cs="宋体"/>
          <w:color w:val="auto"/>
          <w:kern w:val="0"/>
          <w:sz w:val="24"/>
          <w:szCs w:val="24"/>
          <w:shd w:val="clear" w:color="auto" w:fill="FFFFFF"/>
        </w:rPr>
        <w:t>以工程量清单及图纸为基础填报相应的单价并计算合价。采购人要求</w:t>
      </w:r>
      <w:r>
        <w:rPr>
          <w:rFonts w:ascii="宋体" w:hAnsi="宋体"/>
          <w:color w:val="auto"/>
          <w:kern w:val="0"/>
          <w:sz w:val="24"/>
          <w:szCs w:val="24"/>
        </w:rPr>
        <w:t>投标人</w:t>
      </w:r>
      <w:r>
        <w:rPr>
          <w:rFonts w:ascii="宋体" w:hAnsi="宋体" w:cs="宋体"/>
          <w:color w:val="auto"/>
          <w:kern w:val="0"/>
          <w:sz w:val="24"/>
          <w:szCs w:val="24"/>
          <w:shd w:val="clear" w:color="auto" w:fill="FFFFFF"/>
        </w:rPr>
        <w:t>承担本招标文件合同专用条款中约定的风险内容及其范围（幅度）产生的风险费用，在施工过程中，当出现的风险内容及其范围（幅度）在合同约定的范围内，工程价款不作调整。</w:t>
      </w:r>
    </w:p>
    <w:p w14:paraId="687C0882">
      <w:pPr>
        <w:spacing w:line="360" w:lineRule="auto"/>
        <w:ind w:firstLine="480"/>
        <w:rPr>
          <w:rFonts w:hint="eastAsia" w:ascii="宋体" w:hAnsi="宋体"/>
          <w:color w:val="auto"/>
          <w:kern w:val="0"/>
          <w:sz w:val="24"/>
          <w:szCs w:val="24"/>
        </w:rPr>
      </w:pPr>
      <w:r>
        <w:rPr>
          <w:rFonts w:ascii="宋体" w:hAnsi="宋体"/>
          <w:color w:val="auto"/>
          <w:kern w:val="0"/>
          <w:sz w:val="24"/>
          <w:szCs w:val="24"/>
        </w:rPr>
        <w:t>5.投标报价的要求</w:t>
      </w:r>
    </w:p>
    <w:p w14:paraId="795F4F45">
      <w:pPr>
        <w:spacing w:line="360" w:lineRule="auto"/>
        <w:ind w:firstLine="480"/>
        <w:rPr>
          <w:rFonts w:hint="eastAsia" w:ascii="宋体" w:hAnsi="宋体"/>
          <w:color w:val="auto"/>
          <w:kern w:val="0"/>
          <w:sz w:val="24"/>
          <w:szCs w:val="24"/>
        </w:rPr>
      </w:pPr>
      <w:r>
        <w:rPr>
          <w:rFonts w:ascii="宋体" w:hAnsi="宋体"/>
          <w:color w:val="auto"/>
          <w:kern w:val="0"/>
          <w:sz w:val="24"/>
          <w:szCs w:val="24"/>
        </w:rPr>
        <w:t>5.1采购人提供工程量清单应与</w:t>
      </w:r>
      <w:r>
        <w:rPr>
          <w:rFonts w:ascii="宋体" w:hAnsi="宋体" w:cs="宋体"/>
          <w:color w:val="auto"/>
          <w:kern w:val="0"/>
          <w:sz w:val="24"/>
          <w:szCs w:val="24"/>
          <w:shd w:val="clear" w:color="auto" w:fill="FFFFFF"/>
        </w:rPr>
        <w:t>招标</w:t>
      </w:r>
      <w:r>
        <w:rPr>
          <w:rFonts w:ascii="宋体" w:hAnsi="宋体"/>
          <w:color w:val="auto"/>
          <w:kern w:val="0"/>
          <w:sz w:val="24"/>
          <w:szCs w:val="24"/>
        </w:rPr>
        <w:t>文件一起参照阅读；</w:t>
      </w:r>
    </w:p>
    <w:p w14:paraId="5871076C">
      <w:pPr>
        <w:spacing w:line="360" w:lineRule="auto"/>
        <w:ind w:firstLine="480"/>
        <w:rPr>
          <w:rFonts w:hint="eastAsia" w:ascii="宋体" w:hAnsi="宋体"/>
          <w:color w:val="auto"/>
          <w:kern w:val="0"/>
          <w:sz w:val="24"/>
          <w:szCs w:val="24"/>
        </w:rPr>
      </w:pPr>
      <w:r>
        <w:rPr>
          <w:rFonts w:ascii="宋体" w:hAnsi="宋体"/>
          <w:color w:val="auto"/>
          <w:kern w:val="0"/>
          <w:sz w:val="24"/>
          <w:szCs w:val="24"/>
        </w:rPr>
        <w:t>5.2采购人提供的工程量清单中的项目编码、项目名称、项目特征、计量单位、工程数量（投标人自行补充的措施项目除外）以及暂列金额、暂估价内容，投标人在投标报价时不得作任何更改变动，如果投标人认为清单内容有误或遗漏，只能通过答疑的方式由采购人统一修改更正；</w:t>
      </w:r>
    </w:p>
    <w:p w14:paraId="03368FBB">
      <w:pPr>
        <w:spacing w:line="360" w:lineRule="auto"/>
        <w:ind w:firstLine="480"/>
        <w:rPr>
          <w:rFonts w:hint="eastAsia" w:ascii="宋体" w:hAnsi="宋体"/>
          <w:color w:val="auto"/>
          <w:kern w:val="0"/>
          <w:sz w:val="24"/>
          <w:szCs w:val="24"/>
        </w:rPr>
      </w:pPr>
      <w:r>
        <w:rPr>
          <w:rFonts w:ascii="宋体" w:hAnsi="宋体"/>
          <w:color w:val="auto"/>
          <w:kern w:val="0"/>
          <w:sz w:val="24"/>
          <w:szCs w:val="24"/>
        </w:rPr>
        <w:t>5.3 除不可竞争费用（现场安全文明施工措施费、规费项目费、税金项目费）、暂列金额、暂估价不得调整外，投标人可根据自己的施工方案及企业自身经营管理水平情况不低于成本报价；</w:t>
      </w:r>
    </w:p>
    <w:p w14:paraId="5F34B613">
      <w:pPr>
        <w:spacing w:line="360" w:lineRule="auto"/>
        <w:ind w:firstLine="480"/>
        <w:rPr>
          <w:rFonts w:hint="eastAsia" w:ascii="宋体" w:hAnsi="宋体"/>
          <w:color w:val="auto"/>
          <w:kern w:val="0"/>
          <w:sz w:val="24"/>
          <w:szCs w:val="24"/>
        </w:rPr>
      </w:pPr>
      <w:r>
        <w:rPr>
          <w:rFonts w:ascii="宋体" w:hAnsi="宋体"/>
          <w:color w:val="auto"/>
          <w:kern w:val="0"/>
          <w:sz w:val="24"/>
          <w:szCs w:val="24"/>
        </w:rPr>
        <w:t>5.4 投标人应充分考虑施工期间各类材料（工程设备）的市场风险和国家政策性调整风险系数，除合同约定可以调整的材料（工程设备）外，其余材料（工程设备）在合同实施期间材料（工程设备）价格不因市场变化或其他任何因素变化而变动，投标人在投标报价时应充分考虑本工程项目合同的风险；</w:t>
      </w:r>
    </w:p>
    <w:p w14:paraId="0439D924">
      <w:pPr>
        <w:spacing w:line="360" w:lineRule="auto"/>
        <w:ind w:firstLine="482"/>
        <w:rPr>
          <w:rFonts w:hint="eastAsia" w:ascii="宋体" w:hAnsi="宋体"/>
          <w:b/>
          <w:color w:val="auto"/>
          <w:kern w:val="0"/>
          <w:sz w:val="24"/>
          <w:szCs w:val="24"/>
        </w:rPr>
      </w:pPr>
      <w:r>
        <w:rPr>
          <w:rFonts w:ascii="宋体" w:hAnsi="宋体"/>
          <w:b/>
          <w:color w:val="auto"/>
          <w:kern w:val="0"/>
          <w:sz w:val="24"/>
          <w:szCs w:val="24"/>
        </w:rPr>
        <w:t>5.5 供应商报价时应充分考虑法定节假日施工队伍组建难度、赶工难度（含订货）、工资及材料设备上涨等风险因素，并将费用综合考虑进报价中，结算时采购人不另计。如因成交供应商原因造成不能按期竣工，将严格对照合同约定进行考核。</w:t>
      </w:r>
    </w:p>
    <w:p w14:paraId="3A4BE337">
      <w:pPr>
        <w:spacing w:line="360" w:lineRule="auto"/>
        <w:ind w:firstLine="480"/>
        <w:rPr>
          <w:rFonts w:hint="eastAsia" w:ascii="宋体" w:hAnsi="宋体"/>
          <w:color w:val="auto"/>
          <w:kern w:val="0"/>
          <w:sz w:val="24"/>
          <w:szCs w:val="24"/>
        </w:rPr>
      </w:pPr>
      <w:r>
        <w:rPr>
          <w:rFonts w:ascii="宋体" w:hAnsi="宋体"/>
          <w:color w:val="auto"/>
          <w:kern w:val="0"/>
          <w:sz w:val="24"/>
          <w:szCs w:val="24"/>
        </w:rPr>
        <w:t>5.6 如投标人在投标时承诺质量标准达到合格以上等级的，应在投标报价时足额考虑创优所增加的施工成本，相关费用采购人不再另行支付；</w:t>
      </w:r>
    </w:p>
    <w:p w14:paraId="0C58841C">
      <w:pPr>
        <w:spacing w:line="360" w:lineRule="auto"/>
        <w:ind w:firstLine="480"/>
        <w:rPr>
          <w:rFonts w:hint="eastAsia" w:ascii="宋体" w:hAnsi="宋体"/>
          <w:color w:val="auto"/>
          <w:kern w:val="0"/>
          <w:sz w:val="24"/>
          <w:szCs w:val="24"/>
        </w:rPr>
      </w:pPr>
      <w:r>
        <w:rPr>
          <w:rFonts w:ascii="宋体" w:hAnsi="宋体"/>
          <w:color w:val="auto"/>
          <w:kern w:val="0"/>
          <w:sz w:val="24"/>
          <w:szCs w:val="24"/>
        </w:rPr>
        <w:t>5.7 综合单价的组成：完成一个规定清单项目所需的人工费、材料费和工程设备费、施工机具使用费和企业管理费与利润，以及一定范围内的风险费用；</w:t>
      </w:r>
    </w:p>
    <w:p w14:paraId="3AD0D275">
      <w:pPr>
        <w:spacing w:line="360" w:lineRule="auto"/>
        <w:ind w:firstLine="480"/>
        <w:rPr>
          <w:rFonts w:hint="eastAsia" w:ascii="宋体" w:hAnsi="宋体"/>
          <w:color w:val="auto"/>
          <w:kern w:val="0"/>
          <w:sz w:val="24"/>
          <w:szCs w:val="24"/>
        </w:rPr>
      </w:pPr>
      <w:r>
        <w:rPr>
          <w:rFonts w:ascii="宋体" w:hAnsi="宋体"/>
          <w:color w:val="auto"/>
          <w:kern w:val="0"/>
          <w:sz w:val="24"/>
          <w:szCs w:val="24"/>
        </w:rPr>
        <w:t>5.8 其他项目清单中的暂列金额、暂估价中的材料（工程设备）及专业工程暂估价必须按照采购人给定的项目、金额、单价等标准计取，不得变动。计日工应按照采购人提供的的项目和估算的数量，自主确定各项综合单价并计算费用；</w:t>
      </w:r>
    </w:p>
    <w:p w14:paraId="78269364">
      <w:pPr>
        <w:spacing w:line="360" w:lineRule="auto"/>
        <w:ind w:firstLine="480"/>
        <w:rPr>
          <w:rFonts w:hint="eastAsia" w:ascii="宋体" w:hAnsi="宋体"/>
          <w:color w:val="auto"/>
          <w:kern w:val="0"/>
          <w:sz w:val="24"/>
          <w:szCs w:val="24"/>
        </w:rPr>
      </w:pPr>
      <w:r>
        <w:rPr>
          <w:rFonts w:ascii="宋体" w:hAnsi="宋体"/>
          <w:color w:val="auto"/>
          <w:kern w:val="0"/>
          <w:sz w:val="24"/>
          <w:szCs w:val="24"/>
        </w:rPr>
        <w:t>5.9 规费和税金应按招标工程量清单中的规定标准执行；</w:t>
      </w:r>
    </w:p>
    <w:p w14:paraId="7AF148B4">
      <w:pPr>
        <w:spacing w:line="360" w:lineRule="auto"/>
        <w:ind w:firstLine="480"/>
        <w:rPr>
          <w:rFonts w:hint="eastAsia" w:ascii="宋体" w:hAnsi="宋体"/>
          <w:color w:val="auto"/>
          <w:kern w:val="0"/>
          <w:sz w:val="24"/>
          <w:szCs w:val="24"/>
        </w:rPr>
      </w:pPr>
      <w:r>
        <w:rPr>
          <w:rFonts w:ascii="宋体" w:hAnsi="宋体"/>
          <w:color w:val="auto"/>
          <w:kern w:val="0"/>
          <w:sz w:val="24"/>
          <w:szCs w:val="24"/>
        </w:rPr>
        <w:t>5.10分部分项工程和单价措施项目清单与计价表中列明的所有需要填写的单价和合价，投标人均应填写，未填写单价和合价，视为此项费用已包含在工程量清单的其他单价和合价中。当竣式结算时，此项目不得重新组价予以调整。</w:t>
      </w:r>
    </w:p>
    <w:p w14:paraId="157F1874">
      <w:pPr>
        <w:spacing w:line="360" w:lineRule="auto"/>
        <w:ind w:firstLine="480"/>
        <w:rPr>
          <w:rFonts w:hint="eastAsia" w:ascii="宋体" w:hAnsi="宋体"/>
          <w:color w:val="auto"/>
          <w:kern w:val="0"/>
          <w:sz w:val="24"/>
          <w:szCs w:val="24"/>
        </w:rPr>
      </w:pPr>
      <w:r>
        <w:rPr>
          <w:rFonts w:ascii="宋体" w:hAnsi="宋体"/>
          <w:color w:val="auto"/>
          <w:kern w:val="0"/>
          <w:sz w:val="24"/>
          <w:szCs w:val="24"/>
        </w:rPr>
        <w:t>5.11投标总价应当与分部分项工程费、措施项目费、其他项目费和规费、税金的合计金额一致。</w:t>
      </w:r>
    </w:p>
    <w:p w14:paraId="47D9E5BE">
      <w:pPr>
        <w:spacing w:line="440" w:lineRule="exact"/>
        <w:ind w:firstLine="480"/>
        <w:rPr>
          <w:rFonts w:hint="eastAsia" w:ascii="宋体" w:hAnsi="宋体"/>
          <w:color w:val="auto"/>
          <w:kern w:val="0"/>
          <w:sz w:val="24"/>
          <w:szCs w:val="24"/>
        </w:rPr>
      </w:pPr>
      <w:r>
        <w:rPr>
          <w:rFonts w:ascii="宋体" w:hAnsi="宋体"/>
          <w:color w:val="auto"/>
          <w:kern w:val="0"/>
          <w:sz w:val="24"/>
          <w:szCs w:val="24"/>
        </w:rPr>
        <w:t>5.12无论招标时工程量清单中项目特征描述是否全面，采购人要求投标人的投标报价为完成该清单项目施工图纸的全部内容，若无相关设计变更，除本招标文件及施工合同约定允许调整外中标的综合单价不予调整，工程量按实际完成工程量结算。</w:t>
      </w:r>
    </w:p>
    <w:p w14:paraId="0D4F8E6E">
      <w:pPr>
        <w:spacing w:line="440" w:lineRule="exact"/>
        <w:ind w:firstLine="482"/>
        <w:rPr>
          <w:rFonts w:hint="eastAsia" w:ascii="宋体" w:hAnsi="宋体" w:cs="宋体"/>
          <w:b/>
          <w:color w:val="auto"/>
          <w:kern w:val="0"/>
          <w:sz w:val="24"/>
          <w:szCs w:val="24"/>
        </w:rPr>
      </w:pPr>
      <w:r>
        <w:rPr>
          <w:rFonts w:ascii="宋体" w:hAnsi="宋体"/>
          <w:b/>
          <w:color w:val="auto"/>
          <w:kern w:val="0"/>
          <w:sz w:val="24"/>
          <w:szCs w:val="24"/>
        </w:rPr>
        <w:t>5.13</w:t>
      </w:r>
      <w:r>
        <w:rPr>
          <w:rFonts w:ascii="宋体" w:hAnsi="宋体" w:cs="宋体"/>
          <w:b/>
          <w:color w:val="auto"/>
          <w:kern w:val="0"/>
          <w:sz w:val="24"/>
          <w:szCs w:val="24"/>
        </w:rPr>
        <w:t>特别提醒：</w:t>
      </w:r>
      <w:r>
        <w:rPr>
          <w:rFonts w:ascii="宋体" w:hAnsi="宋体"/>
          <w:b/>
          <w:color w:val="auto"/>
          <w:kern w:val="0"/>
          <w:sz w:val="24"/>
          <w:szCs w:val="24"/>
        </w:rPr>
        <w:t>投标响应文件中已标价工程量清单与</w:t>
      </w:r>
      <w:r>
        <w:rPr>
          <w:rFonts w:hint="eastAsia" w:ascii="宋体" w:hAnsi="宋体"/>
          <w:b/>
          <w:color w:val="auto"/>
          <w:kern w:val="0"/>
          <w:sz w:val="24"/>
          <w:szCs w:val="24"/>
        </w:rPr>
        <w:t>招标</w:t>
      </w:r>
      <w:r>
        <w:rPr>
          <w:rFonts w:ascii="宋体" w:hAnsi="宋体"/>
          <w:b/>
          <w:color w:val="auto"/>
          <w:kern w:val="0"/>
          <w:sz w:val="24"/>
          <w:szCs w:val="24"/>
        </w:rPr>
        <w:t>文件规定的暂估价、暂列金额及甲供材料价格不一致的；投标响应文件中已标价工程量清单与</w:t>
      </w:r>
      <w:r>
        <w:rPr>
          <w:rFonts w:hint="eastAsia" w:ascii="宋体" w:hAnsi="宋体"/>
          <w:b/>
          <w:color w:val="auto"/>
          <w:kern w:val="0"/>
          <w:sz w:val="24"/>
          <w:szCs w:val="24"/>
        </w:rPr>
        <w:t>招标</w:t>
      </w:r>
      <w:r>
        <w:rPr>
          <w:rFonts w:ascii="宋体" w:hAnsi="宋体"/>
          <w:b/>
          <w:color w:val="auto"/>
          <w:kern w:val="0"/>
          <w:sz w:val="24"/>
          <w:szCs w:val="24"/>
        </w:rPr>
        <w:t>文件明确列出的不可竞争费用项目或费率或计算基础不一致的；投标响应文件中已标价工程量清单与</w:t>
      </w:r>
      <w:r>
        <w:rPr>
          <w:rFonts w:hint="eastAsia" w:ascii="宋体" w:hAnsi="宋体"/>
          <w:b/>
          <w:color w:val="auto"/>
          <w:kern w:val="0"/>
          <w:sz w:val="24"/>
          <w:szCs w:val="24"/>
        </w:rPr>
        <w:t>招标</w:t>
      </w:r>
      <w:r>
        <w:rPr>
          <w:rFonts w:ascii="宋体" w:hAnsi="宋体"/>
          <w:b/>
          <w:color w:val="auto"/>
          <w:kern w:val="0"/>
          <w:sz w:val="24"/>
          <w:szCs w:val="24"/>
        </w:rPr>
        <w:t>文件提供的工程量清单中的项目名称、项目特征、计量单位、工程量不一致的；一律作无效标处理。</w:t>
      </w:r>
    </w:p>
    <w:p w14:paraId="4017D4B9">
      <w:pPr>
        <w:spacing w:line="440" w:lineRule="exact"/>
        <w:ind w:firstLine="482"/>
        <w:rPr>
          <w:rFonts w:hint="eastAsia" w:ascii="宋体" w:hAnsi="宋体"/>
          <w:b/>
          <w:color w:val="auto"/>
          <w:kern w:val="0"/>
          <w:sz w:val="24"/>
          <w:szCs w:val="24"/>
        </w:rPr>
      </w:pPr>
      <w:r>
        <w:rPr>
          <w:rFonts w:ascii="宋体" w:hAnsi="宋体"/>
          <w:b/>
          <w:color w:val="auto"/>
          <w:kern w:val="0"/>
          <w:sz w:val="24"/>
          <w:szCs w:val="24"/>
        </w:rPr>
        <w:t>七、</w:t>
      </w:r>
      <w:r>
        <w:rPr>
          <w:rFonts w:hint="eastAsia" w:ascii="宋体" w:hAnsi="宋体"/>
          <w:b/>
          <w:color w:val="auto"/>
          <w:kern w:val="0"/>
          <w:sz w:val="24"/>
          <w:szCs w:val="24"/>
        </w:rPr>
        <w:t>招标</w:t>
      </w:r>
      <w:r>
        <w:rPr>
          <w:rFonts w:ascii="宋体" w:hAnsi="宋体"/>
          <w:b/>
          <w:color w:val="auto"/>
          <w:kern w:val="0"/>
          <w:sz w:val="24"/>
          <w:szCs w:val="24"/>
        </w:rPr>
        <w:t>文件中“分项报价表响应表”均指已标价工程量清单。</w:t>
      </w:r>
      <w:bookmarkEnd w:id="3"/>
    </w:p>
    <w:p w14:paraId="6D4890F9">
      <w:pPr>
        <w:spacing w:line="440" w:lineRule="exact"/>
        <w:ind w:firstLine="482"/>
        <w:rPr>
          <w:rFonts w:hint="eastAsia" w:ascii="宋体" w:hAnsi="宋体"/>
          <w:b/>
          <w:color w:val="auto"/>
          <w:kern w:val="0"/>
          <w:sz w:val="24"/>
          <w:szCs w:val="24"/>
        </w:rPr>
      </w:pPr>
      <w:r>
        <w:rPr>
          <w:rFonts w:ascii="宋体" w:hAnsi="宋体"/>
          <w:b/>
          <w:color w:val="auto"/>
          <w:kern w:val="0"/>
          <w:sz w:val="24"/>
          <w:szCs w:val="24"/>
        </w:rPr>
        <w:t xml:space="preserve">招标清单及图纸下载链接： </w:t>
      </w:r>
    </w:p>
    <w:p w14:paraId="13EEA382">
      <w:pPr>
        <w:pBdr>
          <w:top w:val="none" w:color="000000" w:sz="0" w:space="0"/>
          <w:left w:val="none" w:color="000000" w:sz="0" w:space="0"/>
          <w:bottom w:val="none" w:color="000000" w:sz="0" w:space="0"/>
          <w:right w:val="none" w:color="000000" w:sz="0" w:space="0"/>
        </w:pBdr>
        <w:spacing w:line="439" w:lineRule="atLeast"/>
        <w:ind w:firstLine="482"/>
        <w:rPr>
          <w:rFonts w:ascii="Calibri" w:hAnsi="Calibri"/>
          <w:color w:val="auto"/>
          <w:kern w:val="0"/>
          <w:szCs w:val="24"/>
        </w:rPr>
      </w:pPr>
      <w:r>
        <w:rPr>
          <w:rFonts w:ascii="宋体" w:hAnsi="宋体" w:cs="宋体"/>
          <w:b/>
          <w:color w:val="auto"/>
          <w:kern w:val="0"/>
          <w:sz w:val="24"/>
          <w:szCs w:val="24"/>
        </w:rPr>
        <w:t>链接:</w:t>
      </w:r>
      <w:r>
        <w:rPr>
          <w:rFonts w:hint="eastAsia" w:ascii="宋体" w:hAnsi="宋体" w:cs="宋体"/>
          <w:b/>
          <w:color w:val="auto"/>
          <w:kern w:val="0"/>
          <w:sz w:val="24"/>
          <w:szCs w:val="24"/>
        </w:rPr>
        <w:t xml:space="preserve">  </w:t>
      </w:r>
    </w:p>
    <w:p w14:paraId="4503803A">
      <w:pPr>
        <w:pBdr>
          <w:top w:val="none" w:color="000000" w:sz="0" w:space="0"/>
          <w:left w:val="none" w:color="000000" w:sz="0" w:space="0"/>
          <w:bottom w:val="none" w:color="000000" w:sz="0" w:space="0"/>
          <w:right w:val="none" w:color="000000" w:sz="0" w:space="0"/>
        </w:pBdr>
        <w:spacing w:line="439" w:lineRule="atLeast"/>
        <w:ind w:firstLine="482"/>
        <w:rPr>
          <w:rFonts w:hint="eastAsia" w:ascii="宋体" w:hAnsi="宋体" w:cs="宋体"/>
          <w:b/>
          <w:color w:val="auto"/>
          <w:kern w:val="0"/>
          <w:sz w:val="24"/>
          <w:szCs w:val="24"/>
        </w:rPr>
      </w:pPr>
      <w:r>
        <w:rPr>
          <w:rFonts w:ascii="宋体" w:hAnsi="宋体" w:cs="宋体"/>
          <w:b/>
          <w:color w:val="auto"/>
          <w:kern w:val="0"/>
          <w:sz w:val="24"/>
          <w:szCs w:val="24"/>
        </w:rPr>
        <w:t xml:space="preserve">提取码: </w:t>
      </w:r>
      <w:r>
        <w:rPr>
          <w:rFonts w:hint="eastAsia" w:ascii="宋体" w:hAnsi="宋体" w:cs="宋体"/>
          <w:b/>
          <w:color w:val="auto"/>
          <w:kern w:val="0"/>
          <w:sz w:val="24"/>
          <w:szCs w:val="24"/>
        </w:rPr>
        <w:t xml:space="preserve"> </w:t>
      </w:r>
    </w:p>
    <w:p w14:paraId="325B0E48">
      <w:pPr>
        <w:spacing w:line="440" w:lineRule="exact"/>
        <w:ind w:firstLine="482"/>
        <w:rPr>
          <w:rFonts w:hint="eastAsia" w:ascii="宋体" w:hAnsi="宋体"/>
          <w:b/>
          <w:color w:val="auto"/>
          <w:kern w:val="0"/>
          <w:sz w:val="24"/>
          <w:szCs w:val="24"/>
        </w:rPr>
      </w:pPr>
      <w:r>
        <w:rPr>
          <w:rFonts w:hint="eastAsia" w:ascii="宋体" w:hAnsi="宋体"/>
          <w:b/>
          <w:color w:val="auto"/>
          <w:kern w:val="0"/>
          <w:sz w:val="24"/>
          <w:szCs w:val="24"/>
        </w:rPr>
        <w:t>八、采购标的对应的中小企业划分标准所属行业一览表</w:t>
      </w:r>
    </w:p>
    <w:tbl>
      <w:tblPr>
        <w:tblStyle w:val="2"/>
        <w:tblW w:w="9071" w:type="dxa"/>
        <w:jc w:val="center"/>
        <w:tblCellSpacing w:w="0" w:type="dxa"/>
        <w:tblLayout w:type="fixed"/>
        <w:tblCellMar>
          <w:top w:w="0" w:type="dxa"/>
          <w:left w:w="108" w:type="dxa"/>
          <w:bottom w:w="0" w:type="dxa"/>
          <w:right w:w="108" w:type="dxa"/>
        </w:tblCellMar>
      </w:tblPr>
      <w:tblGrid>
        <w:gridCol w:w="737"/>
        <w:gridCol w:w="4218"/>
        <w:gridCol w:w="4116"/>
      </w:tblGrid>
      <w:tr w14:paraId="31F1D187">
        <w:tblPrEx>
          <w:tblCellMar>
            <w:top w:w="0" w:type="dxa"/>
            <w:left w:w="108" w:type="dxa"/>
            <w:bottom w:w="0" w:type="dxa"/>
            <w:right w:w="108" w:type="dxa"/>
          </w:tblCellMar>
        </w:tblPrEx>
        <w:trPr>
          <w:trHeight w:val="546" w:hRule="atLeast"/>
          <w:tblCellSpacing w:w="0" w:type="dxa"/>
          <w:jc w:val="center"/>
        </w:trPr>
        <w:tc>
          <w:tcPr>
            <w:tcW w:w="737" w:type="dxa"/>
            <w:tcBorders>
              <w:top w:val="single" w:color="000000" w:sz="4" w:space="0"/>
              <w:left w:val="single" w:color="000000" w:sz="4" w:space="0"/>
              <w:bottom w:val="single" w:color="000000" w:sz="4" w:space="0"/>
              <w:right w:val="single" w:color="000000" w:sz="4" w:space="0"/>
            </w:tcBorders>
            <w:vAlign w:val="center"/>
          </w:tcPr>
          <w:p w14:paraId="6A3FB87F">
            <w:pPr>
              <w:spacing w:line="360" w:lineRule="auto"/>
              <w:jc w:val="center"/>
              <w:rPr>
                <w:rFonts w:hint="eastAsia" w:ascii="宋体" w:hAnsi="宋体" w:cs="宋体"/>
                <w:color w:val="auto"/>
              </w:rPr>
            </w:pPr>
            <w:r>
              <w:rPr>
                <w:rFonts w:hint="eastAsia" w:ascii="宋体" w:hAnsi="宋体" w:cs="宋体"/>
                <w:color w:val="auto"/>
              </w:rPr>
              <w:t>序号</w:t>
            </w:r>
          </w:p>
        </w:tc>
        <w:tc>
          <w:tcPr>
            <w:tcW w:w="4218" w:type="dxa"/>
            <w:tcBorders>
              <w:top w:val="single" w:color="000000" w:sz="4" w:space="0"/>
              <w:left w:val="single" w:color="000000" w:sz="4" w:space="0"/>
              <w:bottom w:val="single" w:color="000000" w:sz="4" w:space="0"/>
              <w:right w:val="single" w:color="000000" w:sz="4" w:space="0"/>
            </w:tcBorders>
            <w:vAlign w:val="center"/>
          </w:tcPr>
          <w:p w14:paraId="2995BFE6">
            <w:pPr>
              <w:spacing w:line="360" w:lineRule="auto"/>
              <w:jc w:val="center"/>
              <w:rPr>
                <w:rFonts w:hint="eastAsia" w:ascii="宋体" w:hAnsi="宋体" w:cs="宋体"/>
                <w:color w:val="auto"/>
              </w:rPr>
            </w:pPr>
            <w:r>
              <w:rPr>
                <w:rFonts w:hint="eastAsia" w:ascii="宋体" w:hAnsi="宋体" w:cs="宋体"/>
                <w:color w:val="auto"/>
              </w:rPr>
              <w:t>采购标的</w:t>
            </w:r>
          </w:p>
        </w:tc>
        <w:tc>
          <w:tcPr>
            <w:tcW w:w="4116" w:type="dxa"/>
            <w:tcBorders>
              <w:top w:val="single" w:color="000000" w:sz="4" w:space="0"/>
              <w:left w:val="single" w:color="000000" w:sz="4" w:space="0"/>
              <w:bottom w:val="single" w:color="000000" w:sz="4" w:space="0"/>
              <w:right w:val="single" w:color="000000" w:sz="4" w:space="0"/>
            </w:tcBorders>
            <w:vAlign w:val="center"/>
          </w:tcPr>
          <w:p w14:paraId="70EF9346">
            <w:pPr>
              <w:spacing w:line="360" w:lineRule="auto"/>
              <w:jc w:val="center"/>
              <w:rPr>
                <w:rFonts w:hint="eastAsia" w:ascii="宋体" w:hAnsi="宋体" w:cs="宋体"/>
                <w:color w:val="auto"/>
              </w:rPr>
            </w:pPr>
            <w:r>
              <w:rPr>
                <w:rFonts w:hint="eastAsia" w:ascii="宋体" w:hAnsi="宋体" w:cs="宋体"/>
                <w:color w:val="auto"/>
              </w:rPr>
              <w:t>对应中小企业划分标准所属行业</w:t>
            </w:r>
          </w:p>
        </w:tc>
      </w:tr>
      <w:tr w14:paraId="34D69DDD">
        <w:tblPrEx>
          <w:tblCellMar>
            <w:top w:w="0" w:type="dxa"/>
            <w:left w:w="108" w:type="dxa"/>
            <w:bottom w:w="0" w:type="dxa"/>
            <w:right w:w="108" w:type="dxa"/>
          </w:tblCellMar>
        </w:tblPrEx>
        <w:trPr>
          <w:trHeight w:val="646" w:hRule="atLeast"/>
          <w:tblCellSpacing w:w="0" w:type="dxa"/>
          <w:jc w:val="center"/>
        </w:trPr>
        <w:tc>
          <w:tcPr>
            <w:tcW w:w="737" w:type="dxa"/>
            <w:tcBorders>
              <w:top w:val="single" w:color="000000" w:sz="4" w:space="0"/>
              <w:left w:val="single" w:color="000000" w:sz="4" w:space="0"/>
              <w:bottom w:val="single" w:color="000000" w:sz="4" w:space="0"/>
              <w:right w:val="single" w:color="000000" w:sz="4" w:space="0"/>
            </w:tcBorders>
            <w:vAlign w:val="center"/>
          </w:tcPr>
          <w:p w14:paraId="24FFED81">
            <w:pPr>
              <w:spacing w:line="360" w:lineRule="auto"/>
              <w:jc w:val="center"/>
              <w:rPr>
                <w:rFonts w:hint="eastAsia" w:ascii="宋体" w:hAnsi="宋体" w:cs="宋体"/>
                <w:color w:val="auto"/>
              </w:rPr>
            </w:pPr>
            <w:r>
              <w:rPr>
                <w:rFonts w:hint="eastAsia" w:ascii="宋体" w:hAnsi="宋体" w:cs="宋体"/>
                <w:color w:val="auto"/>
              </w:rPr>
              <w:t>1</w:t>
            </w:r>
          </w:p>
        </w:tc>
        <w:tc>
          <w:tcPr>
            <w:tcW w:w="4218" w:type="dxa"/>
            <w:tcBorders>
              <w:top w:val="single" w:color="000000" w:sz="4" w:space="0"/>
              <w:left w:val="single" w:color="000000" w:sz="4" w:space="0"/>
              <w:bottom w:val="single" w:color="000000" w:sz="4" w:space="0"/>
              <w:right w:val="single" w:color="000000" w:sz="4" w:space="0"/>
            </w:tcBorders>
            <w:vAlign w:val="center"/>
          </w:tcPr>
          <w:p w14:paraId="09472FF4">
            <w:pPr>
              <w:spacing w:line="360" w:lineRule="auto"/>
              <w:jc w:val="center"/>
              <w:rPr>
                <w:rFonts w:hint="eastAsia" w:ascii="宋体" w:hAnsi="宋体" w:cs="宋体"/>
                <w:color w:val="auto"/>
              </w:rPr>
            </w:pPr>
            <w:r>
              <w:rPr>
                <w:rFonts w:hint="eastAsia" w:asciiTheme="minorEastAsia" w:hAnsiTheme="minorEastAsia" w:eastAsiaTheme="minorEastAsia" w:cstheme="minorEastAsia"/>
                <w:color w:val="auto"/>
              </w:rPr>
              <w:t>东园艺术中心屋面翻新改造项目</w:t>
            </w:r>
          </w:p>
        </w:tc>
        <w:tc>
          <w:tcPr>
            <w:tcW w:w="4116" w:type="dxa"/>
            <w:tcBorders>
              <w:top w:val="single" w:color="000000" w:sz="4" w:space="0"/>
              <w:left w:val="single" w:color="000000" w:sz="4" w:space="0"/>
              <w:bottom w:val="single" w:color="000000" w:sz="4" w:space="0"/>
              <w:right w:val="single" w:color="000000" w:sz="4" w:space="0"/>
            </w:tcBorders>
            <w:vAlign w:val="center"/>
          </w:tcPr>
          <w:p w14:paraId="0B075F10">
            <w:pPr>
              <w:spacing w:line="360" w:lineRule="auto"/>
              <w:jc w:val="center"/>
              <w:rPr>
                <w:rFonts w:hint="eastAsia" w:ascii="宋体" w:hAnsi="宋体" w:cs="宋体"/>
                <w:color w:val="auto"/>
              </w:rPr>
            </w:pPr>
            <w:r>
              <w:rPr>
                <w:rFonts w:hint="eastAsia" w:ascii="宋体" w:hAnsi="宋体" w:cs="宋体"/>
                <w:color w:val="auto"/>
              </w:rPr>
              <w:t>建筑业</w:t>
            </w:r>
          </w:p>
        </w:tc>
      </w:tr>
    </w:tbl>
    <w:p w14:paraId="2872F1D7">
      <w:pPr>
        <w:spacing w:line="480" w:lineRule="exact"/>
        <w:ind w:firstLine="482"/>
        <w:outlineLvl w:val="1"/>
        <w:rPr>
          <w:rFonts w:hint="eastAsia" w:ascii="宋体" w:hAnsi="宋体"/>
          <w:b/>
          <w:color w:val="auto"/>
          <w:kern w:val="0"/>
          <w:sz w:val="24"/>
          <w:szCs w:val="24"/>
        </w:rPr>
      </w:pPr>
      <w:r>
        <w:rPr>
          <w:rFonts w:hint="eastAsia" w:ascii="宋体" w:hAnsi="宋体"/>
          <w:b/>
          <w:color w:val="auto"/>
          <w:kern w:val="0"/>
          <w:sz w:val="24"/>
          <w:szCs w:val="24"/>
        </w:rPr>
        <w:t>九</w:t>
      </w:r>
      <w:r>
        <w:rPr>
          <w:rFonts w:ascii="宋体" w:hAnsi="宋体"/>
          <w:b/>
          <w:color w:val="auto"/>
          <w:kern w:val="0"/>
          <w:sz w:val="24"/>
          <w:szCs w:val="24"/>
        </w:rPr>
        <w:t>、工程及材料技术要求</w:t>
      </w:r>
    </w:p>
    <w:p w14:paraId="5CB494AE">
      <w:pPr>
        <w:spacing w:line="480" w:lineRule="exact"/>
        <w:ind w:firstLine="480"/>
        <w:rPr>
          <w:rFonts w:hint="eastAsia" w:ascii="宋体" w:hAnsi="宋体"/>
          <w:color w:val="auto"/>
          <w:kern w:val="0"/>
          <w:sz w:val="24"/>
          <w:szCs w:val="24"/>
        </w:rPr>
      </w:pPr>
      <w:r>
        <w:rPr>
          <w:rFonts w:ascii="宋体" w:hAnsi="宋体"/>
          <w:color w:val="auto"/>
          <w:kern w:val="0"/>
          <w:sz w:val="24"/>
          <w:szCs w:val="24"/>
        </w:rPr>
        <w:t>1、工程质量应达到的等级：达到国标验收规范合格要求。</w:t>
      </w:r>
    </w:p>
    <w:p w14:paraId="16B8AD4E">
      <w:pPr>
        <w:spacing w:line="480" w:lineRule="exact"/>
        <w:ind w:firstLine="480"/>
        <w:rPr>
          <w:rFonts w:hint="eastAsia" w:ascii="宋体" w:hAnsi="宋体"/>
          <w:color w:val="auto"/>
          <w:kern w:val="0"/>
          <w:sz w:val="24"/>
          <w:szCs w:val="24"/>
        </w:rPr>
      </w:pPr>
      <w:r>
        <w:rPr>
          <w:rFonts w:ascii="宋体" w:hAnsi="宋体"/>
          <w:color w:val="auto"/>
          <w:kern w:val="0"/>
          <w:sz w:val="24"/>
          <w:szCs w:val="24"/>
        </w:rPr>
        <w:t>2、材料进场、垃圾外运时需注意对业主方道路、道板及绿化的保护，如有损坏，成交人应恢复原样，相关维修费由成交人自理。</w:t>
      </w:r>
    </w:p>
    <w:p w14:paraId="45DD57DC">
      <w:pPr>
        <w:spacing w:line="360" w:lineRule="auto"/>
        <w:ind w:firstLine="480"/>
        <w:rPr>
          <w:rFonts w:hint="eastAsia" w:ascii="宋体" w:hAnsi="宋体"/>
          <w:b/>
          <w:bCs/>
          <w:color w:val="auto"/>
          <w:kern w:val="0"/>
          <w:sz w:val="24"/>
          <w:szCs w:val="24"/>
        </w:rPr>
      </w:pPr>
      <w:r>
        <w:rPr>
          <w:rFonts w:hint="eastAsia" w:ascii="宋体" w:hAnsi="宋体"/>
          <w:b/>
          <w:bCs/>
          <w:color w:val="auto"/>
          <w:kern w:val="0"/>
          <w:sz w:val="24"/>
          <w:szCs w:val="24"/>
        </w:rPr>
        <w:t>3</w:t>
      </w:r>
      <w:r>
        <w:rPr>
          <w:rFonts w:ascii="宋体" w:hAnsi="宋体"/>
          <w:b/>
          <w:bCs/>
          <w:color w:val="auto"/>
          <w:kern w:val="0"/>
          <w:sz w:val="24"/>
          <w:szCs w:val="24"/>
        </w:rPr>
        <w:t>、《主要设备材料采购人参考品牌一览表》</w:t>
      </w:r>
    </w:p>
    <w:tbl>
      <w:tblPr>
        <w:tblStyle w:val="2"/>
        <w:tblW w:w="8779" w:type="dxa"/>
        <w:tblInd w:w="392" w:type="dxa"/>
        <w:tblLayout w:type="autofit"/>
        <w:tblCellMar>
          <w:top w:w="0" w:type="dxa"/>
          <w:left w:w="108" w:type="dxa"/>
          <w:bottom w:w="0" w:type="dxa"/>
          <w:right w:w="108" w:type="dxa"/>
        </w:tblCellMar>
      </w:tblPr>
      <w:tblGrid>
        <w:gridCol w:w="659"/>
        <w:gridCol w:w="1892"/>
        <w:gridCol w:w="3686"/>
        <w:gridCol w:w="2542"/>
      </w:tblGrid>
      <w:tr w14:paraId="416D3AAA">
        <w:trPr>
          <w:trHeight w:val="300" w:hRule="atLeast"/>
        </w:trPr>
        <w:tc>
          <w:tcPr>
            <w:tcW w:w="659" w:type="dxa"/>
            <w:tcBorders>
              <w:top w:val="single" w:color="000000" w:sz="8" w:space="0"/>
              <w:left w:val="single" w:color="000000" w:sz="8" w:space="0"/>
              <w:bottom w:val="single" w:color="000000" w:sz="8" w:space="0"/>
              <w:right w:val="single" w:color="000000" w:sz="8" w:space="0"/>
            </w:tcBorders>
            <w:vAlign w:val="center"/>
          </w:tcPr>
          <w:p w14:paraId="57807A8C">
            <w:pPr>
              <w:widowControl/>
              <w:jc w:val="center"/>
              <w:rPr>
                <w:rFonts w:hint="eastAsia" w:ascii="宋体" w:hAnsi="宋体" w:cs="宋体"/>
                <w:color w:val="auto"/>
                <w:kern w:val="0"/>
              </w:rPr>
            </w:pPr>
            <w:r>
              <w:rPr>
                <w:rFonts w:hint="eastAsia" w:cs="宋体"/>
                <w:b/>
                <w:bCs/>
                <w:color w:val="auto"/>
              </w:rPr>
              <w:t>序号</w:t>
            </w:r>
          </w:p>
        </w:tc>
        <w:tc>
          <w:tcPr>
            <w:tcW w:w="1892" w:type="dxa"/>
            <w:tcBorders>
              <w:top w:val="single" w:color="000000" w:sz="8" w:space="0"/>
              <w:left w:val="nil"/>
              <w:bottom w:val="single" w:color="000000" w:sz="8" w:space="0"/>
              <w:right w:val="single" w:color="000000" w:sz="8" w:space="0"/>
            </w:tcBorders>
            <w:vAlign w:val="center"/>
          </w:tcPr>
          <w:p w14:paraId="76EA2EB6">
            <w:pPr>
              <w:widowControl/>
              <w:jc w:val="center"/>
              <w:rPr>
                <w:rFonts w:hint="eastAsia" w:ascii="宋体" w:hAnsi="宋体" w:cs="宋体"/>
                <w:color w:val="auto"/>
                <w:kern w:val="0"/>
              </w:rPr>
            </w:pPr>
            <w:r>
              <w:rPr>
                <w:rFonts w:hint="eastAsia" w:cs="宋体"/>
                <w:b/>
                <w:bCs/>
                <w:color w:val="auto"/>
              </w:rPr>
              <w:t>材料设备名称</w:t>
            </w:r>
          </w:p>
        </w:tc>
        <w:tc>
          <w:tcPr>
            <w:tcW w:w="3686" w:type="dxa"/>
            <w:tcBorders>
              <w:top w:val="single" w:color="000000" w:sz="8" w:space="0"/>
              <w:left w:val="nil"/>
              <w:bottom w:val="single" w:color="000000" w:sz="8" w:space="0"/>
              <w:right w:val="single" w:color="auto" w:sz="8" w:space="0"/>
            </w:tcBorders>
            <w:vAlign w:val="center"/>
          </w:tcPr>
          <w:p w14:paraId="110F04DD">
            <w:pPr>
              <w:widowControl/>
              <w:jc w:val="center"/>
              <w:rPr>
                <w:rFonts w:hint="eastAsia" w:ascii="宋体" w:hAnsi="宋体" w:cs="宋体"/>
                <w:color w:val="auto"/>
                <w:kern w:val="0"/>
              </w:rPr>
            </w:pPr>
            <w:r>
              <w:rPr>
                <w:rFonts w:hint="eastAsia" w:cs="宋体"/>
                <w:b/>
                <w:bCs/>
                <w:color w:val="auto"/>
              </w:rPr>
              <w:t>材料主要性能要求</w:t>
            </w:r>
          </w:p>
        </w:tc>
        <w:tc>
          <w:tcPr>
            <w:tcW w:w="2542" w:type="dxa"/>
            <w:tcBorders>
              <w:top w:val="single" w:color="000000" w:sz="8" w:space="0"/>
              <w:left w:val="nil"/>
              <w:bottom w:val="single" w:color="000000" w:sz="8" w:space="0"/>
              <w:right w:val="single" w:color="000000" w:sz="8" w:space="0"/>
            </w:tcBorders>
            <w:vAlign w:val="center"/>
          </w:tcPr>
          <w:p w14:paraId="083A58CC">
            <w:pPr>
              <w:widowControl/>
              <w:jc w:val="center"/>
              <w:rPr>
                <w:rFonts w:hint="eastAsia" w:ascii="宋体" w:hAnsi="宋体" w:cs="宋体"/>
                <w:color w:val="auto"/>
                <w:kern w:val="0"/>
              </w:rPr>
            </w:pPr>
            <w:r>
              <w:rPr>
                <w:rFonts w:hint="eastAsia" w:cs="宋体"/>
                <w:b/>
                <w:bCs/>
                <w:color w:val="auto"/>
              </w:rPr>
              <w:t>招标人</w:t>
            </w:r>
            <w:r>
              <w:rPr>
                <w:rFonts w:cs="宋体"/>
                <w:b/>
                <w:bCs/>
                <w:color w:val="auto"/>
              </w:rPr>
              <w:t>参考</w:t>
            </w:r>
            <w:r>
              <w:rPr>
                <w:rFonts w:hint="eastAsia" w:cs="宋体"/>
                <w:b/>
                <w:bCs/>
                <w:color w:val="auto"/>
              </w:rPr>
              <w:t>品牌</w:t>
            </w:r>
          </w:p>
        </w:tc>
      </w:tr>
      <w:tr w14:paraId="131ACF65">
        <w:tblPrEx>
          <w:tblCellMar>
            <w:top w:w="0" w:type="dxa"/>
            <w:left w:w="108" w:type="dxa"/>
            <w:bottom w:w="0" w:type="dxa"/>
            <w:right w:w="108" w:type="dxa"/>
          </w:tblCellMar>
        </w:tblPrEx>
        <w:trPr>
          <w:trHeight w:val="300" w:hRule="atLeast"/>
        </w:trPr>
        <w:tc>
          <w:tcPr>
            <w:tcW w:w="659" w:type="dxa"/>
            <w:tcBorders>
              <w:top w:val="single" w:color="000000" w:sz="8" w:space="0"/>
              <w:left w:val="single" w:color="000000" w:sz="8" w:space="0"/>
              <w:bottom w:val="single" w:color="000000" w:sz="8" w:space="0"/>
              <w:right w:val="single" w:color="000000" w:sz="8" w:space="0"/>
            </w:tcBorders>
            <w:vAlign w:val="center"/>
          </w:tcPr>
          <w:p w14:paraId="16705A36">
            <w:pPr>
              <w:widowControl/>
              <w:jc w:val="center"/>
              <w:rPr>
                <w:rFonts w:hint="eastAsia" w:ascii="宋体" w:hAnsi="宋体" w:cs="宋体"/>
                <w:color w:val="auto"/>
                <w:kern w:val="0"/>
              </w:rPr>
            </w:pPr>
            <w:r>
              <w:rPr>
                <w:rFonts w:hint="eastAsia" w:cs="宋体"/>
                <w:color w:val="auto"/>
              </w:rPr>
              <w:t>1</w:t>
            </w:r>
          </w:p>
        </w:tc>
        <w:tc>
          <w:tcPr>
            <w:tcW w:w="1892" w:type="dxa"/>
            <w:tcBorders>
              <w:top w:val="single" w:color="000000" w:sz="8" w:space="0"/>
              <w:left w:val="nil"/>
              <w:bottom w:val="single" w:color="000000" w:sz="8" w:space="0"/>
              <w:right w:val="single" w:color="000000" w:sz="8" w:space="0"/>
            </w:tcBorders>
            <w:vAlign w:val="center"/>
          </w:tcPr>
          <w:p w14:paraId="6F4183E9">
            <w:pPr>
              <w:widowControl/>
              <w:jc w:val="center"/>
              <w:rPr>
                <w:rFonts w:hint="eastAsia" w:ascii="宋体" w:hAnsi="宋体" w:cs="宋体"/>
                <w:color w:val="auto"/>
                <w:kern w:val="0"/>
              </w:rPr>
            </w:pPr>
            <w:r>
              <w:rPr>
                <w:rFonts w:hint="eastAsia"/>
                <w:color w:val="auto"/>
              </w:rPr>
              <w:t>乳胶漆</w:t>
            </w:r>
          </w:p>
        </w:tc>
        <w:tc>
          <w:tcPr>
            <w:tcW w:w="3686" w:type="dxa"/>
            <w:tcBorders>
              <w:top w:val="single" w:color="000000" w:sz="8" w:space="0"/>
              <w:left w:val="nil"/>
              <w:bottom w:val="single" w:color="000000" w:sz="8" w:space="0"/>
              <w:right w:val="single" w:color="auto" w:sz="8" w:space="0"/>
            </w:tcBorders>
            <w:vAlign w:val="center"/>
          </w:tcPr>
          <w:p w14:paraId="3F6E679F">
            <w:pPr>
              <w:widowControl/>
              <w:jc w:val="center"/>
              <w:rPr>
                <w:rFonts w:hint="eastAsia" w:ascii="宋体" w:hAnsi="宋体" w:cs="宋体"/>
                <w:color w:val="auto"/>
                <w:kern w:val="0"/>
              </w:rPr>
            </w:pPr>
            <w:r>
              <w:rPr>
                <w:rFonts w:hint="eastAsia"/>
                <w:color w:val="auto"/>
              </w:rPr>
              <w:t>合格品及其以上等级，环保等级达E1级</w:t>
            </w:r>
          </w:p>
        </w:tc>
        <w:tc>
          <w:tcPr>
            <w:tcW w:w="2542" w:type="dxa"/>
            <w:tcBorders>
              <w:top w:val="single" w:color="000000" w:sz="8" w:space="0"/>
              <w:left w:val="nil"/>
              <w:bottom w:val="single" w:color="000000" w:sz="8" w:space="0"/>
              <w:right w:val="single" w:color="000000" w:sz="8" w:space="0"/>
            </w:tcBorders>
            <w:vAlign w:val="center"/>
          </w:tcPr>
          <w:p w14:paraId="098A20D9">
            <w:pPr>
              <w:widowControl/>
              <w:jc w:val="center"/>
              <w:rPr>
                <w:rFonts w:hint="eastAsia" w:ascii="宋体" w:hAnsi="宋体" w:cs="宋体"/>
                <w:color w:val="auto"/>
                <w:kern w:val="0"/>
              </w:rPr>
            </w:pPr>
            <w:r>
              <w:rPr>
                <w:rFonts w:hint="eastAsia"/>
                <w:color w:val="auto"/>
              </w:rPr>
              <w:t>立邦、多乐士、华润、三棵树</w:t>
            </w:r>
          </w:p>
        </w:tc>
      </w:tr>
      <w:tr w14:paraId="31392047">
        <w:tblPrEx>
          <w:tblCellMar>
            <w:top w:w="0" w:type="dxa"/>
            <w:left w:w="108" w:type="dxa"/>
            <w:bottom w:w="0" w:type="dxa"/>
            <w:right w:w="108" w:type="dxa"/>
          </w:tblCellMar>
        </w:tblPrEx>
        <w:trPr>
          <w:trHeight w:val="300" w:hRule="atLeast"/>
        </w:trPr>
        <w:tc>
          <w:tcPr>
            <w:tcW w:w="659" w:type="dxa"/>
            <w:tcBorders>
              <w:top w:val="single" w:color="000000" w:sz="8" w:space="0"/>
              <w:left w:val="single" w:color="000000" w:sz="8" w:space="0"/>
              <w:bottom w:val="single" w:color="000000" w:sz="8" w:space="0"/>
              <w:right w:val="single" w:color="000000" w:sz="8" w:space="0"/>
            </w:tcBorders>
            <w:vAlign w:val="center"/>
          </w:tcPr>
          <w:p w14:paraId="06930FC4">
            <w:pPr>
              <w:widowControl/>
              <w:jc w:val="center"/>
              <w:rPr>
                <w:rFonts w:hint="eastAsia" w:ascii="宋体" w:hAnsi="宋体" w:cs="宋体"/>
                <w:color w:val="auto"/>
                <w:kern w:val="0"/>
              </w:rPr>
            </w:pPr>
            <w:r>
              <w:rPr>
                <w:rFonts w:hint="eastAsia" w:cs="宋体"/>
                <w:color w:val="auto"/>
              </w:rPr>
              <w:t>2</w:t>
            </w:r>
          </w:p>
        </w:tc>
        <w:tc>
          <w:tcPr>
            <w:tcW w:w="1892" w:type="dxa"/>
            <w:tcBorders>
              <w:top w:val="single" w:color="000000" w:sz="8" w:space="0"/>
              <w:left w:val="nil"/>
              <w:bottom w:val="single" w:color="000000" w:sz="8" w:space="0"/>
              <w:right w:val="single" w:color="000000" w:sz="8" w:space="0"/>
            </w:tcBorders>
            <w:vAlign w:val="center"/>
          </w:tcPr>
          <w:p w14:paraId="52D07CE9">
            <w:pPr>
              <w:widowControl/>
              <w:jc w:val="center"/>
              <w:rPr>
                <w:rFonts w:hint="eastAsia" w:ascii="宋体" w:hAnsi="宋体" w:cs="宋体"/>
                <w:color w:val="auto"/>
                <w:kern w:val="0"/>
              </w:rPr>
            </w:pPr>
            <w:r>
              <w:rPr>
                <w:rFonts w:hint="eastAsia"/>
                <w:color w:val="auto"/>
              </w:rPr>
              <w:t>防水材料</w:t>
            </w:r>
          </w:p>
        </w:tc>
        <w:tc>
          <w:tcPr>
            <w:tcW w:w="3686" w:type="dxa"/>
            <w:tcBorders>
              <w:top w:val="single" w:color="000000" w:sz="8" w:space="0"/>
              <w:left w:val="nil"/>
              <w:bottom w:val="single" w:color="000000" w:sz="8" w:space="0"/>
              <w:right w:val="single" w:color="auto" w:sz="8" w:space="0"/>
            </w:tcBorders>
            <w:vAlign w:val="center"/>
          </w:tcPr>
          <w:p w14:paraId="2354E504">
            <w:pPr>
              <w:widowControl/>
              <w:jc w:val="center"/>
              <w:rPr>
                <w:rFonts w:hint="eastAsia" w:ascii="宋体" w:hAnsi="宋体" w:cs="宋体"/>
                <w:color w:val="auto"/>
                <w:kern w:val="0"/>
              </w:rPr>
            </w:pPr>
            <w:r>
              <w:rPr>
                <w:rFonts w:hint="eastAsia"/>
                <w:color w:val="auto"/>
              </w:rPr>
              <w:t>合格品及其以上等级</w:t>
            </w:r>
          </w:p>
        </w:tc>
        <w:tc>
          <w:tcPr>
            <w:tcW w:w="2542" w:type="dxa"/>
            <w:tcBorders>
              <w:top w:val="single" w:color="000000" w:sz="8" w:space="0"/>
              <w:left w:val="nil"/>
              <w:bottom w:val="single" w:color="000000" w:sz="8" w:space="0"/>
              <w:right w:val="single" w:color="000000" w:sz="8" w:space="0"/>
            </w:tcBorders>
            <w:vAlign w:val="center"/>
          </w:tcPr>
          <w:p w14:paraId="0AE29349">
            <w:pPr>
              <w:widowControl/>
              <w:jc w:val="center"/>
              <w:rPr>
                <w:rFonts w:hint="eastAsia" w:ascii="宋体" w:hAnsi="宋体" w:cs="宋体"/>
                <w:color w:val="auto"/>
                <w:kern w:val="0"/>
              </w:rPr>
            </w:pPr>
            <w:r>
              <w:rPr>
                <w:rFonts w:hint="eastAsia"/>
                <w:color w:val="auto"/>
              </w:rPr>
              <w:t>北京东方雨虹、德高、卓宝、科顺</w:t>
            </w:r>
          </w:p>
        </w:tc>
      </w:tr>
      <w:bookmarkEnd w:id="1"/>
    </w:tbl>
    <w:p w14:paraId="6ACDD721">
      <w:pPr>
        <w:spacing w:line="440" w:lineRule="exact"/>
        <w:ind w:firstLine="482"/>
        <w:rPr>
          <w:rFonts w:hint="eastAsia" w:ascii="宋体" w:hAnsi="宋体"/>
          <w:color w:val="auto"/>
          <w:kern w:val="0"/>
          <w:sz w:val="24"/>
          <w:szCs w:val="24"/>
        </w:rPr>
      </w:pPr>
      <w:r>
        <w:rPr>
          <w:rFonts w:hint="eastAsia" w:ascii="宋体" w:hAnsi="宋体"/>
          <w:color w:val="auto"/>
          <w:kern w:val="0"/>
          <w:sz w:val="24"/>
          <w:szCs w:val="24"/>
        </w:rPr>
        <w:t>注：</w:t>
      </w:r>
    </w:p>
    <w:p w14:paraId="75C2FCB4">
      <w:pPr>
        <w:spacing w:line="440" w:lineRule="exact"/>
        <w:ind w:firstLine="482"/>
        <w:rPr>
          <w:rFonts w:hint="eastAsia" w:ascii="宋体" w:hAnsi="宋体"/>
          <w:color w:val="auto"/>
          <w:kern w:val="0"/>
          <w:sz w:val="24"/>
          <w:szCs w:val="24"/>
        </w:rPr>
      </w:pPr>
      <w:r>
        <w:rPr>
          <w:rFonts w:hint="eastAsia" w:ascii="宋体" w:hAnsi="宋体"/>
          <w:color w:val="auto"/>
          <w:kern w:val="0"/>
          <w:sz w:val="24"/>
          <w:szCs w:val="24"/>
        </w:rPr>
        <w:t>1、以上材料在进场前须经建设单位和设计单位认可，建设单位有权在颜色、样式、用量、材质、配置等方面做出适当调整，但价格不予调整。</w:t>
      </w:r>
    </w:p>
    <w:p w14:paraId="314689BD">
      <w:pPr>
        <w:spacing w:line="440" w:lineRule="exact"/>
        <w:ind w:firstLine="482"/>
        <w:rPr>
          <w:rFonts w:ascii="宋体" w:hAnsi="宋体"/>
          <w:b/>
          <w:bCs/>
          <w:color w:val="auto"/>
          <w:kern w:val="0"/>
          <w:sz w:val="24"/>
          <w:szCs w:val="24"/>
        </w:rPr>
      </w:pPr>
      <w:r>
        <w:rPr>
          <w:rFonts w:hint="eastAsia" w:ascii="宋体" w:hAnsi="宋体"/>
          <w:b/>
          <w:bCs/>
          <w:color w:val="auto"/>
          <w:kern w:val="0"/>
          <w:sz w:val="24"/>
          <w:szCs w:val="24"/>
        </w:rPr>
        <w:t>2、投标人投标时需选择某一具体品牌。如投标人采用参考品牌以外的其他产品供货的，质量和性能等技术指标必须优于或者相当于参考品牌。一旦中标，中标人不得以任何理由更换参考品牌,并于领取中标通知书后三天内向建设单位提供样品，经建设单位认可后方可签订合同。</w:t>
      </w:r>
    </w:p>
    <w:p w14:paraId="6524AE8B">
      <w:pPr>
        <w:spacing w:line="440" w:lineRule="exact"/>
        <w:ind w:firstLine="482"/>
        <w:rPr>
          <w:rFonts w:hint="eastAsia" w:ascii="宋体" w:hAnsi="宋体" w:cs="Calibri"/>
          <w:b/>
          <w:bCs/>
          <w:color w:val="auto"/>
          <w:kern w:val="0"/>
          <w:sz w:val="24"/>
          <w:szCs w:val="24"/>
        </w:rPr>
      </w:pPr>
      <w:r>
        <w:rPr>
          <w:rFonts w:hint="eastAsia" w:ascii="宋体" w:hAnsi="宋体" w:cs="宋体"/>
          <w:b/>
          <w:bCs/>
          <w:color w:val="auto"/>
          <w:sz w:val="24"/>
          <w:szCs w:val="40"/>
          <w14:ligatures w14:val="standardContextual"/>
        </w:rPr>
        <w:t>十、</w:t>
      </w:r>
      <w:r>
        <w:rPr>
          <w:rFonts w:ascii="宋体" w:hAnsi="宋体" w:cs="Calibri"/>
          <w:b/>
          <w:bCs/>
          <w:color w:val="auto"/>
          <w:kern w:val="0"/>
          <w:sz w:val="24"/>
          <w:szCs w:val="24"/>
        </w:rPr>
        <w:t>投标人投标时应提供以下材料：</w:t>
      </w:r>
    </w:p>
    <w:p w14:paraId="4B490A66">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1.企业实力</w:t>
      </w:r>
    </w:p>
    <w:p w14:paraId="4C20C737">
      <w:pPr>
        <w:spacing w:line="500" w:lineRule="exact"/>
        <w:ind w:firstLine="480"/>
        <w:rPr>
          <w:rFonts w:hint="eastAsia" w:ascii="宋体" w:hAnsi="宋体"/>
          <w:color w:val="auto"/>
          <w:kern w:val="0"/>
          <w:sz w:val="24"/>
          <w:szCs w:val="24"/>
        </w:rPr>
      </w:pPr>
      <w:r>
        <w:rPr>
          <w:rFonts w:ascii="宋体" w:hAnsi="宋体"/>
          <w:color w:val="auto"/>
          <w:kern w:val="0"/>
          <w:sz w:val="24"/>
          <w:szCs w:val="24"/>
        </w:rPr>
        <w:t>1.1质量管理体系认证</w:t>
      </w:r>
    </w:p>
    <w:p w14:paraId="208772DB">
      <w:pPr>
        <w:spacing w:line="500" w:lineRule="exact"/>
        <w:ind w:firstLine="480"/>
        <w:rPr>
          <w:rFonts w:hint="eastAsia" w:ascii="宋体" w:hAnsi="宋体"/>
          <w:color w:val="auto"/>
          <w:kern w:val="0"/>
          <w:sz w:val="24"/>
          <w:szCs w:val="24"/>
        </w:rPr>
      </w:pPr>
      <w:r>
        <w:rPr>
          <w:rFonts w:ascii="宋体" w:hAnsi="宋体"/>
          <w:color w:val="auto"/>
          <w:kern w:val="0"/>
          <w:sz w:val="24"/>
          <w:szCs w:val="24"/>
        </w:rPr>
        <w:t>确保施工方施工时注重施工质量，施工流程符合维修改造工程标准，控制材料采购、工艺实施及验收环节。材料质量检测、节点处理规范性。投标时提供质量管理体系认证证书的</w:t>
      </w:r>
      <w:r>
        <w:rPr>
          <w:rFonts w:ascii="宋体" w:hAnsi="宋体"/>
          <w:b/>
          <w:bCs/>
          <w:color w:val="auto"/>
          <w:kern w:val="0"/>
          <w:sz w:val="24"/>
          <w:szCs w:val="24"/>
        </w:rPr>
        <w:t>优先</w:t>
      </w:r>
      <w:r>
        <w:rPr>
          <w:rFonts w:ascii="宋体" w:hAnsi="宋体"/>
          <w:color w:val="auto"/>
          <w:kern w:val="0"/>
          <w:sz w:val="24"/>
          <w:szCs w:val="24"/>
        </w:rPr>
        <w:t>。</w:t>
      </w:r>
    </w:p>
    <w:p w14:paraId="074E084A">
      <w:pPr>
        <w:spacing w:line="500" w:lineRule="exact"/>
        <w:ind w:firstLine="480"/>
        <w:rPr>
          <w:rFonts w:hint="eastAsia" w:ascii="宋体" w:hAnsi="宋体"/>
          <w:color w:val="auto"/>
          <w:kern w:val="0"/>
          <w:sz w:val="24"/>
          <w:szCs w:val="24"/>
        </w:rPr>
      </w:pPr>
      <w:r>
        <w:rPr>
          <w:rFonts w:ascii="宋体" w:hAnsi="宋体"/>
          <w:color w:val="auto"/>
          <w:kern w:val="0"/>
          <w:sz w:val="24"/>
          <w:szCs w:val="24"/>
        </w:rPr>
        <w:t>1.2环境管理体系认证</w:t>
      </w:r>
    </w:p>
    <w:p w14:paraId="57A0B25C">
      <w:pPr>
        <w:spacing w:line="500" w:lineRule="exact"/>
        <w:ind w:firstLine="480"/>
        <w:rPr>
          <w:rFonts w:hint="eastAsia" w:ascii="宋体" w:hAnsi="宋体"/>
          <w:color w:val="auto"/>
          <w:kern w:val="0"/>
          <w:sz w:val="24"/>
          <w:szCs w:val="24"/>
        </w:rPr>
      </w:pPr>
      <w:r>
        <w:rPr>
          <w:rFonts w:ascii="宋体" w:hAnsi="宋体"/>
          <w:color w:val="auto"/>
          <w:kern w:val="0"/>
          <w:sz w:val="24"/>
          <w:szCs w:val="24"/>
        </w:rPr>
        <w:t>确保施工方施工时注重环境保护，施工流程符合规范施工废弃物处理流程，降低噪音污染和粉尘扩散、施工扬尘控制。投标时提供环境管理体系认证证书的</w:t>
      </w:r>
      <w:r>
        <w:rPr>
          <w:rFonts w:ascii="宋体" w:hAnsi="宋体"/>
          <w:b/>
          <w:bCs/>
          <w:color w:val="auto"/>
          <w:kern w:val="0"/>
          <w:sz w:val="24"/>
          <w:szCs w:val="24"/>
        </w:rPr>
        <w:t>优先</w:t>
      </w:r>
      <w:r>
        <w:rPr>
          <w:rFonts w:ascii="宋体" w:hAnsi="宋体"/>
          <w:color w:val="auto"/>
          <w:kern w:val="0"/>
          <w:sz w:val="24"/>
          <w:szCs w:val="24"/>
        </w:rPr>
        <w:t>。</w:t>
      </w:r>
    </w:p>
    <w:p w14:paraId="4AE74518">
      <w:pPr>
        <w:spacing w:line="500" w:lineRule="exact"/>
        <w:ind w:firstLine="480"/>
        <w:rPr>
          <w:rFonts w:hint="eastAsia" w:ascii="宋体" w:hAnsi="宋体"/>
          <w:color w:val="auto"/>
          <w:kern w:val="0"/>
          <w:sz w:val="24"/>
          <w:szCs w:val="24"/>
        </w:rPr>
      </w:pPr>
      <w:r>
        <w:rPr>
          <w:rFonts w:ascii="宋体" w:hAnsi="宋体"/>
          <w:color w:val="auto"/>
          <w:kern w:val="0"/>
          <w:sz w:val="24"/>
          <w:szCs w:val="24"/>
        </w:rPr>
        <w:t>1.3职业健康安全管理体系认证</w:t>
      </w:r>
    </w:p>
    <w:p w14:paraId="2552831C">
      <w:pPr>
        <w:spacing w:line="500" w:lineRule="exact"/>
        <w:ind w:firstLine="480"/>
        <w:rPr>
          <w:rFonts w:hint="eastAsia" w:ascii="宋体" w:hAnsi="宋体"/>
          <w:color w:val="auto"/>
          <w:kern w:val="0"/>
          <w:sz w:val="24"/>
          <w:szCs w:val="24"/>
        </w:rPr>
      </w:pPr>
      <w:r>
        <w:rPr>
          <w:rFonts w:ascii="宋体" w:hAnsi="宋体"/>
          <w:color w:val="auto"/>
          <w:kern w:val="0"/>
          <w:sz w:val="24"/>
          <w:szCs w:val="24"/>
        </w:rPr>
        <w:t>确保施工方施工时注重安全施工，工人安全、高温作业防护、有害气体监测等操作。投标时提供职业健康安全管理体系认证证书的</w:t>
      </w:r>
      <w:r>
        <w:rPr>
          <w:rFonts w:ascii="宋体" w:hAnsi="宋体"/>
          <w:b/>
          <w:bCs/>
          <w:color w:val="auto"/>
          <w:kern w:val="0"/>
          <w:sz w:val="24"/>
          <w:szCs w:val="24"/>
        </w:rPr>
        <w:t>优先</w:t>
      </w:r>
      <w:r>
        <w:rPr>
          <w:rFonts w:ascii="宋体" w:hAnsi="宋体"/>
          <w:color w:val="auto"/>
          <w:kern w:val="0"/>
          <w:sz w:val="24"/>
          <w:szCs w:val="24"/>
        </w:rPr>
        <w:t>。</w:t>
      </w:r>
    </w:p>
    <w:p w14:paraId="697C9765">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2.业绩</w:t>
      </w:r>
    </w:p>
    <w:p w14:paraId="6BC8EFCE">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供应商自2023年1月1日以来【以交（竣）工验收证明时间为准】，承担过类似业绩的</w:t>
      </w:r>
      <w:r>
        <w:rPr>
          <w:rFonts w:ascii="宋体" w:hAnsi="宋体" w:cs="宋体"/>
          <w:b/>
          <w:bCs/>
          <w:color w:val="auto"/>
          <w:kern w:val="0"/>
          <w:sz w:val="24"/>
          <w:szCs w:val="24"/>
        </w:rPr>
        <w:t>优先</w:t>
      </w:r>
      <w:r>
        <w:rPr>
          <w:rFonts w:ascii="宋体" w:hAnsi="宋体" w:cs="宋体"/>
          <w:color w:val="auto"/>
          <w:kern w:val="0"/>
          <w:sz w:val="24"/>
          <w:szCs w:val="24"/>
        </w:rPr>
        <w:t>。</w:t>
      </w:r>
    </w:p>
    <w:p w14:paraId="16A4A42E">
      <w:pPr>
        <w:spacing w:line="480" w:lineRule="exact"/>
        <w:ind w:firstLine="482"/>
        <w:outlineLvl w:val="1"/>
        <w:rPr>
          <w:rFonts w:hint="eastAsia" w:ascii="宋体" w:hAnsi="宋体" w:cs="宋体"/>
          <w:color w:val="auto"/>
          <w:kern w:val="0"/>
          <w:sz w:val="24"/>
          <w:szCs w:val="24"/>
        </w:rPr>
      </w:pPr>
      <w:r>
        <w:rPr>
          <w:rFonts w:hint="eastAsia" w:ascii="宋体" w:hAnsi="宋体" w:cs="宋体"/>
          <w:color w:val="auto"/>
          <w:kern w:val="0"/>
          <w:sz w:val="24"/>
          <w:szCs w:val="24"/>
        </w:rPr>
        <w:t>3.人员配备</w:t>
      </w:r>
    </w:p>
    <w:p w14:paraId="453B3361">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项目组成员（不含项目经理）具有质量员、施工员、安全员证书的</w:t>
      </w:r>
      <w:r>
        <w:rPr>
          <w:rFonts w:hint="eastAsia" w:ascii="宋体" w:hAnsi="宋体" w:cs="宋体"/>
          <w:color w:val="auto"/>
          <w:kern w:val="0"/>
          <w:sz w:val="24"/>
          <w:szCs w:val="24"/>
        </w:rPr>
        <w:t>优先。</w:t>
      </w:r>
    </w:p>
    <w:p w14:paraId="0B2EF2B3">
      <w:pPr>
        <w:spacing w:line="480" w:lineRule="exact"/>
        <w:ind w:firstLine="482"/>
        <w:outlineLvl w:val="1"/>
        <w:rPr>
          <w:rFonts w:hint="eastAsia" w:ascii="宋体" w:hAnsi="宋体" w:cs="宋体"/>
          <w:color w:val="auto"/>
          <w:kern w:val="0"/>
          <w:sz w:val="24"/>
          <w:szCs w:val="24"/>
        </w:rPr>
      </w:pPr>
      <w:r>
        <w:rPr>
          <w:rFonts w:hint="eastAsia" w:ascii="宋体" w:hAnsi="宋体" w:cs="宋体"/>
          <w:color w:val="auto"/>
          <w:kern w:val="0"/>
          <w:sz w:val="24"/>
          <w:szCs w:val="24"/>
        </w:rPr>
        <w:t>4</w:t>
      </w:r>
      <w:r>
        <w:rPr>
          <w:rFonts w:ascii="宋体" w:hAnsi="宋体" w:cs="宋体"/>
          <w:color w:val="auto"/>
          <w:kern w:val="0"/>
          <w:sz w:val="24"/>
          <w:szCs w:val="24"/>
        </w:rPr>
        <w:t>.投标人应根据采购需求和本项目实际，制订相应的方案至少包含以下内容：</w:t>
      </w:r>
    </w:p>
    <w:p w14:paraId="23216411">
      <w:pPr>
        <w:spacing w:line="480" w:lineRule="exact"/>
        <w:ind w:firstLine="482"/>
        <w:outlineLvl w:val="1"/>
        <w:rPr>
          <w:rFonts w:hint="eastAsia" w:ascii="宋体" w:hAnsi="宋体" w:cs="宋体"/>
          <w:color w:val="auto"/>
          <w:kern w:val="0"/>
          <w:sz w:val="24"/>
          <w:szCs w:val="24"/>
        </w:rPr>
      </w:pPr>
      <w:r>
        <w:rPr>
          <w:rFonts w:hint="eastAsia" w:ascii="宋体" w:hAnsi="宋体" w:cs="宋体"/>
          <w:color w:val="auto"/>
          <w:kern w:val="0"/>
          <w:sz w:val="24"/>
          <w:szCs w:val="24"/>
        </w:rPr>
        <w:t>4</w:t>
      </w:r>
      <w:r>
        <w:rPr>
          <w:rFonts w:ascii="宋体" w:hAnsi="宋体" w:cs="宋体"/>
          <w:color w:val="auto"/>
          <w:kern w:val="0"/>
          <w:sz w:val="24"/>
          <w:szCs w:val="24"/>
        </w:rPr>
        <w:t>.1施工方案与技术措施</w:t>
      </w:r>
    </w:p>
    <w:p w14:paraId="5308AC01">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根据投标供应商提供的施工方案与技术措施进行评审，至少包含以下内容：</w:t>
      </w:r>
    </w:p>
    <w:p w14:paraId="0EBB7550">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① 施工准备方案内容至少包含：项目组织机构设置及人员配备情况；施工场地规划与临时设施布置方案；施工技术准备及图纸会审计划；材料设备采购及进场计划等。</w:t>
      </w:r>
    </w:p>
    <w:p w14:paraId="48903476">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② 施工项目目标控制方案内容至少包含：质量目标控制体系及保证措施；进度目标控制节点及保障方案；成本控制措施及预算管理方案；安全文明施工目标等。</w:t>
      </w:r>
    </w:p>
    <w:p w14:paraId="5F3967C2">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③ 技术措施 方案内容至少包含：关键施工技术方案及工艺标准；新技术、新工艺应用方案；技术难点解决方案及应急预案；施工测量与检测方案等。</w:t>
      </w:r>
    </w:p>
    <w:p w14:paraId="384E75F6">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④ 项目安全措施方案内容至少包含：安全生产管理组织架构；危险源辨识与风险控制措施；特殊工种作业安全防护方案；施工安全监测与预警机制等。</w:t>
      </w:r>
    </w:p>
    <w:p w14:paraId="35103B34">
      <w:pPr>
        <w:spacing w:line="480" w:lineRule="exact"/>
        <w:ind w:firstLine="482"/>
        <w:outlineLvl w:val="1"/>
        <w:rPr>
          <w:rFonts w:hint="eastAsia" w:ascii="宋体" w:hAnsi="宋体" w:cs="宋体"/>
          <w:color w:val="auto"/>
          <w:kern w:val="0"/>
          <w:sz w:val="24"/>
          <w:szCs w:val="24"/>
        </w:rPr>
      </w:pPr>
      <w:r>
        <w:rPr>
          <w:rFonts w:hint="eastAsia" w:ascii="宋体" w:hAnsi="宋体" w:cs="宋体"/>
          <w:color w:val="auto"/>
          <w:kern w:val="0"/>
          <w:sz w:val="24"/>
          <w:szCs w:val="24"/>
        </w:rPr>
        <w:t>4</w:t>
      </w:r>
      <w:r>
        <w:rPr>
          <w:rFonts w:ascii="宋体" w:hAnsi="宋体" w:cs="宋体"/>
          <w:color w:val="auto"/>
          <w:kern w:val="0"/>
          <w:sz w:val="24"/>
          <w:szCs w:val="24"/>
        </w:rPr>
        <w:t>.2工程进度计划与保证措施</w:t>
      </w:r>
    </w:p>
    <w:p w14:paraId="4ABC15C1">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根据投标供应商提供工程进度计划与保证措施进行评审，至少包含以下内容：</w:t>
      </w:r>
    </w:p>
    <w:p w14:paraId="2C9B5B1D">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① 对施工进度的关键因素分析方案内容至少包含：关键线路识别及工期控制点分析；气候、环境等外部因素影响评估；材料供应及劳动力资源保障分析；施工机械配置合理性评估等。</w:t>
      </w:r>
    </w:p>
    <w:p w14:paraId="5F0344BF">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②人员、机械设备和材料投入方案内容至少包含：</w:t>
      </w:r>
    </w:p>
    <w:p w14:paraId="1B712BBB">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进度管理组织架构及职责划分；主要施工机械设备配置计划；材料采购及供应保障方案；设备维护保养计划；周转材料调配方案等。</w:t>
      </w:r>
    </w:p>
    <w:p w14:paraId="5FA75E54">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③工期进度安排及保证措施方案内容至少包含：总体施工进度计划表（横道图或网络图）；分部分项工程进度节点计划；阶段性目标及里程碑计划；夏季、雨季施工专项计划；进度计划动态调整机制；进度偏差预警及纠偏措施；进度考核与奖惩制度等。</w:t>
      </w:r>
    </w:p>
    <w:p w14:paraId="32DA9B9A">
      <w:pPr>
        <w:spacing w:line="480" w:lineRule="exact"/>
        <w:ind w:firstLine="482"/>
        <w:outlineLvl w:val="1"/>
        <w:rPr>
          <w:rFonts w:hint="eastAsia" w:ascii="宋体" w:hAnsi="宋体" w:cs="宋体"/>
          <w:color w:val="auto"/>
          <w:kern w:val="0"/>
          <w:sz w:val="24"/>
          <w:szCs w:val="24"/>
        </w:rPr>
      </w:pPr>
      <w:r>
        <w:rPr>
          <w:rFonts w:hint="eastAsia" w:ascii="宋体" w:hAnsi="宋体" w:cs="宋体"/>
          <w:color w:val="auto"/>
          <w:kern w:val="0"/>
          <w:sz w:val="24"/>
          <w:szCs w:val="24"/>
        </w:rPr>
        <w:t>4</w:t>
      </w:r>
      <w:r>
        <w:rPr>
          <w:rFonts w:ascii="宋体" w:hAnsi="宋体" w:cs="宋体"/>
          <w:color w:val="auto"/>
          <w:kern w:val="0"/>
          <w:sz w:val="24"/>
          <w:szCs w:val="24"/>
        </w:rPr>
        <w:t>.3安全管理体系和措施</w:t>
      </w:r>
    </w:p>
    <w:p w14:paraId="079029AE">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根据投标供应商提供的安全管理体系和措施进行评审，至少包含以下内容：</w:t>
      </w:r>
    </w:p>
    <w:p w14:paraId="409BBDAB">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① 安全管理体系方案内容至少包含：安全生产责任体系架构；安全管理人员配置及资质；安全生产标准化建设方案；应急管理组织体系等。</w:t>
      </w:r>
    </w:p>
    <w:p w14:paraId="31C83193">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② 安全管理制度方案内容至少包含：安全生产责任制及考核办法；安全教育培训制度；安全检查及隐患排查制度；事故报告与应急处理制度等。</w:t>
      </w:r>
    </w:p>
    <w:p w14:paraId="68228FD1">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③ 岗位职责的健全方案内容至少包含：安全管理人员岗位职责明确性；安全责任落实到人；安全考核机制完善性；安全监督体系健全性等。</w:t>
      </w:r>
    </w:p>
    <w:p w14:paraId="10F446B4">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④ 安全保证措施方案内容至少包含：施工现场安全防护措施；特种作业安全管理措施；消防安全管理方案；应急预案及演练计划等。</w:t>
      </w:r>
    </w:p>
    <w:p w14:paraId="064931F3">
      <w:pPr>
        <w:spacing w:line="480" w:lineRule="exact"/>
        <w:ind w:firstLine="482"/>
        <w:outlineLvl w:val="1"/>
        <w:rPr>
          <w:rFonts w:hint="eastAsia" w:ascii="宋体" w:hAnsi="宋体" w:cs="宋体"/>
          <w:color w:val="auto"/>
          <w:kern w:val="0"/>
          <w:sz w:val="24"/>
          <w:szCs w:val="24"/>
        </w:rPr>
      </w:pPr>
      <w:r>
        <w:rPr>
          <w:rFonts w:hint="eastAsia" w:ascii="宋体" w:hAnsi="宋体" w:cs="宋体"/>
          <w:color w:val="auto"/>
          <w:kern w:val="0"/>
          <w:sz w:val="24"/>
          <w:szCs w:val="24"/>
        </w:rPr>
        <w:t>4</w:t>
      </w:r>
      <w:r>
        <w:rPr>
          <w:rFonts w:ascii="宋体" w:hAnsi="宋体" w:cs="宋体"/>
          <w:color w:val="auto"/>
          <w:kern w:val="0"/>
          <w:sz w:val="24"/>
          <w:szCs w:val="24"/>
        </w:rPr>
        <w:t>.4项目组织结构</w:t>
      </w:r>
    </w:p>
    <w:p w14:paraId="410DE07D">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根据投标供应商提供的项目组织结构进行评审，至少包含以下内容：</w:t>
      </w:r>
    </w:p>
    <w:p w14:paraId="4C69F181">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① 合理安排项目部组织结构方案内容至少包含：项目管理组织架构图；部门设置及职能划分；管理层级及汇报关系；项目管理团队稳定性等。</w:t>
      </w:r>
    </w:p>
    <w:p w14:paraId="1762B064">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② 项目组人员专业齐全，执业资格齐全方案内容至少包含：项目经理及关键岗位人员资质；专业技术人员配备情况；特殊工种持证上岗情况；人员培训及考核机制等。</w:t>
      </w:r>
    </w:p>
    <w:p w14:paraId="4015AD97">
      <w:pPr>
        <w:spacing w:line="480" w:lineRule="exact"/>
        <w:ind w:firstLine="482"/>
        <w:outlineLvl w:val="1"/>
        <w:rPr>
          <w:rFonts w:hint="eastAsia" w:ascii="宋体" w:hAnsi="宋体" w:cs="宋体"/>
          <w:color w:val="auto"/>
          <w:kern w:val="0"/>
          <w:sz w:val="24"/>
          <w:szCs w:val="24"/>
        </w:rPr>
      </w:pPr>
      <w:r>
        <w:rPr>
          <w:rFonts w:hint="eastAsia" w:ascii="宋体" w:hAnsi="宋体" w:cs="宋体"/>
          <w:color w:val="auto"/>
          <w:kern w:val="0"/>
          <w:sz w:val="24"/>
          <w:szCs w:val="24"/>
        </w:rPr>
        <w:t>4.</w:t>
      </w:r>
      <w:r>
        <w:rPr>
          <w:rFonts w:ascii="宋体" w:hAnsi="宋体" w:cs="宋体"/>
          <w:color w:val="auto"/>
          <w:kern w:val="0"/>
          <w:sz w:val="24"/>
          <w:szCs w:val="24"/>
        </w:rPr>
        <w:t>5质量管理体系和措施</w:t>
      </w:r>
    </w:p>
    <w:p w14:paraId="1AB15BB7">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根据供应商提供的质量管理体系和措施进行评审，至少包含以下内容：</w:t>
      </w:r>
    </w:p>
    <w:p w14:paraId="21183780">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① 确定质量方针和目标方案内容至少包含：项目质量目标及分解指标；质量创优计划及实施方案；质量目标考核办法；质量事故预防目标等。</w:t>
      </w:r>
    </w:p>
    <w:p w14:paraId="3915EFEF">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② 质量管理体系方案内容至少包含：质量管理组织架构及职责；质量管理制度及流程；质量保证体系认证情况；质量信息管理系统等。</w:t>
      </w:r>
    </w:p>
    <w:p w14:paraId="19A273C6">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③ 质量保证措施方案内容至少包含：材料进场检验及试验计划；施工过程质量控制措施；质量通病防治方案；成品保护措施；质量验收标准等。</w:t>
      </w:r>
    </w:p>
    <w:p w14:paraId="08404581">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④ 制度、岗位职责的健全方案内容至少包含：质量责任制及考核办法；关键岗位人员职责及资质要求；质量责任追溯制度；质量奖惩制度等。</w:t>
      </w:r>
    </w:p>
    <w:p w14:paraId="24B71FC9">
      <w:pPr>
        <w:spacing w:line="480" w:lineRule="exact"/>
        <w:ind w:firstLine="482"/>
        <w:outlineLvl w:val="1"/>
        <w:rPr>
          <w:rFonts w:hint="eastAsia" w:ascii="宋体" w:hAnsi="宋体" w:cs="宋体"/>
          <w:color w:val="auto"/>
          <w:kern w:val="0"/>
          <w:sz w:val="24"/>
          <w:szCs w:val="24"/>
        </w:rPr>
      </w:pPr>
      <w:r>
        <w:rPr>
          <w:rFonts w:hint="eastAsia" w:ascii="宋体" w:hAnsi="宋体" w:cs="宋体"/>
          <w:color w:val="auto"/>
          <w:kern w:val="0"/>
          <w:sz w:val="24"/>
          <w:szCs w:val="24"/>
        </w:rPr>
        <w:t>4</w:t>
      </w:r>
      <w:r>
        <w:rPr>
          <w:rFonts w:ascii="宋体" w:hAnsi="宋体" w:cs="宋体"/>
          <w:color w:val="auto"/>
          <w:kern w:val="0"/>
          <w:sz w:val="24"/>
          <w:szCs w:val="24"/>
        </w:rPr>
        <w:t>.6文明施工及环境保护方案</w:t>
      </w:r>
    </w:p>
    <w:p w14:paraId="204B2528">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根据投标供应商提供的文明施工及环境保护方案进行评审，至少包含以下内容：</w:t>
      </w:r>
    </w:p>
    <w:p w14:paraId="7DDD3FC7">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① 文明施工措施方案内容至少包含：施工现场标准化布置方案；工地围挡及形象设计；施工人员行为规范；社区关系协调方案；卫生防疫措施等。</w:t>
      </w:r>
    </w:p>
    <w:p w14:paraId="2BE4A3BD">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② 安全管理规定方案内容至少包含：施工现场封闭管理措施；人员进出管理制度；安全警示标识系统；夜间施工管理规定；交通疏导方案等。</w:t>
      </w:r>
    </w:p>
    <w:p w14:paraId="7D6A599B">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③ 现场环境保护措施方案内容至少包含：现场用电安全措施；施工噪声控制方案；扬尘污染防治措施；施工固体废弃物处置方案；废水处理及排放控制等。</w:t>
      </w:r>
    </w:p>
    <w:p w14:paraId="73FC883D">
      <w:pPr>
        <w:spacing w:line="480" w:lineRule="exact"/>
        <w:ind w:firstLine="482"/>
        <w:outlineLvl w:val="1"/>
        <w:rPr>
          <w:rFonts w:hint="eastAsia" w:ascii="宋体" w:hAnsi="宋体" w:cs="宋体"/>
          <w:color w:val="auto"/>
          <w:kern w:val="0"/>
          <w:sz w:val="24"/>
          <w:szCs w:val="24"/>
        </w:rPr>
      </w:pPr>
      <w:r>
        <w:rPr>
          <w:rFonts w:ascii="宋体" w:hAnsi="宋体" w:cs="宋体"/>
          <w:color w:val="auto"/>
          <w:kern w:val="0"/>
          <w:sz w:val="24"/>
          <w:szCs w:val="24"/>
        </w:rPr>
        <w:t>④ 事故与火灾预防方案内容至少包含：消防设施配置方案；动火作业管理制度；危险化学品管理措施；应急救援预案；防火检查制度等。</w:t>
      </w:r>
    </w:p>
    <w:bookmarkEnd w:id="0"/>
    <w:p w14:paraId="69B7FAEE">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F115E1"/>
    <w:rsid w:val="04AE18FF"/>
    <w:rsid w:val="1AA10814"/>
    <w:rsid w:val="367C09AD"/>
    <w:rsid w:val="3D737B06"/>
    <w:rsid w:val="490435A1"/>
    <w:rsid w:val="53C45145"/>
    <w:rsid w:val="684A387F"/>
    <w:rsid w:val="6BFC3D2A"/>
    <w:rsid w:val="71F115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2026-09-18T07:35:00Z</dcterms:created>
  <dc:creator>老郑家的姑娘</dc:creator>
  <cp:lastModifiedBy>老郑家的姑娘</cp:lastModifiedBy>
  <dcterms:modified xsi:type="dcterms:W3CDTF">2026-09-18T07:35:39Z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3578B8FA54DD4C3C8A6D2CD542EE9075_11</vt:lpwstr>
  </property>
  <property fmtid="{D5CDD505-2E9C-101B-9397-08002B2CF9AE}" pid="4" name="KSOTemplateDocerSaveRecord">
    <vt:lpwstr>eyJoZGlkIjoiMjIxNTk2NGNkMjA3MTVlMzA1NWM0YWYyZWU3YzhhYmEiLCJ1c2VySWQiOiIyODkwMDY0ODgifQ==</vt:lpwstr>
  </property>
</Properties>
</file>